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4" w:line="238" w:lineRule="auto"/>
        <w:ind w:left="1433" w:right="671" w:hanging="1400"/>
        <w:outlineLvl w:val="0"/>
        <w:rPr>
          <w:rFonts w:ascii="黑体" w:hAnsi="黑体" w:eastAsia="黑体" w:cs="黑体"/>
          <w:sz w:val="66"/>
          <w:szCs w:val="66"/>
        </w:rPr>
      </w:pPr>
      <w:r>
        <w:rPr>
          <w:rFonts w:ascii="黑体" w:hAnsi="黑体" w:eastAsia="黑体" w:cs="黑体"/>
          <w:spacing w:val="73"/>
          <w:sz w:val="66"/>
          <w:szCs w:val="66"/>
        </w:rPr>
        <w:t>中共壤塘县委政法委员会</w:t>
      </w:r>
      <w:r>
        <w:rPr>
          <w:rFonts w:hint="eastAsia" w:ascii="黑体" w:hAnsi="黑体" w:eastAsia="黑体" w:cs="黑体"/>
          <w:spacing w:val="51"/>
          <w:sz w:val="66"/>
          <w:szCs w:val="66"/>
          <w:lang w:eastAsia="zh-CN"/>
        </w:rPr>
        <w:t>2024年</w:t>
      </w:r>
      <w:r>
        <w:rPr>
          <w:rFonts w:ascii="黑体" w:hAnsi="黑体" w:eastAsia="黑体" w:cs="黑体"/>
          <w:spacing w:val="51"/>
          <w:sz w:val="66"/>
          <w:szCs w:val="66"/>
        </w:rPr>
        <w:t>部门预算</w:t>
      </w: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spacing w:before="143" w:line="223" w:lineRule="auto"/>
        <w:ind w:left="1879" w:firstLine="803" w:firstLineChars="200"/>
        <w:rPr>
          <w:rFonts w:ascii="黑体" w:hAnsi="黑体" w:eastAsia="黑体" w:cs="黑体"/>
          <w:b/>
          <w:bCs/>
          <w:spacing w:val="-20"/>
          <w:sz w:val="44"/>
          <w:szCs w:val="44"/>
        </w:rPr>
      </w:pPr>
    </w:p>
    <w:p>
      <w:pPr>
        <w:spacing w:before="143" w:line="223" w:lineRule="auto"/>
        <w:ind w:left="1879" w:firstLine="803" w:firstLineChars="200"/>
        <w:rPr>
          <w:rFonts w:ascii="黑体" w:hAnsi="黑体" w:eastAsia="黑体" w:cs="黑体"/>
          <w:sz w:val="44"/>
          <w:szCs w:val="44"/>
        </w:rPr>
      </w:pPr>
      <w:r>
        <w:rPr>
          <w:rFonts w:ascii="黑体" w:hAnsi="黑体" w:eastAsia="黑体" w:cs="黑体"/>
          <w:b/>
          <w:bCs/>
          <w:spacing w:val="-20"/>
          <w:sz w:val="44"/>
          <w:szCs w:val="44"/>
        </w:rPr>
        <w:t>202</w:t>
      </w:r>
      <w:r>
        <w:rPr>
          <w:rFonts w:hint="eastAsia" w:ascii="黑体" w:hAnsi="黑体" w:eastAsia="黑体" w:cs="黑体"/>
          <w:b/>
          <w:bCs/>
          <w:spacing w:val="-20"/>
          <w:sz w:val="44"/>
          <w:szCs w:val="44"/>
          <w:lang w:val="en-US" w:eastAsia="zh-CN"/>
        </w:rPr>
        <w:t>4</w:t>
      </w:r>
      <w:r>
        <w:rPr>
          <w:rFonts w:ascii="黑体" w:hAnsi="黑体" w:eastAsia="黑体" w:cs="黑体"/>
          <w:b/>
          <w:bCs/>
          <w:spacing w:val="-20"/>
          <w:sz w:val="44"/>
          <w:szCs w:val="44"/>
        </w:rPr>
        <w:t>年0</w:t>
      </w:r>
      <w:r>
        <w:rPr>
          <w:rFonts w:hint="eastAsia" w:ascii="黑体" w:hAnsi="黑体" w:eastAsia="黑体" w:cs="黑体"/>
          <w:b/>
          <w:bCs/>
          <w:spacing w:val="-20"/>
          <w:sz w:val="44"/>
          <w:szCs w:val="44"/>
          <w:lang w:val="en-US" w:eastAsia="zh-CN"/>
        </w:rPr>
        <w:t>2</w:t>
      </w:r>
      <w:r>
        <w:rPr>
          <w:rFonts w:ascii="黑体" w:hAnsi="黑体" w:eastAsia="黑体" w:cs="黑体"/>
          <w:b/>
          <w:bCs/>
          <w:spacing w:val="-20"/>
          <w:sz w:val="44"/>
          <w:szCs w:val="44"/>
        </w:rPr>
        <w:t>月</w:t>
      </w:r>
      <w:r>
        <w:rPr>
          <w:rFonts w:hint="eastAsia" w:ascii="黑体" w:hAnsi="黑体" w:eastAsia="黑体" w:cs="黑体"/>
          <w:b/>
          <w:bCs/>
          <w:spacing w:val="-20"/>
          <w:sz w:val="44"/>
          <w:szCs w:val="44"/>
          <w:lang w:val="en-US" w:eastAsia="zh-CN"/>
        </w:rPr>
        <w:t>01</w:t>
      </w:r>
      <w:r>
        <w:rPr>
          <w:rFonts w:ascii="黑体" w:hAnsi="黑体" w:eastAsia="黑体" w:cs="黑体"/>
          <w:b/>
          <w:bCs/>
          <w:spacing w:val="-20"/>
          <w:sz w:val="44"/>
          <w:szCs w:val="44"/>
        </w:rPr>
        <w:t>日</w:t>
      </w:r>
    </w:p>
    <w:p>
      <w:pPr>
        <w:pStyle w:val="3"/>
        <w:spacing w:line="280" w:lineRule="auto"/>
      </w:pPr>
    </w:p>
    <w:p>
      <w:pPr>
        <w:pStyle w:val="3"/>
        <w:spacing w:line="281" w:lineRule="auto"/>
      </w:pPr>
    </w:p>
    <w:p>
      <w:pPr>
        <w:spacing w:line="780" w:lineRule="exact"/>
        <w:ind w:firstLine="3133"/>
      </w:pPr>
    </w:p>
    <w:p>
      <w:pPr>
        <w:spacing w:before="40" w:line="870" w:lineRule="exact"/>
        <w:ind w:firstLine="6823"/>
      </w:pPr>
    </w:p>
    <w:p>
      <w:pPr>
        <w:spacing w:before="60" w:line="610" w:lineRule="exact"/>
        <w:ind w:firstLine="6103"/>
      </w:pPr>
    </w:p>
    <w:p>
      <w:pPr>
        <w:spacing w:line="610" w:lineRule="exact"/>
        <w:sectPr>
          <w:pgSz w:w="11910" w:h="16840"/>
          <w:pgMar w:top="1431" w:right="1350" w:bottom="0" w:left="1786" w:header="0" w:footer="0" w:gutter="0"/>
          <w:cols w:space="720" w:num="1"/>
        </w:sectPr>
      </w:pPr>
    </w:p>
    <w:p>
      <w:pPr>
        <w:pStyle w:val="3"/>
        <w:spacing w:line="371" w:lineRule="auto"/>
      </w:pPr>
    </w:p>
    <w:p>
      <w:pPr>
        <w:spacing w:before="143" w:line="222" w:lineRule="auto"/>
        <w:ind w:left="3101"/>
        <w:rPr>
          <w:rFonts w:ascii="黑体" w:hAnsi="黑体" w:eastAsia="黑体" w:cs="黑体"/>
          <w:sz w:val="44"/>
          <w:szCs w:val="44"/>
        </w:rPr>
      </w:pPr>
      <w:r>
        <w:rPr>
          <w:rFonts w:ascii="黑体" w:hAnsi="黑体" w:eastAsia="黑体" w:cs="黑体"/>
          <w:b/>
          <w:bCs/>
          <w:spacing w:val="-41"/>
          <w:sz w:val="44"/>
          <w:szCs w:val="44"/>
        </w:rPr>
        <w:t>目录</w:t>
      </w:r>
    </w:p>
    <w:p>
      <w:pPr>
        <w:pStyle w:val="3"/>
        <w:spacing w:line="280" w:lineRule="auto"/>
      </w:pPr>
    </w:p>
    <w:p>
      <w:pPr>
        <w:pStyle w:val="3"/>
        <w:spacing w:line="281" w:lineRule="auto"/>
      </w:pPr>
    </w:p>
    <w:p>
      <w:pPr>
        <w:pStyle w:val="3"/>
        <w:spacing w:line="281" w:lineRule="auto"/>
        <w:rPr>
          <w:b w:val="0"/>
          <w:bCs w:val="0"/>
          <w:sz w:val="32"/>
          <w:szCs w:val="32"/>
        </w:rPr>
      </w:pPr>
    </w:p>
    <w:p>
      <w:pPr>
        <w:spacing w:before="101" w:line="222" w:lineRule="auto"/>
        <w:outlineLvl w:val="0"/>
        <w:rPr>
          <w:rFonts w:ascii="黑体" w:hAnsi="黑体" w:eastAsia="黑体" w:cs="黑体"/>
          <w:b w:val="0"/>
          <w:bCs w:val="0"/>
          <w:sz w:val="32"/>
          <w:szCs w:val="32"/>
        </w:rPr>
      </w:pPr>
      <w:r>
        <w:rPr>
          <w:rFonts w:ascii="黑体" w:hAnsi="黑体" w:eastAsia="黑体" w:cs="黑体"/>
          <w:b w:val="0"/>
          <w:bCs w:val="0"/>
          <w:spacing w:val="-7"/>
          <w:sz w:val="32"/>
          <w:szCs w:val="32"/>
        </w:rPr>
        <w:t>一、基本职能及主要工作</w:t>
      </w:r>
    </w:p>
    <w:p>
      <w:pPr>
        <w:spacing w:before="251" w:line="219" w:lineRule="auto"/>
        <w:ind w:left="155"/>
        <w:rPr>
          <w:rFonts w:hint="eastAsia" w:ascii="楷体_GB2312" w:hAnsi="楷体_GB2312" w:eastAsia="楷体_GB2312" w:cs="楷体_GB2312"/>
          <w:b/>
          <w:bCs/>
          <w:sz w:val="32"/>
          <w:szCs w:val="32"/>
        </w:rPr>
      </w:pPr>
      <w:r>
        <w:rPr>
          <w:rFonts w:hint="eastAsia" w:ascii="楷体_GB2312" w:hAnsi="楷体_GB2312" w:eastAsia="楷体_GB2312" w:cs="楷体_GB2312"/>
          <w:b/>
          <w:bCs/>
          <w:spacing w:val="23"/>
          <w:sz w:val="32"/>
          <w:szCs w:val="32"/>
        </w:rPr>
        <w:t>(一)部门职能简介</w:t>
      </w:r>
    </w:p>
    <w:p>
      <w:pPr>
        <w:spacing w:before="251" w:line="219" w:lineRule="auto"/>
        <w:ind w:left="155"/>
        <w:rPr>
          <w:rFonts w:hint="eastAsia" w:ascii="楷体_GB2312" w:hAnsi="楷体_GB2312" w:eastAsia="楷体_GB2312" w:cs="楷体_GB2312"/>
          <w:b/>
          <w:bCs/>
          <w:spacing w:val="23"/>
          <w:sz w:val="32"/>
          <w:szCs w:val="32"/>
        </w:rPr>
      </w:pPr>
      <w:r>
        <w:rPr>
          <w:rFonts w:hint="eastAsia" w:ascii="楷体_GB2312" w:hAnsi="楷体_GB2312" w:eastAsia="楷体_GB2312" w:cs="楷体_GB2312"/>
          <w:b/>
          <w:bCs/>
          <w:spacing w:val="23"/>
          <w:sz w:val="32"/>
          <w:szCs w:val="32"/>
        </w:rPr>
        <w:t>(二)</w:t>
      </w:r>
      <w:r>
        <w:rPr>
          <w:rFonts w:hint="eastAsia" w:ascii="楷体_GB2312" w:hAnsi="楷体_GB2312" w:eastAsia="楷体_GB2312" w:cs="楷体_GB2312"/>
          <w:b/>
          <w:bCs/>
          <w:spacing w:val="23"/>
          <w:sz w:val="32"/>
          <w:szCs w:val="32"/>
          <w:lang w:eastAsia="zh-CN"/>
        </w:rPr>
        <w:t>2024年</w:t>
      </w:r>
      <w:r>
        <w:rPr>
          <w:rFonts w:hint="eastAsia" w:ascii="楷体_GB2312" w:hAnsi="楷体_GB2312" w:eastAsia="楷体_GB2312" w:cs="楷体_GB2312"/>
          <w:b/>
          <w:bCs/>
          <w:spacing w:val="23"/>
          <w:sz w:val="32"/>
          <w:szCs w:val="32"/>
        </w:rPr>
        <w:t>重点工作</w:t>
      </w:r>
    </w:p>
    <w:p>
      <w:pPr>
        <w:spacing w:before="101" w:line="222" w:lineRule="auto"/>
        <w:outlineLvl w:val="0"/>
        <w:rPr>
          <w:rFonts w:ascii="黑体" w:hAnsi="黑体" w:eastAsia="黑体" w:cs="黑体"/>
          <w:b w:val="0"/>
          <w:bCs w:val="0"/>
          <w:spacing w:val="-7"/>
          <w:sz w:val="32"/>
          <w:szCs w:val="32"/>
        </w:rPr>
      </w:pPr>
      <w:r>
        <w:rPr>
          <w:rFonts w:ascii="黑体" w:hAnsi="黑体" w:eastAsia="黑体" w:cs="黑体"/>
          <w:b w:val="0"/>
          <w:bCs w:val="0"/>
          <w:spacing w:val="-7"/>
          <w:sz w:val="32"/>
          <w:szCs w:val="32"/>
        </w:rPr>
        <w:t>二、部门预算单位构成</w:t>
      </w:r>
    </w:p>
    <w:p>
      <w:pPr>
        <w:spacing w:before="101" w:line="222" w:lineRule="auto"/>
        <w:outlineLvl w:val="0"/>
        <w:rPr>
          <w:rFonts w:ascii="黑体" w:hAnsi="黑体" w:eastAsia="黑体" w:cs="黑体"/>
          <w:b w:val="0"/>
          <w:bCs w:val="0"/>
          <w:spacing w:val="-7"/>
          <w:sz w:val="32"/>
          <w:szCs w:val="32"/>
        </w:rPr>
      </w:pPr>
      <w:r>
        <w:rPr>
          <w:rFonts w:ascii="黑体" w:hAnsi="黑体" w:eastAsia="黑体" w:cs="黑体"/>
          <w:b w:val="0"/>
          <w:bCs w:val="0"/>
          <w:spacing w:val="-7"/>
          <w:sz w:val="32"/>
          <w:szCs w:val="32"/>
        </w:rPr>
        <w:t>三、收支预算情况说明</w:t>
      </w:r>
    </w:p>
    <w:p>
      <w:pPr>
        <w:spacing w:before="251" w:line="219" w:lineRule="auto"/>
        <w:ind w:left="155"/>
        <w:rPr>
          <w:rFonts w:hint="eastAsia" w:ascii="楷体_GB2312" w:hAnsi="楷体_GB2312" w:eastAsia="楷体_GB2312" w:cs="楷体_GB2312"/>
          <w:b/>
          <w:bCs/>
          <w:spacing w:val="23"/>
          <w:sz w:val="32"/>
          <w:szCs w:val="32"/>
        </w:rPr>
      </w:pPr>
      <w:r>
        <w:rPr>
          <w:rFonts w:hint="eastAsia" w:ascii="楷体_GB2312" w:hAnsi="楷体_GB2312" w:eastAsia="楷体_GB2312" w:cs="楷体_GB2312"/>
          <w:b/>
          <w:bCs/>
          <w:spacing w:val="23"/>
          <w:sz w:val="32"/>
          <w:szCs w:val="32"/>
        </w:rPr>
        <w:t>(一)收入预算情况</w:t>
      </w:r>
    </w:p>
    <w:p>
      <w:pPr>
        <w:spacing w:before="251" w:line="219" w:lineRule="auto"/>
        <w:ind w:left="155"/>
        <w:rPr>
          <w:rFonts w:hint="eastAsia" w:ascii="楷体_GB2312" w:hAnsi="楷体_GB2312" w:eastAsia="楷体_GB2312" w:cs="楷体_GB2312"/>
          <w:b/>
          <w:bCs/>
          <w:spacing w:val="23"/>
          <w:sz w:val="32"/>
          <w:szCs w:val="32"/>
        </w:rPr>
      </w:pPr>
      <w:r>
        <w:rPr>
          <w:rFonts w:hint="eastAsia" w:ascii="楷体_GB2312" w:hAnsi="楷体_GB2312" w:eastAsia="楷体_GB2312" w:cs="楷体_GB2312"/>
          <w:b/>
          <w:bCs/>
          <w:spacing w:val="23"/>
          <w:sz w:val="32"/>
          <w:szCs w:val="32"/>
        </w:rPr>
        <w:t>(二)支出预算情况</w:t>
      </w:r>
    </w:p>
    <w:p>
      <w:pPr>
        <w:spacing w:before="101" w:line="222" w:lineRule="auto"/>
        <w:outlineLvl w:val="0"/>
        <w:rPr>
          <w:rFonts w:ascii="黑体" w:hAnsi="黑体" w:eastAsia="黑体" w:cs="黑体"/>
          <w:b w:val="0"/>
          <w:bCs w:val="0"/>
          <w:spacing w:val="-7"/>
          <w:sz w:val="32"/>
          <w:szCs w:val="32"/>
        </w:rPr>
      </w:pPr>
      <w:r>
        <w:rPr>
          <w:rFonts w:ascii="黑体" w:hAnsi="黑体" w:eastAsia="黑体" w:cs="黑体"/>
          <w:b w:val="0"/>
          <w:bCs w:val="0"/>
          <w:spacing w:val="-7"/>
          <w:sz w:val="32"/>
          <w:szCs w:val="32"/>
        </w:rPr>
        <w:t>四、财政拨款收支预算情况说明</w:t>
      </w:r>
    </w:p>
    <w:p>
      <w:pPr>
        <w:spacing w:before="101" w:line="222" w:lineRule="auto"/>
        <w:outlineLvl w:val="0"/>
        <w:rPr>
          <w:rFonts w:ascii="黑体" w:hAnsi="黑体" w:eastAsia="黑体" w:cs="黑体"/>
          <w:b w:val="0"/>
          <w:bCs w:val="0"/>
          <w:spacing w:val="-7"/>
          <w:sz w:val="32"/>
          <w:szCs w:val="32"/>
        </w:rPr>
      </w:pPr>
      <w:r>
        <w:rPr>
          <w:rFonts w:ascii="黑体" w:hAnsi="黑体" w:eastAsia="黑体" w:cs="黑体"/>
          <w:b w:val="0"/>
          <w:bCs w:val="0"/>
          <w:spacing w:val="-7"/>
          <w:sz w:val="32"/>
          <w:szCs w:val="32"/>
        </w:rPr>
        <w:t>五、一般公共预算当年拨款情况说明</w:t>
      </w:r>
    </w:p>
    <w:p>
      <w:pPr>
        <w:spacing w:before="251" w:line="219" w:lineRule="auto"/>
        <w:ind w:left="155"/>
        <w:rPr>
          <w:rFonts w:hint="eastAsia" w:ascii="楷体_GB2312" w:hAnsi="楷体_GB2312" w:eastAsia="楷体_GB2312" w:cs="楷体_GB2312"/>
          <w:b/>
          <w:bCs/>
          <w:spacing w:val="23"/>
          <w:sz w:val="32"/>
          <w:szCs w:val="32"/>
        </w:rPr>
      </w:pPr>
      <w:r>
        <w:rPr>
          <w:rFonts w:hint="eastAsia" w:ascii="楷体_GB2312" w:hAnsi="楷体_GB2312" w:eastAsia="楷体_GB2312" w:cs="楷体_GB2312"/>
          <w:b/>
          <w:bCs/>
          <w:spacing w:val="23"/>
          <w:sz w:val="32"/>
          <w:szCs w:val="32"/>
        </w:rPr>
        <w:t>(一)一般公共预算当年拨款规模变化情况</w:t>
      </w:r>
    </w:p>
    <w:p>
      <w:pPr>
        <w:spacing w:before="251" w:line="219" w:lineRule="auto"/>
        <w:ind w:left="155"/>
        <w:rPr>
          <w:rFonts w:hint="eastAsia" w:ascii="楷体_GB2312" w:hAnsi="楷体_GB2312" w:eastAsia="楷体_GB2312" w:cs="楷体_GB2312"/>
          <w:b/>
          <w:bCs/>
          <w:spacing w:val="23"/>
          <w:sz w:val="32"/>
          <w:szCs w:val="32"/>
        </w:rPr>
      </w:pPr>
      <w:r>
        <w:rPr>
          <w:rFonts w:hint="eastAsia" w:ascii="楷体_GB2312" w:hAnsi="楷体_GB2312" w:eastAsia="楷体_GB2312" w:cs="楷体_GB2312"/>
          <w:b/>
          <w:bCs/>
          <w:spacing w:val="23"/>
          <w:sz w:val="32"/>
          <w:szCs w:val="32"/>
        </w:rPr>
        <w:t>(二)一般公共预算当年拨款结构情况</w:t>
      </w:r>
    </w:p>
    <w:p>
      <w:pPr>
        <w:spacing w:before="251" w:line="219" w:lineRule="auto"/>
        <w:ind w:left="155"/>
        <w:rPr>
          <w:rFonts w:hint="eastAsia" w:ascii="楷体_GB2312" w:hAnsi="楷体_GB2312" w:eastAsia="楷体_GB2312" w:cs="楷体_GB2312"/>
          <w:b/>
          <w:bCs/>
          <w:spacing w:val="23"/>
          <w:sz w:val="32"/>
          <w:szCs w:val="32"/>
        </w:rPr>
      </w:pPr>
      <w:r>
        <w:rPr>
          <w:rFonts w:hint="eastAsia" w:ascii="楷体_GB2312" w:hAnsi="楷体_GB2312" w:eastAsia="楷体_GB2312" w:cs="楷体_GB2312"/>
          <w:b/>
          <w:bCs/>
          <w:spacing w:val="23"/>
          <w:sz w:val="32"/>
          <w:szCs w:val="32"/>
        </w:rPr>
        <w:t>(三)一般公共预算当年拨款具体使用情况</w:t>
      </w:r>
    </w:p>
    <w:p>
      <w:pPr>
        <w:spacing w:before="101" w:line="222" w:lineRule="auto"/>
        <w:outlineLvl w:val="0"/>
        <w:rPr>
          <w:rFonts w:ascii="黑体" w:hAnsi="黑体" w:eastAsia="黑体" w:cs="黑体"/>
          <w:b w:val="0"/>
          <w:bCs w:val="0"/>
          <w:spacing w:val="-7"/>
          <w:sz w:val="32"/>
          <w:szCs w:val="32"/>
        </w:rPr>
      </w:pPr>
      <w:r>
        <w:rPr>
          <w:rFonts w:ascii="黑体" w:hAnsi="黑体" w:eastAsia="黑体" w:cs="黑体"/>
          <w:b w:val="0"/>
          <w:bCs w:val="0"/>
          <w:spacing w:val="-7"/>
          <w:sz w:val="32"/>
          <w:szCs w:val="32"/>
        </w:rPr>
        <w:t>六、一般公共预算基本支出情况说明</w:t>
      </w:r>
    </w:p>
    <w:p>
      <w:pPr>
        <w:spacing w:before="101" w:line="222" w:lineRule="auto"/>
        <w:outlineLvl w:val="0"/>
        <w:rPr>
          <w:rFonts w:ascii="黑体" w:hAnsi="黑体" w:eastAsia="黑体" w:cs="黑体"/>
          <w:b w:val="0"/>
          <w:bCs w:val="0"/>
          <w:spacing w:val="-7"/>
          <w:sz w:val="32"/>
          <w:szCs w:val="32"/>
        </w:rPr>
      </w:pPr>
      <w:r>
        <w:rPr>
          <w:rFonts w:ascii="黑体" w:hAnsi="黑体" w:eastAsia="黑体" w:cs="黑体"/>
          <w:b w:val="0"/>
          <w:bCs w:val="0"/>
          <w:spacing w:val="-7"/>
          <w:sz w:val="32"/>
          <w:szCs w:val="32"/>
        </w:rPr>
        <w:t>七、“三公”经费财政拨款预算安排情况说明</w:t>
      </w:r>
    </w:p>
    <w:p>
      <w:pPr>
        <w:spacing w:before="101" w:line="222" w:lineRule="auto"/>
        <w:outlineLvl w:val="0"/>
        <w:rPr>
          <w:rFonts w:ascii="黑体" w:hAnsi="黑体" w:eastAsia="黑体" w:cs="黑体"/>
          <w:b w:val="0"/>
          <w:bCs w:val="0"/>
          <w:spacing w:val="-7"/>
          <w:sz w:val="32"/>
          <w:szCs w:val="32"/>
        </w:rPr>
      </w:pPr>
      <w:r>
        <w:rPr>
          <w:rFonts w:ascii="黑体" w:hAnsi="黑体" w:eastAsia="黑体" w:cs="黑体"/>
          <w:b w:val="0"/>
          <w:bCs w:val="0"/>
          <w:spacing w:val="-7"/>
          <w:sz w:val="32"/>
          <w:szCs w:val="32"/>
        </w:rPr>
        <w:t>八、政府性基金预算支出情况说明</w:t>
      </w:r>
    </w:p>
    <w:p>
      <w:pPr>
        <w:spacing w:before="101" w:line="222" w:lineRule="auto"/>
        <w:outlineLvl w:val="0"/>
        <w:rPr>
          <w:rFonts w:ascii="黑体" w:hAnsi="黑体" w:eastAsia="黑体" w:cs="黑体"/>
          <w:b w:val="0"/>
          <w:bCs w:val="0"/>
          <w:spacing w:val="-7"/>
          <w:sz w:val="32"/>
          <w:szCs w:val="32"/>
        </w:rPr>
      </w:pPr>
      <w:r>
        <w:rPr>
          <w:rFonts w:ascii="黑体" w:hAnsi="黑体" w:eastAsia="黑体" w:cs="黑体"/>
          <w:b w:val="0"/>
          <w:bCs w:val="0"/>
          <w:spacing w:val="-7"/>
          <w:sz w:val="32"/>
          <w:szCs w:val="32"/>
        </w:rPr>
        <w:t>九、其他重要事项的情况说明</w:t>
      </w:r>
    </w:p>
    <w:p>
      <w:pPr>
        <w:spacing w:before="101" w:line="222" w:lineRule="auto"/>
        <w:outlineLvl w:val="0"/>
        <w:rPr>
          <w:rFonts w:ascii="黑体" w:hAnsi="黑体" w:eastAsia="黑体" w:cs="黑体"/>
          <w:b w:val="0"/>
          <w:bCs w:val="0"/>
          <w:spacing w:val="-7"/>
          <w:sz w:val="32"/>
          <w:szCs w:val="32"/>
        </w:rPr>
      </w:pPr>
      <w:r>
        <w:rPr>
          <w:rFonts w:ascii="黑体" w:hAnsi="黑体" w:eastAsia="黑体" w:cs="黑体"/>
          <w:b w:val="0"/>
          <w:bCs w:val="0"/>
          <w:spacing w:val="-7"/>
          <w:sz w:val="32"/>
          <w:szCs w:val="32"/>
        </w:rPr>
        <w:t>十、名称解释</w:t>
      </w:r>
    </w:p>
    <w:p>
      <w:pPr>
        <w:spacing w:before="101" w:line="222" w:lineRule="auto"/>
        <w:outlineLvl w:val="0"/>
        <w:rPr>
          <w:rFonts w:ascii="黑体" w:hAnsi="黑体" w:eastAsia="黑体" w:cs="黑体"/>
          <w:b w:val="0"/>
          <w:bCs w:val="0"/>
          <w:spacing w:val="-7"/>
          <w:sz w:val="32"/>
          <w:szCs w:val="32"/>
        </w:rPr>
        <w:sectPr>
          <w:pgSz w:w="12250" w:h="17080"/>
          <w:pgMar w:top="1451" w:right="1837" w:bottom="0" w:left="1794"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一、基本职能及主要工作</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(一)政法委职能简介</w:t>
      </w:r>
    </w:p>
    <w:p>
      <w:pPr>
        <w:keepNext w:val="0"/>
        <w:keepLines w:val="0"/>
        <w:pageBreakBefore w:val="0"/>
        <w:widowControl/>
        <w:kinsoku w:val="0"/>
        <w:wordWrap w:val="0"/>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政法委员会是中共壤塘县委领导政法工作的职能部门，县社会治安综合治理工作的常设议事机构。县委政法委员会机关与县社会治安综合治理委员会办公室合署办公。一是组织、指导、协调全县维护社会稳定的工作和组织、指导、协调全县处理“法轮功”邪教组织问题工作。二是制定政法部门的建设规划，研究部门领导班子建设和政法队伍以及纪律作风整顿等工作职能。三负责机关内外工作联系与综合协调、协助委领导组织政法系统及委机关重大活动，负责机关办公事务，负责党的政法工作方针、政策和各项工作部</w:t>
      </w:r>
    </w:p>
    <w:p>
      <w:pPr>
        <w:keepNext w:val="0"/>
        <w:keepLines w:val="0"/>
        <w:pageBreakBefore w:val="0"/>
        <w:widowControl/>
        <w:kinsoku w:val="0"/>
        <w:wordWrap w:val="0"/>
        <w:overflowPunct/>
        <w:topLinePunct w:val="0"/>
        <w:autoSpaceDE w:val="0"/>
        <w:autoSpaceDN w:val="0"/>
        <w:bidi w:val="0"/>
        <w:adjustRightInd w:val="0"/>
        <w:snapToGrid w:val="0"/>
        <w:spacing w:line="576"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署的贯彻落实，依法监督政法各部门的政法活动定职能</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(二)2024年重点工作</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是抓实微网实格工作。</w:t>
      </w:r>
      <w:r>
        <w:rPr>
          <w:rFonts w:hint="eastAsia" w:ascii="仿宋_GB2312" w:hAnsi="仿宋_GB2312" w:eastAsia="仿宋_GB2312" w:cs="仿宋_GB2312"/>
          <w:sz w:val="32"/>
          <w:szCs w:val="32"/>
        </w:rPr>
        <w:t>高位统筹推进。按照城镇、农村、寺庙、专属四种类型，精准划分网格123个、微网格527个，选优配齐网格力量2979人（其中网格长175人、微网格长527人、微网格管理员527人、网格员1750人），建立网格党支部55个，网格党小组409个实现了乡镇与乡镇、村与村、楼栋与楼栋之间微网格无缝衔接，确保应急状态下网格力量在3小时内基本完成入户排查和宣传组织动员。</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是构建网格化服务管理体系。</w:t>
      </w:r>
      <w:r>
        <w:rPr>
          <w:rFonts w:hint="eastAsia" w:ascii="仿宋_GB2312" w:hAnsi="仿宋_GB2312" w:eastAsia="仿宋_GB2312" w:cs="仿宋_GB2312"/>
          <w:sz w:val="32"/>
          <w:szCs w:val="32"/>
        </w:rPr>
        <w:t>建立“网格长+微网格长+网格员+网格管理员”服务管理体系，配备网格长175人、微网格长527人、网格管理员527人、网格员1750人，建立网格党支部55个，网格党小组409个，开展全覆盖业务培训4次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二、部门预算单位构成</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属一级预算单位，无下属二级预算单位，其中：行政单位1个；参照公务员法管理的事业单位</w:t>
      </w:r>
      <w:bookmarkStart w:id="0" w:name="_GoBack"/>
      <w:bookmarkEnd w:id="0"/>
      <w:r>
        <w:rPr>
          <w:rFonts w:hint="eastAsia" w:ascii="仿宋_GB2312" w:hAnsi="仿宋_GB2312" w:eastAsia="仿宋_GB2312" w:cs="仿宋_GB2312"/>
          <w:sz w:val="32"/>
          <w:szCs w:val="32"/>
        </w:rPr>
        <w:t>0个；其他事业单位0个。</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三、收支预算情况说明</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所有收入和支出均纳入部门预算管理。收入包括：一般公共预算拨款收入508.52万元，事业收入0万元，其他收入0万元，上年结转0万元；支出包括：一般公共服务支出353.67万元，教育支出0万元，文化体育与传媒支出0万元，社会保障和就业支82.69万元，卫生健康支出30.61万元，住房保障支出41.54万元。2024年收支总预算508.52万元，比2023年收支预算总数减少71.05万元，主要原因：单位人员工资福利政策变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收入预算情况</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2024年收入预算508.52万元，其中：上年结转0万元；一般公共预算拨款收入508.52万元，占100%;事业收入0万元；其他收入0万元。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(二)支出预算情况</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2024年支出预算508.52万元，其中：基本支出465.32万元，占80.29%，项目支出43.2万元，占19.71%。</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四、财政拨款收支预算情况说明</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2024年财政拨款收支总预算508.52万元，比2023年财政拨款收支总预算减少71.05万元，主要原因：单位人员工资福利政策变动。</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收入包括：本年一般公共预算拨款收入508.52万元，上年结转一般公共预算收入0万元，上年结转财政拨款资金0万元。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支出包括：一般公共服务支出353.67万元，教育支出0万元，文化体育与传媒支出0万元，社会保障和就业支出82.69万元，卫生健康支出30.61万元，住房保障支出41.54万元。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五、一般公共预算当年拨款情况说明</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(一)一般公共预算当年拨款规模变化情况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2024年一般公共预算当年拨款508.52万元，比2023年预算数减少71.05万元，主要原因：单位人员工资福利政策变动。</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(二)一般公共预算当年拨款结构情况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一般公共服务支出404.95万元，占69.55%;教育支出0万元，占0%;文化体育与传媒支出0万元，占0%;社会保障和就业支出82.69万元，占16.26%;卫生健康支出30.61万元，占6.02%;住房保障支出41.54万元，占8.17%。</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(三)一般公共预算当年拨款具体使用情况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类行政运行2024年预算数为149.78万元，主要用于：平时办公日常开支；事业运行2024年预算数为160.69万元，主要用于事业人员保险支出；机关事业单位基本养老保险缴费支出2024年预算数为55.13万元，主要用于支付职工养老保险；机关事业单位职业年金缴费支出2023年预算数为27.56万元，主要支付职工职业年金；行政单位医疗2024年预算数为14.95万元，主要用于支付职工医疗保险；事业单位医疗2024年预算数为12.88万元，主要支付事业人员医疗保险；公务员医疗补助2024年预算数为3.68万元，主要用于支付公务员医疗保险；住房公积金2024年预算数41.54万元，主要支付职工单位部分公积金。</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六、一般公共预算基本支出情况说明</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一般公共预算基本支出465.32万元，其中：人员经费405.82万元，主要包括：基本工资、津贴补贴、奖金、其他社会保障缴费、绩效工资、机关事业单位基本养老保险缴费、职业年金缴费、其他工资福利支出、离休费、奖励金、住房公积金、其他对个人和家庭的补助支出。公用经费59.5万元，主要包括：办公费、印刷费、手续费、水费、电费、邮电费、差旅费、维修(护)费、租赁费、会议费、培训费、劳务费、工会经费、福利费、其他交通工具运行维护费、其他商品和服务支出。</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七、“三公”经费财政拨款预算安排情况说明</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2024年“三公”经费财政拨款预算数12万元，其中：因公出国(境)经费0万元，公务接待费0万元，公务用车购置及运行维护费12万元。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(一)2024年因公出国(境)经费0万元。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(二)2024年公务接待费0万元。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八、政府性基金预算支出情况说明</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2024年政府性基金预算拨款安排的支出0万元。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九、其他重要事项的情况说明</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(一)机关运行经费</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2024年机关运行经费财政拨款预算为59.5万元，比2023年预算减少12.59万元，下降17.46%。</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(二)政府采购情况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2024年安排政府采购预算0万元。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(三)国有资产占有使用情况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(四)绩效目标设置情况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2024年通用项目和专用项目均按要求实行绩效目标管理，涉及一般公共预算当年拨款508.52万元。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十、名词解释</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(一)财政拨款收入：</w:t>
      </w:r>
      <w:r>
        <w:rPr>
          <w:rFonts w:hint="eastAsia" w:ascii="仿宋_GB2312" w:hAnsi="仿宋_GB2312" w:eastAsia="仿宋_GB2312" w:cs="仿宋_GB2312"/>
          <w:sz w:val="32"/>
          <w:szCs w:val="32"/>
        </w:rPr>
        <w:t>指由财政拨款形成的部门收入。按现行管理制度，部门预算中反映的财政拨款仅包括一般公</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共预算拨款和政府性基金预算拨款。</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(二)事业收入：</w:t>
      </w:r>
      <w:r>
        <w:rPr>
          <w:rFonts w:hint="eastAsia" w:ascii="仿宋_GB2312" w:hAnsi="仿宋_GB2312" w:eastAsia="仿宋_GB2312" w:cs="仿宋_GB2312"/>
          <w:sz w:val="32"/>
          <w:szCs w:val="32"/>
        </w:rPr>
        <w:t>指所属事业单位开展专业业务活动及</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辅助活动所取得的收入。</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(三)事业单位经营收入：</w:t>
      </w:r>
      <w:r>
        <w:rPr>
          <w:rFonts w:hint="eastAsia" w:ascii="仿宋_GB2312" w:hAnsi="仿宋_GB2312" w:eastAsia="仿宋_GB2312" w:cs="仿宋_GB2312"/>
          <w:sz w:val="32"/>
          <w:szCs w:val="32"/>
        </w:rPr>
        <w:t>指所属事业单位在专业业务活动及其辅助活动之外开展非独立核算经营活动取得的收入。</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(四)其他收入：</w:t>
      </w:r>
      <w:r>
        <w:rPr>
          <w:rFonts w:hint="eastAsia" w:ascii="仿宋_GB2312" w:hAnsi="仿宋_GB2312" w:eastAsia="仿宋_GB2312" w:cs="仿宋_GB2312"/>
          <w:sz w:val="32"/>
          <w:szCs w:val="32"/>
        </w:rPr>
        <w:t>指除上述“财政拨款收入”、“事业收入”、“事业单位经营收入”等以外的收入，主要是所属行政事业单位按规定动用的售房收入、存款利息收入等。</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(五)用事业基金弥补收支差额：</w:t>
      </w:r>
      <w:r>
        <w:rPr>
          <w:rFonts w:hint="eastAsia" w:ascii="仿宋_GB2312" w:hAnsi="仿宋_GB2312" w:eastAsia="仿宋_GB2312" w:cs="仿宋_GB2312"/>
          <w:sz w:val="32"/>
          <w:szCs w:val="32"/>
        </w:rPr>
        <w:t>指所属事业单位在预计用当年的“财政拨款收入”、“事业收入”、“事业单位经营收入”、“其他收入”不足以安排当年支出的情况下，</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使用以前年度积累的事业基金弥补本年度收支缺口的资金。</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(六)上年结转：</w:t>
      </w:r>
      <w:r>
        <w:rPr>
          <w:rFonts w:hint="eastAsia" w:ascii="仿宋_GB2312" w:hAnsi="仿宋_GB2312" w:eastAsia="仿宋_GB2312" w:cs="仿宋_GB2312"/>
          <w:sz w:val="32"/>
          <w:szCs w:val="32"/>
        </w:rPr>
        <w:t>指所属行政事业单位以前年度尚未完成、结转至本年按原规定用途继续使用的资金和以前年度已完成项目剩余资金经批准用于新用途使用的资金。</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WZmODA1MTFmZWY3MmNiMWM1MjFiYTI2ZjNlOTcifQ=="/>
  </w:docVars>
  <w:rsids>
    <w:rsidRoot w:val="4B875B13"/>
    <w:rsid w:val="00366BC8"/>
    <w:rsid w:val="03D54880"/>
    <w:rsid w:val="09BE7F3C"/>
    <w:rsid w:val="0D9D7016"/>
    <w:rsid w:val="29700F5B"/>
    <w:rsid w:val="4B875B13"/>
    <w:rsid w:val="565624A5"/>
    <w:rsid w:val="5C541F4D"/>
    <w:rsid w:val="7CD62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snapToGrid w:val="0"/>
      <w:jc w:val="left"/>
    </w:pPr>
    <w:rPr>
      <w:rFonts w:eastAsia="宋体"/>
      <w:sz w:val="18"/>
      <w:szCs w:val="18"/>
    </w:rPr>
  </w:style>
  <w:style w:type="paragraph" w:styleId="3">
    <w:name w:val="Body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2026-07-07T02:44:00Z</dcterms:created>
  <dc:creator>Administrator</dc:creator>
  <cp:lastModifiedBy>Administrator</cp:lastModifiedBy>
  <cp:lastPrinted>2026-07-07T03:22:00Z</cp:lastPrinted>
  <dcterms:modified xsi:type="dcterms:W3CDTF">2026-07-07T09:16:34Z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6FB268576E29466AA74F3FA61216438C_11</vt:lpwstr>
  </property>
</Properties>
</file>