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360" w:lineRule="auto"/>
        <w:jc w:val="center"/>
        <w:textAlignment w:val="auto"/>
        <w:outlineLvl w:val="0"/>
        <w:rPr>
          <w:rFonts w:ascii="方正小标宋简体" w:hAnsi="宋体" w:eastAsia="方正小标宋简体"/>
          <w:color w:val="000000"/>
          <w:sz w:val="72"/>
          <w:szCs w:val="72"/>
        </w:rPr>
      </w:pP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outlineLvl w:val="0"/>
        <w:rPr>
          <w:rFonts w:ascii="黑体" w:hAnsi="黑体" w:eastAsia="黑体"/>
          <w:sz w:val="72"/>
          <w:szCs w:val="72"/>
        </w:rPr>
      </w:pPr>
      <w:bookmarkStart w:id="0" w:name="_Toc15396597"/>
      <w:bookmarkStart w:id="1" w:name="_Toc5471"/>
      <w:bookmarkStart w:id="2" w:name="_Toc15378441"/>
      <w:bookmarkStart w:id="3" w:name="_Toc15396475"/>
      <w:bookmarkStart w:id="4" w:name="_Toc15377193"/>
      <w:bookmarkStart w:id="5" w:name="_Toc15377425"/>
      <w:r>
        <w:rPr>
          <w:rFonts w:ascii="黑体" w:hAnsi="黑体" w:eastAsia="黑体"/>
          <w:sz w:val="72"/>
          <w:szCs w:val="72"/>
        </w:rPr>
        <w:t>202</w:t>
      </w:r>
      <w:r>
        <w:rPr>
          <w:rFonts w:hint="eastAsia" w:ascii="黑体" w:hAnsi="黑体" w:eastAsia="黑体"/>
          <w:sz w:val="72"/>
          <w:szCs w:val="72"/>
        </w:rPr>
        <w:t>1年度</w:t>
      </w:r>
      <w:bookmarkEnd w:id="0"/>
      <w:bookmarkEnd w:id="1"/>
      <w:bookmarkEnd w:id="2"/>
      <w:bookmarkEnd w:id="3"/>
      <w:bookmarkEnd w:id="4"/>
      <w:bookmarkEnd w:id="5"/>
    </w:p>
    <w:p>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outlineLvl w:val="0"/>
        <w:rPr>
          <w:rFonts w:ascii="方正小标宋简体" w:hAnsi="宋体" w:eastAsia="方正小标宋简体"/>
          <w:color w:val="000000"/>
          <w:sz w:val="72"/>
          <w:szCs w:val="72"/>
        </w:rPr>
      </w:pPr>
      <w:bookmarkStart w:id="6" w:name="_Toc29853"/>
      <w:bookmarkStart w:id="7" w:name="_Toc15377194"/>
      <w:bookmarkStart w:id="8" w:name="_Toc15396476"/>
      <w:bookmarkStart w:id="9" w:name="_Toc15377426"/>
      <w:bookmarkStart w:id="10" w:name="_Toc15378442"/>
      <w:bookmarkStart w:id="11" w:name="_Toc15396598"/>
      <w:r>
        <w:rPr>
          <w:rFonts w:hint="eastAsia" w:ascii="方正小标宋简体" w:hAnsi="宋体" w:eastAsia="方正小标宋简体"/>
          <w:color w:val="000000"/>
          <w:sz w:val="72"/>
          <w:szCs w:val="72"/>
        </w:rPr>
        <w:t>四川省阿坝州</w:t>
      </w:r>
      <w:bookmarkEnd w:id="6"/>
    </w:p>
    <w:bookmarkEnd w:id="7"/>
    <w:bookmarkEnd w:id="8"/>
    <w:bookmarkEnd w:id="9"/>
    <w:bookmarkEnd w:id="10"/>
    <w:bookmarkEnd w:id="11"/>
    <w:p>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outlineLvl w:val="0"/>
        <w:rPr>
          <w:rFonts w:ascii="方正小标宋简体" w:hAnsi="宋体" w:eastAsia="方正小标宋简体"/>
          <w:color w:val="000000"/>
          <w:sz w:val="72"/>
          <w:szCs w:val="72"/>
        </w:rPr>
      </w:pPr>
      <w:bookmarkStart w:id="12" w:name="_Toc6751"/>
      <w:r>
        <w:rPr>
          <w:rFonts w:hint="eastAsia" w:ascii="方正小标宋简体" w:hAnsi="宋体" w:eastAsia="方正小标宋简体"/>
          <w:color w:val="000000"/>
          <w:sz w:val="72"/>
          <w:szCs w:val="72"/>
        </w:rPr>
        <w:t>中共壤塘县委政法委员会</w:t>
      </w:r>
      <w:bookmarkEnd w:id="12"/>
    </w:p>
    <w:p>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outlineLvl w:val="0"/>
        <w:rPr>
          <w:rFonts w:ascii="方正小标宋简体" w:hAnsi="宋体" w:eastAsia="方正小标宋简体"/>
          <w:color w:val="000000"/>
          <w:sz w:val="72"/>
          <w:szCs w:val="72"/>
        </w:rPr>
      </w:pPr>
      <w:bookmarkStart w:id="13" w:name="_Toc27480"/>
      <w:r>
        <w:rPr>
          <w:rFonts w:hint="eastAsia" w:ascii="方正小标宋简体" w:hAnsi="宋体" w:eastAsia="方正小标宋简体"/>
          <w:color w:val="000000"/>
          <w:sz w:val="72"/>
          <w:szCs w:val="72"/>
        </w:rPr>
        <w:t>部门决算</w:t>
      </w:r>
      <w:bookmarkEnd w:id="13"/>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8"/>
        <w:tabs>
          <w:tab w:val="right" w:leader="dot" w:pos="8306"/>
        </w:tabs>
      </w:pPr>
      <w:r>
        <w:rPr>
          <w:b w:val="0"/>
          <w:bCs w:val="0"/>
          <w:caps w:val="0"/>
        </w:rPr>
        <w:fldChar w:fldCharType="begin"/>
      </w:r>
      <w:r>
        <w:rPr>
          <w:b w:val="0"/>
          <w:bCs w:val="0"/>
          <w:caps w:val="0"/>
        </w:rPr>
        <w:instrText xml:space="preserve"> TOC \o \u </w:instrText>
      </w:r>
      <w:r>
        <w:rPr>
          <w:b w:val="0"/>
          <w:bCs w:val="0"/>
          <w:caps w:val="0"/>
        </w:rPr>
        <w:fldChar w:fldCharType="separate"/>
      </w:r>
    </w:p>
    <w:p>
      <w:pPr>
        <w:pStyle w:val="8"/>
        <w:tabs>
          <w:tab w:val="right" w:leader="dot" w:pos="8306"/>
        </w:tabs>
        <w:rPr>
          <w:rFonts w:hint="eastAsia" w:eastAsia="宋体"/>
          <w:lang w:eastAsia="zh-CN"/>
        </w:rPr>
      </w:pPr>
      <w:r>
        <w:rPr>
          <w:rFonts w:hint="eastAsia" w:ascii="方正公文小标宋" w:hAnsi="方正公文小标宋" w:eastAsia="方正公文小标宋" w:cs="方正公文小标宋"/>
          <w:szCs w:val="44"/>
        </w:rPr>
        <w:t>第一部分 部门概况</w:t>
      </w:r>
      <w:r>
        <w:tab/>
      </w:r>
      <w:r>
        <w:rPr>
          <w:rFonts w:hint="eastAsia" w:eastAsia="宋体"/>
          <w:lang w:val="en-US" w:eastAsia="zh-CN"/>
        </w:rPr>
        <w:t>4</w:t>
      </w:r>
    </w:p>
    <w:p>
      <w:pPr>
        <w:pStyle w:val="9"/>
        <w:tabs>
          <w:tab w:val="right" w:leader="dot" w:pos="8306"/>
        </w:tabs>
        <w:rPr>
          <w:rFonts w:hint="eastAsia" w:eastAsia="宋体"/>
          <w:lang w:eastAsia="zh-CN"/>
        </w:rPr>
      </w:pPr>
      <w:r>
        <w:rPr>
          <w:rFonts w:hint="eastAsia" w:ascii="黑体" w:hAnsi="黑体" w:eastAsia="黑体" w:cstheme="minorBidi"/>
          <w:szCs w:val="32"/>
        </w:rPr>
        <w:t>一、基本职能及主要工作</w:t>
      </w:r>
      <w:r>
        <w:tab/>
      </w:r>
      <w:r>
        <w:rPr>
          <w:rFonts w:hint="eastAsia" w:eastAsia="宋体"/>
          <w:lang w:val="en-US" w:eastAsia="zh-CN"/>
        </w:rPr>
        <w:t>4</w:t>
      </w:r>
    </w:p>
    <w:p>
      <w:pPr>
        <w:pStyle w:val="5"/>
        <w:tabs>
          <w:tab w:val="right" w:leader="dot" w:pos="8306"/>
        </w:tabs>
        <w:rPr>
          <w:rFonts w:hint="eastAsia" w:eastAsia="宋体"/>
          <w:lang w:val="en-US" w:eastAsia="zh-CN"/>
        </w:rPr>
      </w:pPr>
      <w:r>
        <w:rPr>
          <w:rFonts w:hint="eastAsia" w:ascii="仿宋" w:hAnsi="仿宋" w:eastAsia="仿宋"/>
          <w:bCs/>
          <w:color w:val="000000"/>
          <w:szCs w:val="32"/>
        </w:rPr>
        <w:t>（一）主要职能</w:t>
      </w:r>
      <w:r>
        <w:tab/>
      </w:r>
      <w:r>
        <w:rPr>
          <w:rFonts w:hint="eastAsia" w:eastAsia="宋体"/>
          <w:lang w:val="en-US" w:eastAsia="zh-CN"/>
        </w:rPr>
        <w:t>4</w:t>
      </w:r>
    </w:p>
    <w:p>
      <w:pPr>
        <w:pStyle w:val="5"/>
        <w:tabs>
          <w:tab w:val="right" w:leader="dot" w:pos="8306"/>
        </w:tabs>
        <w:rPr>
          <w:rFonts w:hint="eastAsia" w:eastAsia="宋体"/>
          <w:lang w:val="en-US" w:eastAsia="zh-CN"/>
        </w:rPr>
      </w:pPr>
      <w:r>
        <w:rPr>
          <w:rFonts w:hint="eastAsia" w:ascii="仿宋" w:hAnsi="仿宋" w:eastAsia="仿宋"/>
          <w:bCs/>
          <w:color w:val="000000"/>
          <w:szCs w:val="32"/>
        </w:rPr>
        <w:t>（二）</w:t>
      </w:r>
      <w:r>
        <w:rPr>
          <w:rFonts w:ascii="仿宋" w:hAnsi="仿宋" w:eastAsia="仿宋"/>
          <w:bCs/>
          <w:color w:val="000000"/>
          <w:szCs w:val="32"/>
        </w:rPr>
        <w:t>202</w:t>
      </w:r>
      <w:r>
        <w:rPr>
          <w:rFonts w:hint="eastAsia" w:ascii="仿宋" w:hAnsi="仿宋" w:eastAsia="仿宋"/>
          <w:bCs/>
          <w:color w:val="000000"/>
          <w:szCs w:val="32"/>
        </w:rPr>
        <w:t>1年重点工作完成情况。</w:t>
      </w:r>
      <w:r>
        <w:tab/>
      </w:r>
      <w:r>
        <w:rPr>
          <w:rFonts w:hint="eastAsia" w:eastAsia="宋体"/>
          <w:lang w:val="en-US" w:eastAsia="zh-CN"/>
        </w:rPr>
        <w:t>6</w:t>
      </w:r>
    </w:p>
    <w:p>
      <w:pPr>
        <w:pStyle w:val="9"/>
        <w:tabs>
          <w:tab w:val="right" w:leader="dot" w:pos="8306"/>
        </w:tabs>
        <w:rPr>
          <w:rFonts w:hint="eastAsia" w:eastAsia="宋体"/>
          <w:lang w:eastAsia="zh-CN"/>
        </w:rPr>
      </w:pPr>
      <w:r>
        <w:rPr>
          <w:rFonts w:hint="eastAsia" w:ascii="黑体" w:hAnsi="黑体" w:eastAsia="黑体" w:cstheme="minorBidi"/>
          <w:szCs w:val="32"/>
        </w:rPr>
        <w:t>二、机构设置</w:t>
      </w:r>
      <w:r>
        <w:tab/>
      </w:r>
      <w:r>
        <w:rPr>
          <w:rFonts w:hint="eastAsia" w:eastAsia="宋体"/>
          <w:lang w:val="en-US" w:eastAsia="zh-CN"/>
        </w:rPr>
        <w:t>9</w:t>
      </w:r>
    </w:p>
    <w:p>
      <w:pPr>
        <w:pStyle w:val="8"/>
        <w:tabs>
          <w:tab w:val="right" w:leader="dot" w:pos="8306"/>
        </w:tabs>
        <w:rPr>
          <w:rFonts w:hint="default" w:eastAsia="宋体"/>
          <w:lang w:val="en-US" w:eastAsia="zh-CN"/>
        </w:rPr>
      </w:pPr>
      <w:r>
        <w:rPr>
          <w:rFonts w:hint="eastAsia" w:ascii="方正公文小标宋" w:hAnsi="方正公文小标宋" w:eastAsia="方正公文小标宋" w:cs="方正公文小标宋"/>
          <w:color w:val="000000"/>
        </w:rPr>
        <w:t xml:space="preserve">第二部分 </w:t>
      </w:r>
      <w:r>
        <w:rPr>
          <w:rFonts w:hint="eastAsia" w:ascii="方正公文小标宋" w:hAnsi="方正公文小标宋" w:eastAsia="方正公文小标宋" w:cs="方正公文小标宋"/>
          <w:bCs w:val="0"/>
        </w:rPr>
        <w:t>2021年度部门决算情况说明</w:t>
      </w:r>
      <w:r>
        <w:tab/>
      </w:r>
      <w:r>
        <w:rPr>
          <w:rFonts w:hint="eastAsia" w:eastAsia="宋体"/>
          <w:lang w:val="en-US" w:eastAsia="zh-CN"/>
        </w:rPr>
        <w:t>10</w:t>
      </w:r>
    </w:p>
    <w:p>
      <w:pPr>
        <w:pStyle w:val="9"/>
        <w:tabs>
          <w:tab w:val="right" w:leader="dot" w:pos="8306"/>
        </w:tabs>
        <w:rPr>
          <w:rFonts w:hint="default" w:eastAsia="宋体"/>
          <w:lang w:val="en-US" w:eastAsia="zh-CN"/>
        </w:rPr>
      </w:pPr>
      <w:r>
        <w:rPr>
          <w:rFonts w:hint="default" w:ascii="黑体" w:hAnsi="黑体" w:eastAsia="黑体" w:cs="Times New Roman"/>
        </w:rPr>
        <w:t xml:space="preserve">一、 </w:t>
      </w:r>
      <w:r>
        <w:rPr>
          <w:rFonts w:hint="eastAsia" w:ascii="黑体" w:hAnsi="黑体" w:eastAsia="黑体"/>
          <w:color w:val="000000"/>
          <w:szCs w:val="32"/>
        </w:rPr>
        <w:t>收</w:t>
      </w:r>
      <w:r>
        <w:rPr>
          <w:rFonts w:hint="eastAsia" w:ascii="黑体" w:hAnsi="黑体" w:eastAsia="黑体"/>
        </w:rPr>
        <w:t>入支出决算总体情况说明</w:t>
      </w:r>
      <w:r>
        <w:tab/>
      </w:r>
      <w:r>
        <w:rPr>
          <w:rFonts w:hint="eastAsia" w:eastAsia="宋体"/>
          <w:lang w:val="en-US" w:eastAsia="zh-CN"/>
        </w:rPr>
        <w:t>10</w:t>
      </w:r>
    </w:p>
    <w:p>
      <w:pPr>
        <w:pStyle w:val="9"/>
        <w:tabs>
          <w:tab w:val="right" w:leader="dot" w:pos="8306"/>
        </w:tabs>
        <w:rPr>
          <w:rFonts w:hint="default" w:eastAsia="宋体"/>
          <w:lang w:val="en-US" w:eastAsia="zh-CN"/>
        </w:rPr>
      </w:pPr>
      <w:r>
        <w:rPr>
          <w:rFonts w:hint="default" w:ascii="黑体" w:hAnsi="黑体" w:eastAsia="黑体" w:cs="Times New Roman"/>
        </w:rPr>
        <w:t xml:space="preserve">二、 </w:t>
      </w:r>
      <w:r>
        <w:rPr>
          <w:rFonts w:hint="eastAsia" w:ascii="黑体" w:hAnsi="黑体" w:eastAsia="黑体"/>
          <w:color w:val="000000"/>
          <w:szCs w:val="32"/>
        </w:rPr>
        <w:t>收</w:t>
      </w:r>
      <w:r>
        <w:rPr>
          <w:rFonts w:hint="eastAsia" w:ascii="黑体" w:hAnsi="黑体" w:eastAsia="黑体"/>
        </w:rPr>
        <w:t>入决算情况说明</w:t>
      </w:r>
      <w:r>
        <w:tab/>
      </w:r>
      <w:r>
        <w:rPr>
          <w:rFonts w:hint="eastAsia" w:eastAsia="宋体"/>
          <w:lang w:val="en-US" w:eastAsia="zh-CN"/>
        </w:rPr>
        <w:t>11</w:t>
      </w:r>
    </w:p>
    <w:p>
      <w:pPr>
        <w:pStyle w:val="9"/>
        <w:tabs>
          <w:tab w:val="right" w:leader="dot" w:pos="8306"/>
        </w:tabs>
        <w:rPr>
          <w:rFonts w:hint="default" w:eastAsia="宋体"/>
          <w:lang w:val="en-US" w:eastAsia="zh-CN"/>
        </w:rPr>
      </w:pPr>
      <w:r>
        <w:rPr>
          <w:rFonts w:hint="default" w:ascii="黑体" w:hAnsi="黑体" w:eastAsia="黑体" w:cs="Times New Roman"/>
        </w:rPr>
        <w:t xml:space="preserve">三、 </w:t>
      </w:r>
      <w:r>
        <w:rPr>
          <w:rFonts w:hint="eastAsia" w:ascii="黑体" w:hAnsi="黑体" w:eastAsia="黑体"/>
          <w:color w:val="000000"/>
          <w:szCs w:val="32"/>
        </w:rPr>
        <w:t>支</w:t>
      </w:r>
      <w:r>
        <w:rPr>
          <w:rFonts w:hint="eastAsia" w:ascii="黑体" w:hAnsi="黑体" w:eastAsia="黑体"/>
        </w:rPr>
        <w:t>出决算情况说明</w:t>
      </w:r>
      <w:r>
        <w:tab/>
      </w:r>
      <w:r>
        <w:rPr>
          <w:rFonts w:hint="eastAsia" w:eastAsia="宋体"/>
          <w:lang w:val="en-US" w:eastAsia="zh-CN"/>
        </w:rPr>
        <w:t>11</w:t>
      </w:r>
    </w:p>
    <w:p>
      <w:pPr>
        <w:pStyle w:val="9"/>
        <w:tabs>
          <w:tab w:val="right" w:leader="dot" w:pos="8306"/>
        </w:tabs>
        <w:rPr>
          <w:rFonts w:hint="default" w:eastAsia="宋体"/>
          <w:lang w:val="en-US" w:eastAsia="zh-CN"/>
        </w:rPr>
      </w:pPr>
      <w:r>
        <w:rPr>
          <w:rFonts w:hint="eastAsia" w:ascii="黑体" w:hAnsi="黑体" w:eastAsia="黑体"/>
          <w:color w:val="000000"/>
          <w:szCs w:val="32"/>
        </w:rPr>
        <w:t>四、财</w:t>
      </w:r>
      <w:r>
        <w:rPr>
          <w:rFonts w:hint="eastAsia" w:ascii="黑体" w:hAnsi="黑体" w:eastAsia="黑体"/>
        </w:rPr>
        <w:t>政拨款收入支出决算总体情况说明</w:t>
      </w:r>
      <w:r>
        <w:tab/>
      </w:r>
      <w:r>
        <w:rPr>
          <w:rFonts w:hint="eastAsia" w:eastAsia="宋体"/>
          <w:lang w:val="en-US" w:eastAsia="zh-CN"/>
        </w:rPr>
        <w:t>12</w:t>
      </w:r>
    </w:p>
    <w:p>
      <w:pPr>
        <w:pStyle w:val="9"/>
        <w:tabs>
          <w:tab w:val="right" w:leader="dot" w:pos="8306"/>
        </w:tabs>
        <w:rPr>
          <w:rFonts w:hint="default" w:eastAsia="宋体"/>
          <w:lang w:val="en-US" w:eastAsia="zh-CN"/>
        </w:rPr>
      </w:pPr>
      <w:r>
        <w:rPr>
          <w:rFonts w:hint="eastAsia" w:ascii="黑体" w:hAnsi="黑体" w:eastAsia="黑体"/>
          <w:color w:val="000000"/>
          <w:szCs w:val="32"/>
        </w:rPr>
        <w:t>五、一</w:t>
      </w:r>
      <w:r>
        <w:rPr>
          <w:rFonts w:hint="eastAsia" w:ascii="黑体" w:hAnsi="黑体" w:eastAsia="黑体"/>
        </w:rPr>
        <w:t>般公共预算财政拨款支出决算情况说明</w:t>
      </w:r>
      <w:r>
        <w:tab/>
      </w:r>
      <w:r>
        <w:rPr>
          <w:rFonts w:hint="eastAsia" w:eastAsia="宋体"/>
          <w:lang w:val="en-US" w:eastAsia="zh-CN"/>
        </w:rPr>
        <w:t>12</w:t>
      </w:r>
    </w:p>
    <w:p>
      <w:pPr>
        <w:pStyle w:val="5"/>
        <w:tabs>
          <w:tab w:val="right" w:leader="dot" w:pos="8306"/>
        </w:tabs>
        <w:rPr>
          <w:rFonts w:hint="default" w:eastAsia="宋体"/>
          <w:lang w:val="en-US" w:eastAsia="zh-CN"/>
        </w:rPr>
      </w:pPr>
      <w:r>
        <w:rPr>
          <w:rFonts w:hint="eastAsia" w:ascii="仿宋" w:hAnsi="仿宋" w:eastAsia="仿宋"/>
          <w:color w:val="000000"/>
          <w:szCs w:val="32"/>
        </w:rPr>
        <w:t>（一）一般公共预算财政拨款支出决算总体情况</w:t>
      </w:r>
      <w:r>
        <w:tab/>
      </w:r>
      <w:r>
        <w:rPr>
          <w:rFonts w:hint="eastAsia" w:eastAsia="宋体"/>
          <w:lang w:val="en-US" w:eastAsia="zh-CN"/>
        </w:rPr>
        <w:t>13</w:t>
      </w:r>
    </w:p>
    <w:p>
      <w:pPr>
        <w:pStyle w:val="5"/>
        <w:tabs>
          <w:tab w:val="right" w:leader="dot" w:pos="8306"/>
        </w:tabs>
        <w:rPr>
          <w:rFonts w:hint="default" w:eastAsia="宋体"/>
          <w:lang w:val="en-US" w:eastAsia="zh-CN"/>
        </w:rPr>
      </w:pPr>
      <w:r>
        <w:rPr>
          <w:rFonts w:hint="eastAsia" w:ascii="仿宋" w:hAnsi="仿宋" w:eastAsia="仿宋"/>
          <w:color w:val="000000"/>
          <w:szCs w:val="32"/>
        </w:rPr>
        <w:t>（二）一般公共预算财政拨款支出决算结构情况</w:t>
      </w:r>
      <w:r>
        <w:tab/>
      </w:r>
      <w:r>
        <w:rPr>
          <w:rFonts w:hint="eastAsia" w:eastAsia="宋体"/>
          <w:lang w:val="en-US" w:eastAsia="zh-CN"/>
        </w:rPr>
        <w:t>13</w:t>
      </w:r>
    </w:p>
    <w:p>
      <w:pPr>
        <w:pStyle w:val="5"/>
        <w:tabs>
          <w:tab w:val="right" w:leader="dot" w:pos="8306"/>
        </w:tabs>
        <w:rPr>
          <w:rFonts w:hint="default" w:eastAsia="宋体"/>
          <w:lang w:val="en-US" w:eastAsia="zh-CN"/>
        </w:rPr>
      </w:pPr>
      <w:r>
        <w:rPr>
          <w:rFonts w:hint="eastAsia" w:ascii="仿宋" w:hAnsi="仿宋" w:eastAsia="仿宋"/>
          <w:color w:val="000000"/>
          <w:szCs w:val="32"/>
        </w:rPr>
        <w:t>（三）一般公共预算财政拨款支出决算具体情况</w:t>
      </w:r>
      <w:r>
        <w:tab/>
      </w:r>
      <w:r>
        <w:rPr>
          <w:rFonts w:hint="eastAsia" w:eastAsia="宋体"/>
          <w:lang w:val="en-US" w:eastAsia="zh-CN"/>
        </w:rPr>
        <w:t>14</w:t>
      </w:r>
    </w:p>
    <w:p>
      <w:pPr>
        <w:pStyle w:val="9"/>
        <w:tabs>
          <w:tab w:val="right" w:leader="dot" w:pos="8306"/>
        </w:tabs>
        <w:rPr>
          <w:rFonts w:hint="default" w:eastAsia="宋体"/>
          <w:lang w:val="en-US" w:eastAsia="zh-CN"/>
        </w:rPr>
      </w:pPr>
      <w:r>
        <w:rPr>
          <w:rFonts w:hint="eastAsia" w:ascii="黑体" w:eastAsia="黑体"/>
          <w:color w:val="000000"/>
          <w:szCs w:val="32"/>
        </w:rPr>
        <w:t>六、</w:t>
      </w:r>
      <w:r>
        <w:rPr>
          <w:rFonts w:hint="eastAsia" w:ascii="黑体" w:hAnsi="黑体" w:eastAsia="黑体"/>
          <w:color w:val="000000"/>
          <w:szCs w:val="32"/>
        </w:rPr>
        <w:t>一</w:t>
      </w:r>
      <w:r>
        <w:rPr>
          <w:rFonts w:hint="eastAsia" w:ascii="黑体" w:hAnsi="黑体" w:eastAsia="黑体"/>
        </w:rPr>
        <w:t>般公共预算财政拨款基本支出决算情况说明</w:t>
      </w:r>
      <w:r>
        <w:tab/>
      </w:r>
      <w:r>
        <w:rPr>
          <w:rFonts w:hint="eastAsia" w:eastAsia="宋体"/>
          <w:lang w:val="en-US" w:eastAsia="zh-CN"/>
        </w:rPr>
        <w:t>15</w:t>
      </w:r>
    </w:p>
    <w:p>
      <w:pPr>
        <w:pStyle w:val="9"/>
        <w:tabs>
          <w:tab w:val="right" w:leader="dot" w:pos="8306"/>
        </w:tabs>
        <w:rPr>
          <w:rFonts w:hint="default" w:eastAsia="宋体"/>
          <w:lang w:val="en-US" w:eastAsia="zh-CN"/>
        </w:rPr>
      </w:pPr>
      <w:r>
        <w:rPr>
          <w:rFonts w:hint="eastAsia" w:ascii="黑体" w:eastAsia="黑体"/>
          <w:color w:val="000000"/>
          <w:szCs w:val="32"/>
        </w:rPr>
        <w:t>七、</w:t>
      </w:r>
      <w:r>
        <w:rPr>
          <w:rFonts w:hint="eastAsia" w:ascii="黑体" w:hAnsi="黑体" w:eastAsia="黑体"/>
        </w:rPr>
        <w:t>“三公”经费财政拨款支出决算情况说明</w:t>
      </w:r>
      <w:r>
        <w:tab/>
      </w:r>
      <w:r>
        <w:rPr>
          <w:rFonts w:hint="eastAsia" w:eastAsia="宋体"/>
          <w:lang w:val="en-US" w:eastAsia="zh-CN"/>
        </w:rPr>
        <w:t>15</w:t>
      </w:r>
    </w:p>
    <w:p>
      <w:pPr>
        <w:pStyle w:val="5"/>
        <w:tabs>
          <w:tab w:val="right" w:leader="dot" w:pos="8306"/>
        </w:tabs>
        <w:rPr>
          <w:rFonts w:hint="default" w:eastAsia="宋体"/>
          <w:lang w:val="en-US" w:eastAsia="zh-CN"/>
        </w:rPr>
      </w:pPr>
      <w:r>
        <w:rPr>
          <w:rFonts w:hint="eastAsia" w:ascii="仿宋" w:hAnsi="仿宋" w:eastAsia="仿宋"/>
          <w:color w:val="000000"/>
          <w:szCs w:val="32"/>
        </w:rPr>
        <w:t>（一）“三公”经费财政拨款支出决算总体情况说明</w:t>
      </w:r>
      <w:r>
        <w:tab/>
      </w:r>
      <w:r>
        <w:rPr>
          <w:rFonts w:hint="eastAsia" w:eastAsia="宋体"/>
          <w:lang w:val="en-US" w:eastAsia="zh-CN"/>
        </w:rPr>
        <w:t>16</w:t>
      </w:r>
    </w:p>
    <w:p>
      <w:pPr>
        <w:pStyle w:val="5"/>
        <w:tabs>
          <w:tab w:val="right" w:leader="dot" w:pos="8306"/>
        </w:tabs>
        <w:rPr>
          <w:rFonts w:hint="default" w:eastAsia="宋体"/>
          <w:lang w:val="en-US" w:eastAsia="zh-CN"/>
        </w:rPr>
      </w:pPr>
      <w:r>
        <w:rPr>
          <w:rFonts w:hint="eastAsia" w:ascii="仿宋" w:hAnsi="仿宋" w:eastAsia="仿宋"/>
          <w:color w:val="000000"/>
          <w:szCs w:val="32"/>
        </w:rPr>
        <w:t>（二）“三公”经费财政拨款支出决算具体情况说明</w:t>
      </w:r>
      <w:r>
        <w:tab/>
      </w:r>
      <w:r>
        <w:rPr>
          <w:rFonts w:hint="eastAsia" w:eastAsia="宋体"/>
          <w:lang w:val="en-US" w:eastAsia="zh-CN"/>
        </w:rPr>
        <w:t>16</w:t>
      </w:r>
    </w:p>
    <w:p>
      <w:pPr>
        <w:pStyle w:val="9"/>
        <w:tabs>
          <w:tab w:val="right" w:leader="dot" w:pos="8306"/>
        </w:tabs>
        <w:rPr>
          <w:rFonts w:hint="default" w:eastAsia="宋体"/>
          <w:lang w:val="en-US" w:eastAsia="zh-CN"/>
        </w:rPr>
      </w:pPr>
      <w:r>
        <w:rPr>
          <w:rFonts w:hint="eastAsia" w:ascii="黑体" w:eastAsia="黑体"/>
          <w:color w:val="000000"/>
          <w:szCs w:val="32"/>
        </w:rPr>
        <w:t>八、</w:t>
      </w:r>
      <w:r>
        <w:rPr>
          <w:rFonts w:hint="eastAsia" w:ascii="黑体" w:hAnsi="黑体" w:eastAsia="黑体"/>
        </w:rPr>
        <w:t>政府性基金预算支出决算情况说明</w:t>
      </w:r>
      <w:r>
        <w:tab/>
      </w:r>
      <w:r>
        <w:rPr>
          <w:rFonts w:hint="eastAsia" w:eastAsia="宋体"/>
          <w:lang w:val="en-US" w:eastAsia="zh-CN"/>
        </w:rPr>
        <w:t>17</w:t>
      </w:r>
    </w:p>
    <w:p>
      <w:pPr>
        <w:pStyle w:val="9"/>
        <w:tabs>
          <w:tab w:val="right" w:leader="dot" w:pos="8306"/>
        </w:tabs>
        <w:rPr>
          <w:rFonts w:hint="default" w:eastAsia="宋体"/>
          <w:lang w:val="en-US" w:eastAsia="zh-CN"/>
        </w:rPr>
      </w:pPr>
      <w:r>
        <w:rPr>
          <w:rFonts w:hint="eastAsia" w:ascii="黑体" w:hAnsi="黑体" w:eastAsia="黑体" w:cs="Times New Roman"/>
        </w:rPr>
        <w:t xml:space="preserve">九、 </w:t>
      </w:r>
      <w:r>
        <w:rPr>
          <w:rFonts w:hint="eastAsia" w:ascii="黑体" w:hAnsi="黑体" w:eastAsia="黑体"/>
        </w:rPr>
        <w:t>国有资本经营预算支出决算情况说明</w:t>
      </w:r>
      <w:r>
        <w:tab/>
      </w:r>
      <w:r>
        <w:rPr>
          <w:rFonts w:hint="eastAsia" w:eastAsia="宋体"/>
          <w:lang w:val="en-US" w:eastAsia="zh-CN"/>
        </w:rPr>
        <w:t>17</w:t>
      </w:r>
    </w:p>
    <w:p>
      <w:pPr>
        <w:pStyle w:val="9"/>
        <w:tabs>
          <w:tab w:val="right" w:leader="dot" w:pos="8306"/>
        </w:tabs>
        <w:rPr>
          <w:rFonts w:hint="default" w:eastAsia="宋体"/>
          <w:lang w:val="en-US" w:eastAsia="zh-CN"/>
        </w:rPr>
      </w:pPr>
      <w:r>
        <w:rPr>
          <w:rFonts w:hint="eastAsia" w:ascii="黑体" w:hAnsi="黑体" w:eastAsia="黑体"/>
          <w:color w:val="000000"/>
          <w:szCs w:val="32"/>
        </w:rPr>
        <w:t>十</w:t>
      </w:r>
      <w:r>
        <w:rPr>
          <w:rFonts w:hint="eastAsia" w:ascii="黑体" w:hAnsi="黑体" w:eastAsia="黑体"/>
        </w:rPr>
        <w:t>、其他重要事项的情况说明</w:t>
      </w:r>
      <w:r>
        <w:tab/>
      </w:r>
      <w:r>
        <w:rPr>
          <w:rFonts w:hint="eastAsia" w:eastAsia="宋体"/>
          <w:lang w:val="en-US" w:eastAsia="zh-CN"/>
        </w:rPr>
        <w:t>17</w:t>
      </w:r>
    </w:p>
    <w:p>
      <w:pPr>
        <w:pStyle w:val="5"/>
        <w:tabs>
          <w:tab w:val="right" w:leader="dot" w:pos="8306"/>
        </w:tabs>
        <w:rPr>
          <w:rFonts w:hint="default" w:eastAsia="宋体"/>
          <w:lang w:val="en-US" w:eastAsia="zh-CN"/>
        </w:rPr>
      </w:pPr>
      <w:r>
        <w:rPr>
          <w:rFonts w:hint="eastAsia" w:ascii="仿宋" w:hAnsi="仿宋" w:eastAsia="仿宋"/>
          <w:color w:val="000000"/>
          <w:szCs w:val="32"/>
        </w:rPr>
        <w:t>（一）机关运行经费支出情况</w:t>
      </w:r>
      <w:r>
        <w:tab/>
      </w:r>
      <w:r>
        <w:rPr>
          <w:rFonts w:hint="eastAsia" w:eastAsia="宋体"/>
          <w:lang w:val="en-US" w:eastAsia="zh-CN"/>
        </w:rPr>
        <w:t>17</w:t>
      </w:r>
    </w:p>
    <w:p>
      <w:pPr>
        <w:pStyle w:val="5"/>
        <w:tabs>
          <w:tab w:val="right" w:leader="dot" w:pos="8306"/>
        </w:tabs>
        <w:rPr>
          <w:rFonts w:hint="default" w:eastAsia="宋体"/>
          <w:lang w:val="en-US" w:eastAsia="zh-CN"/>
        </w:rPr>
      </w:pPr>
      <w:r>
        <w:rPr>
          <w:rFonts w:hint="eastAsia" w:ascii="仿宋" w:hAnsi="仿宋" w:eastAsia="仿宋"/>
          <w:color w:val="000000"/>
          <w:szCs w:val="32"/>
        </w:rPr>
        <w:t>（二）政府采购支出情况</w:t>
      </w:r>
      <w:r>
        <w:tab/>
      </w:r>
      <w:r>
        <w:rPr>
          <w:rFonts w:hint="eastAsia" w:eastAsia="宋体"/>
          <w:lang w:val="en-US" w:eastAsia="zh-CN"/>
        </w:rPr>
        <w:t>17</w:t>
      </w:r>
    </w:p>
    <w:p>
      <w:pPr>
        <w:pStyle w:val="5"/>
        <w:tabs>
          <w:tab w:val="right" w:leader="dot" w:pos="8306"/>
        </w:tabs>
        <w:rPr>
          <w:rFonts w:hint="default" w:eastAsia="宋体"/>
          <w:lang w:val="en-US" w:eastAsia="zh-CN"/>
        </w:rPr>
      </w:pPr>
      <w:r>
        <w:rPr>
          <w:rFonts w:hint="eastAsia" w:ascii="仿宋" w:hAnsi="仿宋" w:eastAsia="仿宋"/>
          <w:color w:val="000000"/>
          <w:szCs w:val="32"/>
        </w:rPr>
        <w:t>（三）国有资产占有使用情况</w:t>
      </w:r>
      <w:r>
        <w:tab/>
      </w:r>
      <w:r>
        <w:rPr>
          <w:rFonts w:hint="eastAsia" w:eastAsia="宋体"/>
          <w:lang w:val="en-US" w:eastAsia="zh-CN"/>
        </w:rPr>
        <w:t>17</w:t>
      </w:r>
    </w:p>
    <w:p>
      <w:pPr>
        <w:pStyle w:val="5"/>
        <w:tabs>
          <w:tab w:val="right" w:leader="dot" w:pos="8306"/>
        </w:tabs>
        <w:rPr>
          <w:rFonts w:hint="default" w:eastAsia="宋体"/>
          <w:lang w:val="en-US" w:eastAsia="zh-CN"/>
        </w:rPr>
      </w:pPr>
      <w:r>
        <w:rPr>
          <w:rFonts w:hint="eastAsia" w:ascii="仿宋" w:hAnsi="仿宋" w:eastAsia="仿宋"/>
          <w:color w:val="000000"/>
          <w:szCs w:val="32"/>
        </w:rPr>
        <w:t>（四）预算绩效管理情况</w:t>
      </w:r>
      <w:r>
        <w:tab/>
      </w:r>
      <w:r>
        <w:rPr>
          <w:rFonts w:hint="eastAsia" w:eastAsia="宋体"/>
          <w:lang w:val="en-US" w:eastAsia="zh-CN"/>
        </w:rPr>
        <w:t>18</w:t>
      </w:r>
    </w:p>
    <w:p>
      <w:pPr>
        <w:pStyle w:val="8"/>
        <w:tabs>
          <w:tab w:val="right" w:leader="dot" w:pos="8306"/>
        </w:tabs>
        <w:rPr>
          <w:rFonts w:hint="default" w:eastAsia="宋体"/>
          <w:lang w:val="en-US" w:eastAsia="zh-CN"/>
        </w:rPr>
      </w:pPr>
      <w:r>
        <w:rPr>
          <w:rFonts w:hint="eastAsia" w:ascii="黑体" w:hAnsi="黑体" w:eastAsia="黑体" w:cs="Times New Roman"/>
        </w:rPr>
        <w:t xml:space="preserve">第三部分 </w:t>
      </w:r>
      <w:r>
        <w:rPr>
          <w:rFonts w:hint="eastAsia" w:ascii="黑体" w:hAnsi="黑体" w:eastAsia="黑体"/>
          <w:color w:val="000000"/>
          <w:szCs w:val="44"/>
        </w:rPr>
        <w:t>名</w:t>
      </w:r>
      <w:r>
        <w:rPr>
          <w:rFonts w:hint="eastAsia" w:ascii="黑体" w:hAnsi="黑体" w:eastAsia="黑体"/>
        </w:rPr>
        <w:t>词解释</w:t>
      </w:r>
      <w:r>
        <w:tab/>
      </w:r>
      <w:r>
        <w:rPr>
          <w:rFonts w:hint="eastAsia" w:eastAsia="宋体"/>
          <w:lang w:val="en-US" w:eastAsia="zh-CN"/>
        </w:rPr>
        <w:t>19</w:t>
      </w:r>
    </w:p>
    <w:p>
      <w:pPr>
        <w:pStyle w:val="8"/>
        <w:tabs>
          <w:tab w:val="right" w:leader="dot" w:pos="8306"/>
        </w:tabs>
        <w:rPr>
          <w:rFonts w:hint="default" w:eastAsia="宋体"/>
          <w:lang w:val="en-US" w:eastAsia="zh-CN"/>
        </w:rPr>
      </w:pPr>
      <w:r>
        <w:rPr>
          <w:rFonts w:hint="eastAsia" w:ascii="黑体" w:hAnsi="黑体" w:eastAsia="黑体"/>
          <w:color w:val="000000"/>
          <w:szCs w:val="44"/>
        </w:rPr>
        <w:t>第</w:t>
      </w:r>
      <w:r>
        <w:rPr>
          <w:rFonts w:hint="eastAsia" w:ascii="黑体" w:hAnsi="黑体" w:eastAsia="黑体"/>
        </w:rPr>
        <w:t>四部分</w:t>
      </w:r>
      <w:r>
        <w:rPr>
          <w:rFonts w:ascii="黑体" w:hAnsi="黑体" w:eastAsia="黑体"/>
        </w:rPr>
        <w:t xml:space="preserve"> </w:t>
      </w:r>
      <w:r>
        <w:rPr>
          <w:rFonts w:hint="eastAsia" w:ascii="黑体" w:hAnsi="黑体" w:eastAsia="黑体"/>
        </w:rPr>
        <w:t>附件</w:t>
      </w:r>
      <w:r>
        <w:tab/>
      </w:r>
      <w:r>
        <w:rPr>
          <w:rFonts w:hint="eastAsia" w:eastAsia="宋体"/>
          <w:lang w:val="en-US" w:eastAsia="zh-CN"/>
        </w:rPr>
        <w:t>21</w:t>
      </w:r>
    </w:p>
    <w:p>
      <w:pPr>
        <w:pStyle w:val="8"/>
        <w:tabs>
          <w:tab w:val="right" w:leader="dot" w:pos="8306"/>
        </w:tabs>
        <w:rPr>
          <w:rFonts w:hint="default" w:eastAsia="宋体"/>
          <w:lang w:val="en-US" w:eastAsia="zh-CN"/>
        </w:rPr>
      </w:pPr>
      <w:r>
        <w:rPr>
          <w:rFonts w:hint="eastAsia" w:ascii="黑体" w:hAnsi="黑体" w:eastAsia="黑体" w:cs="黑体"/>
          <w:szCs w:val="32"/>
        </w:rPr>
        <w:t>附件</w:t>
      </w:r>
      <w:r>
        <w:rPr>
          <w:rFonts w:ascii="黑体" w:hAnsi="黑体" w:eastAsia="黑体" w:cs="黑体"/>
          <w:szCs w:val="32"/>
        </w:rPr>
        <w:t>1</w:t>
      </w:r>
      <w:r>
        <w:tab/>
      </w:r>
      <w:r>
        <w:rPr>
          <w:rFonts w:hint="eastAsia" w:eastAsia="宋体"/>
          <w:lang w:val="en-US" w:eastAsia="zh-CN"/>
        </w:rPr>
        <w:t>21</w:t>
      </w:r>
    </w:p>
    <w:p>
      <w:pPr>
        <w:pStyle w:val="8"/>
        <w:tabs>
          <w:tab w:val="right" w:leader="dot" w:pos="8306"/>
        </w:tabs>
        <w:rPr>
          <w:rFonts w:hint="default" w:eastAsia="宋体"/>
          <w:lang w:val="en-US" w:eastAsia="zh-CN"/>
        </w:rPr>
      </w:pPr>
      <w:r>
        <w:rPr>
          <w:rFonts w:ascii="方正小标宋简体" w:hAnsi="黑体" w:eastAsia="方正小标宋简体" w:cs="黑体"/>
          <w:szCs w:val="44"/>
        </w:rPr>
        <w:t>202</w:t>
      </w:r>
      <w:r>
        <w:rPr>
          <w:rFonts w:hint="eastAsia" w:ascii="方正小标宋简体" w:hAnsi="黑体" w:eastAsia="方正小标宋简体" w:cs="黑体"/>
          <w:szCs w:val="44"/>
        </w:rPr>
        <w:t>1年部门整体支出绩效评价报告</w:t>
      </w:r>
      <w:r>
        <w:tab/>
      </w:r>
      <w:r>
        <w:rPr>
          <w:rFonts w:hint="eastAsia" w:eastAsia="宋体"/>
          <w:lang w:val="en-US" w:eastAsia="zh-CN"/>
        </w:rPr>
        <w:t>21</w:t>
      </w:r>
    </w:p>
    <w:p>
      <w:pPr>
        <w:pStyle w:val="8"/>
        <w:tabs>
          <w:tab w:val="right" w:leader="dot" w:pos="8306"/>
        </w:tabs>
        <w:rPr>
          <w:rFonts w:hint="default" w:eastAsia="宋体"/>
          <w:lang w:val="en-US" w:eastAsia="zh-CN"/>
        </w:rPr>
      </w:pPr>
      <w:r>
        <w:rPr>
          <w:rFonts w:hint="eastAsia" w:ascii="黑体" w:hAnsi="黑体" w:eastAsia="黑体" w:cs="黑体"/>
          <w:szCs w:val="32"/>
        </w:rPr>
        <w:t>附件</w:t>
      </w:r>
      <w:r>
        <w:rPr>
          <w:rFonts w:ascii="黑体" w:hAnsi="黑体" w:eastAsia="黑体" w:cs="黑体"/>
          <w:szCs w:val="32"/>
        </w:rPr>
        <w:t>2</w:t>
      </w:r>
      <w:r>
        <w:tab/>
      </w:r>
      <w:r>
        <w:rPr>
          <w:rFonts w:hint="eastAsia" w:eastAsia="宋体"/>
          <w:lang w:val="en-US" w:eastAsia="zh-CN"/>
        </w:rPr>
        <w:t>23</w:t>
      </w:r>
    </w:p>
    <w:p>
      <w:pPr>
        <w:pStyle w:val="8"/>
        <w:tabs>
          <w:tab w:val="right" w:leader="dot" w:pos="8306"/>
        </w:tabs>
        <w:rPr>
          <w:rFonts w:hint="default" w:eastAsia="宋体"/>
          <w:lang w:val="en-US" w:eastAsia="zh-CN"/>
        </w:rPr>
      </w:pPr>
      <w:r>
        <w:rPr>
          <w:rFonts w:hint="eastAsia" w:ascii="方正小标宋简体" w:hAnsi="黑体" w:eastAsia="方正小标宋简体" w:cs="黑体"/>
          <w:szCs w:val="44"/>
        </w:rPr>
        <w:t>2021年绩效评价报告</w:t>
      </w:r>
      <w:r>
        <w:tab/>
      </w:r>
      <w:r>
        <w:rPr>
          <w:rFonts w:hint="eastAsia" w:eastAsia="宋体"/>
          <w:lang w:val="en-US" w:eastAsia="zh-CN"/>
        </w:rPr>
        <w:t>23</w:t>
      </w:r>
    </w:p>
    <w:p>
      <w:pPr>
        <w:pStyle w:val="8"/>
        <w:tabs>
          <w:tab w:val="right" w:leader="dot" w:pos="8306"/>
        </w:tabs>
        <w:rPr>
          <w:rFonts w:hint="default" w:eastAsia="宋体"/>
          <w:lang w:eastAsia="zh-CN"/>
        </w:rPr>
      </w:pPr>
      <w:r>
        <w:rPr>
          <w:rFonts w:hint="eastAsia" w:ascii="黑体" w:hAnsi="黑体" w:eastAsia="黑体"/>
          <w:color w:val="000000"/>
          <w:szCs w:val="44"/>
        </w:rPr>
        <w:t>第</w:t>
      </w:r>
      <w:r>
        <w:rPr>
          <w:rFonts w:hint="eastAsia" w:ascii="黑体" w:hAnsi="黑体" w:eastAsia="黑体"/>
        </w:rPr>
        <w:t>五部分</w:t>
      </w:r>
      <w:r>
        <w:rPr>
          <w:rFonts w:ascii="黑体" w:hAnsi="黑体" w:eastAsia="黑体"/>
        </w:rPr>
        <w:t xml:space="preserve"> </w:t>
      </w:r>
      <w:r>
        <w:rPr>
          <w:rFonts w:hint="eastAsia" w:ascii="黑体" w:hAnsi="黑体" w:eastAsia="黑体"/>
        </w:rPr>
        <w:t>附表</w:t>
      </w:r>
      <w:r>
        <w:tab/>
      </w:r>
      <w:r>
        <w:rPr>
          <w:rFonts w:hint="default"/>
        </w:rPr>
        <w:t>27</w:t>
      </w:r>
    </w:p>
    <w:p>
      <w:pPr>
        <w:pStyle w:val="9"/>
        <w:tabs>
          <w:tab w:val="right" w:leader="dot" w:pos="8306"/>
        </w:tabs>
        <w:rPr>
          <w:rFonts w:hint="default" w:eastAsia="宋体"/>
          <w:lang w:eastAsia="zh-CN"/>
        </w:rPr>
      </w:pPr>
      <w:r>
        <w:rPr>
          <w:rFonts w:hint="eastAsia" w:ascii="仿宋" w:hAnsi="仿宋" w:eastAsia="仿宋"/>
          <w:color w:val="000000"/>
        </w:rPr>
        <w:t>一、收</w:t>
      </w:r>
      <w:r>
        <w:rPr>
          <w:rFonts w:hint="eastAsia" w:ascii="仿宋" w:hAnsi="仿宋" w:eastAsia="仿宋"/>
          <w:bCs w:val="0"/>
        </w:rPr>
        <w:t>入支出决算总表</w:t>
      </w:r>
      <w:r>
        <w:tab/>
      </w:r>
      <w:r>
        <w:rPr>
          <w:rFonts w:hint="default"/>
        </w:rPr>
        <w:t>27</w:t>
      </w:r>
    </w:p>
    <w:p>
      <w:pPr>
        <w:pStyle w:val="9"/>
        <w:tabs>
          <w:tab w:val="right" w:leader="dot" w:pos="8306"/>
        </w:tabs>
        <w:rPr>
          <w:rFonts w:hint="default" w:eastAsia="宋体"/>
          <w:lang w:eastAsia="zh-CN"/>
        </w:rPr>
      </w:pPr>
      <w:r>
        <w:rPr>
          <w:rFonts w:hint="eastAsia" w:ascii="仿宋" w:hAnsi="仿宋" w:eastAsia="仿宋"/>
          <w:color w:val="000000"/>
        </w:rPr>
        <w:t>二、收</w:t>
      </w:r>
      <w:r>
        <w:rPr>
          <w:rFonts w:hint="eastAsia" w:ascii="仿宋" w:hAnsi="仿宋" w:eastAsia="仿宋"/>
          <w:bCs w:val="0"/>
        </w:rPr>
        <w:t>入决算表</w:t>
      </w:r>
      <w:r>
        <w:tab/>
      </w:r>
      <w:r>
        <w:rPr>
          <w:rFonts w:hint="default"/>
        </w:rPr>
        <w:t>27</w:t>
      </w:r>
    </w:p>
    <w:p>
      <w:pPr>
        <w:pStyle w:val="9"/>
        <w:tabs>
          <w:tab w:val="right" w:leader="dot" w:pos="8306"/>
        </w:tabs>
        <w:rPr>
          <w:rFonts w:hint="default" w:eastAsia="宋体"/>
          <w:lang w:eastAsia="zh-CN"/>
        </w:rPr>
      </w:pPr>
      <w:r>
        <w:rPr>
          <w:rFonts w:hint="eastAsia" w:ascii="仿宋" w:hAnsi="仿宋" w:eastAsia="仿宋"/>
          <w:bCs w:val="0"/>
        </w:rPr>
        <w:t>三、</w:t>
      </w:r>
      <w:r>
        <w:rPr>
          <w:rFonts w:hint="eastAsia" w:ascii="仿宋" w:hAnsi="仿宋" w:eastAsia="仿宋"/>
          <w:color w:val="000000"/>
        </w:rPr>
        <w:t>支</w:t>
      </w:r>
      <w:r>
        <w:rPr>
          <w:rFonts w:hint="eastAsia" w:ascii="仿宋" w:hAnsi="仿宋" w:eastAsia="仿宋"/>
          <w:bCs w:val="0"/>
        </w:rPr>
        <w:t>出决算表</w:t>
      </w:r>
      <w:r>
        <w:tab/>
      </w:r>
      <w:r>
        <w:rPr>
          <w:rFonts w:hint="default"/>
        </w:rPr>
        <w:t>27</w:t>
      </w:r>
    </w:p>
    <w:p>
      <w:pPr>
        <w:pStyle w:val="9"/>
        <w:tabs>
          <w:tab w:val="right" w:leader="dot" w:pos="8306"/>
        </w:tabs>
        <w:rPr>
          <w:rFonts w:hint="default" w:eastAsia="宋体"/>
          <w:lang w:eastAsia="zh-CN"/>
        </w:rPr>
      </w:pPr>
      <w:r>
        <w:rPr>
          <w:rFonts w:hint="eastAsia" w:ascii="仿宋" w:hAnsi="仿宋" w:eastAsia="仿宋"/>
          <w:bCs w:val="0"/>
        </w:rPr>
        <w:t>四、</w:t>
      </w:r>
      <w:r>
        <w:rPr>
          <w:rFonts w:hint="eastAsia" w:ascii="仿宋" w:hAnsi="仿宋" w:eastAsia="仿宋"/>
          <w:color w:val="000000"/>
        </w:rPr>
        <w:t>财</w:t>
      </w:r>
      <w:r>
        <w:rPr>
          <w:rFonts w:hint="eastAsia" w:ascii="仿宋" w:hAnsi="仿宋" w:eastAsia="仿宋"/>
          <w:bCs w:val="0"/>
        </w:rPr>
        <w:t>政拨款收入支出决算总表</w:t>
      </w:r>
      <w:r>
        <w:tab/>
      </w:r>
      <w:r>
        <w:rPr>
          <w:rFonts w:hint="default"/>
        </w:rPr>
        <w:t>27</w:t>
      </w:r>
    </w:p>
    <w:p>
      <w:pPr>
        <w:pStyle w:val="9"/>
        <w:tabs>
          <w:tab w:val="right" w:leader="dot" w:pos="8306"/>
        </w:tabs>
        <w:rPr>
          <w:rFonts w:hint="default" w:eastAsia="宋体"/>
          <w:lang w:eastAsia="zh-CN"/>
        </w:rPr>
      </w:pPr>
      <w:r>
        <w:rPr>
          <w:rFonts w:hint="eastAsia" w:ascii="仿宋" w:hAnsi="仿宋" w:eastAsia="仿宋"/>
          <w:bCs w:val="0"/>
        </w:rPr>
        <w:t>五、</w:t>
      </w:r>
      <w:r>
        <w:rPr>
          <w:rFonts w:hint="eastAsia" w:ascii="仿宋" w:hAnsi="仿宋" w:eastAsia="仿宋"/>
          <w:color w:val="000000"/>
        </w:rPr>
        <w:t>财</w:t>
      </w:r>
      <w:r>
        <w:rPr>
          <w:rFonts w:hint="eastAsia" w:ascii="仿宋" w:hAnsi="仿宋" w:eastAsia="仿宋"/>
          <w:bCs w:val="0"/>
        </w:rPr>
        <w:t>政拨款支出决算明细表</w:t>
      </w:r>
      <w:r>
        <w:tab/>
      </w:r>
      <w:r>
        <w:rPr>
          <w:rFonts w:hint="default"/>
        </w:rPr>
        <w:t>27</w:t>
      </w:r>
    </w:p>
    <w:p>
      <w:pPr>
        <w:pStyle w:val="9"/>
        <w:tabs>
          <w:tab w:val="right" w:leader="dot" w:pos="8306"/>
        </w:tabs>
        <w:rPr>
          <w:rFonts w:hint="default" w:eastAsia="宋体"/>
          <w:lang w:eastAsia="zh-CN"/>
        </w:rPr>
      </w:pPr>
      <w:r>
        <w:rPr>
          <w:rFonts w:hint="eastAsia" w:ascii="仿宋" w:hAnsi="仿宋" w:eastAsia="仿宋"/>
          <w:bCs w:val="0"/>
        </w:rPr>
        <w:t>六、</w:t>
      </w:r>
      <w:r>
        <w:rPr>
          <w:rFonts w:hint="eastAsia" w:ascii="仿宋" w:hAnsi="仿宋" w:eastAsia="仿宋"/>
          <w:color w:val="000000"/>
        </w:rPr>
        <w:t>一</w:t>
      </w:r>
      <w:r>
        <w:rPr>
          <w:rFonts w:hint="eastAsia" w:ascii="仿宋" w:hAnsi="仿宋" w:eastAsia="仿宋"/>
          <w:bCs w:val="0"/>
        </w:rPr>
        <w:t>般公共预算财政拨款支出决算表</w:t>
      </w:r>
      <w:r>
        <w:tab/>
      </w:r>
      <w:r>
        <w:rPr>
          <w:rFonts w:hint="default"/>
        </w:rPr>
        <w:t>27</w:t>
      </w:r>
    </w:p>
    <w:p>
      <w:pPr>
        <w:pStyle w:val="9"/>
        <w:tabs>
          <w:tab w:val="right" w:leader="dot" w:pos="8306"/>
        </w:tabs>
        <w:rPr>
          <w:rFonts w:hint="default" w:eastAsia="宋体"/>
          <w:lang w:eastAsia="zh-CN"/>
        </w:rPr>
      </w:pPr>
      <w:r>
        <w:rPr>
          <w:rFonts w:hint="eastAsia" w:ascii="仿宋" w:hAnsi="仿宋" w:eastAsia="仿宋"/>
          <w:bCs w:val="0"/>
        </w:rPr>
        <w:t>七、</w:t>
      </w:r>
      <w:r>
        <w:rPr>
          <w:rFonts w:hint="eastAsia" w:ascii="仿宋" w:hAnsi="仿宋" w:eastAsia="仿宋"/>
          <w:color w:val="000000"/>
        </w:rPr>
        <w:t>一</w:t>
      </w:r>
      <w:r>
        <w:rPr>
          <w:rFonts w:hint="eastAsia" w:ascii="仿宋" w:hAnsi="仿宋" w:eastAsia="仿宋"/>
          <w:bCs w:val="0"/>
        </w:rPr>
        <w:t>般公共预算财政拨款支出决算明细表</w:t>
      </w:r>
      <w:r>
        <w:tab/>
      </w:r>
      <w:r>
        <w:rPr>
          <w:rFonts w:hint="default"/>
        </w:rPr>
        <w:t>27</w:t>
      </w:r>
    </w:p>
    <w:p>
      <w:pPr>
        <w:pStyle w:val="9"/>
        <w:tabs>
          <w:tab w:val="right" w:leader="dot" w:pos="8306"/>
        </w:tabs>
        <w:rPr>
          <w:rFonts w:hint="default" w:eastAsia="宋体"/>
          <w:lang w:eastAsia="zh-CN"/>
        </w:rPr>
      </w:pPr>
      <w:r>
        <w:rPr>
          <w:rFonts w:hint="eastAsia" w:ascii="仿宋" w:hAnsi="仿宋" w:eastAsia="仿宋"/>
          <w:bCs w:val="0"/>
        </w:rPr>
        <w:t>八、</w:t>
      </w:r>
      <w:r>
        <w:rPr>
          <w:rFonts w:hint="eastAsia" w:ascii="仿宋" w:hAnsi="仿宋" w:eastAsia="仿宋"/>
          <w:color w:val="000000"/>
        </w:rPr>
        <w:t>一</w:t>
      </w:r>
      <w:r>
        <w:rPr>
          <w:rFonts w:hint="eastAsia" w:ascii="仿宋" w:hAnsi="仿宋" w:eastAsia="仿宋"/>
          <w:bCs w:val="0"/>
        </w:rPr>
        <w:t>般公共预算财政拨款基本支出决算表</w:t>
      </w:r>
      <w:r>
        <w:tab/>
      </w:r>
      <w:r>
        <w:rPr>
          <w:rFonts w:hint="default"/>
        </w:rPr>
        <w:t>27</w:t>
      </w:r>
    </w:p>
    <w:p>
      <w:pPr>
        <w:pStyle w:val="9"/>
        <w:tabs>
          <w:tab w:val="right" w:leader="dot" w:pos="8306"/>
        </w:tabs>
        <w:rPr>
          <w:rFonts w:hint="default" w:eastAsia="宋体"/>
          <w:lang w:eastAsia="zh-CN"/>
        </w:rPr>
      </w:pPr>
      <w:r>
        <w:rPr>
          <w:rFonts w:hint="eastAsia" w:ascii="仿宋" w:hAnsi="仿宋" w:eastAsia="仿宋"/>
          <w:bCs w:val="0"/>
        </w:rPr>
        <w:t>九、</w:t>
      </w:r>
      <w:r>
        <w:rPr>
          <w:rFonts w:hint="eastAsia" w:ascii="仿宋" w:hAnsi="仿宋" w:eastAsia="仿宋"/>
          <w:color w:val="000000"/>
        </w:rPr>
        <w:t>一</w:t>
      </w:r>
      <w:r>
        <w:rPr>
          <w:rFonts w:hint="eastAsia" w:ascii="仿宋" w:hAnsi="仿宋" w:eastAsia="仿宋"/>
          <w:bCs w:val="0"/>
        </w:rPr>
        <w:t>般公共预算财政拨款项目支出决算表</w:t>
      </w:r>
      <w:r>
        <w:tab/>
      </w:r>
      <w:r>
        <w:rPr>
          <w:rFonts w:hint="default"/>
        </w:rPr>
        <w:t>27</w:t>
      </w:r>
    </w:p>
    <w:p>
      <w:pPr>
        <w:pStyle w:val="9"/>
        <w:tabs>
          <w:tab w:val="right" w:leader="dot" w:pos="8306"/>
        </w:tabs>
        <w:rPr>
          <w:rFonts w:hint="default" w:eastAsia="宋体"/>
          <w:lang w:eastAsia="zh-CN"/>
        </w:rPr>
      </w:pPr>
      <w:r>
        <w:rPr>
          <w:rFonts w:hint="eastAsia" w:ascii="仿宋" w:hAnsi="仿宋" w:eastAsia="仿宋"/>
          <w:bCs w:val="0"/>
        </w:rPr>
        <w:t>十、</w:t>
      </w:r>
      <w:r>
        <w:rPr>
          <w:rFonts w:hint="eastAsia" w:ascii="仿宋" w:hAnsi="仿宋" w:eastAsia="仿宋"/>
          <w:color w:val="000000"/>
        </w:rPr>
        <w:t>一</w:t>
      </w:r>
      <w:r>
        <w:rPr>
          <w:rFonts w:hint="eastAsia" w:ascii="仿宋" w:hAnsi="仿宋" w:eastAsia="仿宋"/>
          <w:bCs w:val="0"/>
        </w:rPr>
        <w:t>般公共预算财政拨款“三公”经费支出决算表</w:t>
      </w:r>
      <w:r>
        <w:tab/>
      </w:r>
      <w:r>
        <w:rPr>
          <w:rFonts w:hint="default"/>
        </w:rPr>
        <w:t>27</w:t>
      </w:r>
    </w:p>
    <w:p>
      <w:pPr>
        <w:pStyle w:val="9"/>
        <w:tabs>
          <w:tab w:val="right" w:leader="dot" w:pos="8306"/>
        </w:tabs>
        <w:rPr>
          <w:rFonts w:hint="default" w:eastAsia="宋体"/>
          <w:lang w:eastAsia="zh-CN"/>
        </w:rPr>
      </w:pPr>
      <w:r>
        <w:rPr>
          <w:rFonts w:hint="eastAsia" w:ascii="仿宋" w:hAnsi="仿宋" w:eastAsia="仿宋"/>
          <w:bCs w:val="0"/>
        </w:rPr>
        <w:t>十一、</w:t>
      </w:r>
      <w:r>
        <w:rPr>
          <w:rFonts w:hint="eastAsia" w:ascii="仿宋" w:hAnsi="仿宋" w:eastAsia="仿宋"/>
          <w:color w:val="000000"/>
        </w:rPr>
        <w:t>政</w:t>
      </w:r>
      <w:r>
        <w:rPr>
          <w:rFonts w:hint="eastAsia" w:ascii="仿宋" w:hAnsi="仿宋" w:eastAsia="仿宋"/>
          <w:bCs w:val="0"/>
        </w:rPr>
        <w:t>府性基金预算财政拨款收入支出决算表</w:t>
      </w:r>
      <w:r>
        <w:tab/>
      </w:r>
      <w:r>
        <w:rPr>
          <w:rFonts w:hint="default"/>
        </w:rPr>
        <w:t>27</w:t>
      </w:r>
    </w:p>
    <w:p>
      <w:pPr>
        <w:pStyle w:val="9"/>
        <w:tabs>
          <w:tab w:val="right" w:leader="dot" w:pos="8306"/>
        </w:tabs>
        <w:rPr>
          <w:rFonts w:hint="default" w:eastAsia="宋体"/>
          <w:lang w:eastAsia="zh-CN"/>
        </w:rPr>
      </w:pPr>
      <w:r>
        <w:rPr>
          <w:rFonts w:hint="eastAsia" w:ascii="仿宋" w:hAnsi="仿宋" w:eastAsia="仿宋"/>
          <w:bCs w:val="0"/>
        </w:rPr>
        <w:t>十二、</w:t>
      </w:r>
      <w:r>
        <w:rPr>
          <w:rFonts w:hint="eastAsia" w:ascii="仿宋" w:hAnsi="仿宋" w:eastAsia="仿宋"/>
          <w:color w:val="000000"/>
        </w:rPr>
        <w:t>政</w:t>
      </w:r>
      <w:r>
        <w:rPr>
          <w:rFonts w:hint="eastAsia" w:ascii="仿宋" w:hAnsi="仿宋" w:eastAsia="仿宋"/>
          <w:bCs w:val="0"/>
        </w:rPr>
        <w:t>府性基金预算财政拨款“三公”经费支出决算表</w:t>
      </w:r>
      <w:r>
        <w:tab/>
      </w:r>
      <w:r>
        <w:rPr>
          <w:rFonts w:hint="default"/>
        </w:rPr>
        <w:t>27</w:t>
      </w:r>
    </w:p>
    <w:p>
      <w:pPr>
        <w:pStyle w:val="9"/>
        <w:tabs>
          <w:tab w:val="right" w:leader="dot" w:pos="8306"/>
        </w:tabs>
        <w:rPr>
          <w:rFonts w:hint="default" w:eastAsia="宋体"/>
          <w:lang w:eastAsia="zh-CN"/>
        </w:rPr>
      </w:pPr>
      <w:r>
        <w:rPr>
          <w:rFonts w:hint="eastAsia" w:ascii="仿宋" w:hAnsi="仿宋" w:eastAsia="仿宋"/>
          <w:bCs w:val="0"/>
        </w:rPr>
        <w:t>十三、</w:t>
      </w:r>
      <w:r>
        <w:rPr>
          <w:rFonts w:hint="eastAsia" w:ascii="仿宋" w:hAnsi="仿宋" w:eastAsia="仿宋"/>
          <w:color w:val="000000"/>
        </w:rPr>
        <w:t>国</w:t>
      </w:r>
      <w:r>
        <w:rPr>
          <w:rFonts w:hint="eastAsia" w:ascii="仿宋" w:hAnsi="仿宋" w:eastAsia="仿宋"/>
          <w:bCs w:val="0"/>
        </w:rPr>
        <w:t>有资本经营预算财政拨款支出决算表</w:t>
      </w:r>
      <w:r>
        <w:tab/>
      </w:r>
      <w:r>
        <w:rPr>
          <w:rFonts w:hint="default"/>
        </w:rPr>
        <w:t>27</w:t>
      </w:r>
    </w:p>
    <w:p>
      <w:pPr>
        <w:pStyle w:val="9"/>
        <w:tabs>
          <w:tab w:val="right" w:leader="dot" w:pos="8306"/>
        </w:tabs>
        <w:rPr>
          <w:rFonts w:hint="default" w:eastAsia="宋体"/>
          <w:lang w:eastAsia="zh-CN"/>
        </w:rPr>
      </w:pPr>
      <w:r>
        <w:rPr>
          <w:rFonts w:hint="eastAsia" w:ascii="仿宋" w:hAnsi="仿宋" w:eastAsia="仿宋"/>
          <w:bCs w:val="0"/>
        </w:rPr>
        <w:t>十四、国有资本经营预算财政拨款支出决算表</w:t>
      </w:r>
      <w:r>
        <w:tab/>
      </w:r>
      <w:r>
        <w:rPr>
          <w:rFonts w:hint="default"/>
        </w:rPr>
        <w:t>27</w:t>
      </w:r>
    </w:p>
    <w:p>
      <w:r>
        <w:rPr>
          <w:rFonts w:asciiTheme="minorHAnsi" w:eastAsiaTheme="minorHAnsi"/>
          <w:bCs/>
          <w:caps/>
          <w:szCs w:val="20"/>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公文小标宋" w:hAnsi="方正公文小标宋" w:eastAsia="方正公文小标宋" w:cs="方正公文小标宋"/>
          <w:sz w:val="44"/>
          <w:szCs w:val="44"/>
        </w:rPr>
      </w:pPr>
      <w:bookmarkStart w:id="14" w:name="_Toc79163601"/>
      <w:bookmarkStart w:id="15" w:name="_Toc19364"/>
      <w:bookmarkStart w:id="16" w:name="_Toc15396599"/>
      <w:bookmarkStart w:id="17" w:name="_Toc15377196"/>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公文小标宋" w:hAnsi="方正公文小标宋" w:eastAsia="方正公文小标宋" w:cs="方正公文小标宋"/>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公文小标宋" w:hAnsi="方正公文小标宋" w:eastAsia="方正公文小标宋" w:cs="方正公文小标宋"/>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公文小标宋" w:hAnsi="方正公文小标宋" w:eastAsia="方正公文小标宋" w:cs="方正公文小标宋"/>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公文小标宋" w:hAnsi="方正公文小标宋" w:eastAsia="方正公文小标宋" w:cs="方正公文小标宋"/>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公文小标宋" w:hAnsi="方正公文小标宋" w:eastAsia="方正公文小标宋" w:cs="方正公文小标宋"/>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公文小标宋" w:hAnsi="方正公文小标宋" w:eastAsia="方正公文小标宋" w:cs="方正公文小标宋"/>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公文小标宋" w:hAnsi="方正公文小标宋" w:eastAsia="方正公文小标宋" w:cs="方正公文小标宋"/>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公文小标宋" w:hAnsi="方正公文小标宋" w:eastAsia="方正公文小标宋" w:cs="方正公文小标宋"/>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公文小标宋" w:hAnsi="方正公文小标宋" w:eastAsia="方正公文小标宋" w:cs="方正公文小标宋"/>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公文小标宋" w:hAnsi="方正公文小标宋" w:eastAsia="方正公文小标宋" w:cs="方正公文小标宋"/>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公文小标宋" w:hAnsi="方正公文小标宋" w:eastAsia="方正公文小标宋" w:cs="方正公文小标宋"/>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公文小标宋" w:hAnsi="方正公文小标宋" w:eastAsia="方正公文小标宋" w:cs="方正公文小标宋"/>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公文小标宋" w:hAnsi="方正公文小标宋" w:eastAsia="方正公文小标宋" w:cs="方正公文小标宋"/>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公文小标宋" w:hAnsi="方正公文小标宋" w:eastAsia="方正公文小标宋" w:cs="方正公文小标宋"/>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公文小标宋" w:hAnsi="方正公文小标宋" w:eastAsia="方正公文小标宋" w:cs="方正公文小标宋"/>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公文小标宋" w:hAnsi="方正公文小标宋" w:eastAsia="方正公文小标宋" w:cs="方正公文小标宋"/>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公文小标宋" w:hAnsi="方正公文小标宋" w:eastAsia="方正公文小标宋" w:cs="方正公文小标宋"/>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第一部分 部门概况</w:t>
      </w:r>
      <w:bookmarkEnd w:id="14"/>
      <w:bookmarkEnd w:id="15"/>
      <w:bookmarkEnd w:id="16"/>
      <w:bookmarkEnd w:id="17"/>
    </w:p>
    <w:p>
      <w:pPr>
        <w:spacing w:line="560" w:lineRule="exact"/>
        <w:ind w:firstLine="470" w:firstLineChars="147"/>
        <w:rPr>
          <w:rFonts w:hint="eastAsia" w:ascii="黑体" w:hAnsi="黑体" w:eastAsia="黑体" w:cstheme="minorBidi"/>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theme="minorBidi"/>
          <w:sz w:val="32"/>
          <w:szCs w:val="32"/>
        </w:rPr>
      </w:pPr>
      <w:bookmarkStart w:id="18" w:name="_Toc9035"/>
      <w:bookmarkStart w:id="19" w:name="_Toc15396600"/>
      <w:bookmarkStart w:id="20" w:name="_Toc79163602"/>
      <w:bookmarkStart w:id="21" w:name="_Toc15377197"/>
      <w:r>
        <w:rPr>
          <w:rFonts w:hint="eastAsia" w:ascii="黑体" w:hAnsi="黑体" w:eastAsia="黑体" w:cstheme="minorBidi"/>
          <w:sz w:val="32"/>
          <w:szCs w:val="32"/>
        </w:rPr>
        <w:t>一、基本职能及主要工作</w:t>
      </w:r>
      <w:bookmarkEnd w:id="18"/>
      <w:bookmarkEnd w:id="19"/>
      <w:bookmarkEnd w:id="20"/>
      <w:bookmarkEnd w:id="21"/>
    </w:p>
    <w:p>
      <w:pPr>
        <w:pStyle w:val="4"/>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ascii="仿宋" w:hAnsi="仿宋" w:eastAsia="仿宋"/>
          <w:bCs/>
          <w:color w:val="000000"/>
          <w:sz w:val="32"/>
          <w:szCs w:val="32"/>
        </w:rPr>
      </w:pPr>
      <w:bookmarkStart w:id="22" w:name="_Toc7202"/>
      <w:bookmarkStart w:id="23" w:name="_Toc79163603"/>
      <w:bookmarkStart w:id="24" w:name="_Toc15378445"/>
      <w:bookmarkStart w:id="25" w:name="_Toc15377198"/>
      <w:r>
        <w:rPr>
          <w:rFonts w:hint="eastAsia" w:ascii="仿宋" w:hAnsi="仿宋" w:eastAsia="仿宋"/>
          <w:bCs/>
          <w:color w:val="000000"/>
          <w:sz w:val="32"/>
          <w:szCs w:val="32"/>
        </w:rPr>
        <w:t>（一）主要职能</w:t>
      </w:r>
      <w:bookmarkEnd w:id="22"/>
      <w:bookmarkEnd w:id="23"/>
    </w:p>
    <w:bookmarkEnd w:id="24"/>
    <w:bookmarkEnd w:id="25"/>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_GB2312" w:eastAsia="仿宋_GB2312"/>
          <w:b/>
          <w:sz w:val="32"/>
          <w:szCs w:val="32"/>
        </w:rPr>
      </w:pPr>
      <w:bookmarkStart w:id="26" w:name="_Toc15378446"/>
      <w:bookmarkStart w:id="27" w:name="_Toc15377199"/>
      <w:bookmarkStart w:id="28" w:name="_Toc79163604"/>
      <w:r>
        <w:rPr>
          <w:rFonts w:hint="eastAsia" w:ascii="仿宋_GB2312" w:hAnsi="仿宋" w:eastAsia="仿宋_GB2312"/>
          <w:b/>
          <w:sz w:val="32"/>
          <w:szCs w:val="32"/>
        </w:rPr>
        <w:t>1.综合科（股）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_GB2312" w:eastAsia="仿宋_GB2312"/>
          <w:sz w:val="32"/>
          <w:szCs w:val="32"/>
        </w:rPr>
      </w:pPr>
      <w:r>
        <w:rPr>
          <w:rFonts w:hint="eastAsia" w:ascii="仿宋_GB2312" w:eastAsia="仿宋_GB2312"/>
          <w:b/>
          <w:sz w:val="32"/>
          <w:szCs w:val="32"/>
        </w:rPr>
        <w:t>（1）文秘组：</w:t>
      </w:r>
      <w:r>
        <w:rPr>
          <w:rFonts w:hint="eastAsia" w:ascii="仿宋_GB2312" w:eastAsia="仿宋_GB2312"/>
          <w:sz w:val="32"/>
          <w:szCs w:val="32"/>
        </w:rPr>
        <w:t>负责机关行政、文电、会务、机要、督办、档案、保密，安全生产、网格安全，承担涉及政法工作综合性文稿事务和信息报送工作。调查掌握全县政法工作动态，研究政法工作重大政策和关系政法工作全局的事项，提出政策建议。协助领导全面了解掌握政法工作情况，指导全县政法调研工作，统筹全县政法系统智能化、信息化建设。</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_GB2312" w:eastAsia="仿宋_GB2312"/>
          <w:sz w:val="32"/>
          <w:szCs w:val="32"/>
        </w:rPr>
      </w:pPr>
      <w:r>
        <w:rPr>
          <w:rFonts w:hint="eastAsia" w:ascii="仿宋_GB2312" w:eastAsia="仿宋_GB2312"/>
          <w:b/>
          <w:sz w:val="32"/>
          <w:szCs w:val="32"/>
        </w:rPr>
        <w:t>（2）保障组：</w:t>
      </w:r>
      <w:r>
        <w:rPr>
          <w:rFonts w:hint="eastAsia" w:ascii="仿宋_GB2312" w:eastAsia="仿宋_GB2312"/>
          <w:sz w:val="32"/>
          <w:szCs w:val="32"/>
        </w:rPr>
        <w:t>承担出纳、会计、审计、固定资产管理、后勤管理和后勤服务工作。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（3）法治组：</w:t>
      </w:r>
      <w:r>
        <w:rPr>
          <w:rFonts w:hint="eastAsia" w:ascii="仿宋_GB2312" w:eastAsia="仿宋_GB2312"/>
          <w:sz w:val="32"/>
          <w:szCs w:val="32"/>
        </w:rPr>
        <w:t>研究法治壤塘建设中有关重大问题，提出意见建议。指导推动政法改革重大事项，掌握全县政法改革情况，组织研究带有方向性、倾向性和普遍性的重大问题，提出政策建议。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_GB2312" w:eastAsia="仿宋_GB2312"/>
          <w:sz w:val="32"/>
          <w:szCs w:val="32"/>
        </w:rPr>
      </w:pPr>
      <w:r>
        <w:rPr>
          <w:rFonts w:hint="eastAsia" w:ascii="仿宋_GB2312" w:eastAsia="仿宋_GB2312"/>
          <w:b/>
          <w:sz w:val="32"/>
          <w:szCs w:val="32"/>
        </w:rPr>
        <w:t>（4）信息组：</w:t>
      </w:r>
      <w:r>
        <w:rPr>
          <w:rFonts w:hint="eastAsia" w:ascii="仿宋_GB2312" w:eastAsia="仿宋_GB2312"/>
          <w:sz w:val="32"/>
          <w:szCs w:val="32"/>
        </w:rPr>
        <w:t>负责政法舆情监控分析，研究影响国家安全和社会稳定的舆情，提出对策建议，加强网格安全管理，并将有关情况及时通报县委宣传主管部门。</w:t>
      </w:r>
    </w:p>
    <w:p>
      <w:pPr>
        <w:pStyle w:val="13"/>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_GB2312" w:hAnsi="仿宋" w:eastAsia="仿宋_GB2312"/>
          <w:b/>
          <w:szCs w:val="32"/>
        </w:rPr>
      </w:pPr>
      <w:r>
        <w:rPr>
          <w:rFonts w:hint="eastAsia" w:ascii="仿宋_GB2312" w:hAnsi="仿宋" w:eastAsia="仿宋_GB2312"/>
          <w:b/>
          <w:szCs w:val="32"/>
        </w:rPr>
        <w:t>2.业务科</w:t>
      </w:r>
    </w:p>
    <w:p>
      <w:pPr>
        <w:pStyle w:val="13"/>
        <w:keepNext w:val="0"/>
        <w:keepLines w:val="0"/>
        <w:pageBreakBefore w:val="0"/>
        <w:widowControl w:val="0"/>
        <w:kinsoku/>
        <w:wordWrap/>
        <w:overflowPunct/>
        <w:topLinePunct w:val="0"/>
        <w:autoSpaceDE/>
        <w:autoSpaceDN/>
        <w:bidi w:val="0"/>
        <w:spacing w:line="560" w:lineRule="exact"/>
        <w:ind w:firstLine="642" w:firstLineChars="200"/>
        <w:textAlignment w:val="auto"/>
        <w:rPr>
          <w:rFonts w:ascii="仿宋_GB2312" w:eastAsia="仿宋_GB2312"/>
          <w:szCs w:val="32"/>
        </w:rPr>
      </w:pPr>
      <w:r>
        <w:rPr>
          <w:rFonts w:hint="eastAsia" w:ascii="仿宋_GB2312" w:eastAsia="仿宋_GB2312"/>
          <w:b/>
          <w:szCs w:val="32"/>
        </w:rPr>
        <w:t>（</w:t>
      </w:r>
      <w:r>
        <w:rPr>
          <w:rFonts w:hint="default" w:ascii="仿宋_GB2312" w:eastAsia="仿宋_GB2312"/>
          <w:b/>
          <w:szCs w:val="32"/>
        </w:rPr>
        <w:t>1</w:t>
      </w:r>
      <w:r>
        <w:rPr>
          <w:rFonts w:hint="eastAsia" w:ascii="仿宋_GB2312" w:eastAsia="仿宋_GB2312"/>
          <w:b/>
          <w:szCs w:val="32"/>
        </w:rPr>
        <w:t>）基层治理与综治组</w:t>
      </w:r>
      <w:r>
        <w:rPr>
          <w:rFonts w:hint="eastAsia" w:ascii="仿宋_GB2312" w:eastAsia="仿宋_GB2312"/>
          <w:szCs w:val="32"/>
        </w:rPr>
        <w:t>：承担社会治安综合治理工作的调查分析，组织协调和督导检查，承担维护社会稳定、社会治安综合治理工作的综合考评及社会治安综治治理领导责任制的实施，指导全县推进依法治理工作。协调推动重点领域、行业、物品安全管理。调查研究流动人口、特殊人群和重点青少年群体等服务管理工作有关问题并提出政策建议。协调推动建立覆盖全县实有人口的动态管理体系、特殊人群社会关怀帮扶体系。指导协调预防和减少青少年违法犯罪工作。协调推进基层社会治安综合治理体系建设，推动开展基层平安创建活动。指导推进各级综治中心建设、深化拓展网格化服务管理，完善乡（镇）、村（社区）综治维稳机制。推动“雪亮工程”等社会治安综合治理信息化建设。指导全县见义勇为表彰奖励工作。</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default" w:ascii="仿宋_GB2312" w:eastAsia="仿宋_GB2312"/>
          <w:sz w:val="32"/>
          <w:szCs w:val="32"/>
        </w:rPr>
      </w:pPr>
      <w:r>
        <w:rPr>
          <w:rFonts w:hint="eastAsia" w:ascii="仿宋_GB2312" w:eastAsia="仿宋_GB2312"/>
          <w:b/>
          <w:sz w:val="32"/>
          <w:szCs w:val="32"/>
        </w:rPr>
        <w:t>（</w:t>
      </w:r>
      <w:r>
        <w:rPr>
          <w:rFonts w:hint="default" w:ascii="仿宋_GB2312" w:eastAsia="仿宋_GB2312"/>
          <w:b/>
          <w:sz w:val="32"/>
          <w:szCs w:val="32"/>
        </w:rPr>
        <w:t>2</w:t>
      </w:r>
      <w:r>
        <w:rPr>
          <w:rFonts w:hint="eastAsia" w:ascii="仿宋_GB2312" w:eastAsia="仿宋_GB2312"/>
          <w:b/>
          <w:sz w:val="32"/>
          <w:szCs w:val="32"/>
        </w:rPr>
        <w:t>）纠纷多元化解组</w:t>
      </w:r>
      <w:r>
        <w:rPr>
          <w:rFonts w:hint="eastAsia" w:ascii="仿宋_GB2312" w:eastAsia="仿宋_GB2312"/>
          <w:sz w:val="32"/>
          <w:szCs w:val="32"/>
        </w:rPr>
        <w:t>：承担矛盾纠纷多元化解工作机制建设、组织协调、督促检查和考评推动。协调推动“人民、司法、行政、信访”四大调解与仲裁、行政复议、诉讼等对接</w:t>
      </w:r>
      <w:r>
        <w:rPr>
          <w:rFonts w:hint="default" w:ascii="仿宋_GB2312" w:eastAsia="仿宋_GB2312"/>
          <w:sz w:val="32"/>
          <w:szCs w:val="32"/>
        </w:rPr>
        <w:t>。</w:t>
      </w:r>
    </w:p>
    <w:p>
      <w:pPr>
        <w:pStyle w:val="4"/>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bCs/>
          <w:color w:val="000000"/>
          <w:sz w:val="32"/>
          <w:szCs w:val="32"/>
        </w:rPr>
      </w:pPr>
      <w:bookmarkStart w:id="29" w:name="_Toc13797"/>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rPr>
        <w:t>1年重点工作完成情况。</w:t>
      </w:r>
      <w:bookmarkEnd w:id="26"/>
      <w:bookmarkEnd w:id="27"/>
      <w:bookmarkEnd w:id="28"/>
      <w:bookmarkEnd w:id="29"/>
    </w:p>
    <w:p>
      <w:pPr>
        <w:pStyle w:val="4"/>
        <w:keepNext w:val="0"/>
        <w:keepLines w:val="0"/>
        <w:pageBreakBefore w:val="0"/>
        <w:widowControl w:val="0"/>
        <w:kinsoku/>
        <w:wordWrap/>
        <w:overflowPunct/>
        <w:topLinePunct w:val="0"/>
        <w:autoSpaceDE/>
        <w:autoSpaceDN/>
        <w:bidi w:val="0"/>
        <w:adjustRightInd w:val="0"/>
        <w:snapToGrid w:val="0"/>
        <w:spacing w:beforeLines="0" w:line="560" w:lineRule="exact"/>
        <w:ind w:firstLine="642" w:firstLineChars="200"/>
        <w:textAlignment w:val="auto"/>
        <w:outlineLvl w:val="9"/>
        <w:rPr>
          <w:rFonts w:hint="default" w:ascii="Times New Roman" w:hAnsi="Times New Roman" w:eastAsia="仿宋_GB2312" w:cs="Times New Roman"/>
          <w:color w:val="0000FF"/>
          <w:sz w:val="32"/>
          <w:szCs w:val="32"/>
        </w:rPr>
      </w:pPr>
      <w:r>
        <w:rPr>
          <w:rFonts w:ascii="Times New Roman" w:hAnsi="Times New Roman" w:eastAsia="方正楷体_GB2312" w:cs="Times New Roman"/>
          <w:b/>
          <w:sz w:val="32"/>
          <w:szCs w:val="32"/>
        </w:rPr>
        <w:t>以基层社会治理为</w:t>
      </w:r>
      <w:r>
        <w:rPr>
          <w:rFonts w:hint="eastAsia" w:ascii="Times New Roman" w:hAnsi="Times New Roman" w:eastAsia="方正楷体_GB2312" w:cs="Times New Roman"/>
          <w:b/>
          <w:sz w:val="32"/>
          <w:szCs w:val="32"/>
        </w:rPr>
        <w:t>抓手</w:t>
      </w:r>
      <w:r>
        <w:rPr>
          <w:rFonts w:ascii="Times New Roman" w:hAnsi="Times New Roman" w:eastAsia="方正楷体_GB2312" w:cs="Times New Roman"/>
          <w:b/>
          <w:sz w:val="32"/>
          <w:szCs w:val="32"/>
        </w:rPr>
        <w:t>，不断优化社会环境。</w:t>
      </w:r>
      <w:r>
        <w:rPr>
          <w:rFonts w:ascii="Times New Roman" w:hAnsi="Times New Roman" w:eastAsia="仿宋_GB2312" w:cs="Times New Roman"/>
          <w:sz w:val="32"/>
          <w:szCs w:val="32"/>
        </w:rPr>
        <w:t>综合运用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法治、德治、自治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等手段，立足实际，</w:t>
      </w:r>
      <w:r>
        <w:rPr>
          <w:rFonts w:hint="eastAsia" w:ascii="Times New Roman" w:hAnsi="Times New Roman" w:eastAsia="仿宋_GB2312" w:cs="Times New Roman"/>
          <w:sz w:val="32"/>
          <w:szCs w:val="32"/>
        </w:rPr>
        <w:t>统筹推进</w:t>
      </w:r>
      <w:r>
        <w:rPr>
          <w:rFonts w:ascii="Times New Roman" w:hAnsi="Times New Roman" w:eastAsia="仿宋_GB2312" w:cs="Times New Roman"/>
          <w:sz w:val="32"/>
          <w:szCs w:val="32"/>
        </w:rPr>
        <w:t>《壤塘县加强和改进基层社会治理十七条措施》，创新思路、综合施策、标本兼治。</w:t>
      </w:r>
      <w:r>
        <w:rPr>
          <w:rFonts w:ascii="Times New Roman" w:hAnsi="Times New Roman" w:eastAsia="仿宋_GB2312" w:cs="Times New Roman"/>
          <w:b/>
          <w:sz w:val="32"/>
          <w:szCs w:val="32"/>
        </w:rPr>
        <w:t>一是以平安家园村居创建强化群众自治。</w:t>
      </w:r>
      <w:r>
        <w:rPr>
          <w:rFonts w:hint="eastAsia" w:eastAsia="仿宋_GB2312"/>
          <w:sz w:val="32"/>
        </w:rPr>
        <w:t>年初，</w:t>
      </w:r>
      <w:r>
        <w:rPr>
          <w:rFonts w:hint="eastAsia" w:ascii="Calibri" w:hAnsi="Calibri" w:eastAsia="仿宋_GB2312" w:cs="Times New Roman"/>
          <w:sz w:val="32"/>
        </w:rPr>
        <w:t>结合创建实际，</w:t>
      </w:r>
      <w:r>
        <w:rPr>
          <w:rFonts w:hint="eastAsia" w:ascii="仿宋_GB2312" w:hAnsi="黑体" w:eastAsia="仿宋_GB2312" w:cs="Times New Roman"/>
          <w:sz w:val="32"/>
          <w:szCs w:val="32"/>
        </w:rPr>
        <w:t>对“美丽壤巴拉平安家园”村居创建中存在的短板和问题，进行梳理</w:t>
      </w:r>
      <w:r>
        <w:rPr>
          <w:rFonts w:hint="default" w:hAnsi="黑体" w:cs="Times New Roman"/>
          <w:sz w:val="32"/>
          <w:szCs w:val="32"/>
        </w:rPr>
        <w:t>，</w:t>
      </w:r>
      <w:r>
        <w:rPr>
          <w:rFonts w:hint="eastAsia" w:ascii="Calibri" w:hAnsi="Calibri" w:eastAsia="仿宋_GB2312" w:cs="Times New Roman"/>
          <w:sz w:val="32"/>
        </w:rPr>
        <w:t>规范和优化</w:t>
      </w:r>
      <w:r>
        <w:rPr>
          <w:rFonts w:hint="eastAsia" w:eastAsia="仿宋_GB2312"/>
          <w:sz w:val="32"/>
        </w:rPr>
        <w:t>了</w:t>
      </w:r>
      <w:r>
        <w:rPr>
          <w:rFonts w:hint="eastAsia" w:ascii="Calibri" w:hAnsi="Calibri" w:eastAsia="仿宋_GB2312" w:cs="Times New Roman"/>
          <w:sz w:val="32"/>
        </w:rPr>
        <w:t>创建活动，</w:t>
      </w:r>
      <w:r>
        <w:rPr>
          <w:rFonts w:hint="eastAsia" w:eastAsia="仿宋_GB2312"/>
          <w:sz w:val="32"/>
        </w:rPr>
        <w:t>实现了</w:t>
      </w:r>
      <w:r>
        <w:rPr>
          <w:rFonts w:hint="eastAsia" w:ascii="Calibri" w:hAnsi="Calibri" w:eastAsia="仿宋_GB2312" w:cs="Times New Roman"/>
          <w:sz w:val="32"/>
        </w:rPr>
        <w:t>提档升级</w:t>
      </w:r>
      <w:r>
        <w:rPr>
          <w:rFonts w:hint="eastAsia" w:eastAsia="仿宋_GB2312"/>
          <w:sz w:val="32"/>
        </w:rPr>
        <w:t>。</w:t>
      </w:r>
      <w:r>
        <w:rPr>
          <w:rFonts w:hint="eastAsia" w:ascii="仿宋_GB2312" w:hAnsi="黑体" w:eastAsia="仿宋_GB2312" w:cs="Times New Roman"/>
          <w:sz w:val="32"/>
          <w:szCs w:val="32"/>
        </w:rPr>
        <w:t>落实了“月动态管理登记制”、督导检查制，压实了责任。</w:t>
      </w:r>
      <w:r>
        <w:rPr>
          <w:rFonts w:hint="default" w:hAnsi="黑体" w:cs="Times New Roman"/>
          <w:sz w:val="32"/>
          <w:szCs w:val="32"/>
        </w:rPr>
        <w:t>二</w:t>
      </w:r>
      <w:r>
        <w:rPr>
          <w:rFonts w:hint="eastAsia" w:ascii="Times New Roman" w:hAnsi="Times New Roman" w:eastAsia="仿宋_GB2312" w:cs="Times New Roman"/>
          <w:b/>
          <w:sz w:val="32"/>
          <w:szCs w:val="32"/>
        </w:rPr>
        <w:t>是以智慧平台增强防控实效。</w:t>
      </w:r>
      <w:r>
        <w:rPr>
          <w:rFonts w:hint="eastAsia" w:ascii="仿宋_GB2312" w:hAnsi="仿宋_GB2312" w:eastAsia="仿宋_GB2312" w:cs="Times New Roman"/>
          <w:sz w:val="32"/>
        </w:rPr>
        <w:t>依托“十四五”规划，加大“雪亮”“天网”“卡口”等技防设施增补点工作，</w:t>
      </w:r>
      <w:r>
        <w:rPr>
          <w:rFonts w:hint="eastAsia" w:ascii="Times New Roman" w:hAnsi="Times New Roman" w:eastAsia="仿宋_GB2312" w:cs="Times New Roman"/>
          <w:sz w:val="32"/>
          <w:szCs w:val="32"/>
        </w:rPr>
        <w:t>积极动员群众推进“慧眼工程”建设，</w:t>
      </w:r>
      <w:r>
        <w:rPr>
          <w:rFonts w:hint="eastAsia" w:ascii="仿宋_GB2312" w:hAnsi="仿宋_GB2312" w:eastAsia="仿宋_GB2312" w:cs="Times New Roman"/>
          <w:sz w:val="32"/>
        </w:rPr>
        <w:t>不断扩大覆盖面。</w:t>
      </w:r>
      <w:r>
        <w:rPr>
          <w:rFonts w:hint="eastAsia" w:ascii="仿宋_GB2312" w:hAnsi="仿宋" w:eastAsia="仿宋_GB2312" w:cs="Times New Roman"/>
          <w:sz w:val="32"/>
          <w:szCs w:val="32"/>
        </w:rPr>
        <w:t>县综治中心与雪亮高度融合，构建社会治理综合平台，成为侦查破案、前端防范的重要手段，先后提供多条有价值的图像线索，</w:t>
      </w:r>
      <w:r>
        <w:rPr>
          <w:rFonts w:hint="eastAsia" w:ascii="仿宋_GB2312" w:eastAsia="仿宋_GB2312"/>
          <w:sz w:val="32"/>
          <w:szCs w:val="32"/>
        </w:rPr>
        <w:t>发挥“监测预警、信息掌控、调度指挥、分流交办、大数据库、社会服务、视频会议”七大功能。</w:t>
      </w:r>
      <w:r>
        <w:rPr>
          <w:rFonts w:hint="default"/>
          <w:sz w:val="32"/>
          <w:szCs w:val="32"/>
        </w:rPr>
        <w:t>三</w:t>
      </w:r>
      <w:r>
        <w:rPr>
          <w:rFonts w:hint="eastAsia" w:ascii="Times New Roman" w:hAnsi="Times New Roman" w:eastAsia="仿宋_GB2312" w:cs="Times New Roman"/>
          <w:b/>
          <w:sz w:val="32"/>
          <w:szCs w:val="32"/>
        </w:rPr>
        <w:t>是以边际协作共防确保边界稳定。</w:t>
      </w:r>
      <w:r>
        <w:rPr>
          <w:rFonts w:hint="eastAsia" w:eastAsia="仿宋_GB2312"/>
          <w:sz w:val="32"/>
          <w:szCs w:val="32"/>
        </w:rPr>
        <w:t>采取“走出去”“请进来”的方式，加强相邻各县沟通，积极搭建交流协作平台，</w:t>
      </w:r>
      <w:r>
        <w:rPr>
          <w:rFonts w:hint="eastAsia" w:ascii="Times New Roman" w:hAnsi="Times New Roman" w:eastAsia="仿宋_GB2312" w:cs="Times New Roman"/>
          <w:sz w:val="32"/>
          <w:szCs w:val="32"/>
        </w:rPr>
        <w:t>先后与甘孜炉霍、阿坝、金川等相邻兄弟县召开边际协作会，确保了边际地区和谐稳定</w:t>
      </w:r>
      <w:r>
        <w:rPr>
          <w:rFonts w:hint="default" w:ascii="Times New Roman" w:cs="Times New Roman"/>
          <w:sz w:val="32"/>
          <w:szCs w:val="32"/>
        </w:rPr>
        <w:t>。</w:t>
      </w:r>
    </w:p>
    <w:p>
      <w:pPr>
        <w:keepNext w:val="0"/>
        <w:keepLines w:val="0"/>
        <w:pageBreakBefore w:val="0"/>
        <w:widowControl w:val="0"/>
        <w:kinsoku/>
        <w:wordWrap/>
        <w:overflowPunct/>
        <w:topLinePunct w:val="0"/>
        <w:autoSpaceDE/>
        <w:autoSpaceDN/>
        <w:bidi w:val="0"/>
        <w:spacing w:line="560" w:lineRule="exact"/>
        <w:ind w:firstLine="642" w:firstLineChars="200"/>
        <w:jc w:val="left"/>
        <w:textAlignment w:val="auto"/>
        <w:outlineLvl w:val="9"/>
        <w:rPr>
          <w:rFonts w:ascii="Calibri" w:hAnsi="Calibri" w:eastAsia="仿宋_GB2312" w:cs="Times New Roman"/>
          <w:color w:val="0000FF"/>
          <w:sz w:val="32"/>
          <w:szCs w:val="32"/>
        </w:rPr>
      </w:pPr>
      <w:r>
        <w:rPr>
          <w:rFonts w:ascii="Times New Roman" w:hAnsi="Times New Roman" w:eastAsia="方正楷体_GB2312" w:cs="Times New Roman"/>
          <w:b/>
          <w:sz w:val="32"/>
          <w:szCs w:val="32"/>
        </w:rPr>
        <w:t>以纠纷排调为</w:t>
      </w:r>
      <w:r>
        <w:rPr>
          <w:rFonts w:hint="eastAsia" w:ascii="Times New Roman" w:hAnsi="Times New Roman" w:eastAsia="方正楷体_GB2312" w:cs="Times New Roman"/>
          <w:b/>
          <w:sz w:val="32"/>
          <w:szCs w:val="32"/>
        </w:rPr>
        <w:t>载体</w:t>
      </w:r>
      <w:r>
        <w:rPr>
          <w:rFonts w:ascii="Times New Roman" w:hAnsi="Times New Roman" w:eastAsia="方正楷体_GB2312" w:cs="Times New Roman"/>
          <w:b/>
          <w:sz w:val="32"/>
          <w:szCs w:val="32"/>
        </w:rPr>
        <w:t>，促进社会</w:t>
      </w:r>
      <w:r>
        <w:rPr>
          <w:rFonts w:hint="eastAsia" w:ascii="Times New Roman" w:hAnsi="Times New Roman" w:eastAsia="方正楷体_GB2312" w:cs="Times New Roman"/>
          <w:b/>
          <w:sz w:val="32"/>
          <w:szCs w:val="32"/>
        </w:rPr>
        <w:t>平安</w:t>
      </w:r>
      <w:r>
        <w:rPr>
          <w:rFonts w:ascii="Times New Roman" w:hAnsi="Times New Roman" w:eastAsia="方正楷体_GB2312" w:cs="Times New Roman"/>
          <w:b/>
          <w:sz w:val="32"/>
          <w:szCs w:val="32"/>
        </w:rPr>
        <w:t>和谐。</w:t>
      </w:r>
      <w:r>
        <w:rPr>
          <w:rFonts w:ascii="Times New Roman" w:hAnsi="Times New Roman" w:eastAsia="仿宋_GB2312" w:cs="Times New Roman"/>
          <w:sz w:val="32"/>
        </w:rPr>
        <w:t>进</w:t>
      </w:r>
      <w:r>
        <w:rPr>
          <w:rFonts w:ascii="Times New Roman" w:hAnsi="Times New Roman" w:eastAsia="仿宋_GB2312" w:cs="Times New Roman"/>
          <w:sz w:val="32"/>
          <w:szCs w:val="32"/>
        </w:rPr>
        <w:t>一步巩固和提升依法规范民间调解成果，构建起适合藏区特色，壤塘特征的多元化解模式</w:t>
      </w:r>
      <w:r>
        <w:rPr>
          <w:rFonts w:hint="eastAsia" w:ascii="Times New Roman" w:hAnsi="Times New Roman" w:eastAsia="仿宋_GB2312" w:cs="Times New Roman"/>
          <w:sz w:val="32"/>
          <w:szCs w:val="32"/>
        </w:rPr>
        <w:t>。</w:t>
      </w:r>
      <w:r>
        <w:rPr>
          <w:rFonts w:hint="eastAsia" w:ascii="Times New Roman" w:hAnsi="Times New Roman" w:eastAsia="仿宋_GB2312" w:cs="Times New Roman"/>
          <w:b/>
          <w:sz w:val="32"/>
          <w:szCs w:val="32"/>
        </w:rPr>
        <w:t>一是健全排调机制。</w:t>
      </w:r>
      <w:r>
        <w:rPr>
          <w:rFonts w:hint="eastAsia" w:ascii="仿宋_GB2312" w:eastAsia="仿宋_GB2312"/>
          <w:sz w:val="32"/>
          <w:szCs w:val="32"/>
        </w:rPr>
        <w:t>严格</w:t>
      </w:r>
      <w:r>
        <w:rPr>
          <w:rFonts w:hint="eastAsia" w:ascii="仿宋_GB2312" w:hAnsi="Calibri" w:eastAsia="仿宋_GB2312" w:cs="Times New Roman"/>
          <w:sz w:val="32"/>
          <w:szCs w:val="32"/>
        </w:rPr>
        <w:t>落实村（社区）7天、乡镇（部门、行业）半月矛盾纠纷定期排查制和敏感节点、时段适时排查制以及</w:t>
      </w:r>
      <w:r>
        <w:rPr>
          <w:rFonts w:ascii="Times New Roman" w:hAnsi="Times New Roman" w:eastAsia="仿宋_GB2312" w:cs="Times New Roman"/>
          <w:sz w:val="32"/>
          <w:szCs w:val="32"/>
        </w:rPr>
        <w:t>动态管理台账</w:t>
      </w:r>
      <w:r>
        <w:rPr>
          <w:rFonts w:hint="eastAsia" w:ascii="仿宋_GB2312" w:hAnsi="Calibri" w:eastAsia="仿宋_GB2312" w:cs="Times New Roman"/>
          <w:sz w:val="32"/>
          <w:szCs w:val="32"/>
        </w:rPr>
        <w:t>制，</w:t>
      </w:r>
      <w:r>
        <w:rPr>
          <w:rFonts w:hint="eastAsia" w:ascii="仿宋_GB2312" w:eastAsia="仿宋_GB2312"/>
          <w:sz w:val="32"/>
          <w:szCs w:val="32"/>
        </w:rPr>
        <w:t>坚持</w:t>
      </w:r>
      <w:r>
        <w:rPr>
          <w:rFonts w:hint="eastAsia" w:ascii="仿宋_GB2312" w:hAnsi="Calibri" w:eastAsia="仿宋_GB2312" w:cs="Times New Roman"/>
          <w:sz w:val="32"/>
          <w:szCs w:val="32"/>
        </w:rPr>
        <w:t>月汇总、月通报、</w:t>
      </w:r>
      <w:r>
        <w:rPr>
          <w:rFonts w:hint="eastAsia" w:ascii="Times New Roman" w:hAnsi="Times New Roman" w:eastAsia="仿宋_GB2312" w:cs="Times New Roman"/>
          <w:sz w:val="32"/>
        </w:rPr>
        <w:t>“</w:t>
      </w:r>
      <w:r>
        <w:rPr>
          <w:rFonts w:ascii="Times New Roman" w:hAnsi="Times New Roman" w:eastAsia="仿宋_GB2312" w:cs="Times New Roman"/>
          <w:sz w:val="32"/>
        </w:rPr>
        <w:t>三定一包</w:t>
      </w:r>
      <w:r>
        <w:rPr>
          <w:rFonts w:hint="eastAsia" w:ascii="Times New Roman" w:hAnsi="Times New Roman" w:eastAsia="仿宋_GB2312" w:cs="Times New Roman"/>
          <w:sz w:val="32"/>
        </w:rPr>
        <w:t>”</w:t>
      </w:r>
      <w:r>
        <w:rPr>
          <w:rFonts w:ascii="Times New Roman" w:hAnsi="Times New Roman" w:eastAsia="仿宋_GB2312" w:cs="Times New Roman"/>
          <w:sz w:val="32"/>
        </w:rPr>
        <w:t>责任</w:t>
      </w:r>
      <w:r>
        <w:rPr>
          <w:rFonts w:hint="eastAsia" w:ascii="仿宋_GB2312" w:hAnsi="Calibri" w:eastAsia="仿宋_GB2312" w:cs="Times New Roman"/>
          <w:sz w:val="32"/>
          <w:szCs w:val="32"/>
        </w:rPr>
        <w:t>制，</w:t>
      </w:r>
      <w:r>
        <w:rPr>
          <w:rFonts w:ascii="Times New Roman" w:hAnsi="Times New Roman" w:eastAsia="仿宋_GB2312" w:cs="Times New Roman"/>
          <w:color w:val="000000"/>
          <w:sz w:val="32"/>
          <w:szCs w:val="32"/>
        </w:rPr>
        <w:t>形成了</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人民调解、行政调解、司法调解、信</w:t>
      </w:r>
      <w:r>
        <w:rPr>
          <w:rFonts w:ascii="Times New Roman" w:hAnsi="Times New Roman" w:eastAsia="仿宋_GB2312" w:cs="Times New Roman"/>
          <w:sz w:val="32"/>
          <w:szCs w:val="32"/>
        </w:rPr>
        <w:t>访化解</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sz w:val="32"/>
          <w:szCs w:val="32"/>
        </w:rPr>
        <w:t>四调联动，</w:t>
      </w:r>
      <w:r>
        <w:rPr>
          <w:rFonts w:hint="eastAsia" w:ascii="Times New Roman" w:hAnsi="Times New Roman" w:eastAsia="仿宋_GB2312" w:cs="Times New Roman"/>
          <w:sz w:val="32"/>
          <w:szCs w:val="32"/>
        </w:rPr>
        <w:t>并与</w:t>
      </w:r>
      <w:r>
        <w:rPr>
          <w:rFonts w:ascii="Times New Roman" w:hAnsi="Times New Roman" w:eastAsia="仿宋_GB2312" w:cs="Times New Roman"/>
          <w:color w:val="000000"/>
          <w:sz w:val="32"/>
          <w:szCs w:val="32"/>
        </w:rPr>
        <w:t>仲裁、行政复议无缝对接的多元化解机制</w:t>
      </w: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b/>
          <w:color w:val="000000"/>
          <w:sz w:val="32"/>
          <w:szCs w:val="32"/>
        </w:rPr>
        <w:t>二是</w:t>
      </w:r>
      <w:r>
        <w:rPr>
          <w:rFonts w:hint="eastAsia" w:ascii="仿宋_GB2312" w:hAnsi="仿宋_GB2312" w:eastAsia="仿宋_GB2312" w:cs="Times New Roman"/>
          <w:b/>
          <w:sz w:val="32"/>
        </w:rPr>
        <w:t>突出排调重点。</w:t>
      </w:r>
      <w:r>
        <w:rPr>
          <w:rFonts w:hint="eastAsia" w:ascii="仿宋_GB2312" w:hAnsi="仿宋_GB2312" w:eastAsia="仿宋_GB2312" w:cs="Times New Roman"/>
          <w:sz w:val="32"/>
        </w:rPr>
        <w:t>根据不同时段、不同季节纠纷发生的规律和特征，把“三山一界”、工程建设、征地拆迁、环境保护等领域多发频发、影响重大的不稳定因素作为排查化解的重点。</w:t>
      </w:r>
      <w:r>
        <w:rPr>
          <w:rFonts w:hint="eastAsia" w:ascii="仿宋_GB2312" w:hAnsi="仿宋_GB2312" w:eastAsia="仿宋_GB2312" w:cs="Times New Roman"/>
          <w:b/>
          <w:sz w:val="32"/>
        </w:rPr>
        <w:t>三是严格压实责任。</w:t>
      </w:r>
      <w:r>
        <w:rPr>
          <w:rFonts w:hint="eastAsia" w:ascii="仿宋_GB2312" w:hAnsi="Calibri" w:eastAsia="仿宋_GB2312" w:cs="Times New Roman"/>
          <w:sz w:val="32"/>
          <w:szCs w:val="32"/>
        </w:rPr>
        <w:t>对排查掌握的矛盾纠纷，实行层级管理、分级调处，重大矛盾纠纷实行联系乡镇领导、帮村部门包案制，进行专案攻坚</w:t>
      </w:r>
      <w:r>
        <w:rPr>
          <w:rFonts w:hint="eastAsia" w:ascii="仿宋_GB2312" w:eastAsia="仿宋_GB2312"/>
          <w:sz w:val="32"/>
          <w:szCs w:val="32"/>
        </w:rPr>
        <w:t>，全年以来，排查矛盾纠纷395件，化解374件。</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outlineLvl w:val="9"/>
        <w:rPr>
          <w:rFonts w:ascii="仿宋_GB2312" w:eastAsia="仿宋_GB2312"/>
          <w:b/>
          <w:sz w:val="32"/>
          <w:szCs w:val="32"/>
        </w:rPr>
      </w:pPr>
      <w:r>
        <w:rPr>
          <w:rFonts w:hint="eastAsia" w:ascii="方正楷体_GB2312" w:hAnsi="仿宋_GB2312" w:eastAsia="方正楷体_GB2312" w:cs="Times New Roman"/>
          <w:b/>
          <w:sz w:val="32"/>
        </w:rPr>
        <w:t>以普法教育为基础，不断深化群众教育。一是优化宣讲队伍。</w:t>
      </w:r>
      <w:r>
        <w:rPr>
          <w:rFonts w:ascii="Times New Roman" w:hAnsi="Times New Roman" w:eastAsia="仿宋_GB2312" w:cs="Times New Roman"/>
          <w:sz w:val="32"/>
          <w:szCs w:val="32"/>
        </w:rPr>
        <w:t>整合</w:t>
      </w:r>
      <w:r>
        <w:rPr>
          <w:rFonts w:hint="eastAsia" w:ascii="仿宋_GB2312" w:hAnsi="仿宋" w:eastAsia="仿宋_GB2312"/>
          <w:sz w:val="32"/>
          <w:szCs w:val="32"/>
        </w:rPr>
        <w:t>“壤巴拉宣讲团”，“女子”“干警”等七支藏汉双语宣讲队，</w:t>
      </w:r>
      <w:r>
        <w:rPr>
          <w:rFonts w:ascii="Times New Roman" w:hAnsi="Times New Roman" w:eastAsia="仿宋_GB2312" w:cs="Times New Roman"/>
          <w:sz w:val="32"/>
          <w:szCs w:val="32"/>
        </w:rPr>
        <w:t>优化宣讲队伍，切实提高宣讲实效。</w:t>
      </w:r>
      <w:r>
        <w:rPr>
          <w:rFonts w:ascii="Times New Roman" w:hAnsi="Times New Roman" w:eastAsia="仿宋_GB2312" w:cs="Times New Roman"/>
          <w:b/>
          <w:sz w:val="32"/>
          <w:szCs w:val="32"/>
        </w:rPr>
        <w:t>二是创新宣传方式。</w:t>
      </w:r>
      <w:r>
        <w:rPr>
          <w:rFonts w:hint="eastAsia" w:ascii="仿宋_GB2312" w:hAnsi="仿宋" w:eastAsia="仿宋_GB2312" w:cs="Times New Roman"/>
          <w:sz w:val="32"/>
          <w:szCs w:val="32"/>
        </w:rPr>
        <w:t>在</w:t>
      </w:r>
      <w:r>
        <w:rPr>
          <w:rFonts w:hint="eastAsia" w:ascii="仿宋_GB2312" w:hAnsi="Calibri" w:eastAsia="仿宋_GB2312" w:cs="Times New Roman"/>
          <w:sz w:val="32"/>
          <w:szCs w:val="32"/>
        </w:rPr>
        <w:t>“订单+定制”和常规宣传模式的基础上，</w:t>
      </w:r>
      <w:r>
        <w:rPr>
          <w:rFonts w:hint="eastAsia" w:ascii="Times New Roman" w:hAnsi="Times New Roman" w:eastAsia="仿宋_GB2312" w:cs="Times New Roman"/>
          <w:sz w:val="32"/>
          <w:szCs w:val="32"/>
        </w:rPr>
        <w:t>搭建了“</w:t>
      </w:r>
      <w:r>
        <w:rPr>
          <w:rFonts w:ascii="Times New Roman" w:hAnsi="Times New Roman" w:eastAsia="仿宋_GB2312" w:cs="Times New Roman"/>
          <w:sz w:val="32"/>
          <w:szCs w:val="32"/>
        </w:rPr>
        <w:t>格桑梅朵</w:t>
      </w:r>
      <w:r>
        <w:rPr>
          <w:rFonts w:hint="eastAsia" w:ascii="Times New Roman" w:hAnsi="Times New Roman" w:eastAsia="仿宋_GB2312" w:cs="Times New Roman"/>
          <w:sz w:val="32"/>
          <w:szCs w:val="32"/>
        </w:rPr>
        <w:t>”</w:t>
      </w:r>
      <w:r>
        <w:rPr>
          <w:rFonts w:hint="default" w:eastAsia="仿宋_GB2312" w:cs="Times New Roman"/>
          <w:sz w:val="32"/>
          <w:szCs w:val="32"/>
        </w:rPr>
        <w:t>法治宣传</w:t>
      </w:r>
      <w:r>
        <w:rPr>
          <w:rFonts w:ascii="Times New Roman" w:hAnsi="Times New Roman" w:eastAsia="仿宋_GB2312" w:cs="Times New Roman"/>
          <w:sz w:val="32"/>
          <w:szCs w:val="32"/>
        </w:rPr>
        <w:t>基地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创办农牧民群众喜闻乐见的普法说唱</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谢饵山劝导</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编演普法情景剧《卓玛维权路》</w:t>
      </w:r>
      <w:r>
        <w:rPr>
          <w:rFonts w:hint="eastAsia" w:ascii="Times New Roman" w:hAnsi="Times New Roman" w:eastAsia="仿宋_GB2312" w:cs="Times New Roman"/>
          <w:sz w:val="32"/>
          <w:szCs w:val="32"/>
        </w:rPr>
        <w:t>，</w:t>
      </w:r>
      <w:r>
        <w:rPr>
          <w:rFonts w:hint="default" w:eastAsia="仿宋_GB2312" w:cs="Times New Roman"/>
          <w:sz w:val="32"/>
          <w:szCs w:val="32"/>
        </w:rPr>
        <w:t>编制</w:t>
      </w:r>
      <w:r>
        <w:rPr>
          <w:rFonts w:ascii="Times New Roman" w:hAnsi="Times New Roman" w:eastAsia="仿宋_GB2312" w:cs="Times New Roman"/>
          <w:sz w:val="32"/>
          <w:szCs w:val="32"/>
        </w:rPr>
        <w:t>《平安壤塘》、《小初说法》等20余类藏汉两文宣传读物</w:t>
      </w:r>
      <w:r>
        <w:rPr>
          <w:rFonts w:hint="eastAsia" w:ascii="Times New Roman" w:hAnsi="Times New Roman" w:eastAsia="仿宋_GB2312" w:cs="Times New Roman"/>
          <w:sz w:val="32"/>
          <w:szCs w:val="32"/>
        </w:rPr>
        <w:t>，增强了宣讲的灵活性和多样性。</w:t>
      </w:r>
      <w:r>
        <w:rPr>
          <w:rFonts w:hint="default" w:ascii="Times New Roman" w:hAnsi="Times New Roman" w:eastAsia="仿宋_GB2312" w:cs="Times New Roman"/>
          <w:b/>
          <w:sz w:val="32"/>
          <w:szCs w:val="32"/>
        </w:rPr>
        <w:t>三是</w:t>
      </w:r>
      <w:r>
        <w:rPr>
          <w:rFonts w:hint="eastAsia" w:ascii="Times New Roman" w:hAnsi="Times New Roman" w:eastAsia="仿宋_GB2312" w:cs="Times New Roman"/>
          <w:b/>
          <w:sz w:val="32"/>
          <w:szCs w:val="32"/>
        </w:rPr>
        <w:t>拓宽宣讲覆盖面。</w:t>
      </w:r>
      <w:r>
        <w:rPr>
          <w:rFonts w:hint="eastAsia" w:ascii="Times New Roman" w:hAnsi="Times New Roman" w:eastAsia="仿宋_GB2312" w:cs="Times New Roman"/>
          <w:sz w:val="32"/>
          <w:szCs w:val="32"/>
        </w:rPr>
        <w:t>在“法律七进”的基础上，进一步拓展法律政策进高墙、进“三山一界”、进工地、进传习所、进9+3，形成了具有壤塘特色的法律政策“7+5进”，累计宣讲210余场次，</w:t>
      </w:r>
      <w:r>
        <w:rPr>
          <w:rFonts w:ascii="Times New Roman" w:hAnsi="Times New Roman" w:eastAsia="仿宋_GB2312" w:cs="Times New Roman"/>
          <w:sz w:val="32"/>
          <w:szCs w:val="32"/>
        </w:rPr>
        <w:t>受教群众达</w:t>
      </w:r>
      <w:r>
        <w:rPr>
          <w:rFonts w:hint="eastAsia" w:ascii="Times New Roman" w:hAnsi="Times New Roman" w:eastAsia="仿宋_GB2312" w:cs="Times New Roman"/>
          <w:sz w:val="32"/>
          <w:szCs w:val="32"/>
        </w:rPr>
        <w:t>4.1</w:t>
      </w:r>
      <w:r>
        <w:rPr>
          <w:rFonts w:ascii="Times New Roman" w:hAnsi="Times New Roman" w:eastAsia="仿宋_GB2312" w:cs="Times New Roman"/>
          <w:sz w:val="32"/>
          <w:szCs w:val="32"/>
        </w:rPr>
        <w:t>万余人次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确保</w:t>
      </w:r>
      <w:r>
        <w:rPr>
          <w:rFonts w:hint="eastAsia" w:ascii="Times New Roman" w:hAnsi="Times New Roman" w:eastAsia="仿宋_GB2312" w:cs="Times New Roman"/>
          <w:sz w:val="32"/>
          <w:szCs w:val="32"/>
        </w:rPr>
        <w:t>法治宣讲全覆盖。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theme="minorBidi"/>
          <w:sz w:val="32"/>
          <w:szCs w:val="32"/>
        </w:rPr>
      </w:pPr>
      <w:bookmarkStart w:id="30" w:name="_Toc4275"/>
      <w:bookmarkStart w:id="31" w:name="_Toc79163605"/>
      <w:bookmarkStart w:id="32" w:name="_Toc15377200"/>
      <w:bookmarkStart w:id="33" w:name="_Toc15396601"/>
      <w:r>
        <w:rPr>
          <w:rFonts w:hint="eastAsia" w:ascii="黑体" w:hAnsi="黑体" w:eastAsia="黑体" w:cstheme="minorBidi"/>
          <w:sz w:val="32"/>
          <w:szCs w:val="32"/>
        </w:rPr>
        <w:t>二、机构设置</w:t>
      </w:r>
      <w:bookmarkEnd w:id="30"/>
      <w:bookmarkEnd w:id="31"/>
      <w:bookmarkEnd w:id="32"/>
      <w:bookmarkEnd w:id="33"/>
    </w:p>
    <w:p>
      <w:pPr>
        <w:pStyle w:val="14"/>
        <w:spacing w:before="0" w:line="560" w:lineRule="exact"/>
        <w:ind w:firstLine="640" w:firstLineChars="200"/>
        <w:rPr>
          <w:sz w:val="32"/>
          <w:szCs w:val="32"/>
        </w:rPr>
      </w:pPr>
      <w:r>
        <w:rPr>
          <w:rFonts w:hint="default"/>
          <w:sz w:val="32"/>
          <w:szCs w:val="32"/>
        </w:rPr>
        <w:t>中共壤塘县委政法委员会</w:t>
      </w:r>
      <w:r>
        <w:rPr>
          <w:rFonts w:hint="eastAsia"/>
          <w:sz w:val="32"/>
          <w:szCs w:val="32"/>
        </w:rPr>
        <w:t>属一级预算单位，无下属二级预算单位，其中：行政单位1个；参照公务员法管理的事业单位0个；其他事业单位0个。</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keepNext/>
        <w:keepLines/>
        <w:pageBreakBefore w:val="0"/>
        <w:widowControl w:val="0"/>
        <w:kinsoku/>
        <w:wordWrap/>
        <w:overflowPunct/>
        <w:topLinePunct w:val="0"/>
        <w:autoSpaceDE/>
        <w:autoSpaceDN/>
        <w:bidi w:val="0"/>
        <w:adjustRightInd/>
        <w:snapToGrid/>
        <w:spacing w:before="0" w:after="0" w:line="560" w:lineRule="exact"/>
        <w:ind w:right="0"/>
        <w:jc w:val="center"/>
        <w:textAlignment w:val="auto"/>
        <w:rPr>
          <w:rStyle w:val="15"/>
          <w:rFonts w:hint="eastAsia" w:ascii="方正公文小标宋" w:hAnsi="方正公文小标宋" w:eastAsia="方正公文小标宋" w:cs="方正公文小标宋"/>
          <w:b w:val="0"/>
          <w:bCs w:val="0"/>
        </w:rPr>
      </w:pPr>
      <w:bookmarkStart w:id="34" w:name="_Toc10551"/>
      <w:bookmarkStart w:id="35" w:name="_Toc15396602"/>
      <w:bookmarkStart w:id="36" w:name="_Toc15377204"/>
      <w:bookmarkStart w:id="37" w:name="_Toc79163609"/>
      <w:r>
        <w:rPr>
          <w:rFonts w:hint="eastAsia" w:ascii="方正公文小标宋" w:hAnsi="方正公文小标宋" w:eastAsia="方正公文小标宋" w:cs="方正公文小标宋"/>
          <w:b w:val="0"/>
          <w:color w:val="000000"/>
        </w:rPr>
        <w:t>第二部分</w:t>
      </w:r>
      <w:r>
        <w:rPr>
          <w:rFonts w:hint="eastAsia" w:ascii="方正公文小标宋" w:hAnsi="方正公文小标宋" w:eastAsia="方正公文小标宋" w:cs="方正公文小标宋"/>
          <w:color w:val="000000"/>
        </w:rPr>
        <w:t xml:space="preserve"> </w:t>
      </w:r>
      <w:r>
        <w:rPr>
          <w:rStyle w:val="15"/>
          <w:rFonts w:hint="eastAsia" w:ascii="方正公文小标宋" w:hAnsi="方正公文小标宋" w:eastAsia="方正公文小标宋" w:cs="方正公文小标宋"/>
          <w:b w:val="0"/>
          <w:bCs w:val="0"/>
        </w:rPr>
        <w:t>2021年度部门决算情况说明</w:t>
      </w:r>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pPr>
        <w:pStyle w:val="16"/>
        <w:numPr>
          <w:ilvl w:val="0"/>
          <w:numId w:val="1"/>
        </w:numPr>
        <w:spacing w:line="600" w:lineRule="exact"/>
        <w:ind w:firstLineChars="0"/>
        <w:outlineLvl w:val="1"/>
        <w:rPr>
          <w:rStyle w:val="17"/>
          <w:rFonts w:ascii="黑体" w:hAnsi="黑体" w:eastAsia="黑体"/>
          <w:b w:val="0"/>
        </w:rPr>
      </w:pPr>
      <w:bookmarkStart w:id="38" w:name="_Toc16724"/>
      <w:bookmarkStart w:id="39" w:name="_Toc15396603"/>
      <w:bookmarkStart w:id="40" w:name="_Toc79163610"/>
      <w:bookmarkStart w:id="41" w:name="_Toc15377205"/>
      <w:r>
        <w:rPr>
          <w:rFonts w:hint="eastAsia" w:ascii="黑体" w:hAnsi="黑体" w:eastAsia="黑体"/>
          <w:color w:val="000000"/>
          <w:sz w:val="32"/>
          <w:szCs w:val="32"/>
        </w:rPr>
        <w:t>收</w:t>
      </w:r>
      <w:r>
        <w:rPr>
          <w:rStyle w:val="17"/>
          <w:rFonts w:hint="eastAsia" w:ascii="黑体" w:hAnsi="黑体" w:eastAsia="黑体"/>
          <w:b w:val="0"/>
        </w:rPr>
        <w:t>入支出决算总体情况说明</w:t>
      </w:r>
      <w:bookmarkEnd w:id="38"/>
      <w:bookmarkEnd w:id="39"/>
      <w:bookmarkEnd w:id="40"/>
      <w:bookmarkEnd w:id="41"/>
    </w:p>
    <w:p>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202</w:t>
      </w:r>
      <w:r>
        <w:rPr>
          <w:rFonts w:hint="eastAsia" w:ascii="仿宋" w:hAnsi="仿宋" w:eastAsia="仿宋"/>
          <w:color w:val="000000"/>
          <w:sz w:val="32"/>
          <w:szCs w:val="32"/>
        </w:rPr>
        <w:t>1年度收</w:t>
      </w:r>
      <w:r>
        <w:rPr>
          <w:rFonts w:hint="eastAsia" w:ascii="仿宋" w:hAnsi="仿宋" w:eastAsia="仿宋"/>
          <w:color w:val="000000"/>
          <w:sz w:val="32"/>
          <w:szCs w:val="32"/>
          <w:lang w:val="en-US" w:eastAsia="zh-CN"/>
        </w:rPr>
        <w:t>入总计、</w:t>
      </w:r>
      <w:r>
        <w:rPr>
          <w:rFonts w:hint="eastAsia" w:ascii="仿宋" w:hAnsi="仿宋" w:eastAsia="仿宋"/>
          <w:color w:val="000000"/>
          <w:sz w:val="32"/>
          <w:szCs w:val="32"/>
        </w:rPr>
        <w:t>支</w:t>
      </w:r>
      <w:r>
        <w:rPr>
          <w:rFonts w:hint="eastAsia" w:ascii="仿宋" w:hAnsi="仿宋" w:eastAsia="仿宋"/>
          <w:color w:val="000000"/>
          <w:sz w:val="32"/>
          <w:szCs w:val="32"/>
          <w:lang w:val="en-US"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均为</w:t>
      </w:r>
      <w:r>
        <w:rPr>
          <w:rFonts w:hint="eastAsia" w:ascii="仿宋" w:hAnsi="仿宋" w:eastAsia="仿宋"/>
          <w:color w:val="000000"/>
          <w:sz w:val="32"/>
          <w:szCs w:val="32"/>
        </w:rPr>
        <w:t>1288.8万元。与</w:t>
      </w:r>
      <w:r>
        <w:rPr>
          <w:rFonts w:ascii="仿宋" w:hAnsi="仿宋" w:eastAsia="仿宋"/>
          <w:color w:val="000000"/>
          <w:sz w:val="32"/>
          <w:szCs w:val="32"/>
        </w:rPr>
        <w:t>20</w:t>
      </w:r>
      <w:r>
        <w:rPr>
          <w:rFonts w:hint="eastAsia" w:ascii="仿宋" w:hAnsi="仿宋" w:eastAsia="仿宋"/>
          <w:color w:val="000000"/>
          <w:sz w:val="32"/>
          <w:szCs w:val="32"/>
        </w:rPr>
        <w:t>20年相比，收</w:t>
      </w:r>
      <w:r>
        <w:rPr>
          <w:rFonts w:hint="eastAsia" w:ascii="仿宋" w:hAnsi="仿宋" w:eastAsia="仿宋"/>
          <w:color w:val="000000"/>
          <w:sz w:val="32"/>
          <w:szCs w:val="32"/>
          <w:lang w:val="en-US" w:eastAsia="zh-CN"/>
        </w:rPr>
        <w:t>入总计和</w:t>
      </w:r>
      <w:r>
        <w:rPr>
          <w:rFonts w:hint="eastAsia" w:ascii="仿宋" w:hAnsi="仿宋" w:eastAsia="仿宋"/>
          <w:color w:val="000000"/>
          <w:sz w:val="32"/>
          <w:szCs w:val="32"/>
        </w:rPr>
        <w:t>支</w:t>
      </w:r>
      <w:r>
        <w:rPr>
          <w:rFonts w:hint="eastAsia" w:ascii="仿宋" w:hAnsi="仿宋" w:eastAsia="仿宋"/>
          <w:color w:val="000000"/>
          <w:sz w:val="32"/>
          <w:szCs w:val="32"/>
          <w:lang w:val="en-US" w:eastAsia="zh-CN"/>
        </w:rPr>
        <w:t>出</w:t>
      </w:r>
      <w:r>
        <w:rPr>
          <w:rFonts w:hint="eastAsia" w:ascii="仿宋" w:hAnsi="仿宋" w:eastAsia="仿宋"/>
          <w:color w:val="000000"/>
          <w:sz w:val="32"/>
          <w:szCs w:val="32"/>
        </w:rPr>
        <w:t>总计各增加</w:t>
      </w:r>
      <w:r>
        <w:rPr>
          <w:rFonts w:hint="eastAsia" w:ascii="仿宋" w:hAnsi="仿宋" w:eastAsia="仿宋"/>
          <w:color w:val="000000"/>
          <w:sz w:val="32"/>
          <w:szCs w:val="32"/>
          <w:lang w:val="en-US" w:eastAsia="zh-CN"/>
        </w:rPr>
        <w:t>187.97</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17.08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2021年项目增加，单位收入增加。</w:t>
      </w:r>
    </w:p>
    <w:p>
      <w:pPr>
        <w:spacing w:line="600" w:lineRule="exact"/>
        <w:ind w:firstLine="640" w:firstLineChars="200"/>
        <w:rPr>
          <w:rFonts w:hint="eastAsia" w:ascii="仿宋" w:hAnsi="仿宋" w:eastAsia="仿宋"/>
          <w:color w:val="000000"/>
          <w:sz w:val="32"/>
          <w:szCs w:val="32"/>
          <w:lang w:val="en-US" w:eastAsia="zh-CN"/>
        </w:rPr>
      </w:pPr>
      <w:r>
        <w:rPr>
          <w:rFonts w:hint="default" w:ascii="仿宋" w:hAnsi="仿宋" w:eastAsia="仿宋"/>
          <w:color w:val="000000"/>
          <w:sz w:val="32"/>
          <w:szCs w:val="32"/>
          <w:lang w:val="en-US" w:eastAsia="zh-CN"/>
        </w:rPr>
        <w:drawing>
          <wp:anchor distT="0" distB="0" distL="114300" distR="114300" simplePos="0" relativeHeight="251659264" behindDoc="1" locked="0" layoutInCell="1" allowOverlap="1">
            <wp:simplePos x="0" y="0"/>
            <wp:positionH relativeFrom="column">
              <wp:posOffset>205105</wp:posOffset>
            </wp:positionH>
            <wp:positionV relativeFrom="paragraph">
              <wp:posOffset>116840</wp:posOffset>
            </wp:positionV>
            <wp:extent cx="4580890" cy="2912110"/>
            <wp:effectExtent l="5080" t="4445" r="5080" b="17145"/>
            <wp:wrapThrough wrapText="bothSides">
              <wp:wrapPolygon>
                <wp:start x="-24" y="-33"/>
                <wp:lineTo x="-24" y="21445"/>
                <wp:lineTo x="21534" y="21445"/>
                <wp:lineTo x="21534" y="-33"/>
                <wp:lineTo x="-24" y="-33"/>
              </wp:wrapPolygon>
            </wp:wrapThrough>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hint="eastAsia" w:ascii="仿宋" w:hAnsi="仿宋" w:eastAsia="仿宋"/>
          <w:color w:val="000000"/>
          <w:sz w:val="32"/>
          <w:szCs w:val="32"/>
          <w:lang w:val="en-US" w:eastAsia="zh-CN"/>
        </w:rPr>
      </w:pPr>
    </w:p>
    <w:p>
      <w:pPr>
        <w:spacing w:line="600" w:lineRule="exact"/>
        <w:ind w:firstLine="640" w:firstLineChars="200"/>
        <w:rPr>
          <w:rFonts w:hint="eastAsia" w:ascii="仿宋" w:hAnsi="仿宋" w:eastAsia="仿宋"/>
          <w:color w:val="000000"/>
          <w:sz w:val="32"/>
          <w:szCs w:val="32"/>
          <w:lang w:val="en-US" w:eastAsia="zh-CN"/>
        </w:rPr>
      </w:pPr>
    </w:p>
    <w:p>
      <w:pPr>
        <w:spacing w:line="600" w:lineRule="exact"/>
        <w:ind w:firstLine="640" w:firstLineChars="200"/>
        <w:rPr>
          <w:rFonts w:hint="default" w:ascii="仿宋" w:hAnsi="仿宋" w:eastAsia="仿宋"/>
          <w:color w:val="000000"/>
          <w:sz w:val="32"/>
          <w:szCs w:val="32"/>
          <w:lang w:val="en-US" w:eastAsia="zh-CN"/>
        </w:rPr>
      </w:pPr>
    </w:p>
    <w:p>
      <w:pPr>
        <w:spacing w:line="600" w:lineRule="exact"/>
        <w:rPr>
          <w:rFonts w:hint="default" w:ascii="仿宋" w:hAnsi="仿宋" w:eastAsia="仿宋"/>
          <w:color w:val="000000"/>
          <w:sz w:val="32"/>
          <w:szCs w:val="32"/>
          <w:lang w:val="en-US" w:eastAsia="zh-CN"/>
        </w:rPr>
      </w:pPr>
    </w:p>
    <w:p>
      <w:pPr>
        <w:spacing w:line="600" w:lineRule="exact"/>
        <w:ind w:firstLine="640" w:firstLineChars="200"/>
        <w:rPr>
          <w:rFonts w:hint="default" w:ascii="仿宋" w:hAnsi="仿宋" w:eastAsia="仿宋"/>
          <w:color w:val="000000"/>
          <w:sz w:val="32"/>
          <w:szCs w:val="32"/>
          <w:lang w:val="en-US" w:eastAsia="zh-CN"/>
        </w:rPr>
      </w:pPr>
    </w:p>
    <w:p>
      <w:pPr>
        <w:spacing w:line="600" w:lineRule="exact"/>
        <w:ind w:firstLine="960" w:firstLineChars="300"/>
        <w:rPr>
          <w:rFonts w:hint="eastAsia" w:ascii="仿宋" w:hAnsi="仿宋" w:eastAsia="仿宋"/>
          <w:color w:val="000000"/>
          <w:sz w:val="32"/>
          <w:szCs w:val="32"/>
        </w:rPr>
      </w:pPr>
    </w:p>
    <w:p>
      <w:pPr>
        <w:spacing w:line="600" w:lineRule="exact"/>
        <w:ind w:firstLine="960" w:firstLineChars="300"/>
        <w:rPr>
          <w:rFonts w:hint="eastAsia" w:ascii="仿宋" w:hAnsi="仿宋" w:eastAsia="仿宋"/>
          <w:color w:val="000000"/>
          <w:sz w:val="32"/>
          <w:szCs w:val="32"/>
        </w:rPr>
      </w:pPr>
    </w:p>
    <w:p>
      <w:pPr>
        <w:spacing w:line="600" w:lineRule="exact"/>
        <w:ind w:firstLine="960" w:firstLineChars="300"/>
        <w:rPr>
          <w:rFonts w:ascii="仿宋_GB2312" w:eastAsia="仿宋_GB2312"/>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p>
    <w:p>
      <w:pPr>
        <w:pStyle w:val="16"/>
        <w:numPr>
          <w:ilvl w:val="0"/>
          <w:numId w:val="1"/>
        </w:numPr>
        <w:spacing w:line="600" w:lineRule="exact"/>
        <w:ind w:firstLineChars="0"/>
        <w:outlineLvl w:val="1"/>
        <w:rPr>
          <w:rStyle w:val="17"/>
          <w:rFonts w:ascii="黑体" w:hAnsi="黑体" w:eastAsia="黑体"/>
          <w:b w:val="0"/>
        </w:rPr>
      </w:pPr>
      <w:bookmarkStart w:id="42" w:name="_Toc79163611"/>
      <w:bookmarkStart w:id="43" w:name="_Toc15377206"/>
      <w:bookmarkStart w:id="44" w:name="_Toc15396604"/>
      <w:bookmarkStart w:id="45" w:name="_Toc32429"/>
      <w:r>
        <w:rPr>
          <w:rFonts w:hint="eastAsia" w:ascii="黑体" w:hAnsi="黑体" w:eastAsia="黑体"/>
          <w:color w:val="000000"/>
          <w:sz w:val="32"/>
          <w:szCs w:val="32"/>
        </w:rPr>
        <w:t>收</w:t>
      </w:r>
      <w:r>
        <w:rPr>
          <w:rStyle w:val="17"/>
          <w:rFonts w:hint="eastAsia" w:ascii="黑体" w:hAnsi="黑体" w:eastAsia="黑体"/>
          <w:b w:val="0"/>
        </w:rPr>
        <w:t>入决算情况说明</w:t>
      </w:r>
      <w:bookmarkEnd w:id="42"/>
      <w:bookmarkEnd w:id="43"/>
      <w:bookmarkEnd w:id="44"/>
      <w:bookmarkEnd w:id="45"/>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1年本年收入合计1151.31万元，其中：一般公共预算财政拨款收入1151.31万元，占</w:t>
      </w:r>
      <w:r>
        <w:rPr>
          <w:rFonts w:hint="eastAsia" w:ascii="仿宋" w:hAnsi="仿宋" w:eastAsia="仿宋"/>
          <w:color w:val="000000"/>
          <w:sz w:val="32"/>
          <w:szCs w:val="32"/>
          <w:lang w:val="en-US" w:eastAsia="zh-CN"/>
        </w:rPr>
        <w:t>100.00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drawing>
          <wp:anchor distT="0" distB="0" distL="114300" distR="114300" simplePos="0" relativeHeight="251660288" behindDoc="1" locked="0" layoutInCell="1" allowOverlap="1">
            <wp:simplePos x="0" y="0"/>
            <wp:positionH relativeFrom="column">
              <wp:posOffset>553720</wp:posOffset>
            </wp:positionH>
            <wp:positionV relativeFrom="paragraph">
              <wp:posOffset>-306070</wp:posOffset>
            </wp:positionV>
            <wp:extent cx="4121150" cy="2268220"/>
            <wp:effectExtent l="4445" t="5080" r="8255" b="12700"/>
            <wp:wrapThrough wrapText="bothSides">
              <wp:wrapPolygon>
                <wp:start x="-23" y="-48"/>
                <wp:lineTo x="-23" y="21540"/>
                <wp:lineTo x="21543" y="21540"/>
                <wp:lineTo x="21543" y="-48"/>
                <wp:lineTo x="-23" y="-48"/>
              </wp:wrapPolygon>
            </wp:wrapThrough>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hint="eastAsia" w:ascii="仿宋" w:hAnsi="仿宋" w:eastAsia="仿宋"/>
          <w:color w:val="000000"/>
          <w:sz w:val="32"/>
          <w:szCs w:val="32"/>
        </w:rPr>
      </w:pPr>
    </w:p>
    <w:p>
      <w:pPr>
        <w:spacing w:line="600" w:lineRule="exact"/>
        <w:ind w:firstLine="1920" w:firstLineChars="6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pPr>
        <w:spacing w:line="600" w:lineRule="exact"/>
        <w:ind w:firstLine="640" w:firstLineChars="200"/>
        <w:rPr>
          <w:rFonts w:hint="eastAsia" w:ascii="仿宋" w:hAnsi="仿宋" w:eastAsia="仿宋"/>
          <w:color w:val="000000"/>
          <w:sz w:val="32"/>
          <w:szCs w:val="32"/>
        </w:rPr>
      </w:pPr>
    </w:p>
    <w:p>
      <w:pPr>
        <w:pStyle w:val="16"/>
        <w:numPr>
          <w:ilvl w:val="0"/>
          <w:numId w:val="1"/>
        </w:numPr>
        <w:spacing w:line="600" w:lineRule="exact"/>
        <w:ind w:firstLineChars="0"/>
        <w:outlineLvl w:val="1"/>
        <w:rPr>
          <w:rStyle w:val="17"/>
          <w:rFonts w:ascii="黑体" w:hAnsi="黑体" w:eastAsia="黑体"/>
          <w:b w:val="0"/>
        </w:rPr>
      </w:pPr>
      <w:bookmarkStart w:id="46" w:name="_Toc15377207"/>
      <w:bookmarkStart w:id="47" w:name="_Toc79163612"/>
      <w:bookmarkStart w:id="48" w:name="_Toc15396605"/>
      <w:bookmarkStart w:id="49" w:name="_Toc30085"/>
      <w:r>
        <w:rPr>
          <w:rFonts w:hint="eastAsia" w:ascii="黑体" w:hAnsi="黑体" w:eastAsia="黑体"/>
          <w:color w:val="000000"/>
          <w:sz w:val="32"/>
          <w:szCs w:val="32"/>
        </w:rPr>
        <w:t>支</w:t>
      </w:r>
      <w:r>
        <w:rPr>
          <w:rStyle w:val="17"/>
          <w:rFonts w:hint="eastAsia" w:ascii="黑体" w:hAnsi="黑体" w:eastAsia="黑体"/>
          <w:b w:val="0"/>
        </w:rPr>
        <w:t>出决算情况说明</w:t>
      </w:r>
      <w:bookmarkEnd w:id="46"/>
      <w:bookmarkEnd w:id="47"/>
      <w:bookmarkEnd w:id="48"/>
      <w:bookmarkEnd w:id="49"/>
    </w:p>
    <w:p>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1年本年支出合计1288.8万元，其中：基本支出585.81万元，占</w:t>
      </w:r>
      <w:r>
        <w:rPr>
          <w:rFonts w:hint="eastAsia" w:ascii="仿宋_GB2312" w:eastAsia="仿宋_GB2312"/>
          <w:sz w:val="32"/>
          <w:szCs w:val="32"/>
          <w:lang w:val="en-US" w:eastAsia="zh-CN"/>
        </w:rPr>
        <w:t>45.45</w:t>
      </w:r>
      <w:r>
        <w:rPr>
          <w:rFonts w:ascii="仿宋_GB2312" w:eastAsia="仿宋_GB2312"/>
          <w:sz w:val="32"/>
          <w:szCs w:val="32"/>
        </w:rPr>
        <w:t>%</w:t>
      </w:r>
      <w:r>
        <w:rPr>
          <w:rFonts w:hint="eastAsia" w:ascii="仿宋_GB2312" w:eastAsia="仿宋_GB2312"/>
          <w:sz w:val="32"/>
          <w:szCs w:val="32"/>
        </w:rPr>
        <w:t>；项目支出702.99万元，占</w:t>
      </w:r>
      <w:r>
        <w:rPr>
          <w:rFonts w:hint="eastAsia" w:ascii="仿宋_GB2312" w:eastAsia="仿宋_GB2312"/>
          <w:sz w:val="32"/>
          <w:szCs w:val="32"/>
          <w:lang w:val="en-US" w:eastAsia="zh-CN"/>
        </w:rPr>
        <w:t>54.55</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 w:hAnsi="仿宋" w:eastAsia="仿宋"/>
          <w:color w:val="000000"/>
          <w:sz w:val="32"/>
          <w:szCs w:val="32"/>
          <w:shd w:val="pct10" w:color="auto" w:fill="FFFFFF"/>
        </w:rPr>
      </w:pPr>
      <w:r>
        <w:rPr>
          <w:rFonts w:hint="eastAsia" w:ascii="仿宋" w:hAnsi="仿宋" w:eastAsia="仿宋"/>
          <w:color w:val="000000"/>
          <w:sz w:val="32"/>
          <w:szCs w:val="32"/>
          <w:shd w:val="pct10" w:color="auto" w:fill="FFFFFF"/>
          <w:lang w:eastAsia="zh-CN"/>
        </w:rPr>
        <w:drawing>
          <wp:anchor distT="0" distB="0" distL="114300" distR="114300" simplePos="0" relativeHeight="251661312" behindDoc="1" locked="0" layoutInCell="1" allowOverlap="1">
            <wp:simplePos x="0" y="0"/>
            <wp:positionH relativeFrom="column">
              <wp:posOffset>840105</wp:posOffset>
            </wp:positionH>
            <wp:positionV relativeFrom="paragraph">
              <wp:posOffset>43815</wp:posOffset>
            </wp:positionV>
            <wp:extent cx="3356610" cy="2547620"/>
            <wp:effectExtent l="4445" t="4445" r="10795" b="19685"/>
            <wp:wrapThrough wrapText="bothSides">
              <wp:wrapPolygon>
                <wp:start x="-29" y="-38"/>
                <wp:lineTo x="-29" y="21444"/>
                <wp:lineTo x="21547" y="21444"/>
                <wp:lineTo x="21547" y="-38"/>
                <wp:lineTo x="-29" y="-38"/>
              </wp:wrapPolygon>
            </wp:wrapThrough>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rPr>
          <w:rFonts w:ascii="仿宋" w:hAnsi="仿宋" w:eastAsia="仿宋"/>
          <w:color w:val="000000"/>
          <w:sz w:val="32"/>
          <w:szCs w:val="32"/>
          <w:shd w:val="pct10" w:color="auto" w:fill="FFFFFF"/>
        </w:rPr>
      </w:pPr>
    </w:p>
    <w:p>
      <w:pPr>
        <w:spacing w:line="600" w:lineRule="exact"/>
        <w:ind w:firstLine="640"/>
        <w:rPr>
          <w:rFonts w:ascii="仿宋" w:hAnsi="仿宋" w:eastAsia="仿宋"/>
          <w:color w:val="000000"/>
          <w:sz w:val="32"/>
          <w:szCs w:val="32"/>
          <w:shd w:val="pct10" w:color="auto" w:fill="FFFFFF"/>
        </w:rPr>
      </w:pPr>
    </w:p>
    <w:p>
      <w:pPr>
        <w:spacing w:line="600" w:lineRule="exact"/>
        <w:ind w:firstLine="640"/>
        <w:rPr>
          <w:rFonts w:ascii="仿宋" w:hAnsi="仿宋" w:eastAsia="仿宋"/>
          <w:color w:val="000000"/>
          <w:sz w:val="32"/>
          <w:szCs w:val="32"/>
          <w:shd w:val="pct10" w:color="auto" w:fill="FFFFFF"/>
        </w:rPr>
      </w:pPr>
    </w:p>
    <w:p>
      <w:pPr>
        <w:spacing w:line="600" w:lineRule="exact"/>
        <w:ind w:firstLine="640"/>
        <w:rPr>
          <w:rFonts w:ascii="仿宋" w:hAnsi="仿宋" w:eastAsia="仿宋"/>
          <w:color w:val="000000"/>
          <w:sz w:val="32"/>
          <w:szCs w:val="32"/>
          <w:shd w:val="pct10" w:color="auto" w:fill="FFFFFF"/>
        </w:rPr>
      </w:pPr>
    </w:p>
    <w:p>
      <w:pPr>
        <w:spacing w:line="600" w:lineRule="exact"/>
        <w:ind w:firstLine="640"/>
        <w:rPr>
          <w:rFonts w:hint="eastAsia" w:ascii="仿宋" w:hAnsi="仿宋" w:eastAsia="仿宋"/>
          <w:color w:val="000000"/>
          <w:sz w:val="32"/>
          <w:szCs w:val="32"/>
          <w:shd w:val="pct10" w:color="auto" w:fill="FFFFFF"/>
          <w:lang w:eastAsia="zh-CN"/>
        </w:rPr>
      </w:pPr>
    </w:p>
    <w:p>
      <w:pPr>
        <w:spacing w:line="600" w:lineRule="exact"/>
        <w:ind w:firstLine="640" w:firstLineChars="200"/>
        <w:rPr>
          <w:rFonts w:hint="eastAsia" w:ascii="仿宋" w:hAnsi="仿宋" w:eastAsia="仿宋"/>
          <w:color w:val="000000"/>
          <w:sz w:val="32"/>
          <w:szCs w:val="32"/>
        </w:rPr>
      </w:pPr>
    </w:p>
    <w:p>
      <w:pPr>
        <w:spacing w:line="600" w:lineRule="exact"/>
        <w:ind w:firstLine="1920" w:firstLineChars="600"/>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p>
    <w:p>
      <w:pPr>
        <w:spacing w:line="600" w:lineRule="exact"/>
        <w:ind w:firstLine="640" w:firstLineChars="200"/>
        <w:outlineLvl w:val="1"/>
        <w:rPr>
          <w:rStyle w:val="17"/>
          <w:rFonts w:ascii="黑体" w:hAnsi="黑体" w:eastAsia="黑体"/>
          <w:b w:val="0"/>
        </w:rPr>
      </w:pPr>
      <w:bookmarkStart w:id="50" w:name="_Toc15377208"/>
      <w:bookmarkStart w:id="51" w:name="_Toc1159"/>
      <w:bookmarkStart w:id="52" w:name="_Toc79163613"/>
      <w:bookmarkStart w:id="53" w:name="_Toc15396606"/>
      <w:r>
        <w:rPr>
          <w:rFonts w:hint="eastAsia" w:ascii="黑体" w:hAnsi="黑体" w:eastAsia="黑体"/>
          <w:color w:val="000000"/>
          <w:sz w:val="32"/>
          <w:szCs w:val="32"/>
        </w:rPr>
        <w:t>四、财</w:t>
      </w:r>
      <w:r>
        <w:rPr>
          <w:rStyle w:val="17"/>
          <w:rFonts w:hint="eastAsia" w:ascii="黑体" w:hAnsi="黑体" w:eastAsia="黑体"/>
          <w:b w:val="0"/>
        </w:rPr>
        <w:t>政拨款收入支出决算总体情况说明</w:t>
      </w:r>
      <w:bookmarkEnd w:id="50"/>
      <w:bookmarkEnd w:id="51"/>
      <w:bookmarkEnd w:id="52"/>
      <w:bookmarkEnd w:id="53"/>
    </w:p>
    <w:p>
      <w:pPr>
        <w:spacing w:line="600" w:lineRule="exact"/>
        <w:ind w:firstLine="640"/>
        <w:rPr>
          <w:rFonts w:hint="default" w:ascii="仿宋" w:hAnsi="仿宋" w:eastAsia="仿宋"/>
          <w:color w:val="000000"/>
          <w:sz w:val="32"/>
          <w:szCs w:val="32"/>
          <w:lang w:val="en-US" w:eastAsia="zh-CN"/>
        </w:rPr>
      </w:pPr>
      <w:r>
        <w:rPr>
          <w:rFonts w:ascii="仿宋" w:hAnsi="仿宋" w:eastAsia="仿宋"/>
          <w:color w:val="000000"/>
          <w:sz w:val="32"/>
          <w:szCs w:val="32"/>
        </w:rPr>
        <w:t>202</w:t>
      </w:r>
      <w:r>
        <w:rPr>
          <w:rFonts w:hint="eastAsia" w:ascii="仿宋" w:hAnsi="仿宋" w:eastAsia="仿宋"/>
          <w:color w:val="000000"/>
          <w:sz w:val="32"/>
          <w:szCs w:val="32"/>
        </w:rPr>
        <w:t>1年财政拨款收、支总计1288.8万元。与</w:t>
      </w:r>
      <w:r>
        <w:rPr>
          <w:rFonts w:ascii="仿宋" w:hAnsi="仿宋" w:eastAsia="仿宋"/>
          <w:color w:val="000000"/>
          <w:sz w:val="32"/>
          <w:szCs w:val="32"/>
        </w:rPr>
        <w:t>20</w:t>
      </w:r>
      <w:r>
        <w:rPr>
          <w:rFonts w:hint="eastAsia" w:ascii="仿宋" w:hAnsi="仿宋" w:eastAsia="仿宋"/>
          <w:color w:val="000000"/>
          <w:sz w:val="32"/>
          <w:szCs w:val="32"/>
        </w:rPr>
        <w:t>20年相比，财政拨款收、支总计各增加</w:t>
      </w:r>
      <w:r>
        <w:rPr>
          <w:rFonts w:hint="eastAsia" w:ascii="仿宋" w:hAnsi="仿宋" w:eastAsia="仿宋"/>
          <w:color w:val="000000"/>
          <w:sz w:val="32"/>
          <w:szCs w:val="32"/>
          <w:lang w:val="en-US" w:eastAsia="zh-CN"/>
        </w:rPr>
        <w:t>187.97</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17.08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2021年当年项目增加，收入增加。</w:t>
      </w:r>
    </w:p>
    <w:p>
      <w:pPr>
        <w:spacing w:line="600" w:lineRule="exact"/>
        <w:rPr>
          <w:rFonts w:ascii="仿宋" w:hAnsi="仿宋" w:eastAsia="仿宋"/>
          <w:color w:val="000000"/>
          <w:sz w:val="32"/>
          <w:szCs w:val="32"/>
        </w:rPr>
      </w:pPr>
      <w:r>
        <w:rPr>
          <w:rFonts w:hint="default" w:ascii="仿宋" w:hAnsi="仿宋" w:eastAsia="仿宋"/>
          <w:color w:val="000000"/>
          <w:sz w:val="32"/>
          <w:szCs w:val="32"/>
          <w:lang w:val="en-US" w:eastAsia="zh-CN"/>
        </w:rPr>
        <w:drawing>
          <wp:anchor distT="0" distB="0" distL="114300" distR="114300" simplePos="0" relativeHeight="251662336" behindDoc="1" locked="0" layoutInCell="1" allowOverlap="1">
            <wp:simplePos x="0" y="0"/>
            <wp:positionH relativeFrom="column">
              <wp:posOffset>394335</wp:posOffset>
            </wp:positionH>
            <wp:positionV relativeFrom="paragraph">
              <wp:posOffset>121285</wp:posOffset>
            </wp:positionV>
            <wp:extent cx="4533265" cy="2086610"/>
            <wp:effectExtent l="5080" t="4445" r="14605" b="23495"/>
            <wp:wrapThrough wrapText="bothSides">
              <wp:wrapPolygon>
                <wp:start x="-24" y="-46"/>
                <wp:lineTo x="-24" y="21449"/>
                <wp:lineTo x="21488" y="21449"/>
                <wp:lineTo x="21488" y="-46"/>
                <wp:lineTo x="-24" y="-46"/>
              </wp:wrapPolygon>
            </wp:wrapThrough>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1280" w:firstLineChars="400"/>
        <w:rPr>
          <w:rFonts w:ascii="仿宋" w:hAnsi="仿宋" w:eastAsia="仿宋"/>
          <w:b/>
          <w:color w:val="00B05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w:t>
      </w:r>
    </w:p>
    <w:p>
      <w:pPr>
        <w:spacing w:line="600" w:lineRule="exact"/>
        <w:ind w:firstLine="640" w:firstLineChars="200"/>
        <w:outlineLvl w:val="1"/>
        <w:rPr>
          <w:rStyle w:val="17"/>
          <w:rFonts w:ascii="黑体" w:hAnsi="黑体" w:eastAsia="黑体"/>
          <w:b w:val="0"/>
        </w:rPr>
      </w:pPr>
      <w:bookmarkStart w:id="54" w:name="_Toc79163614"/>
      <w:bookmarkStart w:id="55" w:name="_Toc15445"/>
      <w:bookmarkStart w:id="56" w:name="_Toc15396607"/>
      <w:bookmarkStart w:id="57"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7"/>
          <w:rFonts w:hint="eastAsia" w:ascii="黑体" w:hAnsi="黑体" w:eastAsia="黑体"/>
          <w:b w:val="0"/>
        </w:rPr>
        <w:t>般公共预算财政拨款支出决算情况说明</w:t>
      </w:r>
      <w:bookmarkEnd w:id="54"/>
      <w:bookmarkEnd w:id="55"/>
      <w:bookmarkEnd w:id="56"/>
      <w:bookmarkEnd w:id="57"/>
    </w:p>
    <w:p>
      <w:pPr>
        <w:spacing w:line="600" w:lineRule="exact"/>
        <w:ind w:firstLine="642" w:firstLineChars="200"/>
        <w:outlineLvl w:val="2"/>
        <w:rPr>
          <w:rFonts w:ascii="仿宋" w:hAnsi="仿宋" w:eastAsia="仿宋"/>
          <w:b/>
          <w:color w:val="000000"/>
          <w:sz w:val="32"/>
          <w:szCs w:val="32"/>
        </w:rPr>
      </w:pPr>
      <w:bookmarkStart w:id="58" w:name="_Toc79163615"/>
      <w:bookmarkStart w:id="59" w:name="_Toc26651"/>
      <w:bookmarkStart w:id="60" w:name="_Toc15377210"/>
      <w:r>
        <w:rPr>
          <w:rFonts w:hint="eastAsia" w:ascii="仿宋" w:hAnsi="仿宋" w:eastAsia="仿宋"/>
          <w:b/>
          <w:color w:val="000000"/>
          <w:sz w:val="32"/>
          <w:szCs w:val="32"/>
        </w:rPr>
        <w:t>（一）一般公共预算财政拨款支出决算总体情况</w:t>
      </w:r>
      <w:bookmarkEnd w:id="58"/>
      <w:bookmarkEnd w:id="59"/>
      <w:bookmarkEnd w:id="60"/>
    </w:p>
    <w:p>
      <w:pPr>
        <w:spacing w:line="600" w:lineRule="exact"/>
        <w:ind w:firstLine="640"/>
        <w:rPr>
          <w:rFonts w:hint="default" w:ascii="仿宋" w:hAnsi="仿宋" w:eastAsia="仿宋"/>
          <w:color w:val="000000"/>
          <w:sz w:val="32"/>
          <w:szCs w:val="32"/>
          <w:lang w:val="en-US" w:eastAsia="zh-CN"/>
        </w:rPr>
      </w:pPr>
      <w:r>
        <w:rPr>
          <w:rFonts w:hint="eastAsia" w:ascii="仿宋" w:hAnsi="仿宋" w:eastAsia="仿宋"/>
          <w:color w:val="000000"/>
          <w:sz w:val="32"/>
          <w:szCs w:val="32"/>
        </w:rPr>
        <w:t>一般公共预算财政拨款支出</w:t>
      </w:r>
      <w:r>
        <w:rPr>
          <w:rFonts w:hint="eastAsia" w:ascii="仿宋" w:hAnsi="仿宋" w:eastAsia="仿宋"/>
          <w:color w:val="000000"/>
          <w:sz w:val="32"/>
          <w:szCs w:val="32"/>
          <w:lang w:eastAsia="zh-CN"/>
        </w:rPr>
        <w:drawing>
          <wp:anchor distT="0" distB="0" distL="114300" distR="114300" simplePos="0" relativeHeight="251663360" behindDoc="1" locked="0" layoutInCell="1" allowOverlap="1">
            <wp:simplePos x="0" y="0"/>
            <wp:positionH relativeFrom="column">
              <wp:posOffset>593725</wp:posOffset>
            </wp:positionH>
            <wp:positionV relativeFrom="paragraph">
              <wp:posOffset>1687195</wp:posOffset>
            </wp:positionV>
            <wp:extent cx="4112895" cy="2199640"/>
            <wp:effectExtent l="4445" t="4445" r="16510" b="5715"/>
            <wp:wrapThrough wrapText="bothSides">
              <wp:wrapPolygon>
                <wp:start x="-23" y="-44"/>
                <wp:lineTo x="-23" y="21469"/>
                <wp:lineTo x="21487" y="21469"/>
                <wp:lineTo x="21487" y="-44"/>
                <wp:lineTo x="-23" y="-44"/>
              </wp:wrapPolygon>
            </wp:wrapThrough>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仿宋" w:hAnsi="仿宋" w:eastAsia="仿宋"/>
          <w:color w:val="000000"/>
          <w:sz w:val="32"/>
          <w:szCs w:val="32"/>
        </w:rPr>
        <w:t>202</w:t>
      </w:r>
      <w:r>
        <w:rPr>
          <w:rFonts w:hint="eastAsia" w:ascii="仿宋" w:hAnsi="仿宋" w:eastAsia="仿宋"/>
          <w:color w:val="000000"/>
          <w:sz w:val="32"/>
          <w:szCs w:val="32"/>
        </w:rPr>
        <w:t>1年一般公共预算财政拨款支出1288.8万元，占本年支出合计的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20年相比，一般公共预算财政拨款增加</w:t>
      </w:r>
      <w:r>
        <w:rPr>
          <w:rFonts w:hint="eastAsia" w:ascii="仿宋" w:hAnsi="仿宋" w:eastAsia="仿宋"/>
          <w:color w:val="000000"/>
          <w:sz w:val="32"/>
          <w:szCs w:val="32"/>
          <w:lang w:val="en-US" w:eastAsia="zh-CN"/>
        </w:rPr>
        <w:t>187.97</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17.08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2021年当年项目增加，收入增加。</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2" w:firstLineChars="200"/>
        <w:outlineLvl w:val="2"/>
        <w:rPr>
          <w:rFonts w:ascii="仿宋" w:hAnsi="仿宋" w:eastAsia="仿宋"/>
          <w:b/>
          <w:color w:val="000000"/>
          <w:sz w:val="32"/>
          <w:szCs w:val="32"/>
        </w:rPr>
      </w:pPr>
      <w:bookmarkStart w:id="61" w:name="_Toc9764"/>
      <w:bookmarkStart w:id="62" w:name="_Toc79163616"/>
      <w:bookmarkStart w:id="63" w:name="_Toc15377211"/>
      <w:r>
        <w:rPr>
          <w:rFonts w:hint="eastAsia" w:ascii="仿宋" w:hAnsi="仿宋" w:eastAsia="仿宋"/>
          <w:b/>
          <w:color w:val="000000"/>
          <w:sz w:val="32"/>
          <w:szCs w:val="32"/>
        </w:rPr>
        <w:t>（二）一般公共预算财政拨款支出决算结构情况</w:t>
      </w:r>
      <w:bookmarkEnd w:id="61"/>
      <w:bookmarkEnd w:id="62"/>
      <w:bookmarkEnd w:id="63"/>
    </w:p>
    <w:p>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1年一般公共预算财政拨款支出1288.8万元，主要用于以下方面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支出1118.74万元，占</w:t>
      </w:r>
      <w:r>
        <w:rPr>
          <w:rFonts w:hint="eastAsia" w:ascii="仿宋" w:hAnsi="仿宋" w:eastAsia="仿宋"/>
          <w:color w:val="000000"/>
          <w:sz w:val="32"/>
          <w:szCs w:val="32"/>
          <w:lang w:val="en-US" w:eastAsia="zh-CN"/>
        </w:rPr>
        <w:t>86.80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lang w:val="en-US" w:eastAsia="zh-CN"/>
        </w:rPr>
        <w:t>公共安全</w:t>
      </w:r>
      <w:r>
        <w:rPr>
          <w:rFonts w:hint="eastAsia" w:ascii="仿宋" w:hAnsi="仿宋" w:eastAsia="仿宋"/>
          <w:b/>
          <w:color w:val="000000"/>
          <w:sz w:val="32"/>
          <w:szCs w:val="32"/>
        </w:rPr>
        <w:t>（类）</w:t>
      </w:r>
      <w:r>
        <w:rPr>
          <w:rFonts w:hint="eastAsia" w:ascii="仿宋" w:hAnsi="仿宋" w:eastAsia="仿宋"/>
          <w:color w:val="000000"/>
          <w:sz w:val="32"/>
          <w:szCs w:val="32"/>
        </w:rPr>
        <w:t>43.59万元，占</w:t>
      </w:r>
      <w:r>
        <w:rPr>
          <w:rFonts w:hint="eastAsia" w:ascii="仿宋" w:hAnsi="仿宋" w:eastAsia="仿宋"/>
          <w:color w:val="000000"/>
          <w:sz w:val="32"/>
          <w:szCs w:val="32"/>
          <w:lang w:val="en-US" w:eastAsia="zh-CN"/>
        </w:rPr>
        <w:t>3.38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支出59.58万元，占</w:t>
      </w:r>
      <w:r>
        <w:rPr>
          <w:rFonts w:hint="eastAsia" w:ascii="仿宋" w:hAnsi="仿宋" w:eastAsia="仿宋"/>
          <w:color w:val="000000"/>
          <w:sz w:val="32"/>
          <w:szCs w:val="32"/>
          <w:lang w:val="en-US" w:eastAsia="zh-CN"/>
        </w:rPr>
        <w:t>4.62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25.92万元，占</w:t>
      </w:r>
      <w:r>
        <w:rPr>
          <w:rFonts w:hint="eastAsia" w:ascii="仿宋" w:hAnsi="仿宋" w:eastAsia="仿宋"/>
          <w:color w:val="000000"/>
          <w:sz w:val="32"/>
          <w:szCs w:val="32"/>
          <w:lang w:val="en-US" w:eastAsia="zh-CN"/>
        </w:rPr>
        <w:t>2.01</w:t>
      </w:r>
      <w:r>
        <w:rPr>
          <w:rFonts w:ascii="仿宋" w:hAnsi="仿宋" w:eastAsia="仿宋"/>
          <w:color w:val="000000"/>
          <w:sz w:val="32"/>
          <w:szCs w:val="32"/>
        </w:rPr>
        <w:t>%</w:t>
      </w:r>
      <w:r>
        <w:rPr>
          <w:rFonts w:hint="eastAsia" w:ascii="仿宋" w:hAnsi="仿宋" w:eastAsia="仿宋"/>
          <w:color w:val="000000"/>
          <w:sz w:val="32"/>
          <w:szCs w:val="32"/>
        </w:rPr>
        <w:t>；住房保障支出40.97万元，占</w:t>
      </w:r>
      <w:r>
        <w:rPr>
          <w:rFonts w:hint="eastAsia" w:ascii="仿宋" w:hAnsi="仿宋" w:eastAsia="仿宋"/>
          <w:color w:val="000000"/>
          <w:sz w:val="32"/>
          <w:szCs w:val="32"/>
          <w:lang w:val="en-US" w:eastAsia="zh-CN"/>
        </w:rPr>
        <w:t>3.18</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drawing>
          <wp:anchor distT="0" distB="0" distL="114300" distR="114300" simplePos="0" relativeHeight="251664384" behindDoc="0" locked="0" layoutInCell="1" allowOverlap="1">
            <wp:simplePos x="0" y="0"/>
            <wp:positionH relativeFrom="column">
              <wp:posOffset>403225</wp:posOffset>
            </wp:positionH>
            <wp:positionV relativeFrom="paragraph">
              <wp:posOffset>123190</wp:posOffset>
            </wp:positionV>
            <wp:extent cx="4397375" cy="3286125"/>
            <wp:effectExtent l="4445" t="4445" r="17780" b="508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960" w:firstLineChars="3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w:t>
      </w:r>
    </w:p>
    <w:p>
      <w:pPr>
        <w:spacing w:line="600" w:lineRule="exact"/>
        <w:ind w:firstLine="640" w:firstLineChars="200"/>
        <w:rPr>
          <w:rFonts w:ascii="仿宋" w:hAnsi="仿宋" w:eastAsia="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ascii="仿宋" w:hAnsi="仿宋" w:eastAsia="仿宋"/>
          <w:b/>
          <w:color w:val="000000"/>
          <w:sz w:val="32"/>
          <w:szCs w:val="32"/>
        </w:rPr>
      </w:pPr>
      <w:bookmarkStart w:id="64" w:name="_Toc79163617"/>
      <w:bookmarkStart w:id="65" w:name="_Toc14122"/>
      <w:bookmarkStart w:id="66" w:name="_Toc15377212"/>
      <w:r>
        <w:rPr>
          <w:rFonts w:hint="eastAsia" w:ascii="仿宋" w:hAnsi="仿宋" w:eastAsia="仿宋"/>
          <w:b/>
          <w:color w:val="000000"/>
          <w:sz w:val="32"/>
          <w:szCs w:val="32"/>
        </w:rPr>
        <w:t>（三）一般公共预算财政拨款支出决算具体情况</w:t>
      </w:r>
      <w:bookmarkEnd w:id="64"/>
      <w:bookmarkEnd w:id="65"/>
      <w:bookmarkEnd w:id="66"/>
    </w:p>
    <w:p>
      <w:pPr>
        <w:spacing w:line="600" w:lineRule="exact"/>
        <w:ind w:firstLine="642" w:firstLineChars="200"/>
        <w:rPr>
          <w:rFonts w:ascii="仿宋_GB2312" w:eastAsia="仿宋_GB2312"/>
          <w:b/>
          <w:bCs/>
          <w:sz w:val="32"/>
          <w:szCs w:val="32"/>
        </w:rPr>
      </w:pPr>
      <w:bookmarkStart w:id="67" w:name="_Toc15377213"/>
      <w:bookmarkStart w:id="68" w:name="_Toc15377444"/>
      <w:bookmarkStart w:id="69" w:name="_Toc15378460"/>
      <w:r>
        <w:rPr>
          <w:rFonts w:ascii="仿宋_GB2312" w:eastAsia="仿宋_GB2312"/>
          <w:b/>
          <w:bCs/>
          <w:sz w:val="32"/>
          <w:szCs w:val="32"/>
        </w:rPr>
        <w:t>202</w:t>
      </w:r>
      <w:r>
        <w:rPr>
          <w:rFonts w:hint="eastAsia" w:ascii="仿宋_GB2312" w:eastAsia="仿宋_GB2312"/>
          <w:b/>
          <w:bCs/>
          <w:sz w:val="32"/>
          <w:szCs w:val="32"/>
        </w:rPr>
        <w:t>1年一般公共预算支出决算数为1288.8</w:t>
      </w:r>
      <w:r>
        <w:rPr>
          <w:rFonts w:hint="eastAsia" w:ascii="仿宋_GB2312" w:eastAsia="仿宋_GB2312"/>
          <w:b/>
          <w:bCs/>
          <w:sz w:val="32"/>
          <w:szCs w:val="32"/>
          <w:lang w:val="en-US" w:eastAsia="zh-CN"/>
        </w:rPr>
        <w:t>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67"/>
      <w:bookmarkEnd w:id="68"/>
      <w:bookmarkEnd w:id="69"/>
    </w:p>
    <w:p>
      <w:pPr>
        <w:spacing w:line="600" w:lineRule="exact"/>
        <w:ind w:firstLine="642" w:firstLineChars="200"/>
        <w:rPr>
          <w:rFonts w:ascii="仿宋" w:hAnsi="仿宋" w:eastAsia="仿宋"/>
          <w:b/>
          <w:color w:val="000000"/>
          <w:sz w:val="32"/>
          <w:szCs w:val="32"/>
        </w:rPr>
      </w:pPr>
      <w:r>
        <w:rPr>
          <w:rStyle w:val="12"/>
          <w:rFonts w:ascii="仿宋" w:hAnsi="仿宋" w:eastAsia="仿宋"/>
          <w:bCs/>
          <w:color w:val="000000"/>
          <w:sz w:val="32"/>
          <w:szCs w:val="32"/>
        </w:rPr>
        <w:t>1.</w:t>
      </w:r>
      <w:r>
        <w:rPr>
          <w:rStyle w:val="12"/>
          <w:rFonts w:hint="eastAsia" w:ascii="仿宋" w:hAnsi="仿宋" w:eastAsia="仿宋"/>
          <w:bCs/>
          <w:color w:val="000000"/>
          <w:sz w:val="32"/>
          <w:szCs w:val="32"/>
        </w:rPr>
        <w:t>一般公共服务（类）党委办公厅（室）及相关机构事务（款）行政运行（项）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支出决算为459.34万元，完成预算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，决算数等于预算数。</w:t>
      </w:r>
    </w:p>
    <w:p>
      <w:pPr>
        <w:spacing w:line="600" w:lineRule="exact"/>
        <w:ind w:firstLine="642" w:firstLineChars="200"/>
        <w:rPr>
          <w:rFonts w:ascii="仿宋" w:hAnsi="仿宋" w:eastAsia="仿宋"/>
          <w:b/>
          <w:color w:val="000000"/>
          <w:sz w:val="32"/>
          <w:szCs w:val="32"/>
        </w:rPr>
      </w:pPr>
      <w:r>
        <w:rPr>
          <w:rStyle w:val="12"/>
          <w:rFonts w:hint="eastAsia" w:ascii="仿宋" w:hAnsi="仿宋" w:eastAsia="仿宋"/>
          <w:bCs/>
          <w:color w:val="000000"/>
          <w:sz w:val="32"/>
          <w:szCs w:val="32"/>
          <w:lang w:val="en-US" w:eastAsia="zh-CN"/>
        </w:rPr>
        <w:t>2</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一般公共服务（类）党委办公厅（室）及相关机构事务（款）一般行政管理事务（项）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支出决算为32.36万元，完成预算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，决算数等于预算数。</w:t>
      </w:r>
    </w:p>
    <w:p>
      <w:pPr>
        <w:spacing w:line="600" w:lineRule="exact"/>
        <w:ind w:firstLine="642" w:firstLineChars="200"/>
        <w:rPr>
          <w:rFonts w:ascii="仿宋" w:hAnsi="仿宋" w:eastAsia="仿宋"/>
          <w:b/>
          <w:color w:val="000000"/>
          <w:sz w:val="32"/>
          <w:szCs w:val="32"/>
        </w:rPr>
      </w:pPr>
      <w:r>
        <w:rPr>
          <w:rStyle w:val="12"/>
          <w:rFonts w:hint="eastAsia" w:ascii="仿宋" w:hAnsi="仿宋" w:eastAsia="仿宋"/>
          <w:bCs/>
          <w:color w:val="000000"/>
          <w:sz w:val="32"/>
          <w:szCs w:val="32"/>
          <w:lang w:val="en-US" w:eastAsia="zh-CN"/>
        </w:rPr>
        <w:t>3</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一般公共服务（类）党委办公厅（室）及相关机构事务（款）专项业务（项）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支出决算为627.04万元，完成预算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，决算数等于预算数。</w:t>
      </w:r>
    </w:p>
    <w:p>
      <w:pPr>
        <w:spacing w:line="600" w:lineRule="exact"/>
        <w:ind w:firstLine="642" w:firstLineChars="200"/>
        <w:rPr>
          <w:rFonts w:ascii="仿宋" w:hAnsi="仿宋" w:eastAsia="仿宋"/>
          <w:b/>
          <w:color w:val="000000"/>
          <w:sz w:val="32"/>
          <w:szCs w:val="32"/>
        </w:rPr>
      </w:pPr>
      <w:r>
        <w:rPr>
          <w:rStyle w:val="12"/>
          <w:rFonts w:ascii="仿宋" w:hAnsi="仿宋" w:eastAsia="仿宋"/>
          <w:bCs/>
          <w:color w:val="000000"/>
          <w:sz w:val="32"/>
          <w:szCs w:val="32"/>
        </w:rPr>
        <w:t>4.</w:t>
      </w:r>
      <w:r>
        <w:rPr>
          <w:rStyle w:val="12"/>
          <w:rFonts w:hint="eastAsia" w:ascii="仿宋" w:hAnsi="仿宋" w:eastAsia="仿宋"/>
          <w:bCs/>
          <w:color w:val="000000"/>
          <w:sz w:val="32"/>
          <w:szCs w:val="32"/>
        </w:rPr>
        <w:t>公共安全支出（类）公安（款）一般行政管理事务（项）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支出决算为24.38万元，完成预算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，决算数等于预算数。</w:t>
      </w:r>
    </w:p>
    <w:p>
      <w:pPr>
        <w:spacing w:line="600" w:lineRule="exact"/>
        <w:ind w:firstLine="642" w:firstLineChars="200"/>
        <w:rPr>
          <w:rFonts w:ascii="仿宋" w:hAnsi="仿宋" w:eastAsia="仿宋"/>
          <w:b/>
          <w:color w:val="000000"/>
          <w:sz w:val="32"/>
          <w:szCs w:val="32"/>
        </w:rPr>
      </w:pPr>
      <w:r>
        <w:rPr>
          <w:rStyle w:val="12"/>
          <w:rFonts w:ascii="仿宋" w:hAnsi="仿宋" w:eastAsia="仿宋"/>
          <w:bCs/>
          <w:color w:val="000000"/>
          <w:sz w:val="32"/>
          <w:szCs w:val="32"/>
        </w:rPr>
        <w:t>5.</w:t>
      </w:r>
      <w:r>
        <w:rPr>
          <w:rStyle w:val="12"/>
          <w:rFonts w:hint="eastAsia" w:ascii="仿宋" w:hAnsi="仿宋" w:eastAsia="仿宋"/>
          <w:bCs/>
          <w:color w:val="000000"/>
          <w:sz w:val="32"/>
          <w:szCs w:val="32"/>
        </w:rPr>
        <w:t>公共安全支出（类）公安（款）其他公共安全支出（项）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支出决算为19.21万元，完成预算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，决算数等于预算数。</w:t>
      </w:r>
    </w:p>
    <w:p>
      <w:pPr>
        <w:spacing w:line="600" w:lineRule="exact"/>
        <w:ind w:firstLine="642" w:firstLineChars="200"/>
        <w:rPr>
          <w:rFonts w:ascii="仿宋" w:hAnsi="仿宋" w:eastAsia="仿宋"/>
          <w:b/>
          <w:color w:val="000000"/>
          <w:sz w:val="32"/>
          <w:szCs w:val="32"/>
        </w:rPr>
      </w:pPr>
      <w:r>
        <w:rPr>
          <w:rStyle w:val="12"/>
          <w:rFonts w:ascii="仿宋" w:hAnsi="仿宋" w:eastAsia="仿宋"/>
          <w:bCs/>
          <w:color w:val="000000"/>
          <w:sz w:val="32"/>
          <w:szCs w:val="32"/>
        </w:rPr>
        <w:t>6.</w:t>
      </w:r>
      <w:r>
        <w:rPr>
          <w:rFonts w:hint="eastAsia" w:ascii="仿宋" w:hAnsi="仿宋" w:eastAsia="仿宋"/>
          <w:b/>
          <w:bCs/>
          <w:color w:val="000000"/>
          <w:sz w:val="32"/>
          <w:szCs w:val="32"/>
        </w:rPr>
        <w:t>社会保障和就业支出</w:t>
      </w:r>
      <w:r>
        <w:rPr>
          <w:rStyle w:val="12"/>
          <w:rFonts w:hint="eastAsia" w:ascii="仿宋" w:hAnsi="仿宋" w:eastAsia="仿宋"/>
          <w:bCs/>
          <w:color w:val="000000"/>
          <w:sz w:val="32"/>
          <w:szCs w:val="32"/>
        </w:rPr>
        <w:t>（类）行政事业单位养老支出（款）机关事业单位基本养老保险缴费支出（项）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支出决算为39.72万元，完成预算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，决算数等于预算数。</w:t>
      </w:r>
    </w:p>
    <w:p>
      <w:pPr>
        <w:spacing w:line="600" w:lineRule="exact"/>
        <w:ind w:firstLine="642" w:firstLineChars="200"/>
        <w:rPr>
          <w:rStyle w:val="12"/>
          <w:rFonts w:hint="eastAsia" w:ascii="仿宋" w:hAnsi="仿宋" w:eastAsia="仿宋"/>
          <w:b w:val="0"/>
          <w:bCs/>
          <w:color w:val="000000"/>
          <w:sz w:val="32"/>
          <w:szCs w:val="32"/>
        </w:rPr>
      </w:pPr>
      <w:r>
        <w:rPr>
          <w:rStyle w:val="12"/>
          <w:rFonts w:ascii="仿宋" w:hAnsi="仿宋" w:eastAsia="仿宋"/>
          <w:bCs/>
          <w:color w:val="000000"/>
          <w:sz w:val="32"/>
          <w:szCs w:val="32"/>
        </w:rPr>
        <w:t>6.</w:t>
      </w:r>
      <w:r>
        <w:rPr>
          <w:rFonts w:hint="eastAsia" w:ascii="仿宋" w:hAnsi="仿宋" w:eastAsia="仿宋"/>
          <w:b/>
          <w:bCs/>
          <w:color w:val="000000"/>
          <w:sz w:val="32"/>
          <w:szCs w:val="32"/>
        </w:rPr>
        <w:t>社会保障和就业支出</w:t>
      </w:r>
      <w:r>
        <w:rPr>
          <w:rStyle w:val="12"/>
          <w:rFonts w:hint="eastAsia" w:ascii="仿宋" w:hAnsi="仿宋" w:eastAsia="仿宋"/>
          <w:bCs/>
          <w:color w:val="000000"/>
          <w:sz w:val="32"/>
          <w:szCs w:val="32"/>
        </w:rPr>
        <w:t>（类）行政事业单位养老支出（款）机关事业单位职业年金缴费支出（项）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支出决算为19.86万元，完成预算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，决算数等于预算数。</w:t>
      </w:r>
    </w:p>
    <w:p>
      <w:pPr>
        <w:spacing w:line="600" w:lineRule="exact"/>
        <w:ind w:firstLine="642" w:firstLineChars="200"/>
        <w:rPr>
          <w:rStyle w:val="12"/>
          <w:rFonts w:hint="eastAsia" w:ascii="仿宋" w:hAnsi="仿宋" w:eastAsia="仿宋"/>
          <w:b w:val="0"/>
          <w:bCs/>
          <w:color w:val="000000"/>
          <w:sz w:val="32"/>
          <w:szCs w:val="32"/>
        </w:rPr>
      </w:pPr>
      <w:r>
        <w:rPr>
          <w:rStyle w:val="12"/>
          <w:rFonts w:hint="eastAsia" w:ascii="仿宋" w:hAnsi="仿宋" w:eastAsia="仿宋"/>
          <w:bCs/>
          <w:color w:val="000000"/>
          <w:sz w:val="32"/>
          <w:szCs w:val="32"/>
          <w:lang w:val="en-US" w:eastAsia="zh-CN"/>
        </w:rPr>
        <w:t>7</w:t>
      </w:r>
      <w:r>
        <w:rPr>
          <w:rStyle w:val="12"/>
          <w:rFonts w:ascii="仿宋" w:hAnsi="仿宋" w:eastAsia="仿宋"/>
          <w:bCs/>
          <w:color w:val="000000"/>
          <w:sz w:val="32"/>
          <w:szCs w:val="32"/>
        </w:rPr>
        <w:t>.</w:t>
      </w:r>
      <w:r>
        <w:rPr>
          <w:rFonts w:hint="eastAsia" w:ascii="仿宋" w:hAnsi="仿宋" w:eastAsia="仿宋"/>
          <w:b/>
          <w:bCs/>
          <w:color w:val="000000"/>
          <w:sz w:val="32"/>
          <w:szCs w:val="32"/>
        </w:rPr>
        <w:t>卫生健康支出</w:t>
      </w:r>
      <w:r>
        <w:rPr>
          <w:rStyle w:val="12"/>
          <w:rFonts w:hint="eastAsia" w:ascii="仿宋" w:hAnsi="仿宋" w:eastAsia="仿宋"/>
          <w:bCs/>
          <w:color w:val="000000"/>
          <w:sz w:val="32"/>
          <w:szCs w:val="32"/>
        </w:rPr>
        <w:t>（类）行政事业单位医疗（款）行政单位医疗（项）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20.06</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，决算数等于预算数。</w:t>
      </w:r>
    </w:p>
    <w:p>
      <w:pPr>
        <w:spacing w:line="600" w:lineRule="exact"/>
        <w:ind w:firstLine="642" w:firstLineChars="200"/>
        <w:rPr>
          <w:rStyle w:val="12"/>
          <w:rFonts w:hint="eastAsia" w:ascii="仿宋" w:hAnsi="仿宋" w:eastAsia="仿宋"/>
          <w:b w:val="0"/>
          <w:bCs/>
          <w:color w:val="000000"/>
          <w:sz w:val="32"/>
          <w:szCs w:val="32"/>
        </w:rPr>
      </w:pPr>
      <w:r>
        <w:rPr>
          <w:rStyle w:val="12"/>
          <w:rFonts w:hint="eastAsia" w:ascii="仿宋" w:hAnsi="仿宋" w:eastAsia="仿宋"/>
          <w:bCs/>
          <w:color w:val="000000"/>
          <w:sz w:val="32"/>
          <w:szCs w:val="32"/>
          <w:lang w:val="en-US" w:eastAsia="zh-CN"/>
        </w:rPr>
        <w:t>8</w:t>
      </w:r>
      <w:r>
        <w:rPr>
          <w:rStyle w:val="12"/>
          <w:rFonts w:ascii="仿宋" w:hAnsi="仿宋" w:eastAsia="仿宋"/>
          <w:bCs/>
          <w:color w:val="000000"/>
          <w:sz w:val="32"/>
          <w:szCs w:val="32"/>
        </w:rPr>
        <w:t>.</w:t>
      </w:r>
      <w:r>
        <w:rPr>
          <w:rFonts w:hint="eastAsia" w:ascii="仿宋" w:hAnsi="仿宋" w:eastAsia="仿宋"/>
          <w:b/>
          <w:bCs/>
          <w:color w:val="000000"/>
          <w:sz w:val="32"/>
          <w:szCs w:val="32"/>
        </w:rPr>
        <w:t>卫生健康支出</w:t>
      </w:r>
      <w:r>
        <w:rPr>
          <w:rStyle w:val="12"/>
          <w:rFonts w:hint="eastAsia" w:ascii="仿宋" w:hAnsi="仿宋" w:eastAsia="仿宋"/>
          <w:bCs/>
          <w:color w:val="000000"/>
          <w:sz w:val="32"/>
          <w:szCs w:val="32"/>
        </w:rPr>
        <w:t>（类）行政事业单位医疗（款）公务员医疗补助（项）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5.86</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，决算数等于预算数。</w:t>
      </w:r>
    </w:p>
    <w:p>
      <w:pPr>
        <w:spacing w:line="600" w:lineRule="exact"/>
        <w:ind w:firstLine="642" w:firstLineChars="200"/>
        <w:rPr>
          <w:rFonts w:ascii="仿宋" w:hAnsi="仿宋" w:eastAsia="仿宋"/>
          <w:b/>
          <w:color w:val="000000"/>
          <w:sz w:val="32"/>
          <w:szCs w:val="32"/>
        </w:rPr>
      </w:pPr>
      <w:r>
        <w:rPr>
          <w:rStyle w:val="12"/>
          <w:rFonts w:hint="eastAsia" w:ascii="仿宋" w:hAnsi="仿宋" w:eastAsia="仿宋"/>
          <w:bCs/>
          <w:color w:val="000000"/>
          <w:sz w:val="32"/>
          <w:szCs w:val="32"/>
          <w:lang w:val="en-US" w:eastAsia="zh-CN"/>
        </w:rPr>
        <w:t>9</w:t>
      </w:r>
      <w:r>
        <w:rPr>
          <w:rStyle w:val="12"/>
          <w:rFonts w:ascii="仿宋" w:hAnsi="仿宋" w:eastAsia="仿宋"/>
          <w:bCs/>
          <w:color w:val="000000"/>
          <w:sz w:val="32"/>
          <w:szCs w:val="32"/>
        </w:rPr>
        <w:t>.</w:t>
      </w:r>
      <w:r>
        <w:rPr>
          <w:rFonts w:hint="eastAsia" w:ascii="仿宋" w:hAnsi="仿宋" w:eastAsia="仿宋"/>
          <w:b/>
          <w:bCs/>
          <w:color w:val="000000"/>
          <w:sz w:val="32"/>
          <w:szCs w:val="32"/>
        </w:rPr>
        <w:t>住房保障支出</w:t>
      </w:r>
      <w:r>
        <w:rPr>
          <w:rFonts w:hint="eastAsia" w:ascii="仿宋" w:hAnsi="仿宋" w:eastAsia="仿宋"/>
          <w:b/>
          <w:bCs/>
          <w:color w:val="000000"/>
          <w:sz w:val="32"/>
          <w:szCs w:val="32"/>
          <w:lang w:eastAsia="zh-CN"/>
        </w:rPr>
        <w:t>（</w:t>
      </w:r>
      <w:r>
        <w:rPr>
          <w:rStyle w:val="12"/>
          <w:rFonts w:hint="eastAsia" w:ascii="仿宋" w:hAnsi="仿宋" w:eastAsia="仿宋"/>
          <w:bCs/>
          <w:color w:val="000000"/>
          <w:sz w:val="32"/>
          <w:szCs w:val="32"/>
        </w:rPr>
        <w:t>类）住房改革支出（款）住房公积金（项）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40.97</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，决算数等于预算数。</w:t>
      </w:r>
    </w:p>
    <w:p>
      <w:pPr>
        <w:tabs>
          <w:tab w:val="right" w:pos="8306"/>
        </w:tabs>
        <w:spacing w:line="600" w:lineRule="exact"/>
        <w:ind w:firstLine="640"/>
        <w:outlineLvl w:val="1"/>
        <w:rPr>
          <w:rStyle w:val="17"/>
        </w:rPr>
      </w:pPr>
      <w:bookmarkStart w:id="70" w:name="_Toc15396608"/>
      <w:bookmarkStart w:id="71" w:name="_Toc13603"/>
      <w:bookmarkStart w:id="72" w:name="_Toc79163618"/>
      <w:bookmarkStart w:id="73"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7"/>
          <w:rFonts w:hint="eastAsia" w:ascii="黑体" w:hAnsi="黑体" w:eastAsia="黑体"/>
          <w:b w:val="0"/>
        </w:rPr>
        <w:t>般公共预算财政拨款基本支出决算情况说明</w:t>
      </w:r>
      <w:bookmarkEnd w:id="70"/>
      <w:bookmarkEnd w:id="71"/>
      <w:bookmarkEnd w:id="72"/>
      <w:bookmarkEnd w:id="73"/>
      <w:r>
        <w:rPr>
          <w:rStyle w:val="17"/>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1年一般公共预算财政拨款基本支出</w:t>
      </w:r>
      <w:r>
        <w:rPr>
          <w:rFonts w:hint="eastAsia" w:ascii="仿宋" w:hAnsi="仿宋" w:eastAsia="仿宋"/>
          <w:color w:val="000000"/>
          <w:sz w:val="32"/>
          <w:szCs w:val="32"/>
          <w:lang w:val="en-US" w:eastAsia="zh-CN"/>
        </w:rPr>
        <w:t>585.81</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524.87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日常公用经费60.94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17"/>
          <w:rFonts w:ascii="黑体" w:hAnsi="黑体" w:eastAsia="黑体"/>
          <w:b w:val="0"/>
        </w:rPr>
      </w:pPr>
      <w:bookmarkStart w:id="74" w:name="_Toc15396609"/>
      <w:bookmarkStart w:id="75" w:name="_Toc79163619"/>
      <w:bookmarkStart w:id="76" w:name="_Toc12490"/>
      <w:bookmarkStart w:id="77" w:name="_Toc15377215"/>
      <w:r>
        <w:rPr>
          <w:rFonts w:hint="eastAsia" w:ascii="黑体" w:eastAsia="黑体"/>
          <w:color w:val="000000"/>
          <w:sz w:val="32"/>
          <w:szCs w:val="32"/>
        </w:rPr>
        <w:t>七、</w:t>
      </w:r>
      <w:r>
        <w:rPr>
          <w:rStyle w:val="17"/>
          <w:rFonts w:hint="eastAsia" w:ascii="黑体" w:hAnsi="黑体" w:eastAsia="黑体"/>
        </w:rPr>
        <w:t>“</w:t>
      </w:r>
      <w:r>
        <w:rPr>
          <w:rStyle w:val="17"/>
          <w:rFonts w:hint="eastAsia" w:ascii="黑体" w:hAnsi="黑体" w:eastAsia="黑体"/>
          <w:b w:val="0"/>
        </w:rPr>
        <w:t>三公”经费财政拨款支出决算情况说明</w:t>
      </w:r>
      <w:bookmarkEnd w:id="74"/>
      <w:bookmarkEnd w:id="75"/>
      <w:bookmarkEnd w:id="76"/>
      <w:bookmarkEnd w:id="77"/>
    </w:p>
    <w:p>
      <w:pPr>
        <w:spacing w:line="600" w:lineRule="exact"/>
        <w:ind w:firstLine="640"/>
        <w:outlineLvl w:val="2"/>
        <w:rPr>
          <w:rFonts w:ascii="仿宋" w:hAnsi="仿宋" w:eastAsia="仿宋"/>
          <w:b/>
          <w:color w:val="000000"/>
          <w:sz w:val="32"/>
          <w:szCs w:val="32"/>
        </w:rPr>
      </w:pPr>
      <w:bookmarkStart w:id="78" w:name="_Toc15377216"/>
      <w:bookmarkStart w:id="79" w:name="_Toc785"/>
      <w:bookmarkStart w:id="80" w:name="_Toc79163620"/>
      <w:r>
        <w:rPr>
          <w:rFonts w:hint="eastAsia" w:ascii="仿宋" w:hAnsi="仿宋" w:eastAsia="仿宋"/>
          <w:b/>
          <w:color w:val="000000"/>
          <w:sz w:val="32"/>
          <w:szCs w:val="32"/>
        </w:rPr>
        <w:t>（一）“三公”经费财政拨款支出决算总体情况说明</w:t>
      </w:r>
      <w:bookmarkEnd w:id="78"/>
      <w:bookmarkEnd w:id="79"/>
      <w:bookmarkEnd w:id="80"/>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1年“三公”经费财政拨款支出决算为17.03万元，完成预算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pPr>
        <w:spacing w:line="600" w:lineRule="exact"/>
        <w:ind w:firstLine="640"/>
        <w:outlineLvl w:val="2"/>
        <w:rPr>
          <w:rFonts w:ascii="仿宋" w:hAnsi="仿宋" w:eastAsia="仿宋"/>
          <w:b/>
          <w:color w:val="000000"/>
          <w:sz w:val="32"/>
          <w:szCs w:val="32"/>
        </w:rPr>
      </w:pPr>
      <w:bookmarkStart w:id="81" w:name="_Toc15377217"/>
      <w:bookmarkStart w:id="82" w:name="_Toc2740"/>
      <w:bookmarkStart w:id="83" w:name="_Toc79163621"/>
      <w:r>
        <w:rPr>
          <w:rFonts w:hint="eastAsia" w:ascii="仿宋" w:hAnsi="仿宋" w:eastAsia="仿宋"/>
          <w:b/>
          <w:color w:val="000000"/>
          <w:sz w:val="32"/>
          <w:szCs w:val="32"/>
        </w:rPr>
        <w:t>（二）“三公”经费财政拨款支出决算具体情况说明</w:t>
      </w:r>
      <w:bookmarkEnd w:id="81"/>
      <w:bookmarkEnd w:id="82"/>
      <w:bookmarkEnd w:id="83"/>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；公务用车购置及运行维护费支出决算17.03万元，占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drawing>
          <wp:anchor distT="0" distB="0" distL="114300" distR="114300" simplePos="0" relativeHeight="251665408" behindDoc="1" locked="0" layoutInCell="1" allowOverlap="1">
            <wp:simplePos x="0" y="0"/>
            <wp:positionH relativeFrom="column">
              <wp:posOffset>157480</wp:posOffset>
            </wp:positionH>
            <wp:positionV relativeFrom="paragraph">
              <wp:posOffset>43815</wp:posOffset>
            </wp:positionV>
            <wp:extent cx="4968240" cy="2635250"/>
            <wp:effectExtent l="4445" t="4445" r="18415" b="825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lang w:eastAsia="zh-CN"/>
        </w:rPr>
      </w:pPr>
    </w:p>
    <w:p>
      <w:pPr>
        <w:spacing w:line="600" w:lineRule="exact"/>
        <w:rPr>
          <w:rFonts w:hint="eastAsia" w:ascii="仿宋" w:hAnsi="仿宋" w:eastAsia="仿宋"/>
          <w:color w:val="000000"/>
          <w:sz w:val="32"/>
          <w:szCs w:val="32"/>
          <w:lang w:eastAsia="zh-CN"/>
        </w:rPr>
      </w:pPr>
    </w:p>
    <w:p>
      <w:pPr>
        <w:spacing w:line="600" w:lineRule="exact"/>
        <w:ind w:firstLine="640"/>
        <w:rPr>
          <w:rFonts w:hint="eastAsia" w:ascii="仿宋" w:hAnsi="仿宋" w:eastAsia="仿宋"/>
          <w:color w:val="000000"/>
          <w:sz w:val="32"/>
          <w:szCs w:val="32"/>
        </w:rPr>
      </w:pP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pPr>
        <w:numPr>
          <w:ilvl w:val="0"/>
          <w:numId w:val="0"/>
        </w:numPr>
        <w:spacing w:line="600" w:lineRule="exact"/>
        <w:ind w:firstLine="642" w:firstLineChars="200"/>
        <w:rPr>
          <w:rStyle w:val="12"/>
          <w:rFonts w:hint="eastAsia" w:ascii="仿宋" w:hAnsi="仿宋" w:eastAsia="仿宋"/>
          <w:b w:val="0"/>
          <w:bCs/>
          <w:color w:val="000000"/>
          <w:sz w:val="32"/>
          <w:szCs w:val="32"/>
        </w:rPr>
      </w:pPr>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2"/>
          <w:rFonts w:hint="eastAsia" w:ascii="仿宋" w:hAnsi="仿宋" w:eastAsia="仿宋"/>
          <w:b w:val="0"/>
          <w:bCs/>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 w:hAnsi="仿宋" w:eastAsia="仿宋"/>
          <w:color w:val="000000"/>
          <w:sz w:val="32"/>
          <w:szCs w:val="32"/>
        </w:rPr>
        <w:t>17.03</w:t>
      </w:r>
      <w:r>
        <w:rPr>
          <w:rFonts w:hint="eastAsia" w:ascii="仿宋_GB2312" w:eastAsia="仿宋_GB2312"/>
          <w:color w:val="000000"/>
          <w:sz w:val="32"/>
          <w:szCs w:val="32"/>
        </w:rPr>
        <w:t>万元</w:t>
      </w:r>
      <w:r>
        <w:rPr>
          <w:rFonts w:ascii="仿宋_GB2312" w:eastAsia="仿宋_GB2312"/>
          <w:color w:val="000000"/>
          <w:sz w:val="32"/>
          <w:szCs w:val="32"/>
        </w:rPr>
        <w:t>,</w:t>
      </w:r>
      <w:r>
        <w:rPr>
          <w:rStyle w:val="12"/>
          <w:rFonts w:hint="eastAsia" w:ascii="仿宋" w:hAnsi="仿宋" w:eastAsia="仿宋"/>
          <w:b w:val="0"/>
          <w:bCs/>
          <w:color w:val="000000"/>
          <w:sz w:val="32"/>
          <w:szCs w:val="32"/>
        </w:rPr>
        <w:t>完成预算</w:t>
      </w:r>
      <w:r>
        <w:rPr>
          <w:rStyle w:val="12"/>
          <w:rFonts w:hint="eastAsia" w:ascii="仿宋" w:hAnsi="仿宋" w:eastAsia="仿宋"/>
          <w:b w:val="0"/>
          <w:bCs/>
          <w:color w:val="000000"/>
          <w:sz w:val="32"/>
          <w:szCs w:val="32"/>
          <w:lang w:val="en-US" w:eastAsia="zh-CN"/>
        </w:rPr>
        <w:t>100.00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rPr>
        <w:t>20年增加</w:t>
      </w:r>
      <w:r>
        <w:rPr>
          <w:rFonts w:hint="eastAsia" w:ascii="仿宋_GB2312" w:eastAsia="仿宋_GB2312"/>
          <w:color w:val="000000"/>
          <w:sz w:val="32"/>
          <w:szCs w:val="32"/>
          <w:lang w:val="en-US" w:eastAsia="zh-CN"/>
        </w:rPr>
        <w:t>5.11</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42.87</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2021年公务用车使用以及维护量较大，支出较多</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b/>
          <w:color w:val="000000"/>
          <w:sz w:val="32"/>
          <w:szCs w:val="32"/>
        </w:rPr>
        <w:t>公务用车运行维护费支出</w:t>
      </w:r>
      <w:r>
        <w:rPr>
          <w:rFonts w:hint="eastAsia" w:ascii="仿宋" w:hAnsi="仿宋" w:eastAsia="仿宋"/>
          <w:color w:val="000000"/>
          <w:sz w:val="32"/>
          <w:szCs w:val="32"/>
        </w:rPr>
        <w:t>17.03</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出差以及下乡</w:t>
      </w:r>
      <w:r>
        <w:rPr>
          <w:rFonts w:hint="eastAsia" w:ascii="仿宋_GB2312" w:eastAsia="仿宋_GB2312"/>
          <w:color w:val="000000"/>
          <w:sz w:val="32"/>
          <w:szCs w:val="32"/>
        </w:rPr>
        <w:t>等所需的公务用车燃料费、维修费、过路过桥费、保险费等支出。</w:t>
      </w:r>
    </w:p>
    <w:p>
      <w:pPr>
        <w:spacing w:line="600" w:lineRule="exact"/>
        <w:ind w:firstLine="642" w:firstLineChars="20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2"/>
          <w:rFonts w:hint="eastAsia" w:ascii="仿宋" w:hAnsi="仿宋" w:eastAsia="仿宋"/>
          <w:b w:val="0"/>
          <w:bCs/>
          <w:color w:val="000000"/>
          <w:sz w:val="32"/>
          <w:szCs w:val="32"/>
        </w:rPr>
        <w:t>完成预算</w:t>
      </w:r>
      <w:r>
        <w:rPr>
          <w:rStyle w:val="12"/>
          <w:rFonts w:hint="eastAsia" w:ascii="仿宋" w:hAnsi="仿宋" w:eastAsia="仿宋"/>
          <w:b w:val="0"/>
          <w:bCs/>
          <w:color w:val="000000"/>
          <w:sz w:val="32"/>
          <w:szCs w:val="32"/>
          <w:lang w:val="en-US" w:eastAsia="zh-CN"/>
        </w:rPr>
        <w:t>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pPr>
        <w:spacing w:line="600" w:lineRule="exact"/>
        <w:ind w:firstLine="640"/>
        <w:outlineLvl w:val="1"/>
        <w:rPr>
          <w:rStyle w:val="17"/>
          <w:rFonts w:ascii="黑体" w:hAnsi="黑体" w:eastAsia="黑体"/>
        </w:rPr>
      </w:pPr>
      <w:bookmarkStart w:id="84" w:name="_Toc15377218"/>
      <w:bookmarkStart w:id="85" w:name="_Toc79163622"/>
      <w:bookmarkStart w:id="86" w:name="_Toc15396610"/>
      <w:bookmarkStart w:id="87" w:name="_Toc19927"/>
      <w:r>
        <w:rPr>
          <w:rFonts w:hint="eastAsia" w:ascii="黑体" w:eastAsia="黑体"/>
          <w:color w:val="000000"/>
          <w:sz w:val="32"/>
          <w:szCs w:val="32"/>
        </w:rPr>
        <w:t>八、</w:t>
      </w:r>
      <w:r>
        <w:rPr>
          <w:rStyle w:val="17"/>
          <w:rFonts w:hint="eastAsia" w:ascii="黑体" w:hAnsi="黑体" w:eastAsia="黑体"/>
          <w:b w:val="0"/>
        </w:rPr>
        <w:t>政府性基金预算支出决算情况说明</w:t>
      </w:r>
      <w:bookmarkEnd w:id="84"/>
      <w:bookmarkEnd w:id="85"/>
      <w:bookmarkEnd w:id="86"/>
      <w:bookmarkEnd w:id="8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17"/>
          <w:rFonts w:ascii="黑体" w:hAnsi="黑体" w:eastAsia="黑体"/>
          <w:b w:val="0"/>
        </w:rPr>
      </w:pPr>
      <w:bookmarkStart w:id="88" w:name="_Toc79163623"/>
      <w:bookmarkStart w:id="89" w:name="_Toc15396611"/>
      <w:bookmarkStart w:id="90" w:name="_Toc13816"/>
      <w:bookmarkStart w:id="91" w:name="_Toc15377219"/>
      <w:r>
        <w:rPr>
          <w:rStyle w:val="17"/>
          <w:rFonts w:hint="eastAsia" w:ascii="黑体" w:hAnsi="黑体" w:eastAsia="黑体"/>
          <w:b w:val="0"/>
        </w:rPr>
        <w:t>国有资本经营预算支出决算情况说明</w:t>
      </w:r>
      <w:bookmarkEnd w:id="88"/>
      <w:bookmarkEnd w:id="89"/>
      <w:bookmarkEnd w:id="90"/>
      <w:bookmarkEnd w:id="91"/>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w:t>
      </w:r>
      <w:r>
        <w:rPr>
          <w:rFonts w:hint="eastAsia" w:ascii="仿宋_GB2312" w:eastAsia="仿宋_GB2312"/>
          <w:color w:val="000000"/>
          <w:sz w:val="32"/>
          <w:szCs w:val="32"/>
        </w:rPr>
        <w:t>1年国有资本经营预算拨款支出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17"/>
          <w:rFonts w:ascii="黑体" w:hAnsi="黑体" w:eastAsia="黑体"/>
        </w:rPr>
      </w:pPr>
      <w:bookmarkStart w:id="92" w:name="_Toc79163624"/>
      <w:bookmarkStart w:id="93" w:name="_Toc15377221"/>
      <w:bookmarkStart w:id="94" w:name="_Toc15396612"/>
      <w:bookmarkStart w:id="95" w:name="_Toc27107"/>
      <w:r>
        <w:rPr>
          <w:rFonts w:hint="eastAsia" w:ascii="黑体" w:hAnsi="黑体" w:eastAsia="黑体"/>
          <w:color w:val="000000"/>
          <w:sz w:val="32"/>
          <w:szCs w:val="32"/>
        </w:rPr>
        <w:t>十</w:t>
      </w:r>
      <w:r>
        <w:rPr>
          <w:rStyle w:val="17"/>
          <w:rFonts w:hint="eastAsia" w:ascii="黑体" w:hAnsi="黑体" w:eastAsia="黑体"/>
        </w:rPr>
        <w:t>、</w:t>
      </w:r>
      <w:r>
        <w:rPr>
          <w:rStyle w:val="17"/>
          <w:rFonts w:hint="eastAsia" w:ascii="黑体" w:hAnsi="黑体" w:eastAsia="黑体"/>
          <w:b w:val="0"/>
        </w:rPr>
        <w:t>其他重要事项的情况说明</w:t>
      </w:r>
      <w:bookmarkEnd w:id="92"/>
      <w:bookmarkEnd w:id="93"/>
      <w:bookmarkEnd w:id="94"/>
      <w:bookmarkEnd w:id="95"/>
    </w:p>
    <w:p>
      <w:pPr>
        <w:spacing w:line="600" w:lineRule="exact"/>
        <w:ind w:firstLine="642" w:firstLineChars="200"/>
        <w:outlineLvl w:val="2"/>
        <w:rPr>
          <w:rFonts w:ascii="仿宋" w:hAnsi="仿宋" w:eastAsia="仿宋"/>
          <w:color w:val="000000"/>
          <w:sz w:val="32"/>
          <w:szCs w:val="32"/>
        </w:rPr>
      </w:pPr>
      <w:bookmarkStart w:id="96" w:name="_Toc79163625"/>
      <w:bookmarkStart w:id="97" w:name="_Toc15377222"/>
      <w:bookmarkStart w:id="98" w:name="_Toc18025"/>
      <w:r>
        <w:rPr>
          <w:rFonts w:hint="eastAsia" w:ascii="仿宋" w:hAnsi="仿宋" w:eastAsia="仿宋"/>
          <w:b/>
          <w:color w:val="000000"/>
          <w:sz w:val="32"/>
          <w:szCs w:val="32"/>
        </w:rPr>
        <w:t>（一）机关运行经费支出情况</w:t>
      </w:r>
      <w:bookmarkEnd w:id="96"/>
      <w:bookmarkEnd w:id="97"/>
      <w:bookmarkEnd w:id="98"/>
    </w:p>
    <w:p>
      <w:pPr>
        <w:spacing w:line="600" w:lineRule="exact"/>
        <w:ind w:firstLine="640" w:firstLineChars="200"/>
        <w:rPr>
          <w:rFonts w:hint="default" w:ascii="仿宋_GB2312" w:eastAsia="仿宋_GB2312"/>
          <w:color w:val="000000"/>
          <w:sz w:val="32"/>
          <w:szCs w:val="32"/>
          <w:lang w:val="en-US" w:eastAsia="zh-CN"/>
        </w:rPr>
      </w:pPr>
      <w:r>
        <w:rPr>
          <w:rFonts w:ascii="仿宋_GB2312" w:eastAsia="仿宋_GB2312"/>
          <w:color w:val="000000"/>
          <w:sz w:val="32"/>
          <w:szCs w:val="32"/>
        </w:rPr>
        <w:t>202</w:t>
      </w:r>
      <w:r>
        <w:rPr>
          <w:rFonts w:hint="eastAsia" w:ascii="仿宋_GB2312" w:eastAsia="仿宋_GB2312"/>
          <w:color w:val="000000"/>
          <w:sz w:val="32"/>
          <w:szCs w:val="32"/>
        </w:rPr>
        <w:t>1年，</w:t>
      </w:r>
      <w:r>
        <w:rPr>
          <w:rFonts w:hint="eastAsia" w:ascii="仿宋_GB2312" w:eastAsia="仿宋_GB2312"/>
          <w:color w:val="000000"/>
          <w:sz w:val="32"/>
          <w:szCs w:val="32"/>
          <w:lang w:val="en-US" w:eastAsia="zh-CN"/>
        </w:rPr>
        <w:t>中共壤塘县委政法委员会</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60.94</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rPr>
        <w:t>20年增加</w:t>
      </w:r>
      <w:r>
        <w:rPr>
          <w:rFonts w:hint="eastAsia" w:ascii="仿宋_GB2312" w:eastAsia="仿宋_GB2312"/>
          <w:color w:val="000000"/>
          <w:sz w:val="32"/>
          <w:szCs w:val="32"/>
          <w:lang w:val="en-US" w:eastAsia="zh-CN"/>
        </w:rPr>
        <w:t>13.68</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22.45</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2021年人员增长，机关运行支出较多，整体支出同比上涨。</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99" w:name="_Toc79163626"/>
      <w:bookmarkStart w:id="100" w:name="_Toc15377223"/>
      <w:bookmarkStart w:id="101" w:name="_Toc20595"/>
      <w:r>
        <w:rPr>
          <w:rFonts w:hint="eastAsia" w:ascii="仿宋" w:hAnsi="仿宋" w:eastAsia="仿宋"/>
          <w:b/>
          <w:color w:val="000000"/>
          <w:sz w:val="32"/>
          <w:szCs w:val="32"/>
        </w:rPr>
        <w:t>（二）政府采购支出情况</w:t>
      </w:r>
      <w:bookmarkEnd w:id="99"/>
      <w:bookmarkEnd w:id="100"/>
      <w:bookmarkEnd w:id="101"/>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w:t>
      </w:r>
      <w:r>
        <w:rPr>
          <w:rFonts w:hint="eastAsia" w:ascii="仿宋_GB2312" w:eastAsia="仿宋_GB2312"/>
          <w:color w:val="000000"/>
          <w:sz w:val="32"/>
          <w:szCs w:val="32"/>
          <w:lang w:val="en-US" w:eastAsia="zh-CN"/>
        </w:rPr>
        <w:t>中共壤塘县委政法委员会</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1.12</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1.12</w:t>
      </w:r>
      <w:r>
        <w:rPr>
          <w:rFonts w:hint="eastAsia" w:ascii="仿宋_GB2312" w:eastAsia="仿宋_GB2312"/>
          <w:color w:val="000000"/>
          <w:sz w:val="32"/>
          <w:szCs w:val="32"/>
        </w:rPr>
        <w:t>万元。主要</w:t>
      </w:r>
      <w:r>
        <w:rPr>
          <w:rFonts w:hint="eastAsia" w:ascii="仿宋_GB2312" w:eastAsia="仿宋_GB2312"/>
          <w:color w:val="000000"/>
          <w:sz w:val="32"/>
          <w:szCs w:val="32"/>
          <w:lang w:val="en-US" w:eastAsia="zh-CN"/>
        </w:rPr>
        <w:t>单位办公设备采购</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1.12</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1.12</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100.00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102" w:name="_Toc79163627"/>
      <w:bookmarkStart w:id="103" w:name="_Toc31288"/>
      <w:bookmarkStart w:id="104" w:name="_Toc15377224"/>
      <w:r>
        <w:rPr>
          <w:rFonts w:hint="eastAsia" w:ascii="仿宋" w:hAnsi="仿宋" w:eastAsia="仿宋"/>
          <w:b/>
          <w:color w:val="000000"/>
          <w:sz w:val="32"/>
          <w:szCs w:val="32"/>
        </w:rPr>
        <w:t>（三）国有资产占有使用情况</w:t>
      </w:r>
      <w:bookmarkEnd w:id="102"/>
      <w:bookmarkEnd w:id="103"/>
      <w:bookmarkEnd w:id="10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1年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中共壤塘县委政法委员会</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辆，其中：其他用车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其他用车主要是用于</w:t>
      </w:r>
      <w:r>
        <w:rPr>
          <w:rFonts w:hint="eastAsia" w:ascii="仿宋_GB2312" w:eastAsia="仿宋_GB2312"/>
          <w:color w:val="000000"/>
          <w:sz w:val="32"/>
          <w:szCs w:val="32"/>
          <w:lang w:val="en-US" w:eastAsia="zh-CN"/>
        </w:rPr>
        <w:t>出差以及下乡等其他业务。</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台（套）。</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105" w:name="_Toc28978"/>
      <w:bookmarkStart w:id="106" w:name="_Toc79163628"/>
      <w:r>
        <w:rPr>
          <w:rFonts w:hint="eastAsia" w:ascii="仿宋" w:hAnsi="仿宋" w:eastAsia="仿宋"/>
          <w:b/>
          <w:color w:val="000000"/>
          <w:sz w:val="32"/>
          <w:szCs w:val="32"/>
        </w:rPr>
        <w:t>（四）预算绩效管理情况</w:t>
      </w:r>
      <w:bookmarkEnd w:id="105"/>
      <w:bookmarkEnd w:id="106"/>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根据预算绩效管理要求，在年初预算编制阶段，</w:t>
      </w:r>
      <w:r>
        <w:rPr>
          <w:rFonts w:hint="default" w:ascii="仿宋_GB2312" w:hAnsi="仿宋_GB2312" w:eastAsia="仿宋_GB2312" w:cs="仿宋_GB2312"/>
          <w:sz w:val="32"/>
          <w:szCs w:val="32"/>
        </w:rPr>
        <w:t>中共壤塘县委政法委员会</w:t>
      </w:r>
      <w:r>
        <w:rPr>
          <w:rFonts w:hint="eastAsia" w:ascii="仿宋_GB2312" w:hAnsi="仿宋_GB2312" w:eastAsia="仿宋_GB2312" w:cs="仿宋_GB2312"/>
          <w:sz w:val="32"/>
          <w:szCs w:val="32"/>
        </w:rPr>
        <w:t>对整体支出开展了预算事前绩效评估，编制了绩效目标，预算执行过程中，开展绩效监控，年终执行完毕后，开展了绩效目标完成情况梳理填报。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开展绩效自评，从评价情况来看：本年预算配置控制较好，财政供养人员控制在预算编制以内，实际在职人员数与编制数相同；预算执行方面，支出总额控制在预算总额以内，基本支出中财政政策性工资有所追加，本年部门预算未进行预算相关事项的调整；预算资金按规定管理使用，财政拨款支出总体控制较好；预算管理方面，制定了切实有效的内部财务、资产内部管理制度，执行总体较为有效。</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Cs w:val="32"/>
        </w:rPr>
      </w:pPr>
      <w:bookmarkStart w:id="107" w:name="_Toc15396613"/>
      <w:bookmarkStart w:id="108" w:name="_Toc79163629"/>
      <w:bookmarkStart w:id="109" w:name="_Toc15377225"/>
      <w:r>
        <w:rPr>
          <w:rFonts w:ascii="仿宋_GB2312" w:hAnsi="仿宋_GB2312" w:eastAsia="仿宋_GB2312" w:cs="仿宋_GB2312"/>
          <w:szCs w:val="32"/>
        </w:rPr>
        <w:t xml:space="preserve"> </w:t>
      </w:r>
      <w:r>
        <w:rPr>
          <w:rFonts w:hint="eastAsia" w:ascii="仿宋_GB2312" w:hAnsi="仿宋_GB2312" w:eastAsia="仿宋_GB2312" w:cs="仿宋_GB2312"/>
          <w:szCs w:val="32"/>
        </w:rPr>
        <w:t>本部门在</w:t>
      </w:r>
      <w:r>
        <w:rPr>
          <w:rFonts w:ascii="仿宋_GB2312" w:hAnsi="仿宋_GB2312" w:eastAsia="仿宋_GB2312" w:cs="仿宋_GB2312"/>
          <w:szCs w:val="32"/>
        </w:rPr>
        <w:t>202</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年度部门决算中反映“壤塘县政法委202</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年部门决算报表中的项目支出均属于县本级专项工作经费</w:t>
      </w:r>
      <w:r>
        <w:rPr>
          <w:rFonts w:hint="default" w:ascii="仿宋_GB2312" w:hAnsi="仿宋_GB2312" w:eastAsia="仿宋_GB2312" w:cs="仿宋_GB2312"/>
          <w:szCs w:val="32"/>
        </w:rPr>
        <w:t>。</w:t>
      </w:r>
    </w:p>
    <w:p>
      <w:pPr>
        <w:pStyle w:val="18"/>
        <w:spacing w:line="560" w:lineRule="exact"/>
        <w:ind w:firstLine="640"/>
        <w:rPr>
          <w:rFonts w:ascii="仿宋_GB2312" w:hAnsi="仿宋_GB2312" w:eastAsia="仿宋_GB2312" w:cs="仿宋_GB2312"/>
          <w:szCs w:val="32"/>
        </w:rPr>
      </w:pPr>
      <w:r>
        <w:rPr>
          <w:rFonts w:ascii="仿宋_GB2312" w:hAnsi="仿宋_GB2312" w:eastAsia="仿宋_GB2312" w:cs="仿宋_GB2312"/>
          <w:szCs w:val="32"/>
        </w:rPr>
        <w:t>2.</w:t>
      </w:r>
      <w:r>
        <w:rPr>
          <w:rFonts w:hint="eastAsia" w:ascii="仿宋_GB2312" w:hAnsi="仿宋_GB2312" w:eastAsia="仿宋_GB2312" w:cs="仿宋_GB2312"/>
          <w:szCs w:val="32"/>
        </w:rPr>
        <w:t>部门绩效评价结果。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年部门整体支出绩效评价情况开展自评，并撰写《壤塘县政法委202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年部门整体支出绩效评价报告》。根据考核评分细则，</w:t>
      </w:r>
      <w:r>
        <w:rPr>
          <w:rFonts w:hint="default" w:ascii="仿宋_GB2312" w:hAnsi="仿宋_GB2312" w:eastAsia="仿宋_GB2312" w:cs="仿宋_GB2312"/>
          <w:sz w:val="32"/>
          <w:szCs w:val="32"/>
        </w:rPr>
        <w:t>中共壤塘县委政法委员会</w:t>
      </w:r>
      <w:r>
        <w:rPr>
          <w:rFonts w:hint="eastAsia" w:ascii="仿宋_GB2312" w:hAnsi="仿宋_GB2312" w:eastAsia="仿宋_GB2312" w:cs="仿宋_GB2312"/>
          <w:sz w:val="32"/>
          <w:szCs w:val="32"/>
        </w:rPr>
        <w:t>严格按照国家的相关财务管理制度规定，财务制度健全、会计核算规范，依照计划管理使用。按照部门整体支出绩效评价指标体系对照打分得出结果为96.5分。</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numPr>
          <w:ilvl w:val="0"/>
          <w:numId w:val="3"/>
        </w:numPr>
        <w:spacing w:line="600" w:lineRule="exact"/>
        <w:ind w:firstLine="660" w:firstLineChars="150"/>
        <w:jc w:val="center"/>
        <w:outlineLvl w:val="0"/>
        <w:rPr>
          <w:rStyle w:val="15"/>
          <w:rFonts w:ascii="黑体" w:hAnsi="黑体" w:eastAsia="黑体"/>
          <w:b w:val="0"/>
        </w:rPr>
      </w:pPr>
      <w:bookmarkStart w:id="110" w:name="_Toc2967"/>
      <w:r>
        <w:rPr>
          <w:rFonts w:hint="eastAsia" w:ascii="黑体" w:hAnsi="黑体" w:eastAsia="黑体"/>
          <w:color w:val="000000"/>
          <w:sz w:val="44"/>
          <w:szCs w:val="44"/>
        </w:rPr>
        <w:t>名</w:t>
      </w:r>
      <w:r>
        <w:rPr>
          <w:rStyle w:val="15"/>
          <w:rFonts w:hint="eastAsia" w:ascii="黑体" w:hAnsi="黑体" w:eastAsia="黑体"/>
          <w:b w:val="0"/>
        </w:rPr>
        <w:t>词解释</w:t>
      </w:r>
      <w:bookmarkEnd w:id="107"/>
      <w:bookmarkEnd w:id="108"/>
      <w:bookmarkEnd w:id="109"/>
      <w:bookmarkEnd w:id="110"/>
    </w:p>
    <w:p>
      <w:pPr>
        <w:spacing w:line="600" w:lineRule="exact"/>
        <w:jc w:val="left"/>
        <w:rPr>
          <w:rFonts w:ascii="宋体"/>
          <w:b/>
          <w:color w:val="000000"/>
          <w:sz w:val="44"/>
          <w:szCs w:val="44"/>
        </w:rPr>
      </w:pPr>
    </w:p>
    <w:p>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1.财政拨款收入：指单位从同级财政部门取得的财政预算资金。</w:t>
      </w:r>
    </w:p>
    <w:p>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2.其他收入：指单位取得的除上述收入以外的各项收入。主要是银行存款中的利息收入等。 </w:t>
      </w:r>
    </w:p>
    <w:p>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3.年初结转和结余：指以前年度尚未完成、结转到本年按有关规定继续使用的资金。 </w:t>
      </w:r>
    </w:p>
    <w:p>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4.结余分配：指事业单位按照事业单位会计制度的规定从非财政补助结余中分配的事业基金和职工福利基金等。</w:t>
      </w:r>
    </w:p>
    <w:p>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5、年末结转和结余：指单位按有关规定结转到下年或以后年度继续使用的资金。</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6.社会保障和就业2080505指机关事业单位基本养老保险缴费支出；2080506指机关事业单位职业年金缴费支出。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7.医疗卫生与计划生育2101102指事业单位医疗。</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8.住房保障2210201指住房公积金，主要用于单位职工住房公积金；2210203指购房补贴，主要用于退休干部的住房补贴。</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9.基本支出：指为保障机构正常运转、完成日常工作任务而发生的人员支出和公用支出。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10.项目支出：指在基本支出之外为完成特定行政任务和事业发展目标所发生的支出。 </w:t>
      </w:r>
    </w:p>
    <w:p>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11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Fonts w:hint="eastAsia" w:ascii="黑体" w:hAnsi="黑体" w:eastAsia="黑体"/>
          <w:color w:val="000000"/>
          <w:sz w:val="44"/>
          <w:szCs w:val="44"/>
        </w:rPr>
      </w:pPr>
      <w:bookmarkStart w:id="111" w:name="_Toc27098"/>
      <w:bookmarkStart w:id="112" w:name="_Toc79163630"/>
      <w:bookmarkStart w:id="113" w:name="_Toc15396614"/>
      <w:bookmarkStart w:id="114" w:name="_Toc15377226"/>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15"/>
          <w:rFonts w:ascii="黑体" w:hAnsi="黑体" w:eastAsia="黑体"/>
          <w:b w:val="0"/>
        </w:rPr>
      </w:pPr>
      <w:r>
        <w:rPr>
          <w:rFonts w:hint="eastAsia" w:ascii="黑体" w:hAnsi="黑体" w:eastAsia="黑体"/>
          <w:color w:val="000000"/>
          <w:sz w:val="44"/>
          <w:szCs w:val="44"/>
        </w:rPr>
        <w:t>第</w:t>
      </w:r>
      <w:r>
        <w:rPr>
          <w:rStyle w:val="15"/>
          <w:rFonts w:hint="eastAsia" w:ascii="黑体" w:hAnsi="黑体" w:eastAsia="黑体"/>
          <w:b w:val="0"/>
        </w:rPr>
        <w:t>四部分</w:t>
      </w:r>
      <w:r>
        <w:rPr>
          <w:rStyle w:val="15"/>
          <w:rFonts w:ascii="黑体" w:hAnsi="黑体" w:eastAsia="黑体"/>
          <w:b w:val="0"/>
        </w:rPr>
        <w:t xml:space="preserve"> </w:t>
      </w:r>
      <w:r>
        <w:rPr>
          <w:rStyle w:val="15"/>
          <w:rFonts w:hint="eastAsia" w:ascii="黑体" w:hAnsi="黑体" w:eastAsia="黑体"/>
          <w:b w:val="0"/>
        </w:rPr>
        <w:t>附件</w:t>
      </w:r>
      <w:bookmarkEnd w:id="111"/>
      <w:bookmarkEnd w:id="112"/>
      <w:bookmarkEnd w:id="113"/>
    </w:p>
    <w:p>
      <w:pPr>
        <w:spacing w:line="580" w:lineRule="exact"/>
        <w:ind w:firstLine="640" w:firstLineChars="200"/>
        <w:rPr>
          <w:rFonts w:ascii="仿宋_GB2312" w:hAnsi="仿宋_GB2312" w:eastAsia="仿宋_GB2312" w:cs="仿宋_GB2312"/>
          <w:sz w:val="32"/>
          <w:szCs w:val="32"/>
        </w:rPr>
      </w:pPr>
    </w:p>
    <w:p>
      <w:pPr>
        <w:spacing w:line="600" w:lineRule="exact"/>
        <w:jc w:val="left"/>
        <w:outlineLvl w:val="0"/>
        <w:rPr>
          <w:rFonts w:hint="eastAsia" w:ascii="黑体" w:hAnsi="黑体" w:eastAsia="黑体" w:cs="黑体"/>
          <w:sz w:val="32"/>
          <w:szCs w:val="32"/>
          <w:lang w:val="en-US" w:eastAsia="zh-CN"/>
        </w:rPr>
      </w:pPr>
      <w:bookmarkStart w:id="115" w:name="_Toc79163633"/>
      <w:bookmarkStart w:id="116" w:name="_Toc19498"/>
      <w:r>
        <w:rPr>
          <w:rFonts w:hint="eastAsia" w:ascii="黑体" w:hAnsi="黑体" w:eastAsia="黑体" w:cs="黑体"/>
          <w:sz w:val="32"/>
          <w:szCs w:val="32"/>
        </w:rPr>
        <w:t>附件</w:t>
      </w:r>
      <w:bookmarkEnd w:id="115"/>
      <w:bookmarkEnd w:id="116"/>
      <w:r>
        <w:rPr>
          <w:rFonts w:hint="eastAsia" w:ascii="黑体" w:hAnsi="黑体" w:eastAsia="黑体" w:cs="黑体"/>
          <w:sz w:val="32"/>
          <w:szCs w:val="32"/>
          <w:lang w:val="en-US" w:eastAsia="zh-CN"/>
        </w:rPr>
        <w:t>1</w:t>
      </w:r>
    </w:p>
    <w:p>
      <w:pPr>
        <w:spacing w:line="580" w:lineRule="exact"/>
        <w:ind w:firstLine="640" w:firstLineChars="200"/>
        <w:rPr>
          <w:rFonts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spacing w:line="560" w:lineRule="exact"/>
        <w:ind w:firstLine="880" w:firstLineChars="200"/>
        <w:contextualSpacing/>
        <w:jc w:val="center"/>
        <w:textAlignment w:val="auto"/>
        <w:rPr>
          <w:rFonts w:hint="eastAsia" w:ascii="方正小标宋简体" w:hAnsi="方正小标宋简体" w:eastAsia="方正小标宋简体" w:cs="方正小标宋简体"/>
          <w:b w:val="0"/>
          <w:bCs/>
          <w:sz w:val="44"/>
          <w:szCs w:val="44"/>
          <w:shd w:val="clear" w:color="auto" w:fill="FFFFFF"/>
          <w:lang w:eastAsia="zh-CN"/>
        </w:rPr>
      </w:pPr>
      <w:r>
        <w:rPr>
          <w:rFonts w:hint="eastAsia" w:ascii="方正小标宋简体" w:hAnsi="方正小标宋简体" w:eastAsia="方正小标宋简体" w:cs="方正小标宋简体"/>
          <w:b w:val="0"/>
          <w:bCs/>
          <w:sz w:val="44"/>
          <w:szCs w:val="44"/>
          <w:shd w:val="clear" w:color="auto" w:fill="FFFFFF"/>
          <w:lang w:eastAsia="zh-CN"/>
        </w:rPr>
        <w:t>中共壤塘县委政法委员会</w:t>
      </w:r>
    </w:p>
    <w:p>
      <w:pPr>
        <w:keepNext w:val="0"/>
        <w:keepLines w:val="0"/>
        <w:pageBreakBefore w:val="0"/>
        <w:widowControl/>
        <w:kinsoku/>
        <w:wordWrap/>
        <w:overflowPunct/>
        <w:topLinePunct w:val="0"/>
        <w:autoSpaceDE/>
        <w:autoSpaceDN/>
        <w:bidi w:val="0"/>
        <w:spacing w:line="560" w:lineRule="exact"/>
        <w:ind w:firstLine="880" w:firstLineChars="200"/>
        <w:contextualSpacing/>
        <w:jc w:val="center"/>
        <w:textAlignment w:val="auto"/>
        <w:rPr>
          <w:rFonts w:hint="eastAsia" w:ascii="方正小标宋简体" w:hAnsi="方正小标宋简体" w:eastAsia="方正小标宋简体" w:cs="方正小标宋简体"/>
          <w:b w:val="0"/>
          <w:bCs/>
          <w:sz w:val="44"/>
          <w:szCs w:val="44"/>
          <w:shd w:val="clear" w:color="auto" w:fill="FFFFFF"/>
        </w:rPr>
      </w:pPr>
      <w:r>
        <w:rPr>
          <w:rFonts w:hint="eastAsia" w:ascii="方正小标宋简体" w:hAnsi="方正小标宋简体" w:eastAsia="方正小标宋简体" w:cs="方正小标宋简体"/>
          <w:b w:val="0"/>
          <w:bCs/>
          <w:sz w:val="44"/>
          <w:szCs w:val="44"/>
          <w:shd w:val="clear" w:color="auto" w:fill="FFFFFF"/>
        </w:rPr>
        <w:t>2</w:t>
      </w:r>
      <w:r>
        <w:rPr>
          <w:rFonts w:hint="eastAsia" w:ascii="方正小标宋简体" w:hAnsi="方正小标宋简体" w:eastAsia="方正小标宋简体" w:cs="方正小标宋简体"/>
          <w:b w:val="0"/>
          <w:bCs/>
          <w:sz w:val="44"/>
          <w:szCs w:val="44"/>
          <w:shd w:val="clear" w:color="auto" w:fill="FFFFFF"/>
          <w:lang w:val="en-US" w:eastAsia="zh-CN"/>
        </w:rPr>
        <w:t>021</w:t>
      </w:r>
      <w:r>
        <w:rPr>
          <w:rFonts w:hint="eastAsia" w:ascii="方正小标宋简体" w:hAnsi="方正小标宋简体" w:eastAsia="方正小标宋简体" w:cs="方正小标宋简体"/>
          <w:b w:val="0"/>
          <w:bCs/>
          <w:sz w:val="44"/>
          <w:szCs w:val="44"/>
          <w:shd w:val="clear" w:color="auto" w:fill="FFFFFF"/>
        </w:rPr>
        <w:t>年部门整体支出绩效评价</w:t>
      </w:r>
    </w:p>
    <w:p>
      <w:pPr>
        <w:keepNext w:val="0"/>
        <w:keepLines w:val="0"/>
        <w:pageBreakBefore w:val="0"/>
        <w:widowControl/>
        <w:kinsoku/>
        <w:wordWrap/>
        <w:overflowPunct/>
        <w:topLinePunct w:val="0"/>
        <w:autoSpaceDE/>
        <w:autoSpaceDN/>
        <w:bidi w:val="0"/>
        <w:spacing w:line="560" w:lineRule="exact"/>
        <w:ind w:firstLine="880" w:firstLineChars="200"/>
        <w:contextualSpacing/>
        <w:jc w:val="center"/>
        <w:textAlignment w:val="auto"/>
        <w:rPr>
          <w:rFonts w:hint="eastAsia" w:ascii="方正小标宋简体" w:hAnsi="方正小标宋简体" w:eastAsia="方正小标宋简体" w:cs="方正小标宋简体"/>
          <w:b w:val="0"/>
          <w:bCs/>
          <w:sz w:val="44"/>
          <w:szCs w:val="44"/>
          <w:shd w:val="clear" w:color="auto" w:fill="FFFFFF"/>
        </w:rPr>
      </w:pPr>
      <w:r>
        <w:rPr>
          <w:rFonts w:hint="eastAsia" w:ascii="方正小标宋简体" w:hAnsi="方正小标宋简体" w:eastAsia="方正小标宋简体" w:cs="方正小标宋简体"/>
          <w:b w:val="0"/>
          <w:bCs/>
          <w:sz w:val="44"/>
          <w:szCs w:val="44"/>
          <w:shd w:val="clear" w:color="auto" w:fill="FFFFFF"/>
          <w:lang w:eastAsia="zh-CN"/>
        </w:rPr>
        <w:t>自评</w:t>
      </w:r>
      <w:r>
        <w:rPr>
          <w:rFonts w:hint="eastAsia" w:ascii="方正小标宋简体" w:hAnsi="方正小标宋简体" w:eastAsia="方正小标宋简体" w:cs="方正小标宋简体"/>
          <w:b w:val="0"/>
          <w:bCs/>
          <w:sz w:val="44"/>
          <w:szCs w:val="44"/>
          <w:shd w:val="clear" w:color="auto" w:fill="FFFFFF"/>
        </w:rPr>
        <w:t>报告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单位全称：中国共产党壤塘县委员会政法委员会，机构性质：机关，机构地址：四川省壤塘县壤柯镇，负责人：</w:t>
      </w:r>
      <w:r>
        <w:rPr>
          <w:rFonts w:hint="default" w:ascii="仿宋_GB2312" w:hAnsi="仿宋_GB2312" w:eastAsia="仿宋_GB2312" w:cs="仿宋_GB2312"/>
          <w:sz w:val="32"/>
          <w:szCs w:val="32"/>
        </w:rPr>
        <w:t>三郎严木初</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60" w:lineRule="exact"/>
        <w:ind w:firstLine="642" w:firstLineChars="200"/>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（一）机构组成</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中共壤塘县委政法委员会共有三个科室，财政全额拨款行政单位。</w:t>
      </w:r>
    </w:p>
    <w:p>
      <w:pPr>
        <w:keepNext w:val="0"/>
        <w:keepLines w:val="0"/>
        <w:pageBreakBefore w:val="0"/>
        <w:numPr>
          <w:ilvl w:val="0"/>
          <w:numId w:val="4"/>
        </w:numPr>
        <w:kinsoku/>
        <w:wordWrap/>
        <w:overflowPunct/>
        <w:topLinePunct w:val="0"/>
        <w:autoSpaceDE/>
        <w:autoSpaceDN/>
        <w:bidi w:val="0"/>
        <w:spacing w:line="560" w:lineRule="exact"/>
        <w:ind w:firstLine="642"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机构职能</w:t>
      </w:r>
    </w:p>
    <w:p>
      <w:pPr>
        <w:keepNext w:val="0"/>
        <w:keepLines w:val="0"/>
        <w:pageBreakBefore w:val="0"/>
        <w:kinsoku/>
        <w:wordWrap/>
        <w:overflowPunct/>
        <w:topLinePunct w:val="0"/>
        <w:autoSpaceDE/>
        <w:autoSpaceDN/>
        <w:bidi w:val="0"/>
        <w:spacing w:line="560" w:lineRule="exact"/>
        <w:ind w:firstLine="642" w:firstLineChars="200"/>
        <w:textAlignment w:val="auto"/>
        <w:rPr>
          <w:rFonts w:ascii="仿宋_GB2312" w:eastAsia="仿宋_GB2312"/>
          <w:b/>
          <w:sz w:val="32"/>
          <w:szCs w:val="32"/>
        </w:rPr>
      </w:pPr>
      <w:r>
        <w:rPr>
          <w:rFonts w:hint="eastAsia" w:ascii="楷体_GB2312" w:hAnsi="仿宋" w:eastAsia="楷体_GB2312"/>
          <w:b/>
          <w:sz w:val="32"/>
          <w:szCs w:val="32"/>
          <w:lang w:val="en-US" w:eastAsia="zh-CN"/>
        </w:rPr>
        <w:t>1.</w:t>
      </w:r>
      <w:r>
        <w:rPr>
          <w:rFonts w:hint="eastAsia" w:ascii="楷体_GB2312" w:hAnsi="仿宋" w:eastAsia="楷体_GB2312"/>
          <w:b/>
          <w:sz w:val="32"/>
          <w:szCs w:val="32"/>
        </w:rPr>
        <w:t>综合科（股）</w:t>
      </w:r>
    </w:p>
    <w:p>
      <w:pPr>
        <w:keepNext w:val="0"/>
        <w:keepLines w:val="0"/>
        <w:pageBreakBefore w:val="0"/>
        <w:kinsoku/>
        <w:wordWrap/>
        <w:overflowPunct/>
        <w:topLinePunct w:val="0"/>
        <w:autoSpaceDE/>
        <w:autoSpaceDN/>
        <w:bidi w:val="0"/>
        <w:spacing w:line="560" w:lineRule="exact"/>
        <w:ind w:firstLine="642" w:firstLineChars="200"/>
        <w:textAlignment w:val="auto"/>
        <w:rPr>
          <w:rFonts w:ascii="仿宋_GB2312" w:eastAsia="仿宋_GB2312"/>
          <w:sz w:val="32"/>
          <w:szCs w:val="32"/>
        </w:rPr>
      </w:pPr>
      <w:r>
        <w:rPr>
          <w:rFonts w:hint="eastAsia" w:ascii="仿宋_GB2312" w:eastAsia="仿宋_GB2312"/>
          <w:b/>
          <w:sz w:val="32"/>
          <w:szCs w:val="32"/>
          <w:lang w:eastAsia="zh-CN"/>
        </w:rPr>
        <w:t>（</w:t>
      </w:r>
      <w:r>
        <w:rPr>
          <w:rFonts w:hint="eastAsia" w:ascii="仿宋_GB2312" w:eastAsia="仿宋_GB2312"/>
          <w:b/>
          <w:sz w:val="32"/>
          <w:szCs w:val="32"/>
        </w:rPr>
        <w:t>1</w:t>
      </w:r>
      <w:r>
        <w:rPr>
          <w:rFonts w:hint="eastAsia" w:ascii="仿宋_GB2312" w:eastAsia="仿宋_GB2312"/>
          <w:b/>
          <w:sz w:val="32"/>
          <w:szCs w:val="32"/>
          <w:lang w:eastAsia="zh-CN"/>
        </w:rPr>
        <w:t>）</w:t>
      </w:r>
      <w:r>
        <w:rPr>
          <w:rFonts w:hint="eastAsia" w:ascii="仿宋_GB2312" w:eastAsia="仿宋_GB2312"/>
          <w:b/>
          <w:sz w:val="32"/>
          <w:szCs w:val="32"/>
        </w:rPr>
        <w:t>文秘组：</w:t>
      </w:r>
      <w:r>
        <w:rPr>
          <w:rFonts w:hint="eastAsia" w:ascii="仿宋_GB2312" w:eastAsia="仿宋_GB2312"/>
          <w:sz w:val="32"/>
          <w:szCs w:val="32"/>
        </w:rPr>
        <w:t>负责机关行政、文电、会务、机要、督办、档案、保密，安全生产、网格安全，承担涉及政法工作综合性文稿事务和信息报送工作。调查掌握全县政法工作动态，研究政法工作重大政策和关系政法工作全局的事项，提出政策建议。协助领导全面了解掌握政法工作情况，指导全县政法调研工作，统筹全县政法系统智能化、信息化建设。</w:t>
      </w:r>
    </w:p>
    <w:p>
      <w:pPr>
        <w:keepNext w:val="0"/>
        <w:keepLines w:val="0"/>
        <w:pageBreakBefore w:val="0"/>
        <w:kinsoku/>
        <w:wordWrap/>
        <w:overflowPunct/>
        <w:topLinePunct w:val="0"/>
        <w:autoSpaceDE/>
        <w:autoSpaceDN/>
        <w:bidi w:val="0"/>
        <w:spacing w:line="560" w:lineRule="exact"/>
        <w:ind w:firstLine="642" w:firstLineChars="200"/>
        <w:textAlignment w:val="auto"/>
        <w:rPr>
          <w:rFonts w:ascii="仿宋_GB2312" w:eastAsia="仿宋_GB2312"/>
          <w:sz w:val="32"/>
          <w:szCs w:val="32"/>
        </w:rPr>
      </w:pPr>
      <w:r>
        <w:rPr>
          <w:rFonts w:hint="eastAsia" w:ascii="仿宋_GB2312" w:eastAsia="仿宋_GB2312"/>
          <w:b/>
          <w:sz w:val="32"/>
          <w:szCs w:val="32"/>
          <w:lang w:eastAsia="zh-CN"/>
        </w:rPr>
        <w:t>（</w:t>
      </w:r>
      <w:r>
        <w:rPr>
          <w:rFonts w:hint="eastAsia" w:ascii="仿宋_GB2312" w:eastAsia="仿宋_GB2312"/>
          <w:b/>
          <w:sz w:val="32"/>
          <w:szCs w:val="32"/>
        </w:rPr>
        <w:t>2</w:t>
      </w:r>
      <w:r>
        <w:rPr>
          <w:rFonts w:hint="eastAsia" w:ascii="仿宋_GB2312" w:eastAsia="仿宋_GB2312"/>
          <w:b/>
          <w:sz w:val="32"/>
          <w:szCs w:val="32"/>
          <w:lang w:eastAsia="zh-CN"/>
        </w:rPr>
        <w:t>）</w:t>
      </w:r>
      <w:r>
        <w:rPr>
          <w:rFonts w:hint="eastAsia" w:ascii="仿宋_GB2312" w:eastAsia="仿宋_GB2312"/>
          <w:b/>
          <w:sz w:val="32"/>
          <w:szCs w:val="32"/>
        </w:rPr>
        <w:t>保障组：</w:t>
      </w:r>
      <w:r>
        <w:rPr>
          <w:rFonts w:hint="eastAsia" w:ascii="仿宋_GB2312" w:eastAsia="仿宋_GB2312"/>
          <w:sz w:val="32"/>
          <w:szCs w:val="32"/>
        </w:rPr>
        <w:t>承担出纳、会计、审计、固定资产管理、后勤管理和后勤服务工作。</w:t>
      </w:r>
    </w:p>
    <w:p>
      <w:pPr>
        <w:keepNext w:val="0"/>
        <w:keepLines w:val="0"/>
        <w:pageBreakBefore w:val="0"/>
        <w:kinsoku/>
        <w:wordWrap/>
        <w:overflowPunct/>
        <w:topLinePunct w:val="0"/>
        <w:autoSpaceDE/>
        <w:autoSpaceDN/>
        <w:bidi w:val="0"/>
        <w:spacing w:line="560"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lang w:eastAsia="zh-CN"/>
        </w:rPr>
        <w:t>（</w:t>
      </w:r>
      <w:r>
        <w:rPr>
          <w:rFonts w:hint="eastAsia" w:ascii="仿宋_GB2312" w:eastAsia="仿宋_GB2312"/>
          <w:b/>
          <w:sz w:val="32"/>
          <w:szCs w:val="32"/>
        </w:rPr>
        <w:t>3</w:t>
      </w:r>
      <w:r>
        <w:rPr>
          <w:rFonts w:hint="eastAsia" w:ascii="仿宋_GB2312" w:eastAsia="仿宋_GB2312"/>
          <w:b/>
          <w:sz w:val="32"/>
          <w:szCs w:val="32"/>
          <w:lang w:eastAsia="zh-CN"/>
        </w:rPr>
        <w:t>）</w:t>
      </w:r>
      <w:r>
        <w:rPr>
          <w:rFonts w:hint="eastAsia" w:ascii="仿宋_GB2312" w:eastAsia="仿宋_GB2312"/>
          <w:b/>
          <w:sz w:val="32"/>
          <w:szCs w:val="32"/>
        </w:rPr>
        <w:t>法治组：</w:t>
      </w:r>
      <w:r>
        <w:rPr>
          <w:rFonts w:hint="eastAsia" w:ascii="仿宋_GB2312" w:eastAsia="仿宋_GB2312"/>
          <w:sz w:val="32"/>
          <w:szCs w:val="32"/>
        </w:rPr>
        <w:t>研究法治壤塘建设中有关问题，提出意见建议。指导推动政法改革事项，掌握全县政法改革情况，组织研究带有方向性、倾向性和普遍性的问题，提出政策建议。负责机关依法治县日常工作，指导规范性文件备案审查等工作。监督检查政法部门执行国家法律法规的情况，调查分析和及时纠正存在的倾向性问题，研究拟订相关政策措施。指导推动政法部门建立健全执法监督制度，针对突出违法问题组织开展专项检查和专项治理。监督和支持政法各部门依法履行职责、行使职权，督促依法及时办理有重大影响、群众反映强烈的案件。</w:t>
      </w:r>
    </w:p>
    <w:p>
      <w:pPr>
        <w:keepNext w:val="0"/>
        <w:keepLines w:val="0"/>
        <w:pageBreakBefore w:val="0"/>
        <w:kinsoku/>
        <w:wordWrap/>
        <w:overflowPunct/>
        <w:topLinePunct w:val="0"/>
        <w:autoSpaceDE/>
        <w:autoSpaceDN/>
        <w:bidi w:val="0"/>
        <w:spacing w:line="560" w:lineRule="exact"/>
        <w:ind w:firstLine="642" w:firstLineChars="200"/>
        <w:textAlignment w:val="auto"/>
        <w:rPr>
          <w:rFonts w:ascii="仿宋_GB2312" w:eastAsia="仿宋_GB2312"/>
          <w:sz w:val="32"/>
          <w:szCs w:val="32"/>
        </w:rPr>
      </w:pPr>
      <w:r>
        <w:rPr>
          <w:rFonts w:hint="eastAsia" w:ascii="仿宋_GB2312" w:eastAsia="仿宋_GB2312"/>
          <w:b/>
          <w:sz w:val="32"/>
          <w:szCs w:val="32"/>
          <w:lang w:eastAsia="zh-CN"/>
        </w:rPr>
        <w:t>（</w:t>
      </w:r>
      <w:r>
        <w:rPr>
          <w:rFonts w:hint="eastAsia" w:ascii="仿宋_GB2312" w:eastAsia="仿宋_GB2312"/>
          <w:b/>
          <w:sz w:val="32"/>
          <w:szCs w:val="32"/>
        </w:rPr>
        <w:t>4</w:t>
      </w:r>
      <w:r>
        <w:rPr>
          <w:rFonts w:hint="eastAsia" w:ascii="仿宋_GB2312" w:eastAsia="仿宋_GB2312"/>
          <w:b/>
          <w:sz w:val="32"/>
          <w:szCs w:val="32"/>
          <w:lang w:eastAsia="zh-CN"/>
        </w:rPr>
        <w:t>）</w:t>
      </w:r>
      <w:r>
        <w:rPr>
          <w:rFonts w:hint="eastAsia" w:ascii="仿宋_GB2312" w:eastAsia="仿宋_GB2312"/>
          <w:b/>
          <w:sz w:val="32"/>
          <w:szCs w:val="32"/>
        </w:rPr>
        <w:t>信息组：</w:t>
      </w:r>
      <w:r>
        <w:rPr>
          <w:rFonts w:hint="eastAsia" w:ascii="仿宋_GB2312" w:eastAsia="仿宋_GB2312"/>
          <w:sz w:val="32"/>
          <w:szCs w:val="32"/>
        </w:rPr>
        <w:t>负责政法舆情监控分析，研究影响国家安全和社会稳定的舆情，提出对策建议，加强网格安全管理，并将有关情况及时通报县委宣传主管部门。负责综合协调政法部门媒体和对内对外宣传工作相关事宜。</w:t>
      </w:r>
    </w:p>
    <w:p>
      <w:pPr>
        <w:keepNext w:val="0"/>
        <w:keepLines w:val="0"/>
        <w:pageBreakBefore w:val="0"/>
        <w:widowControl w:val="0"/>
        <w:kinsoku/>
        <w:wordWrap/>
        <w:overflowPunct/>
        <w:topLinePunct w:val="0"/>
        <w:autoSpaceDE/>
        <w:autoSpaceDN/>
        <w:bidi w:val="0"/>
        <w:spacing w:line="560" w:lineRule="exact"/>
        <w:ind w:firstLine="642" w:firstLineChars="200"/>
        <w:jc w:val="both"/>
        <w:textAlignment w:val="auto"/>
        <w:rPr>
          <w:rFonts w:ascii="楷体_GB2312" w:hAnsi="仿宋" w:eastAsia="楷体_GB2312" w:cs="Times New Roman"/>
          <w:b/>
          <w:kern w:val="2"/>
          <w:sz w:val="32"/>
          <w:szCs w:val="32"/>
          <w:lang w:val="en-US" w:eastAsia="zh-CN" w:bidi="ar-SA"/>
        </w:rPr>
      </w:pPr>
      <w:r>
        <w:rPr>
          <w:rFonts w:hint="eastAsia" w:ascii="楷体_GB2312" w:hAnsi="仿宋" w:eastAsia="楷体_GB2312" w:cs="Times New Roman"/>
          <w:b/>
          <w:kern w:val="2"/>
          <w:sz w:val="32"/>
          <w:szCs w:val="32"/>
          <w:lang w:val="en-US" w:eastAsia="zh-CN" w:bidi="ar-SA"/>
        </w:rPr>
        <w:t>2.业务科</w:t>
      </w:r>
    </w:p>
    <w:p>
      <w:pPr>
        <w:keepNext w:val="0"/>
        <w:keepLines w:val="0"/>
        <w:pageBreakBefore w:val="0"/>
        <w:widowControl w:val="0"/>
        <w:kinsoku/>
        <w:wordWrap/>
        <w:overflowPunct/>
        <w:topLinePunct w:val="0"/>
        <w:autoSpaceDE/>
        <w:autoSpaceDN/>
        <w:bidi w:val="0"/>
        <w:spacing w:line="560" w:lineRule="exact"/>
        <w:ind w:firstLine="642" w:firstLineChars="200"/>
        <w:jc w:val="both"/>
        <w:textAlignment w:val="auto"/>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b/>
          <w:kern w:val="2"/>
          <w:sz w:val="32"/>
          <w:szCs w:val="32"/>
          <w:lang w:val="en-US" w:eastAsia="zh-CN" w:bidi="ar-SA"/>
        </w:rPr>
        <w:t>（</w:t>
      </w:r>
      <w:r>
        <w:rPr>
          <w:rFonts w:hint="default" w:ascii="仿宋_GB2312" w:hAnsi="Calibri" w:eastAsia="仿宋_GB2312" w:cs="Times New Roman"/>
          <w:b/>
          <w:kern w:val="2"/>
          <w:sz w:val="32"/>
          <w:szCs w:val="32"/>
          <w:lang w:eastAsia="zh-CN" w:bidi="ar-SA"/>
        </w:rPr>
        <w:t>1</w:t>
      </w:r>
      <w:r>
        <w:rPr>
          <w:rFonts w:hint="eastAsia" w:ascii="仿宋_GB2312" w:hAnsi="Calibri" w:eastAsia="仿宋_GB2312" w:cs="Times New Roman"/>
          <w:b/>
          <w:kern w:val="2"/>
          <w:sz w:val="32"/>
          <w:szCs w:val="32"/>
          <w:lang w:val="en-US" w:eastAsia="zh-CN" w:bidi="ar-SA"/>
        </w:rPr>
        <w:t>）基层治理与综治组</w:t>
      </w:r>
      <w:r>
        <w:rPr>
          <w:rFonts w:hint="eastAsia" w:ascii="仿宋_GB2312" w:hAnsi="Calibri" w:eastAsia="仿宋_GB2312" w:cs="Times New Roman"/>
          <w:kern w:val="2"/>
          <w:sz w:val="32"/>
          <w:szCs w:val="32"/>
          <w:lang w:val="en-US" w:eastAsia="zh-CN" w:bidi="ar-SA"/>
        </w:rPr>
        <w:t>：承担社会治安综合治理工作的调查分析，组织协调和督导检查，承担维护社会稳定、社会治安综合治理工作的综合考评及社会治安综治治理领导责任制的实施，指导全县推进依法治理工作。协调推进基层社会治安综合治理体系建设，推动开展基层平安创建活动。指导推进各级综治中心建设、深化拓展网格化服务管理，完善乡（镇）、村（社区）综治维稳机制。推动“雪亮工程”等社会治安综合治理信息化建设。指导全县见义勇为表彰奖励工作。</w:t>
      </w:r>
    </w:p>
    <w:p>
      <w:pPr>
        <w:keepNext w:val="0"/>
        <w:keepLines w:val="0"/>
        <w:pageBreakBefore w:val="0"/>
        <w:widowControl w:val="0"/>
        <w:kinsoku/>
        <w:wordWrap/>
        <w:overflowPunct/>
        <w:topLinePunct w:val="0"/>
        <w:autoSpaceDE/>
        <w:autoSpaceDN/>
        <w:bidi w:val="0"/>
        <w:spacing w:line="560" w:lineRule="exact"/>
        <w:ind w:firstLine="642" w:firstLineChars="200"/>
        <w:jc w:val="both"/>
        <w:textAlignment w:val="auto"/>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b/>
          <w:kern w:val="2"/>
          <w:sz w:val="32"/>
          <w:szCs w:val="32"/>
          <w:lang w:val="en-US" w:eastAsia="zh-CN" w:bidi="ar-SA"/>
        </w:rPr>
        <w:t>（</w:t>
      </w:r>
      <w:r>
        <w:rPr>
          <w:rFonts w:hint="default" w:ascii="仿宋_GB2312" w:hAnsi="Calibri" w:eastAsia="仿宋_GB2312" w:cs="Times New Roman"/>
          <w:b/>
          <w:kern w:val="2"/>
          <w:sz w:val="32"/>
          <w:szCs w:val="32"/>
          <w:lang w:eastAsia="zh-CN" w:bidi="ar-SA"/>
        </w:rPr>
        <w:t>2</w:t>
      </w:r>
      <w:r>
        <w:rPr>
          <w:rFonts w:hint="eastAsia" w:ascii="仿宋_GB2312" w:hAnsi="Calibri" w:eastAsia="仿宋_GB2312" w:cs="Times New Roman"/>
          <w:b/>
          <w:kern w:val="2"/>
          <w:sz w:val="32"/>
          <w:szCs w:val="32"/>
          <w:lang w:val="en-US" w:eastAsia="zh-CN" w:bidi="ar-SA"/>
        </w:rPr>
        <w:t>）纠纷多元化解组</w:t>
      </w:r>
      <w:r>
        <w:rPr>
          <w:rFonts w:hint="eastAsia" w:ascii="仿宋_GB2312" w:hAnsi="Calibri" w:eastAsia="仿宋_GB2312" w:cs="Times New Roman"/>
          <w:kern w:val="2"/>
          <w:sz w:val="32"/>
          <w:szCs w:val="32"/>
          <w:lang w:val="en-US" w:eastAsia="zh-CN" w:bidi="ar-SA"/>
        </w:rPr>
        <w:t>：承担矛盾纠纷多元化解工作机制建设、组织协调、督促检查和考评推动。协调推动“人民、司法、行政、信访”四大调解与仲裁、行政复议、诉讼等对接。指导协调公用设施和重要基础设施安全防护、边际联防、校园和医院及周边社会治安综合治理工作。调查研究非公有制经济组织、社会组织服务管理工作有关问题并提出政策建议。</w:t>
      </w:r>
    </w:p>
    <w:p>
      <w:pPr>
        <w:keepNext w:val="0"/>
        <w:keepLines w:val="0"/>
        <w:pageBreakBefore w:val="0"/>
        <w:kinsoku/>
        <w:wordWrap/>
        <w:overflowPunct/>
        <w:topLinePunct w:val="0"/>
        <w:autoSpaceDE/>
        <w:autoSpaceDN/>
        <w:bidi w:val="0"/>
        <w:spacing w:line="560" w:lineRule="exact"/>
        <w:ind w:firstLine="642" w:firstLineChars="200"/>
        <w:textAlignment w:val="auto"/>
        <w:rPr>
          <w:rFonts w:ascii="楷体_GB2312" w:hAnsi="仿宋" w:eastAsia="楷体_GB2312"/>
          <w:b/>
          <w:sz w:val="32"/>
          <w:szCs w:val="32"/>
        </w:rPr>
      </w:pPr>
      <w:r>
        <w:rPr>
          <w:rFonts w:hint="eastAsia" w:ascii="楷体_GB2312" w:hAnsi="仿宋" w:eastAsia="楷体_GB2312"/>
          <w:b/>
          <w:sz w:val="32"/>
          <w:szCs w:val="32"/>
          <w:lang w:val="en-US" w:eastAsia="zh-CN"/>
        </w:rPr>
        <w:t>3.</w:t>
      </w:r>
      <w:r>
        <w:rPr>
          <w:rFonts w:hint="eastAsia" w:ascii="楷体_GB2312" w:hAnsi="仿宋" w:eastAsia="楷体_GB2312"/>
          <w:b/>
          <w:sz w:val="32"/>
          <w:szCs w:val="32"/>
        </w:rPr>
        <w:t>政治部</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0000FF"/>
          <w:sz w:val="32"/>
          <w:szCs w:val="32"/>
        </w:rPr>
      </w:pPr>
      <w:r>
        <w:rPr>
          <w:rFonts w:hint="eastAsia" w:ascii="仿宋_GB2312" w:eastAsia="仿宋_GB2312"/>
          <w:sz w:val="32"/>
          <w:szCs w:val="32"/>
        </w:rPr>
        <w:t>指导推动全县政法系统党的建设和政法队伍建设，推动政法队伍纪律作风建设和廉政建设，负责组织开展机关和所属单位及政法队伍教育培训，指导政法系统人才队伍培养。组织开展各类学习教育活动。配合有关部门办理政法系统党和国家功勋荣誉表彰工作。协同县级有关职能部门管理、监督、考察政法领导干部。负责机关和所属单位的干部人事、离退休人员服务管理工作。</w:t>
      </w:r>
    </w:p>
    <w:p>
      <w:pPr>
        <w:keepNext w:val="0"/>
        <w:keepLines w:val="0"/>
        <w:pageBreakBefore w:val="0"/>
        <w:kinsoku/>
        <w:wordWrap/>
        <w:overflowPunct/>
        <w:topLinePunct w:val="0"/>
        <w:autoSpaceDE/>
        <w:autoSpaceDN/>
        <w:bidi w:val="0"/>
        <w:spacing w:line="560" w:lineRule="exact"/>
        <w:ind w:firstLine="642"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（三）</w:t>
      </w:r>
      <w:r>
        <w:rPr>
          <w:rFonts w:hint="eastAsia" w:ascii="仿宋_GB2312" w:hAnsi="仿宋_GB2312" w:eastAsia="仿宋_GB2312" w:cs="仿宋_GB2312"/>
          <w:b/>
          <w:bCs/>
          <w:kern w:val="0"/>
          <w:sz w:val="32"/>
          <w:szCs w:val="32"/>
        </w:rPr>
        <w:t>人员概况</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rPr>
        <w:t>截</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年12月底，</w:t>
      </w:r>
      <w:r>
        <w:rPr>
          <w:rFonts w:hint="default" w:ascii="仿宋_GB2312" w:hAnsi="仿宋_GB2312" w:eastAsia="仿宋_GB2312" w:cs="仿宋_GB2312"/>
          <w:sz w:val="32"/>
          <w:szCs w:val="32"/>
        </w:rPr>
        <w:t>中共壤塘县委政法委员会</w:t>
      </w:r>
      <w:r>
        <w:rPr>
          <w:rFonts w:hint="eastAsia" w:ascii="仿宋_GB2312" w:hAnsi="仿宋_GB2312" w:eastAsia="仿宋_GB2312" w:cs="仿宋_GB2312"/>
          <w:sz w:val="32"/>
          <w:szCs w:val="32"/>
        </w:rPr>
        <w:t>总编制2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名,其中:行政编制</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人（含行政工</w:t>
      </w:r>
      <w:r>
        <w:rPr>
          <w:rFonts w:hint="eastAsia" w:ascii="仿宋_GB2312" w:eastAsia="仿宋_GB2312" w:cs="仿宋_GB2312"/>
          <w:kern w:val="0"/>
          <w:sz w:val="32"/>
          <w:szCs w:val="32"/>
        </w:rPr>
        <w:t>勤</w:t>
      </w:r>
      <w:r>
        <w:rPr>
          <w:rFonts w:hint="eastAsia" w:ascii="仿宋_GB2312" w:eastAsia="仿宋_GB2312"/>
          <w:kern w:val="0"/>
          <w:sz w:val="32"/>
          <w:szCs w:val="32"/>
        </w:rPr>
        <w:t>1</w:t>
      </w:r>
      <w:r>
        <w:rPr>
          <w:rFonts w:hint="eastAsia" w:ascii="仿宋_GB2312" w:eastAsia="仿宋_GB2312" w:cs="仿宋_GB2312"/>
          <w:kern w:val="0"/>
          <w:sz w:val="32"/>
          <w:szCs w:val="32"/>
        </w:rPr>
        <w:t>人）、事业编制</w:t>
      </w:r>
      <w:r>
        <w:rPr>
          <w:rFonts w:hint="eastAsia" w:ascii="仿宋_GB2312" w:eastAsia="仿宋_GB2312"/>
          <w:kern w:val="0"/>
          <w:sz w:val="32"/>
          <w:szCs w:val="32"/>
        </w:rPr>
        <w:t>1</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人。</w:t>
      </w:r>
    </w:p>
    <w:p>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6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560" w:lineRule="exact"/>
        <w:ind w:firstLine="640" w:firstLineChars="200"/>
        <w:contextualSpacing/>
        <w:jc w:val="left"/>
        <w:rPr>
          <w:rFonts w:hint="default" w:eastAsia="仿宋_GB2312" w:cs="仿宋_GB2312"/>
          <w:sz w:val="32"/>
          <w:szCs w:val="32"/>
          <w:lang w:val="en-US" w:eastAsia="zh-CN"/>
        </w:rPr>
      </w:pPr>
      <w:r>
        <w:rPr>
          <w:rFonts w:hint="default" w:eastAsia="仿宋_GB2312" w:cs="仿宋_GB2312"/>
          <w:sz w:val="32"/>
          <w:szCs w:val="32"/>
        </w:rPr>
        <w:t>中共壤塘县委政法委员会</w:t>
      </w:r>
      <w:r>
        <w:rPr>
          <w:rFonts w:hint="eastAsia" w:eastAsia="仿宋_GB2312" w:cs="仿宋_GB2312"/>
          <w:sz w:val="32"/>
          <w:szCs w:val="32"/>
        </w:rPr>
        <w:t>年初收入预算数为</w:t>
      </w:r>
      <w:r>
        <w:rPr>
          <w:rFonts w:hint="eastAsia" w:ascii="仿宋_GB2312" w:eastAsia="仿宋_GB2312"/>
          <w:sz w:val="32"/>
          <w:szCs w:val="32"/>
        </w:rPr>
        <w:t>472.55</w:t>
      </w:r>
      <w:r>
        <w:rPr>
          <w:rFonts w:hint="eastAsia" w:eastAsia="仿宋_GB2312" w:cs="仿宋_GB2312"/>
          <w:sz w:val="32"/>
          <w:szCs w:val="32"/>
        </w:rPr>
        <w:t>万元，决算数</w:t>
      </w:r>
      <w:r>
        <w:rPr>
          <w:rFonts w:hint="eastAsia" w:ascii="仿宋_GB2312" w:eastAsia="仿宋_GB2312"/>
          <w:sz w:val="32"/>
          <w:szCs w:val="32"/>
        </w:rPr>
        <w:t>1,151.31</w:t>
      </w:r>
      <w:r>
        <w:rPr>
          <w:rFonts w:hint="eastAsia" w:eastAsia="仿宋_GB2312" w:cs="仿宋_GB2312"/>
          <w:sz w:val="32"/>
          <w:szCs w:val="32"/>
        </w:rPr>
        <w:t>万元</w:t>
      </w:r>
      <w:r>
        <w:rPr>
          <w:rFonts w:hint="eastAsia" w:eastAsia="仿宋_GB2312" w:cs="仿宋_GB2312"/>
          <w:sz w:val="32"/>
          <w:szCs w:val="32"/>
          <w:lang w:eastAsia="zh-CN"/>
        </w:rPr>
        <w:t>，财政拨款</w:t>
      </w:r>
      <w:r>
        <w:rPr>
          <w:rFonts w:hint="eastAsia" w:eastAsia="仿宋_GB2312" w:cs="仿宋_GB2312"/>
          <w:sz w:val="32"/>
          <w:szCs w:val="32"/>
          <w:lang w:val="en-US" w:eastAsia="zh-CN"/>
        </w:rPr>
        <w:t>100%.</w:t>
      </w:r>
    </w:p>
    <w:p>
      <w:pPr>
        <w:widowControl/>
        <w:numPr>
          <w:ilvl w:val="0"/>
          <w:numId w:val="0"/>
        </w:numPr>
        <w:adjustRightInd w:val="0"/>
        <w:snapToGrid w:val="0"/>
        <w:spacing w:line="560" w:lineRule="exact"/>
        <w:ind w:left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color w:val="000000"/>
          <w:kern w:val="0"/>
          <w:sz w:val="32"/>
          <w:szCs w:val="32"/>
          <w:shd w:val="clear" w:color="auto" w:fill="FFFFFF"/>
          <w:lang w:val="zh-CN" w:eastAsia="zh-CN"/>
        </w:rPr>
        <w:t>二）</w:t>
      </w:r>
      <w:r>
        <w:rPr>
          <w:rFonts w:hint="eastAsia" w:ascii="仿宋_GB2312" w:hAnsi="宋体" w:eastAsia="仿宋_GB2312" w:cs="宋体"/>
          <w:color w:val="000000"/>
          <w:kern w:val="0"/>
          <w:sz w:val="32"/>
          <w:szCs w:val="32"/>
          <w:shd w:val="clear" w:color="auto" w:fill="FFFFFF"/>
          <w:lang w:val="zh-CN"/>
        </w:rPr>
        <w:t>部门财政资金支出情况</w:t>
      </w:r>
    </w:p>
    <w:p>
      <w:pPr>
        <w:snapToGrid w:val="0"/>
        <w:spacing w:line="560" w:lineRule="exact"/>
        <w:ind w:firstLine="640" w:firstLineChars="200"/>
        <w:rPr>
          <w:rFonts w:hint="eastAsia" w:ascii="仿宋_GB2312" w:hAnsi="宋体" w:eastAsia="仿宋_GB2312" w:cs="宋体"/>
          <w:color w:val="000000"/>
          <w:kern w:val="0"/>
          <w:sz w:val="32"/>
          <w:szCs w:val="32"/>
          <w:shd w:val="clear" w:color="auto" w:fill="FFFFFF"/>
          <w:lang w:val="zh-CN"/>
        </w:rPr>
      </w:pPr>
      <w:r>
        <w:rPr>
          <w:rFonts w:hint="eastAsia" w:eastAsia="仿宋_GB2312"/>
          <w:sz w:val="32"/>
          <w:szCs w:val="32"/>
        </w:rPr>
        <w:t>财政拨款支出为1,288.80万元，其中：基本支出中人员经费支出为524.87万元，公用经费支出为60.94万元。项目支出中基本建设类项目支出为0.00万元</w:t>
      </w:r>
    </w:p>
    <w:p>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keepNext w:val="0"/>
        <w:keepLines w:val="0"/>
        <w:pageBreakBefore w:val="0"/>
        <w:widowControl w:val="0"/>
        <w:kinsoku/>
        <w:wordWrap/>
        <w:overflowPunct/>
        <w:topLinePunct w:val="0"/>
        <w:autoSpaceDE/>
        <w:autoSpaceDN/>
        <w:bidi w:val="0"/>
        <w:spacing w:line="560" w:lineRule="exact"/>
        <w:ind w:firstLine="642" w:firstLineChars="200"/>
        <w:jc w:val="both"/>
        <w:textAlignment w:val="auto"/>
        <w:rPr>
          <w:rFonts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（一）基础管理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1、管理制度健全性</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eastAsia="zh-CN" w:bidi="ar-SA"/>
        </w:rPr>
        <w:t>中共壤塘县委政法委员会</w:t>
      </w:r>
      <w:r>
        <w:rPr>
          <w:rFonts w:hint="eastAsia" w:ascii="仿宋_GB2312" w:hAnsi="仿宋_GB2312" w:eastAsia="仿宋_GB2312" w:cs="仿宋_GB2312"/>
          <w:kern w:val="2"/>
          <w:sz w:val="32"/>
          <w:szCs w:val="32"/>
          <w:lang w:val="en-US" w:eastAsia="zh-CN" w:bidi="ar-SA"/>
        </w:rPr>
        <w:t>根据财政部颁布《行政单位内部控制规范》、《关于全部推进行政单位内部控制建设的指导意见》文件要求等法律法规及规章制度规定，结合单位实际情况，在对单位主要经济活动及业务流程梳理分析的基础上，初步建立覆盖本单位经济活动的内部控制体系，形成</w:t>
      </w:r>
      <w:r>
        <w:rPr>
          <w:rFonts w:hint="eastAsia" w:ascii="仿宋_GB2312" w:hAnsi="仿宋_GB2312" w:eastAsia="仿宋_GB2312" w:cs="仿宋_GB2312"/>
          <w:color w:val="auto"/>
          <w:kern w:val="2"/>
          <w:sz w:val="32"/>
          <w:szCs w:val="32"/>
          <w:lang w:val="en-US" w:eastAsia="zh-CN" w:bidi="ar-SA"/>
        </w:rPr>
        <w:t>一系列</w:t>
      </w:r>
      <w:r>
        <w:rPr>
          <w:rFonts w:hint="eastAsia" w:ascii="仿宋_GB2312" w:hAnsi="仿宋_GB2312" w:eastAsia="仿宋_GB2312" w:cs="仿宋_GB2312"/>
          <w:kern w:val="2"/>
          <w:sz w:val="32"/>
          <w:szCs w:val="32"/>
          <w:lang w:val="en-US" w:eastAsia="zh-CN" w:bidi="ar-SA"/>
        </w:rPr>
        <w:t>的内部管理制度。主要包括有值班管理制度、档案管理制度、印章管理制度、会计核算管理制度、厉行节约管理措施、内部财务管理制度、预算资金管理办法等内部管理制度,另还有公文管理制度、督查管理制度在建；以上相关管理制度合法、合规、完整，均得到了有效执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2、财务管理以及资金使用合规性</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default" w:ascii="仿宋_GB2312" w:hAnsi="仿宋_GB2312" w:eastAsia="仿宋_GB2312" w:cs="仿宋_GB2312"/>
          <w:sz w:val="32"/>
          <w:szCs w:val="32"/>
          <w:lang w:eastAsia="zh-CN"/>
        </w:rPr>
        <w:t>中共壤塘县委政法委员会</w:t>
      </w:r>
      <w:r>
        <w:rPr>
          <w:rFonts w:hint="eastAsia" w:ascii="仿宋_GB2312" w:hAnsi="仿宋_GB2312" w:eastAsia="仿宋_GB2312" w:cs="仿宋_GB2312"/>
          <w:sz w:val="32"/>
          <w:szCs w:val="32"/>
        </w:rPr>
        <w:t>资金使用过程中严格按照单位财务管理制度要求执行，资金使用的合规性体现在：</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所有经费开支坚持财务审批制度，重大资金支出（日常公用经费在2万元及以上）</w:t>
      </w:r>
      <w:r>
        <w:rPr>
          <w:rFonts w:hint="eastAsia" w:ascii="仿宋_GB2312" w:hAnsi="仿宋_GB2312" w:eastAsia="仿宋_GB2312" w:cs="仿宋_GB2312"/>
          <w:sz w:val="32"/>
          <w:szCs w:val="32"/>
          <w:lang w:eastAsia="zh-CN"/>
        </w:rPr>
        <w:t>由班子成员</w:t>
      </w:r>
      <w:r>
        <w:rPr>
          <w:rFonts w:hint="eastAsia" w:ascii="仿宋_GB2312" w:hAnsi="仿宋_GB2312" w:eastAsia="仿宋_GB2312" w:cs="仿宋_GB2312"/>
          <w:sz w:val="32"/>
          <w:szCs w:val="32"/>
        </w:rPr>
        <w:t>会研究决定。</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在报销经费时，经办人使用统一规范的报销单，在报销上写明用途、经办人员、科室负责人、金额、报销日期、单据张数等内容。</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费用报销审批程序  </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经办人填写报销单→由业务科室负责人确认签字→财务确认签字→分管财务领导签字批准后，财务出纳办理支付手续。</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各个审批环节的具体职责：</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业务科室负责人及其分管领导对其发生的支出用途及金额的真实性、准确性负责，并对其科室填写的支出报销单内容、大小写金额、票据张数进行审核。经济业务发生后，原则上在15天之内报账完毕。不得将几个经济事项的票据合并填报。</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财务室对科室提供的原始票据的合法性进行审核监督。审核发票是否真实合法、填写是否规范、印章是否齐全、报销金额与原始票据是否相符；审核是否符合审批程序；审核是否在预算额度内、在审计金额内按进度、按比例、按范围付款。对不符合规定的票据，财务有权拒绝受理。</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审批领导审查财务收支的真实性、合法性、必要性，并在报销凭证上明确签署报销意见。</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纳人员对已经审批后的支出票据必须进行复核（复核票据张数、金额、审批程序），对不符合规定的票据有权拒绝支付并立即向领导报告。严格控制现金支付，原则上采用公务卡和转账结算。会计人员进行会计核算时，对不符合财经管理规定的票据有权拒绝接受并应立即报告。</w:t>
      </w:r>
    </w:p>
    <w:p>
      <w:pPr>
        <w:keepNext w:val="0"/>
        <w:keepLines w:val="0"/>
        <w:pageBreakBefore w:val="0"/>
        <w:widowControl w:val="0"/>
        <w:kinsoku/>
        <w:wordWrap/>
        <w:overflowPunct/>
        <w:topLinePunct w:val="0"/>
        <w:autoSpaceDE/>
        <w:autoSpaceDN/>
        <w:bidi w:val="0"/>
        <w:spacing w:line="560" w:lineRule="exact"/>
        <w:ind w:firstLine="642" w:firstLineChars="200"/>
        <w:jc w:val="both"/>
        <w:textAlignment w:val="auto"/>
        <w:rPr>
          <w:rFonts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0"/>
          <w:sz w:val="32"/>
          <w:szCs w:val="32"/>
          <w:lang w:val="en-US" w:eastAsia="zh-CN" w:bidi="ar-SA"/>
        </w:rPr>
        <w:t>（二）行政成本</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“三公”经费控制。</w:t>
      </w:r>
      <w:r>
        <w:rPr>
          <w:rFonts w:hint="default" w:ascii="仿宋_GB2312" w:hAnsi="仿宋_GB2312" w:eastAsia="仿宋_GB2312" w:cs="仿宋_GB2312"/>
          <w:kern w:val="2"/>
          <w:sz w:val="32"/>
          <w:szCs w:val="32"/>
          <w:lang w:eastAsia="zh-CN" w:bidi="ar-SA"/>
        </w:rPr>
        <w:t>中共壤塘县委政法委员会</w:t>
      </w:r>
      <w:r>
        <w:rPr>
          <w:rFonts w:hint="eastAsia" w:ascii="仿宋_GB2312" w:hAnsi="仿宋_GB2312" w:eastAsia="仿宋_GB2312" w:cs="仿宋_GB2312"/>
          <w:kern w:val="2"/>
          <w:sz w:val="32"/>
          <w:szCs w:val="32"/>
          <w:lang w:val="en-US" w:eastAsia="zh-CN" w:bidi="ar-SA"/>
        </w:rPr>
        <w:t>2021年“三公”经费预算</w:t>
      </w:r>
      <w:r>
        <w:rPr>
          <w:rFonts w:hint="eastAsia" w:ascii="仿宋_GB2312" w:hAnsi="仿宋" w:eastAsia="仿宋_GB2312" w:cs="宋体"/>
          <w:color w:val="000000"/>
          <w:kern w:val="2"/>
          <w:sz w:val="32"/>
          <w:szCs w:val="32"/>
          <w:lang w:val="en-US" w:eastAsia="zh-CN" w:bidi="ar-SA"/>
        </w:rPr>
        <w:t>12</w:t>
      </w:r>
      <w:r>
        <w:rPr>
          <w:rFonts w:hint="eastAsia" w:ascii="仿宋_GB2312" w:hAnsi="仿宋_GB2312" w:eastAsia="仿宋_GB2312" w:cs="仿宋_GB2312"/>
          <w:kern w:val="2"/>
          <w:sz w:val="32"/>
          <w:szCs w:val="32"/>
          <w:lang w:val="en-US" w:eastAsia="zh-CN" w:bidi="ar-SA"/>
        </w:rPr>
        <w:t>万元，决算支出</w:t>
      </w:r>
      <w:r>
        <w:rPr>
          <w:rFonts w:hint="eastAsia" w:ascii="仿宋_GB2312" w:hAnsi="仿宋" w:eastAsia="仿宋_GB2312" w:cs="宋体"/>
          <w:color w:val="000000"/>
          <w:kern w:val="2"/>
          <w:sz w:val="32"/>
          <w:szCs w:val="32"/>
          <w:lang w:val="en-US" w:eastAsia="zh-CN" w:bidi="ar-SA"/>
        </w:rPr>
        <w:t>17.03</w:t>
      </w:r>
      <w:r>
        <w:rPr>
          <w:rFonts w:hint="eastAsia" w:ascii="仿宋_GB2312" w:hAnsi="仿宋_GB2312" w:eastAsia="仿宋_GB2312" w:cs="仿宋_GB2312"/>
          <w:kern w:val="2"/>
          <w:sz w:val="32"/>
          <w:szCs w:val="32"/>
          <w:lang w:val="en-US" w:eastAsia="zh-CN" w:bidi="ar-SA"/>
        </w:rPr>
        <w:t>万元。其中公务用车购置及运行维护费预算</w:t>
      </w:r>
      <w:r>
        <w:rPr>
          <w:rFonts w:hint="eastAsia" w:ascii="仿宋_GB2312" w:hAnsi="仿宋" w:eastAsia="仿宋_GB2312" w:cs="宋体"/>
          <w:color w:val="000000"/>
          <w:kern w:val="2"/>
          <w:sz w:val="32"/>
          <w:szCs w:val="32"/>
          <w:lang w:val="en-US" w:eastAsia="zh-CN" w:bidi="ar-SA"/>
        </w:rPr>
        <w:t>12</w:t>
      </w:r>
      <w:r>
        <w:rPr>
          <w:rFonts w:hint="eastAsia" w:ascii="仿宋_GB2312" w:hAnsi="仿宋_GB2312" w:eastAsia="仿宋_GB2312" w:cs="仿宋_GB2312"/>
          <w:kern w:val="2"/>
          <w:sz w:val="32"/>
          <w:szCs w:val="32"/>
          <w:lang w:val="en-US" w:eastAsia="zh-CN" w:bidi="ar-SA"/>
        </w:rPr>
        <w:t>万元，决算支出</w:t>
      </w:r>
      <w:r>
        <w:rPr>
          <w:rFonts w:hint="eastAsia" w:ascii="仿宋_GB2312" w:hAnsi="仿宋" w:eastAsia="仿宋_GB2312" w:cs="宋体"/>
          <w:color w:val="000000"/>
          <w:kern w:val="2"/>
          <w:sz w:val="32"/>
          <w:szCs w:val="32"/>
          <w:lang w:val="en-US" w:eastAsia="zh-CN" w:bidi="ar-SA"/>
        </w:rPr>
        <w:t>17.03</w:t>
      </w:r>
      <w:r>
        <w:rPr>
          <w:rFonts w:hint="eastAsia" w:ascii="仿宋_GB2312" w:hAnsi="仿宋_GB2312" w:eastAsia="仿宋_GB2312" w:cs="仿宋_GB2312"/>
          <w:kern w:val="2"/>
          <w:sz w:val="32"/>
          <w:szCs w:val="32"/>
          <w:lang w:val="en-US" w:eastAsia="zh-CN" w:bidi="ar-SA"/>
        </w:rPr>
        <w:t>万元（均为公务用车运行维护费）、公务接待费预算0元、决算支出0元(均由机关事务局接待)、未发生因公出国（境）费。2021年“三公”经费决算超出预算，其原因为</w:t>
      </w:r>
      <w:r>
        <w:rPr>
          <w:rFonts w:hint="eastAsia" w:ascii="仿宋_GB2312" w:hAnsi="仿宋" w:eastAsia="仿宋_GB2312" w:cs="Times New Roman"/>
          <w:color w:val="000000"/>
          <w:kern w:val="2"/>
          <w:sz w:val="32"/>
          <w:szCs w:val="32"/>
          <w:lang w:val="en-US" w:eastAsia="zh-CN" w:bidi="ar-SA"/>
        </w:rPr>
        <w:t>单位车辆大维修</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kinsoku/>
        <w:wordWrap/>
        <w:overflowPunct/>
        <w:topLinePunct w:val="0"/>
        <w:autoSpaceDE/>
        <w:autoSpaceDN/>
        <w:bidi w:val="0"/>
        <w:spacing w:line="560" w:lineRule="exact"/>
        <w:ind w:firstLine="642" w:firstLineChars="200"/>
        <w:jc w:val="both"/>
        <w:textAlignment w:val="auto"/>
        <w:rPr>
          <w:rFonts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（三）政府采购</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sz w:val="32"/>
          <w:szCs w:val="32"/>
        </w:rPr>
      </w:pPr>
      <w:r>
        <w:rPr>
          <w:rFonts w:hint="default" w:ascii="仿宋_GB2312" w:hAnsi="仿宋_GB2312" w:eastAsia="仿宋_GB2312" w:cs="仿宋_GB2312"/>
          <w:sz w:val="32"/>
          <w:szCs w:val="32"/>
        </w:rPr>
        <w:t>中共壤塘县委政法委员会</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年度政府采购支出</w:t>
      </w:r>
      <w:r>
        <w:rPr>
          <w:rFonts w:hint="eastAsia" w:ascii="仿宋_GB2312" w:hAnsi="仿宋_GB2312" w:eastAsia="仿宋_GB2312" w:cs="仿宋_GB2312"/>
          <w:sz w:val="32"/>
          <w:szCs w:val="32"/>
          <w:lang w:val="en-US" w:eastAsia="zh-CN"/>
        </w:rPr>
        <w:t>11200</w:t>
      </w:r>
      <w:r>
        <w:rPr>
          <w:rFonts w:hint="eastAsia" w:ascii="仿宋_GB2312" w:hAnsi="仿宋_GB2312" w:eastAsia="仿宋_GB2312" w:cs="仿宋_GB2312"/>
          <w:sz w:val="32"/>
          <w:szCs w:val="32"/>
        </w:rPr>
        <w:t>元。</w:t>
      </w:r>
    </w:p>
    <w:p>
      <w:pPr>
        <w:keepNext w:val="0"/>
        <w:keepLines w:val="0"/>
        <w:pageBreakBefore w:val="0"/>
        <w:widowControl w:val="0"/>
        <w:numPr>
          <w:ilvl w:val="0"/>
          <w:numId w:val="0"/>
        </w:numPr>
        <w:kinsoku/>
        <w:wordWrap/>
        <w:overflowPunct/>
        <w:topLinePunct w:val="0"/>
        <w:autoSpaceDE/>
        <w:autoSpaceDN/>
        <w:bidi w:val="0"/>
        <w:spacing w:line="560" w:lineRule="exact"/>
        <w:ind w:leftChars="200" w:firstLine="642"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（四）资产管理</w:t>
      </w:r>
    </w:p>
    <w:p>
      <w:pPr>
        <w:keepNext w:val="0"/>
        <w:keepLines w:val="0"/>
        <w:pageBreakBefore w:val="0"/>
        <w:widowControl w:val="0"/>
        <w:numPr>
          <w:ilvl w:val="0"/>
          <w:numId w:val="0"/>
        </w:numPr>
        <w:kinsoku/>
        <w:wordWrap/>
        <w:overflowPunct/>
        <w:topLinePunct w:val="0"/>
        <w:autoSpaceDE/>
        <w:autoSpaceDN/>
        <w:bidi w:val="0"/>
        <w:spacing w:line="560" w:lineRule="exact"/>
        <w:ind w:leftChars="200" w:firstLine="640"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kern w:val="2"/>
          <w:sz w:val="32"/>
          <w:szCs w:val="32"/>
          <w:lang w:val="en-US" w:eastAsia="zh-CN" w:bidi="ar-SA"/>
        </w:rPr>
        <w:t>固定资产在用率。截至20</w:t>
      </w:r>
      <w:r>
        <w:rPr>
          <w:rFonts w:hint="eastAsia" w:ascii="仿宋_GB2312" w:hAnsi="仿宋_GB2312" w:eastAsia="宋体" w:cs="仿宋_GB2312"/>
          <w:kern w:val="2"/>
          <w:sz w:val="32"/>
          <w:szCs w:val="32"/>
          <w:lang w:val="en-US" w:eastAsia="zh-CN" w:bidi="ar-SA"/>
        </w:rPr>
        <w:t>21</w:t>
      </w:r>
      <w:r>
        <w:rPr>
          <w:rFonts w:hint="eastAsia" w:ascii="仿宋_GB2312" w:hAnsi="仿宋_GB2312" w:eastAsia="仿宋_GB2312" w:cs="仿宋_GB2312"/>
          <w:kern w:val="2"/>
          <w:sz w:val="32"/>
          <w:szCs w:val="32"/>
          <w:lang w:val="en-US" w:eastAsia="zh-CN" w:bidi="ar-SA"/>
        </w:rPr>
        <w:t>年12月31日，</w:t>
      </w:r>
      <w:r>
        <w:rPr>
          <w:rFonts w:hint="default" w:ascii="仿宋_GB2312" w:hAnsi="仿宋_GB2312" w:eastAsia="仿宋_GB2312" w:cs="仿宋_GB2312"/>
          <w:kern w:val="2"/>
          <w:sz w:val="32"/>
          <w:szCs w:val="32"/>
          <w:lang w:eastAsia="zh-CN" w:bidi="ar-SA"/>
        </w:rPr>
        <w:t>中共壤塘县委政法委员会</w:t>
      </w:r>
      <w:r>
        <w:rPr>
          <w:rFonts w:hint="eastAsia" w:ascii="仿宋_GB2312" w:hAnsi="仿宋_GB2312" w:eastAsia="仿宋_GB2312" w:cs="仿宋_GB2312"/>
          <w:kern w:val="2"/>
          <w:sz w:val="32"/>
          <w:szCs w:val="32"/>
          <w:lang w:val="en-US" w:eastAsia="zh-CN" w:bidi="ar-SA"/>
        </w:rPr>
        <w:t>《行政单位资产管理系统》固定资产总计4913689元，在用的固定资产总计4913689元，固定资产在用率达100%。</w:t>
      </w:r>
    </w:p>
    <w:p>
      <w:pPr>
        <w:keepNext w:val="0"/>
        <w:keepLines w:val="0"/>
        <w:pageBreakBefore w:val="0"/>
        <w:widowControl w:val="0"/>
        <w:kinsoku/>
        <w:wordWrap/>
        <w:overflowPunct/>
        <w:topLinePunct w:val="0"/>
        <w:autoSpaceDE/>
        <w:autoSpaceDN/>
        <w:bidi w:val="0"/>
        <w:spacing w:line="560" w:lineRule="exact"/>
        <w:ind w:firstLine="642" w:firstLineChars="200"/>
        <w:jc w:val="both"/>
        <w:textAlignment w:val="auto"/>
        <w:rPr>
          <w:rFonts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（五）信息公开</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宋体" w:eastAsia="宋体" w:cs="宋体"/>
          <w:color w:val="000000"/>
          <w:kern w:val="0"/>
          <w:sz w:val="32"/>
          <w:szCs w:val="32"/>
          <w:shd w:val="clear" w:color="auto" w:fill="FFFFFF"/>
          <w:lang w:val="zh-CN" w:eastAsia="zh-CN" w:bidi="ar-SA"/>
        </w:rPr>
      </w:pPr>
      <w:r>
        <w:rPr>
          <w:rFonts w:hint="eastAsia" w:ascii="仿宋_GB2312" w:hAnsi="仿宋_GB2312" w:eastAsia="仿宋_GB2312" w:cs="仿宋_GB2312"/>
          <w:kern w:val="2"/>
          <w:sz w:val="32"/>
          <w:szCs w:val="32"/>
          <w:lang w:val="en-US" w:eastAsia="zh-CN" w:bidi="ar-SA"/>
        </w:rPr>
        <w:t>信息公开。</w:t>
      </w:r>
      <w:r>
        <w:rPr>
          <w:rFonts w:hint="default" w:ascii="仿宋_GB2312" w:hAnsi="仿宋_GB2312" w:eastAsia="仿宋_GB2312" w:cs="仿宋_GB2312"/>
          <w:kern w:val="2"/>
          <w:sz w:val="32"/>
          <w:szCs w:val="32"/>
          <w:lang w:eastAsia="zh-CN" w:bidi="ar-SA"/>
        </w:rPr>
        <w:t>中共壤塘县委政法委员会</w:t>
      </w:r>
      <w:r>
        <w:rPr>
          <w:rFonts w:hint="eastAsia" w:ascii="仿宋_GB2312" w:hAnsi="仿宋_GB2312" w:eastAsia="仿宋_GB2312" w:cs="仿宋_GB2312"/>
          <w:kern w:val="2"/>
          <w:sz w:val="32"/>
          <w:szCs w:val="32"/>
          <w:lang w:val="en-US" w:eastAsia="zh-CN" w:bidi="ar-SA"/>
        </w:rPr>
        <w:t>已经按财政要求及时完成预算、决算、绩效等信息公开工作，信息公开在壤塘县委县政府门户网站中。</w:t>
      </w:r>
    </w:p>
    <w:p>
      <w:pPr>
        <w:keepNext w:val="0"/>
        <w:keepLines w:val="0"/>
        <w:pageBreakBefore w:val="0"/>
        <w:widowControl w:val="0"/>
        <w:kinsoku/>
        <w:wordWrap/>
        <w:overflowPunct/>
        <w:topLinePunct w:val="0"/>
        <w:autoSpaceDE/>
        <w:autoSpaceDN/>
        <w:bidi w:val="0"/>
        <w:spacing w:line="560" w:lineRule="exact"/>
        <w:ind w:firstLine="642"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（六）部门绩效</w:t>
      </w:r>
    </w:p>
    <w:p>
      <w:pPr>
        <w:widowControl w:val="0"/>
        <w:spacing w:line="360" w:lineRule="auto"/>
        <w:ind w:firstLine="0" w:firstLineChars="0"/>
        <w:jc w:val="both"/>
        <w:rPr>
          <w:rFonts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1.</w:t>
      </w:r>
      <w:r>
        <w:rPr>
          <w:rFonts w:hint="eastAsia" w:ascii="仿宋_GB2312" w:hAnsi="仿宋_GB2312" w:eastAsia="仿宋_GB2312" w:cs="仿宋_GB2312"/>
          <w:b/>
          <w:bCs/>
          <w:kern w:val="0"/>
          <w:sz w:val="32"/>
          <w:szCs w:val="32"/>
          <w:lang w:val="en-US" w:eastAsia="zh-CN" w:bidi="ar-SA"/>
        </w:rPr>
        <w:t>部门履职的年度总体目标</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县委政法委员会是中共壤塘县委领导政法工作的职能部门，县社会治安综合治理工作的常设议事机构。县委政法委员会机关与县社会治安综合治理委员会办公室合署办公。</w:t>
      </w:r>
      <w:r>
        <w:rPr>
          <w:rFonts w:hint="default" w:ascii="仿宋_GB2312" w:hAnsi="仿宋_GB2312" w:eastAsia="仿宋_GB2312" w:cs="仿宋_GB2312"/>
          <w:sz w:val="32"/>
          <w:szCs w:val="32"/>
        </w:rPr>
        <w:t>一是</w:t>
      </w:r>
      <w:r>
        <w:rPr>
          <w:rFonts w:hint="eastAsia" w:ascii="仿宋_GB2312" w:hAnsi="仿宋_GB2312" w:eastAsia="仿宋_GB2312" w:cs="仿宋_GB2312"/>
          <w:sz w:val="32"/>
          <w:szCs w:val="32"/>
        </w:rPr>
        <w:t>是制定政法部门的建设规划，研究部门领导班子建设和政法队伍以及纪律作风整顿等工作职能。</w:t>
      </w:r>
      <w:r>
        <w:rPr>
          <w:rFonts w:hint="default" w:ascii="仿宋_GB2312" w:hAnsi="仿宋_GB2312" w:eastAsia="仿宋_GB2312" w:cs="仿宋_GB2312"/>
          <w:sz w:val="32"/>
          <w:szCs w:val="32"/>
        </w:rPr>
        <w:t>二是</w:t>
      </w:r>
      <w:r>
        <w:rPr>
          <w:rFonts w:hint="eastAsia" w:ascii="仿宋_GB2312" w:hAnsi="仿宋_GB2312" w:eastAsia="仿宋_GB2312" w:cs="仿宋_GB2312"/>
          <w:sz w:val="32"/>
          <w:szCs w:val="32"/>
        </w:rPr>
        <w:t>负责机关内外工作联系与综合协调、协助领导组织政法系统及机关重大活动，负责机关办公事务，负责党的政法工作方针、政策和各项工作部署的贯彻落实，依法监督政法各部门的政法活动定职能。</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left"/>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重点工作任务绩效目标完成情况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（1）重点工作任务一：社会治安综合治理工作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工作任务的内容：</w:t>
      </w:r>
      <w:r>
        <w:rPr>
          <w:rFonts w:hint="eastAsia" w:ascii="Calibri" w:hAnsi="Calibri" w:eastAsia="仿宋_GB2312" w:cs="Times New Roman"/>
          <w:kern w:val="2"/>
          <w:sz w:val="32"/>
          <w:szCs w:val="20"/>
          <w:lang w:val="en-US" w:eastAsia="zh-CN" w:bidi="ar-SA"/>
        </w:rPr>
        <w:t>全面推进综治中</w:t>
      </w:r>
      <w:bookmarkStart w:id="161" w:name="_GoBack"/>
      <w:bookmarkEnd w:id="161"/>
      <w:r>
        <w:rPr>
          <w:rFonts w:hint="eastAsia" w:ascii="Calibri" w:hAnsi="Calibri" w:eastAsia="仿宋_GB2312" w:cs="Times New Roman"/>
          <w:kern w:val="2"/>
          <w:sz w:val="32"/>
          <w:szCs w:val="20"/>
          <w:lang w:val="en-US" w:eastAsia="zh-CN" w:bidi="ar-SA"/>
        </w:rPr>
        <w:t xml:space="preserve">规范化建设应用。       </w:t>
      </w:r>
      <w:r>
        <w:rPr>
          <w:rFonts w:hint="eastAsia" w:ascii="仿宋_GB2312" w:hAnsi="仿宋_GB2312" w:eastAsia="仿宋_GB2312" w:cs="仿宋_GB2312"/>
          <w:kern w:val="2"/>
          <w:sz w:val="32"/>
          <w:szCs w:val="32"/>
          <w:lang w:val="en-US" w:eastAsia="zh-CN" w:bidi="ar-SA"/>
        </w:rPr>
        <w:t>绩效目标以及绩效目标的完成情况：该工作涉及综治中心经费、综治专项经费、雪亮工程租赁费、网格员工资、网格员</w:t>
      </w:r>
      <w:r>
        <w:rPr>
          <w:rFonts w:hint="default" w:ascii="仿宋_GB2312" w:hAnsi="仿宋_GB2312" w:eastAsia="仿宋_GB2312" w:cs="仿宋_GB2312"/>
          <w:kern w:val="2"/>
          <w:sz w:val="32"/>
          <w:szCs w:val="32"/>
          <w:lang w:eastAsia="zh-CN" w:bidi="ar-SA"/>
        </w:rPr>
        <w:t>通信费</w:t>
      </w:r>
      <w:r>
        <w:rPr>
          <w:rFonts w:hint="eastAsia" w:ascii="仿宋_GB2312" w:hAnsi="仿宋_GB2312" w:eastAsia="仿宋_GB2312" w:cs="仿宋_GB2312"/>
          <w:kern w:val="2"/>
          <w:sz w:val="32"/>
          <w:szCs w:val="32"/>
          <w:lang w:val="en-US" w:eastAsia="zh-CN" w:bidi="ar-SA"/>
        </w:rPr>
        <w:t>等。所有经费用于保障日常开展工作并严格按照制度报销，以达到顺利完成社会治安综合治理工作。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效果：提高了社会治理能力，提升了群众满意度。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eastAsia="zh-CN" w:bidi="ar-SA"/>
        </w:rPr>
        <w:t>2</w:t>
      </w:r>
      <w:r>
        <w:rPr>
          <w:rFonts w:hint="eastAsia" w:ascii="仿宋_GB2312" w:hAnsi="仿宋_GB2312" w:eastAsia="仿宋_GB2312" w:cs="仿宋_GB2312"/>
          <w:kern w:val="2"/>
          <w:sz w:val="32"/>
          <w:szCs w:val="32"/>
          <w:lang w:val="en-US" w:eastAsia="zh-CN" w:bidi="ar-SA"/>
        </w:rPr>
        <w:t>）重点工作任务三：</w:t>
      </w:r>
      <w:r>
        <w:rPr>
          <w:rFonts w:hint="eastAsia" w:ascii="仿宋_GB2312" w:hAnsi="Calibri" w:eastAsia="仿宋_GB2312" w:cs="Times New Roman"/>
          <w:kern w:val="2"/>
          <w:sz w:val="32"/>
          <w:szCs w:val="32"/>
          <w:lang w:val="en-US" w:eastAsia="zh-CN" w:bidi="ar-SA"/>
        </w:rPr>
        <w:t>排查化解全县各类矛盾纠纷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工作任务的内容：</w:t>
      </w:r>
      <w:r>
        <w:rPr>
          <w:rFonts w:hint="eastAsia" w:ascii="仿宋_GB2312" w:eastAsia="仿宋_GB2312"/>
          <w:sz w:val="32"/>
          <w:szCs w:val="32"/>
        </w:rPr>
        <w:t>每月按时（27日）统计该月全县矛盾纠纷排查化解情况，并在本月末下发通报。通报附件：1、本月已化解纠纷台账（包括存量和本月新增），2、本月未化解纠纷台账（包括存量和本月新增），3、本月矛盾纠纷  季度统计县调解中心调解员的调解协议书，翻译成汉语做好归档（一案一卷）。年末时做好全年纠纷档案的规范保存。半年统计一次调解中心调解员的调解案卷，并按壤塘县矛盾纠纷多元化解领导小组办公室【2017】4号文件规定，统计个案补助总金额、台账明细，向县</w:t>
      </w:r>
      <w:r>
        <w:rPr>
          <w:rFonts w:hint="eastAsia" w:ascii="仿宋_GB2312" w:eastAsia="仿宋_GB2312"/>
          <w:sz w:val="32"/>
          <w:szCs w:val="32"/>
          <w:lang w:eastAsia="zh-CN"/>
        </w:rPr>
        <w:t>委县</w:t>
      </w:r>
      <w:r>
        <w:rPr>
          <w:rFonts w:hint="eastAsia" w:ascii="仿宋_GB2312" w:eastAsia="仿宋_GB2312"/>
          <w:sz w:val="32"/>
          <w:szCs w:val="32"/>
        </w:rPr>
        <w:t>政府请示相关经费。财政拨款后由财务统一打到调解员个人账户。</w:t>
      </w:r>
      <w:r>
        <w:rPr>
          <w:rFonts w:hint="eastAsia" w:ascii="仿宋_GB2312" w:hAnsi="黑体" w:eastAsia="仿宋_GB2312"/>
          <w:sz w:val="32"/>
          <w:szCs w:val="32"/>
        </w:rPr>
        <w:t>按照</w:t>
      </w:r>
      <w:r>
        <w:rPr>
          <w:rFonts w:hint="eastAsia" w:ascii="仿宋_GB2312" w:eastAsia="仿宋_GB2312"/>
          <w:sz w:val="32"/>
          <w:szCs w:val="32"/>
        </w:rPr>
        <w:t>壤塘县矛盾纠纷多元化解领导小组办公室【2017】4号文件规定，每半年按期给县矛盾纠纷调解中心调解员发放生活费，</w:t>
      </w:r>
      <w:r>
        <w:rPr>
          <w:rFonts w:hint="default" w:ascii="仿宋_GB2312" w:eastAsia="仿宋_GB2312"/>
          <w:sz w:val="32"/>
          <w:szCs w:val="32"/>
        </w:rPr>
        <w:t>通信费</w:t>
      </w:r>
      <w:r>
        <w:rPr>
          <w:rFonts w:hint="eastAsia" w:ascii="仿宋_GB2312" w:eastAsia="仿宋_GB2312"/>
          <w:sz w:val="32"/>
          <w:szCs w:val="32"/>
        </w:rPr>
        <w:t>等补助。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效果：全年共排查化解矛盾纠纷</w:t>
      </w:r>
      <w:r>
        <w:rPr>
          <w:rFonts w:hint="eastAsia" w:ascii="仿宋_GB2312" w:hAnsi="仿宋_GB2312" w:eastAsia="仿宋_GB2312" w:cs="仿宋_GB2312"/>
          <w:sz w:val="32"/>
          <w:szCs w:val="32"/>
          <w:lang w:val="en-US" w:eastAsia="zh-CN"/>
        </w:rPr>
        <w:t>412</w:t>
      </w:r>
      <w:r>
        <w:rPr>
          <w:rFonts w:hint="eastAsia" w:ascii="仿宋_GB2312" w:hAnsi="仿宋_GB2312" w:eastAsia="仿宋_GB2312" w:cs="仿宋_GB2312"/>
          <w:sz w:val="32"/>
          <w:szCs w:val="32"/>
        </w:rPr>
        <w:t>件，化解</w:t>
      </w:r>
      <w:r>
        <w:rPr>
          <w:rFonts w:hint="eastAsia" w:ascii="仿宋_GB2312" w:hAnsi="仿宋_GB2312" w:eastAsia="仿宋_GB2312" w:cs="仿宋_GB2312"/>
          <w:sz w:val="32"/>
          <w:szCs w:val="32"/>
          <w:lang w:val="en-US" w:eastAsia="zh-CN"/>
        </w:rPr>
        <w:t>375</w:t>
      </w:r>
      <w:r>
        <w:rPr>
          <w:rFonts w:hint="eastAsia" w:ascii="仿宋_GB2312" w:hAnsi="仿宋_GB2312" w:eastAsia="仿宋_GB2312" w:cs="仿宋_GB2312"/>
          <w:sz w:val="32"/>
          <w:szCs w:val="32"/>
        </w:rPr>
        <w:t>件，未化解</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件，化解率9</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keepNext w:val="0"/>
        <w:keepLines w:val="0"/>
        <w:pageBreakBefore w:val="0"/>
        <w:widowControl w:val="0"/>
        <w:kinsoku/>
        <w:wordWrap/>
        <w:overflowPunct/>
        <w:topLinePunct w:val="0"/>
        <w:autoSpaceDE/>
        <w:autoSpaceDN/>
        <w:bidi w:val="0"/>
        <w:spacing w:line="560" w:lineRule="exact"/>
        <w:ind w:firstLine="642" w:firstLineChars="200"/>
        <w:jc w:val="both"/>
        <w:textAlignment w:val="auto"/>
        <w:rPr>
          <w:rFonts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（一）评价结论：见附表</w:t>
      </w:r>
    </w:p>
    <w:p>
      <w:pPr>
        <w:keepNext w:val="0"/>
        <w:keepLines w:val="0"/>
        <w:pageBreakBefore w:val="0"/>
        <w:widowControl w:val="0"/>
        <w:kinsoku/>
        <w:wordWrap/>
        <w:overflowPunct/>
        <w:topLinePunct w:val="0"/>
        <w:autoSpaceDE/>
        <w:autoSpaceDN/>
        <w:bidi w:val="0"/>
        <w:spacing w:line="560" w:lineRule="exact"/>
        <w:ind w:firstLine="642" w:firstLineChars="200"/>
        <w:jc w:val="both"/>
        <w:textAlignment w:val="auto"/>
        <w:rPr>
          <w:rFonts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（二）存在问题</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1、预算编制不够精确，存在中期调整科目、取消资金的情况。</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2、管理制度不够健全完整。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3、财务监控有效性不够。</w:t>
      </w:r>
    </w:p>
    <w:p>
      <w:pPr>
        <w:keepNext w:val="0"/>
        <w:keepLines w:val="0"/>
        <w:pageBreakBefore w:val="0"/>
        <w:widowControl w:val="0"/>
        <w:kinsoku/>
        <w:wordWrap/>
        <w:overflowPunct/>
        <w:topLinePunct w:val="0"/>
        <w:autoSpaceDE/>
        <w:autoSpaceDN/>
        <w:bidi w:val="0"/>
        <w:spacing w:line="560" w:lineRule="exact"/>
        <w:ind w:firstLine="642" w:firstLineChars="200"/>
        <w:jc w:val="both"/>
        <w:textAlignment w:val="auto"/>
        <w:rPr>
          <w:rFonts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（三）改进措施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1、加强编制预算工作的能力，与各科室负责人积极沟通并及时跟财政沟通资金用款进度，保障项目预算资金。</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2、进一步完善内部管理制度，使其制度更具有合规性、合法性、完整性、有效性。</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3、对于专项资金制定明确、有效的财务监控监督措施。</w:t>
      </w:r>
    </w:p>
    <w:p>
      <w:pPr>
        <w:spacing w:line="580" w:lineRule="exact"/>
        <w:ind w:firstLine="640"/>
        <w:rPr>
          <w:rFonts w:ascii="仿宋_GB2312" w:hAnsi="仿宋_GB2312" w:eastAsia="仿宋_GB2312" w:cs="仿宋_GB2312"/>
          <w:sz w:val="32"/>
          <w:szCs w:val="32"/>
        </w:rPr>
      </w:pPr>
    </w:p>
    <w:p>
      <w:pPr>
        <w:widowControl/>
        <w:jc w:val="left"/>
        <w:rPr>
          <w:rStyle w:val="15"/>
          <w:rFonts w:ascii="黑体" w:hAnsi="黑体" w:eastAsia="黑体"/>
          <w:b w:val="0"/>
        </w:rPr>
      </w:pPr>
    </w:p>
    <w:p>
      <w:pPr>
        <w:widowControl/>
        <w:jc w:val="left"/>
        <w:rPr>
          <w:rStyle w:val="15"/>
          <w:rFonts w:ascii="黑体" w:hAnsi="黑体" w:eastAsia="黑体"/>
          <w:b w:val="0"/>
        </w:rPr>
      </w:pPr>
      <w:r>
        <w:rPr>
          <w:rStyle w:val="15"/>
          <w:rFonts w:ascii="黑体" w:hAnsi="黑体" w:eastAsia="黑体"/>
          <w:b w:val="0"/>
        </w:rPr>
        <w:br w:type="page"/>
      </w:r>
    </w:p>
    <w:p>
      <w:pPr>
        <w:spacing w:line="600" w:lineRule="exact"/>
        <w:jc w:val="center"/>
        <w:outlineLvl w:val="0"/>
        <w:rPr>
          <w:rStyle w:val="15"/>
          <w:rFonts w:ascii="黑体" w:hAnsi="黑体" w:eastAsia="黑体"/>
          <w:b w:val="0"/>
        </w:rPr>
      </w:pPr>
      <w:bookmarkStart w:id="117" w:name="_Toc79163635"/>
      <w:bookmarkStart w:id="118" w:name="_Toc10976"/>
      <w:bookmarkStart w:id="119" w:name="_Toc15396618"/>
      <w:r>
        <w:rPr>
          <w:rFonts w:hint="eastAsia" w:ascii="黑体" w:hAnsi="黑体" w:eastAsia="黑体"/>
          <w:color w:val="000000"/>
          <w:sz w:val="44"/>
          <w:szCs w:val="44"/>
        </w:rPr>
        <w:t>第</w:t>
      </w:r>
      <w:r>
        <w:rPr>
          <w:rStyle w:val="15"/>
          <w:rFonts w:hint="eastAsia" w:ascii="黑体" w:hAnsi="黑体" w:eastAsia="黑体"/>
          <w:b w:val="0"/>
        </w:rPr>
        <w:t>五部分</w:t>
      </w:r>
      <w:r>
        <w:rPr>
          <w:rStyle w:val="15"/>
          <w:rFonts w:ascii="黑体" w:hAnsi="黑体" w:eastAsia="黑体"/>
          <w:b w:val="0"/>
        </w:rPr>
        <w:t xml:space="preserve"> </w:t>
      </w:r>
      <w:r>
        <w:rPr>
          <w:rStyle w:val="15"/>
          <w:rFonts w:hint="eastAsia" w:ascii="黑体" w:hAnsi="黑体" w:eastAsia="黑体"/>
          <w:b w:val="0"/>
        </w:rPr>
        <w:t>附表</w:t>
      </w:r>
      <w:bookmarkEnd w:id="114"/>
      <w:bookmarkEnd w:id="117"/>
      <w:bookmarkEnd w:id="118"/>
      <w:bookmarkEnd w:id="119"/>
    </w:p>
    <w:p>
      <w:pPr>
        <w:pStyle w:val="3"/>
        <w:rPr>
          <w:rFonts w:ascii="仿宋" w:hAnsi="仿宋" w:eastAsia="仿宋"/>
          <w:color w:val="000000"/>
        </w:rPr>
      </w:pPr>
      <w:bookmarkStart w:id="120" w:name="_Toc15396619"/>
      <w:bookmarkStart w:id="121" w:name="_Toc79163636"/>
      <w:bookmarkStart w:id="122" w:name="_Toc18084"/>
      <w:r>
        <w:rPr>
          <w:rFonts w:hint="eastAsia" w:ascii="仿宋" w:hAnsi="仿宋" w:eastAsia="仿宋"/>
          <w:b w:val="0"/>
          <w:color w:val="000000"/>
        </w:rPr>
        <w:t>一、收</w:t>
      </w:r>
      <w:r>
        <w:rPr>
          <w:rStyle w:val="17"/>
          <w:rFonts w:hint="eastAsia" w:ascii="仿宋" w:hAnsi="仿宋" w:eastAsia="仿宋"/>
          <w:b w:val="0"/>
          <w:bCs w:val="0"/>
        </w:rPr>
        <w:t>入支出决算总表</w:t>
      </w:r>
      <w:bookmarkEnd w:id="120"/>
      <w:bookmarkEnd w:id="121"/>
      <w:bookmarkEnd w:id="122"/>
    </w:p>
    <w:p>
      <w:pPr>
        <w:pStyle w:val="3"/>
        <w:rPr>
          <w:rFonts w:ascii="仿宋" w:hAnsi="仿宋" w:eastAsia="仿宋"/>
          <w:color w:val="000000"/>
        </w:rPr>
      </w:pPr>
      <w:bookmarkStart w:id="123" w:name="_Toc15396620"/>
      <w:bookmarkStart w:id="124" w:name="_Toc3962"/>
      <w:bookmarkStart w:id="125" w:name="_Toc79163637"/>
      <w:r>
        <w:rPr>
          <w:rFonts w:hint="eastAsia" w:ascii="仿宋" w:hAnsi="仿宋" w:eastAsia="仿宋"/>
          <w:b w:val="0"/>
          <w:color w:val="000000"/>
        </w:rPr>
        <w:t>二、收</w:t>
      </w:r>
      <w:r>
        <w:rPr>
          <w:rStyle w:val="17"/>
          <w:rFonts w:hint="eastAsia" w:ascii="仿宋" w:hAnsi="仿宋" w:eastAsia="仿宋"/>
          <w:b w:val="0"/>
          <w:bCs w:val="0"/>
        </w:rPr>
        <w:t>入决算表</w:t>
      </w:r>
      <w:bookmarkEnd w:id="123"/>
      <w:bookmarkEnd w:id="124"/>
      <w:bookmarkEnd w:id="125"/>
    </w:p>
    <w:p>
      <w:pPr>
        <w:pStyle w:val="3"/>
        <w:rPr>
          <w:rFonts w:ascii="仿宋" w:hAnsi="仿宋" w:eastAsia="仿宋"/>
          <w:color w:val="000000"/>
        </w:rPr>
      </w:pPr>
      <w:bookmarkStart w:id="126" w:name="_Toc15396621"/>
      <w:bookmarkStart w:id="127" w:name="_Toc79163638"/>
      <w:bookmarkStart w:id="128" w:name="_Toc8708"/>
      <w:r>
        <w:rPr>
          <w:rStyle w:val="17"/>
          <w:rFonts w:hint="eastAsia" w:ascii="仿宋" w:hAnsi="仿宋" w:eastAsia="仿宋"/>
          <w:b w:val="0"/>
          <w:bCs w:val="0"/>
        </w:rPr>
        <w:t>三、</w:t>
      </w:r>
      <w:r>
        <w:rPr>
          <w:rFonts w:hint="eastAsia" w:ascii="仿宋" w:hAnsi="仿宋" w:eastAsia="仿宋"/>
          <w:b w:val="0"/>
          <w:color w:val="000000"/>
        </w:rPr>
        <w:t>支</w:t>
      </w:r>
      <w:r>
        <w:rPr>
          <w:rStyle w:val="17"/>
          <w:rFonts w:hint="eastAsia" w:ascii="仿宋" w:hAnsi="仿宋" w:eastAsia="仿宋"/>
          <w:b w:val="0"/>
          <w:bCs w:val="0"/>
        </w:rPr>
        <w:t>出决算表</w:t>
      </w:r>
      <w:bookmarkEnd w:id="126"/>
      <w:bookmarkEnd w:id="127"/>
      <w:bookmarkEnd w:id="128"/>
    </w:p>
    <w:p>
      <w:pPr>
        <w:pStyle w:val="3"/>
        <w:rPr>
          <w:rFonts w:ascii="仿宋" w:hAnsi="仿宋" w:eastAsia="仿宋"/>
          <w:b w:val="0"/>
          <w:color w:val="000000"/>
        </w:rPr>
      </w:pPr>
      <w:bookmarkStart w:id="129" w:name="_Toc15396622"/>
      <w:bookmarkStart w:id="130" w:name="_Toc79163639"/>
      <w:bookmarkStart w:id="131" w:name="_Toc7923"/>
      <w:r>
        <w:rPr>
          <w:rStyle w:val="17"/>
          <w:rFonts w:hint="eastAsia" w:ascii="仿宋" w:hAnsi="仿宋" w:eastAsia="仿宋"/>
          <w:b w:val="0"/>
          <w:bCs w:val="0"/>
        </w:rPr>
        <w:t>四、</w:t>
      </w:r>
      <w:r>
        <w:rPr>
          <w:rFonts w:hint="eastAsia" w:ascii="仿宋" w:hAnsi="仿宋" w:eastAsia="仿宋"/>
          <w:b w:val="0"/>
          <w:color w:val="000000"/>
        </w:rPr>
        <w:t>财</w:t>
      </w:r>
      <w:r>
        <w:rPr>
          <w:rStyle w:val="17"/>
          <w:rFonts w:hint="eastAsia" w:ascii="仿宋" w:hAnsi="仿宋" w:eastAsia="仿宋"/>
          <w:b w:val="0"/>
          <w:bCs w:val="0"/>
        </w:rPr>
        <w:t>政拨款收入支出决算总表</w:t>
      </w:r>
      <w:bookmarkEnd w:id="129"/>
      <w:bookmarkEnd w:id="130"/>
      <w:bookmarkEnd w:id="131"/>
    </w:p>
    <w:p>
      <w:pPr>
        <w:pStyle w:val="3"/>
        <w:rPr>
          <w:rStyle w:val="17"/>
          <w:rFonts w:ascii="仿宋" w:hAnsi="仿宋" w:eastAsia="仿宋"/>
          <w:b w:val="0"/>
          <w:bCs w:val="0"/>
        </w:rPr>
      </w:pPr>
      <w:bookmarkStart w:id="132" w:name="_Toc79163640"/>
      <w:bookmarkStart w:id="133" w:name="_Toc15396623"/>
      <w:bookmarkStart w:id="134" w:name="_Toc22379"/>
      <w:r>
        <w:rPr>
          <w:rStyle w:val="17"/>
          <w:rFonts w:hint="eastAsia" w:ascii="仿宋" w:hAnsi="仿宋" w:eastAsia="仿宋"/>
          <w:b w:val="0"/>
          <w:bCs w:val="0"/>
        </w:rPr>
        <w:t>五、</w:t>
      </w:r>
      <w:r>
        <w:rPr>
          <w:rFonts w:hint="eastAsia" w:ascii="仿宋" w:hAnsi="仿宋" w:eastAsia="仿宋"/>
          <w:b w:val="0"/>
          <w:color w:val="000000"/>
        </w:rPr>
        <w:t>财</w:t>
      </w:r>
      <w:r>
        <w:rPr>
          <w:rStyle w:val="17"/>
          <w:rFonts w:hint="eastAsia" w:ascii="仿宋" w:hAnsi="仿宋" w:eastAsia="仿宋"/>
          <w:b w:val="0"/>
          <w:bCs w:val="0"/>
        </w:rPr>
        <w:t>政拨款支出决算明细表</w:t>
      </w:r>
      <w:bookmarkEnd w:id="132"/>
      <w:bookmarkEnd w:id="133"/>
      <w:bookmarkEnd w:id="134"/>
      <w:bookmarkStart w:id="135" w:name="_Toc15396624"/>
    </w:p>
    <w:p>
      <w:pPr>
        <w:pStyle w:val="3"/>
        <w:rPr>
          <w:rFonts w:ascii="仿宋" w:hAnsi="仿宋" w:eastAsia="仿宋"/>
          <w:color w:val="000000"/>
        </w:rPr>
      </w:pPr>
      <w:bookmarkStart w:id="136" w:name="_Toc79163641"/>
      <w:bookmarkStart w:id="137" w:name="_Toc31079"/>
      <w:r>
        <w:rPr>
          <w:rStyle w:val="17"/>
          <w:rFonts w:hint="eastAsia" w:ascii="仿宋" w:hAnsi="仿宋" w:eastAsia="仿宋"/>
          <w:b w:val="0"/>
          <w:bCs w:val="0"/>
        </w:rPr>
        <w:t>六、</w:t>
      </w:r>
      <w:r>
        <w:rPr>
          <w:rFonts w:hint="eastAsia" w:ascii="仿宋" w:hAnsi="仿宋" w:eastAsia="仿宋"/>
          <w:b w:val="0"/>
          <w:color w:val="000000"/>
        </w:rPr>
        <w:t>一</w:t>
      </w:r>
      <w:r>
        <w:rPr>
          <w:rStyle w:val="17"/>
          <w:rFonts w:hint="eastAsia" w:ascii="仿宋" w:hAnsi="仿宋" w:eastAsia="仿宋"/>
          <w:b w:val="0"/>
          <w:bCs w:val="0"/>
        </w:rPr>
        <w:t>般公共预算财政拨款支出决算表</w:t>
      </w:r>
      <w:bookmarkEnd w:id="135"/>
      <w:bookmarkEnd w:id="136"/>
      <w:bookmarkEnd w:id="137"/>
    </w:p>
    <w:p>
      <w:pPr>
        <w:pStyle w:val="3"/>
        <w:rPr>
          <w:rFonts w:ascii="仿宋" w:hAnsi="仿宋" w:eastAsia="仿宋"/>
          <w:color w:val="000000"/>
        </w:rPr>
      </w:pPr>
      <w:bookmarkStart w:id="138" w:name="_Toc26043"/>
      <w:bookmarkStart w:id="139" w:name="_Toc15396625"/>
      <w:bookmarkStart w:id="140" w:name="_Toc79163642"/>
      <w:r>
        <w:rPr>
          <w:rStyle w:val="17"/>
          <w:rFonts w:hint="eastAsia" w:ascii="仿宋" w:hAnsi="仿宋" w:eastAsia="仿宋"/>
          <w:b w:val="0"/>
          <w:bCs w:val="0"/>
        </w:rPr>
        <w:t>七、</w:t>
      </w:r>
      <w:r>
        <w:rPr>
          <w:rFonts w:hint="eastAsia" w:ascii="仿宋" w:hAnsi="仿宋" w:eastAsia="仿宋"/>
          <w:b w:val="0"/>
          <w:color w:val="000000"/>
        </w:rPr>
        <w:t>一</w:t>
      </w:r>
      <w:r>
        <w:rPr>
          <w:rStyle w:val="17"/>
          <w:rFonts w:hint="eastAsia" w:ascii="仿宋" w:hAnsi="仿宋" w:eastAsia="仿宋"/>
          <w:b w:val="0"/>
          <w:bCs w:val="0"/>
        </w:rPr>
        <w:t>般公共预算财政拨款支出决算明细表</w:t>
      </w:r>
      <w:bookmarkEnd w:id="138"/>
      <w:bookmarkEnd w:id="139"/>
      <w:bookmarkEnd w:id="140"/>
    </w:p>
    <w:p>
      <w:pPr>
        <w:pStyle w:val="3"/>
        <w:rPr>
          <w:rFonts w:ascii="仿宋" w:hAnsi="仿宋" w:eastAsia="仿宋"/>
          <w:color w:val="000000"/>
        </w:rPr>
      </w:pPr>
      <w:bookmarkStart w:id="141" w:name="_Toc79163643"/>
      <w:bookmarkStart w:id="142" w:name="_Toc15396626"/>
      <w:bookmarkStart w:id="143" w:name="_Toc19604"/>
      <w:r>
        <w:rPr>
          <w:rStyle w:val="17"/>
          <w:rFonts w:hint="eastAsia" w:ascii="仿宋" w:hAnsi="仿宋" w:eastAsia="仿宋"/>
          <w:b w:val="0"/>
          <w:bCs w:val="0"/>
        </w:rPr>
        <w:t>八、</w:t>
      </w:r>
      <w:r>
        <w:rPr>
          <w:rFonts w:hint="eastAsia" w:ascii="仿宋" w:hAnsi="仿宋" w:eastAsia="仿宋"/>
          <w:b w:val="0"/>
          <w:color w:val="000000"/>
        </w:rPr>
        <w:t>一</w:t>
      </w:r>
      <w:r>
        <w:rPr>
          <w:rStyle w:val="17"/>
          <w:rFonts w:hint="eastAsia" w:ascii="仿宋" w:hAnsi="仿宋" w:eastAsia="仿宋"/>
          <w:b w:val="0"/>
          <w:bCs w:val="0"/>
        </w:rPr>
        <w:t>般公共预算财政拨款基本支出决算表</w:t>
      </w:r>
      <w:bookmarkEnd w:id="141"/>
      <w:bookmarkEnd w:id="142"/>
      <w:bookmarkEnd w:id="143"/>
    </w:p>
    <w:p>
      <w:pPr>
        <w:pStyle w:val="3"/>
        <w:rPr>
          <w:rFonts w:ascii="仿宋" w:hAnsi="仿宋" w:eastAsia="仿宋"/>
          <w:color w:val="000000"/>
        </w:rPr>
      </w:pPr>
      <w:bookmarkStart w:id="144" w:name="_Toc27770"/>
      <w:bookmarkStart w:id="145" w:name="_Toc15396627"/>
      <w:bookmarkStart w:id="146" w:name="_Toc79163644"/>
      <w:r>
        <w:rPr>
          <w:rStyle w:val="17"/>
          <w:rFonts w:hint="eastAsia" w:ascii="仿宋" w:hAnsi="仿宋" w:eastAsia="仿宋"/>
          <w:b w:val="0"/>
          <w:bCs w:val="0"/>
        </w:rPr>
        <w:t>九、</w:t>
      </w:r>
      <w:r>
        <w:rPr>
          <w:rFonts w:hint="eastAsia" w:ascii="仿宋" w:hAnsi="仿宋" w:eastAsia="仿宋"/>
          <w:b w:val="0"/>
          <w:color w:val="000000"/>
        </w:rPr>
        <w:t>一</w:t>
      </w:r>
      <w:r>
        <w:rPr>
          <w:rStyle w:val="17"/>
          <w:rFonts w:hint="eastAsia" w:ascii="仿宋" w:hAnsi="仿宋" w:eastAsia="仿宋"/>
          <w:b w:val="0"/>
          <w:bCs w:val="0"/>
        </w:rPr>
        <w:t>般公共预算财政拨款项目支出决算表</w:t>
      </w:r>
      <w:bookmarkEnd w:id="144"/>
      <w:bookmarkEnd w:id="145"/>
      <w:bookmarkEnd w:id="146"/>
    </w:p>
    <w:p>
      <w:pPr>
        <w:pStyle w:val="3"/>
        <w:rPr>
          <w:rFonts w:ascii="仿宋" w:hAnsi="仿宋" w:eastAsia="仿宋"/>
          <w:color w:val="000000"/>
        </w:rPr>
      </w:pPr>
      <w:bookmarkStart w:id="147" w:name="_Toc15396628"/>
      <w:bookmarkStart w:id="148" w:name="_Toc79163645"/>
      <w:bookmarkStart w:id="149" w:name="_Toc18344"/>
      <w:r>
        <w:rPr>
          <w:rStyle w:val="17"/>
          <w:rFonts w:hint="eastAsia" w:ascii="仿宋" w:hAnsi="仿宋" w:eastAsia="仿宋"/>
          <w:b w:val="0"/>
          <w:bCs w:val="0"/>
        </w:rPr>
        <w:t>十、</w:t>
      </w:r>
      <w:r>
        <w:rPr>
          <w:rFonts w:hint="eastAsia" w:ascii="仿宋" w:hAnsi="仿宋" w:eastAsia="仿宋"/>
          <w:b w:val="0"/>
          <w:color w:val="000000"/>
        </w:rPr>
        <w:t>一</w:t>
      </w:r>
      <w:r>
        <w:rPr>
          <w:rStyle w:val="17"/>
          <w:rFonts w:hint="eastAsia" w:ascii="仿宋" w:hAnsi="仿宋" w:eastAsia="仿宋"/>
          <w:b w:val="0"/>
          <w:bCs w:val="0"/>
        </w:rPr>
        <w:t>般公共预算财政拨款“三公”经费支出决算表</w:t>
      </w:r>
      <w:bookmarkEnd w:id="147"/>
      <w:bookmarkEnd w:id="148"/>
      <w:bookmarkEnd w:id="149"/>
    </w:p>
    <w:p>
      <w:pPr>
        <w:pStyle w:val="3"/>
        <w:rPr>
          <w:rFonts w:ascii="仿宋" w:hAnsi="仿宋" w:eastAsia="仿宋"/>
          <w:color w:val="000000"/>
        </w:rPr>
      </w:pPr>
      <w:bookmarkStart w:id="150" w:name="_Toc7408"/>
      <w:bookmarkStart w:id="151" w:name="_Toc79163646"/>
      <w:bookmarkStart w:id="152" w:name="_Toc15396629"/>
      <w:r>
        <w:rPr>
          <w:rStyle w:val="17"/>
          <w:rFonts w:hint="eastAsia" w:ascii="仿宋" w:hAnsi="仿宋" w:eastAsia="仿宋"/>
          <w:b w:val="0"/>
          <w:bCs w:val="0"/>
        </w:rPr>
        <w:t>十一、</w:t>
      </w:r>
      <w:r>
        <w:rPr>
          <w:rFonts w:hint="eastAsia" w:ascii="仿宋" w:hAnsi="仿宋" w:eastAsia="仿宋"/>
          <w:b w:val="0"/>
          <w:color w:val="000000"/>
        </w:rPr>
        <w:t>政</w:t>
      </w:r>
      <w:r>
        <w:rPr>
          <w:rStyle w:val="17"/>
          <w:rFonts w:hint="eastAsia" w:ascii="仿宋" w:hAnsi="仿宋" w:eastAsia="仿宋"/>
          <w:b w:val="0"/>
          <w:bCs w:val="0"/>
        </w:rPr>
        <w:t>府性基金预算财政拨款收入支出决算表</w:t>
      </w:r>
      <w:bookmarkEnd w:id="150"/>
      <w:bookmarkEnd w:id="151"/>
      <w:bookmarkEnd w:id="152"/>
    </w:p>
    <w:p>
      <w:pPr>
        <w:pStyle w:val="3"/>
        <w:rPr>
          <w:rFonts w:ascii="仿宋" w:hAnsi="仿宋" w:eastAsia="仿宋"/>
          <w:color w:val="000000"/>
        </w:rPr>
      </w:pPr>
      <w:bookmarkStart w:id="153" w:name="_Toc79163647"/>
      <w:bookmarkStart w:id="154" w:name="_Toc15396630"/>
      <w:bookmarkStart w:id="155" w:name="_Toc25169"/>
      <w:r>
        <w:rPr>
          <w:rStyle w:val="17"/>
          <w:rFonts w:hint="eastAsia" w:ascii="仿宋" w:hAnsi="仿宋" w:eastAsia="仿宋"/>
          <w:b w:val="0"/>
          <w:bCs w:val="0"/>
        </w:rPr>
        <w:t>十二、</w:t>
      </w:r>
      <w:r>
        <w:rPr>
          <w:rFonts w:hint="eastAsia" w:ascii="仿宋" w:hAnsi="仿宋" w:eastAsia="仿宋"/>
          <w:b w:val="0"/>
          <w:color w:val="000000"/>
        </w:rPr>
        <w:t>政</w:t>
      </w:r>
      <w:r>
        <w:rPr>
          <w:rStyle w:val="17"/>
          <w:rFonts w:hint="eastAsia" w:ascii="仿宋" w:hAnsi="仿宋" w:eastAsia="仿宋"/>
          <w:b w:val="0"/>
          <w:bCs w:val="0"/>
        </w:rPr>
        <w:t>府性基金预算财政拨款“三公”经费支出决算表</w:t>
      </w:r>
      <w:bookmarkEnd w:id="153"/>
      <w:bookmarkEnd w:id="154"/>
      <w:bookmarkEnd w:id="155"/>
    </w:p>
    <w:p>
      <w:pPr>
        <w:pStyle w:val="3"/>
        <w:rPr>
          <w:rStyle w:val="17"/>
          <w:rFonts w:ascii="仿宋" w:hAnsi="仿宋" w:eastAsia="仿宋"/>
          <w:b w:val="0"/>
          <w:bCs w:val="0"/>
        </w:rPr>
      </w:pPr>
      <w:bookmarkStart w:id="156" w:name="_Toc5493"/>
      <w:bookmarkStart w:id="157" w:name="_Toc15396631"/>
      <w:bookmarkStart w:id="158" w:name="_Toc79163648"/>
      <w:r>
        <w:rPr>
          <w:rStyle w:val="17"/>
          <w:rFonts w:hint="eastAsia" w:ascii="仿宋" w:hAnsi="仿宋" w:eastAsia="仿宋"/>
          <w:b w:val="0"/>
          <w:bCs w:val="0"/>
        </w:rPr>
        <w:t>十三、</w:t>
      </w:r>
      <w:r>
        <w:rPr>
          <w:rFonts w:hint="eastAsia" w:ascii="仿宋" w:hAnsi="仿宋" w:eastAsia="仿宋"/>
          <w:b w:val="0"/>
          <w:color w:val="000000"/>
        </w:rPr>
        <w:t>国</w:t>
      </w:r>
      <w:r>
        <w:rPr>
          <w:rStyle w:val="17"/>
          <w:rFonts w:hint="eastAsia" w:ascii="仿宋" w:hAnsi="仿宋" w:eastAsia="仿宋"/>
          <w:b w:val="0"/>
          <w:bCs w:val="0"/>
        </w:rPr>
        <w:t>有资本经营预算财政拨款支出决算表</w:t>
      </w:r>
      <w:bookmarkEnd w:id="156"/>
      <w:bookmarkEnd w:id="157"/>
      <w:bookmarkEnd w:id="158"/>
    </w:p>
    <w:p>
      <w:pPr>
        <w:pStyle w:val="3"/>
        <w:rPr>
          <w:rStyle w:val="17"/>
          <w:rFonts w:ascii="仿宋" w:hAnsi="仿宋" w:eastAsia="仿宋"/>
          <w:b w:val="0"/>
          <w:bCs w:val="0"/>
        </w:rPr>
      </w:pPr>
      <w:bookmarkStart w:id="159" w:name="_Toc14688"/>
      <w:bookmarkStart w:id="160" w:name="_Toc79163649"/>
      <w:r>
        <w:rPr>
          <w:rStyle w:val="17"/>
          <w:rFonts w:hint="eastAsia" w:ascii="仿宋" w:hAnsi="仿宋" w:eastAsia="仿宋"/>
          <w:b w:val="0"/>
          <w:bCs w:val="0"/>
        </w:rPr>
        <w:t>十四、国有资本经营预算财政拨款支出决算表</w:t>
      </w:r>
      <w:bookmarkEnd w:id="159"/>
      <w:bookmarkEnd w:id="160"/>
    </w:p>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公文小标宋">
    <w:panose1 w:val="02000000000000000000"/>
    <w:charset w:val="86"/>
    <w:family w:val="auto"/>
    <w:pitch w:val="default"/>
    <w:sig w:usb0="00000001" w:usb1="0800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t>25</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27BE6324"/>
    <w:multiLevelType w:val="singleLevel"/>
    <w:tmpl w:val="27BE6324"/>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hNTFjYWVlODFhNDZhMTZmNDgxOTU0OTBjZWU2NWMifQ=="/>
  </w:docVars>
  <w:rsids>
    <w:rsidRoot w:val="00000000"/>
    <w:rsid w:val="03C760F3"/>
    <w:rsid w:val="11956826"/>
    <w:rsid w:val="1D1F09FA"/>
    <w:rsid w:val="33DBDE1D"/>
    <w:rsid w:val="3EE2F0C1"/>
    <w:rsid w:val="4A2150FB"/>
    <w:rsid w:val="4A3F1706"/>
    <w:rsid w:val="607A212A"/>
    <w:rsid w:val="7F1F7CD1"/>
    <w:rsid w:val="FDFB7268"/>
    <w:rsid w:val="FEDF1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beforeLines="30"/>
    </w:pPr>
    <w:rPr>
      <w:rFonts w:ascii="仿宋_GB2312" w:eastAsia="仿宋_GB2312"/>
      <w:kern w:val="0"/>
      <w:sz w:val="24"/>
      <w:szCs w:val="20"/>
      <w:lang w:val="zh-CN"/>
    </w:rPr>
  </w:style>
  <w:style w:type="paragraph" w:styleId="5">
    <w:name w:val="toc 3"/>
    <w:basedOn w:val="1"/>
    <w:next w:val="1"/>
    <w:unhideWhenUsed/>
    <w:qFormat/>
    <w:uiPriority w:val="39"/>
    <w:pPr>
      <w:ind w:left="420"/>
      <w:jc w:val="left"/>
    </w:pPr>
    <w:rPr>
      <w:rFonts w:asciiTheme="minorHAnsi" w:eastAsiaTheme="minorHAnsi"/>
      <w:i/>
      <w:iCs/>
      <w:sz w:val="20"/>
      <w:szCs w:val="20"/>
    </w:rPr>
  </w:style>
  <w:style w:type="paragraph" w:styleId="6">
    <w:name w:val="footer"/>
    <w:basedOn w:val="1"/>
    <w:qFormat/>
    <w:uiPriority w:val="99"/>
    <w:pPr>
      <w:tabs>
        <w:tab w:val="center" w:pos="4153"/>
        <w:tab w:val="right" w:pos="8306"/>
      </w:tabs>
      <w:snapToGrid w:val="0"/>
      <w:jc w:val="left"/>
    </w:pPr>
    <w:rPr>
      <w:rFonts w:ascii="Calibri" w:hAnsi="Calibri"/>
      <w:kern w:val="0"/>
      <w:sz w:val="18"/>
      <w:szCs w:val="20"/>
      <w:lang w:val="zh-CN"/>
    </w:rPr>
  </w:style>
  <w:style w:type="paragraph" w:styleId="7">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8">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9">
    <w:name w:val="toc 2"/>
    <w:basedOn w:val="1"/>
    <w:next w:val="1"/>
    <w:unhideWhenUsed/>
    <w:qFormat/>
    <w:uiPriority w:val="39"/>
    <w:pPr>
      <w:ind w:left="210"/>
      <w:jc w:val="left"/>
    </w:pPr>
    <w:rPr>
      <w:rFonts w:asciiTheme="minorHAnsi" w:eastAsiaTheme="minorHAnsi"/>
      <w:smallCaps/>
      <w:sz w:val="20"/>
      <w:szCs w:val="20"/>
    </w:rPr>
  </w:style>
  <w:style w:type="character" w:styleId="12">
    <w:name w:val="Strong"/>
    <w:basedOn w:val="11"/>
    <w:qFormat/>
    <w:uiPriority w:val="99"/>
    <w:rPr>
      <w:rFonts w:cs="Times New Roman"/>
      <w:b/>
    </w:rPr>
  </w:style>
  <w:style w:type="paragraph" w:styleId="13">
    <w:name w:val="List Paragraph"/>
    <w:basedOn w:val="1"/>
    <w:qFormat/>
    <w:uiPriority w:val="34"/>
    <w:pPr>
      <w:ind w:firstLine="420" w:firstLineChars="200"/>
    </w:pPr>
    <w:rPr>
      <w:rFonts w:ascii="Calibri" w:hAnsi="Calibri"/>
      <w:sz w:val="32"/>
    </w:rPr>
  </w:style>
  <w:style w:type="paragraph" w:customStyle="1" w:styleId="14">
    <w:name w:val="正文文本1"/>
    <w:basedOn w:val="1"/>
    <w:qFormat/>
    <w:uiPriority w:val="99"/>
    <w:pPr>
      <w:spacing w:before="93"/>
    </w:pPr>
    <w:rPr>
      <w:rFonts w:ascii="仿宋_GB2312" w:hAnsi="仿宋_GB2312" w:eastAsia="仿宋_GB2312" w:cs="仿宋_GB2312"/>
      <w:kern w:val="0"/>
      <w:sz w:val="30"/>
      <w:szCs w:val="30"/>
    </w:rPr>
  </w:style>
  <w:style w:type="character" w:customStyle="1" w:styleId="15">
    <w:name w:val="标题 1 Char"/>
    <w:basedOn w:val="11"/>
    <w:link w:val="2"/>
    <w:qFormat/>
    <w:locked/>
    <w:uiPriority w:val="9"/>
    <w:rPr>
      <w:b/>
      <w:bCs/>
      <w:kern w:val="44"/>
      <w:sz w:val="44"/>
      <w:szCs w:val="44"/>
    </w:rPr>
  </w:style>
  <w:style w:type="paragraph" w:customStyle="1" w:styleId="16">
    <w:name w:val="列表段落1"/>
    <w:basedOn w:val="1"/>
    <w:qFormat/>
    <w:uiPriority w:val="34"/>
    <w:pPr>
      <w:ind w:firstLine="420" w:firstLineChars="200"/>
    </w:pPr>
  </w:style>
  <w:style w:type="character" w:customStyle="1" w:styleId="17">
    <w:name w:val="标题 2 Char"/>
    <w:basedOn w:val="11"/>
    <w:link w:val="3"/>
    <w:qFormat/>
    <w:locked/>
    <w:uiPriority w:val="9"/>
    <w:rPr>
      <w:rFonts w:ascii="Cambria" w:hAnsi="Cambria"/>
      <w:b/>
      <w:bCs/>
      <w:sz w:val="32"/>
      <w:szCs w:val="32"/>
    </w:rPr>
  </w:style>
  <w:style w:type="paragraph" w:customStyle="1" w:styleId="18">
    <w:name w:val="列出段落1"/>
    <w:basedOn w:val="1"/>
    <w:qFormat/>
    <w:uiPriority w:val="34"/>
    <w:pPr>
      <w:ind w:firstLine="420" w:firstLineChars="200"/>
    </w:pPr>
    <w:rPr>
      <w:rFonts w:ascii="Calibri" w:hAnsi="Calibri"/>
      <w:sz w:val="32"/>
    </w:rPr>
  </w:style>
  <w:style w:type="paragraph" w:customStyle="1" w:styleId="1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收入支出总体情况</a:t>
            </a:r>
          </a:p>
        </c:rich>
      </c:tx>
      <c:layout>
        <c:manualLayout>
          <c:xMode val="edge"/>
          <c:yMode val="edge"/>
          <c:x val="0.360885275519422"/>
          <c:y val="0.0277372262773723"/>
        </c:manualLayout>
      </c:layout>
      <c:overlay val="false"/>
      <c:spPr>
        <a:noFill/>
        <a:ln>
          <a:noFill/>
        </a:ln>
        <a:effectLst/>
      </c:spPr>
    </c:title>
    <c:autoTitleDeleted val="false"/>
    <c:plotArea>
      <c:layout>
        <c:manualLayout>
          <c:layoutTarget val="inner"/>
          <c:xMode val="edge"/>
          <c:yMode val="edge"/>
          <c:x val="0.051758389261745"/>
          <c:y val="0.134061213531412"/>
          <c:w val="0.92206711409396"/>
          <c:h val="0.696330767853947"/>
        </c:manualLayout>
      </c:layout>
      <c:barChart>
        <c:barDir val="col"/>
        <c:grouping val="clustered"/>
        <c:varyColors val="false"/>
        <c:ser>
          <c:idx val="0"/>
          <c:order val="0"/>
          <c:tx>
            <c:strRef>
              <c:f>Sheet1!$B$1</c:f>
              <c:strCache>
                <c:ptCount val="1"/>
                <c:pt idx="0">
                  <c:v>2021年</c:v>
                </c:pt>
              </c:strCache>
            </c:strRef>
          </c:tx>
          <c:spPr>
            <a:solidFill>
              <a:schemeClr val="accent1"/>
            </a:solidFill>
            <a:ln>
              <a:noFill/>
            </a:ln>
            <a:effectLst/>
          </c:spPr>
          <c:invertIfNegative val="false"/>
          <c:dLbls>
            <c:delete val="true"/>
          </c:dLbls>
          <c:cat>
            <c:strRef>
              <c:f>Sheet1!$A$2:$A$3</c:f>
              <c:strCache>
                <c:ptCount val="2"/>
                <c:pt idx="0">
                  <c:v>收入</c:v>
                </c:pt>
                <c:pt idx="1">
                  <c:v>支出</c:v>
                </c:pt>
              </c:strCache>
            </c:strRef>
          </c:cat>
          <c:val>
            <c:numRef>
              <c:f>Sheet1!$B$2:$B$3</c:f>
              <c:numCache>
                <c:formatCode>General</c:formatCode>
                <c:ptCount val="2"/>
                <c:pt idx="0">
                  <c:v>1288.8</c:v>
                </c:pt>
                <c:pt idx="1">
                  <c:v>1288.8</c:v>
                </c:pt>
              </c:numCache>
            </c:numRef>
          </c:val>
        </c:ser>
        <c:ser>
          <c:idx val="1"/>
          <c:order val="1"/>
          <c:tx>
            <c:strRef>
              <c:f>Sheet1!$C$1</c:f>
              <c:strCache>
                <c:ptCount val="1"/>
                <c:pt idx="0">
                  <c:v>2020年</c:v>
                </c:pt>
              </c:strCache>
            </c:strRef>
          </c:tx>
          <c:spPr>
            <a:solidFill>
              <a:schemeClr val="accent2"/>
            </a:solidFill>
            <a:ln>
              <a:noFill/>
            </a:ln>
            <a:effectLst/>
          </c:spPr>
          <c:invertIfNegative val="false"/>
          <c:dLbls>
            <c:delete val="true"/>
          </c:dLbls>
          <c:cat>
            <c:strRef>
              <c:f>Sheet1!$A$2:$A$3</c:f>
              <c:strCache>
                <c:ptCount val="2"/>
                <c:pt idx="0">
                  <c:v>收入</c:v>
                </c:pt>
                <c:pt idx="1">
                  <c:v>支出</c:v>
                </c:pt>
              </c:strCache>
            </c:strRef>
          </c:cat>
          <c:val>
            <c:numRef>
              <c:f>Sheet1!$C$2:$C$3</c:f>
              <c:numCache>
                <c:formatCode>General</c:formatCode>
                <c:ptCount val="2"/>
                <c:pt idx="0">
                  <c:v>1100.83</c:v>
                </c:pt>
                <c:pt idx="1">
                  <c:v>1100.83</c:v>
                </c:pt>
              </c:numCache>
            </c:numRef>
          </c:val>
        </c:ser>
        <c:ser>
          <c:idx val="2"/>
          <c:order val="2"/>
          <c:tx>
            <c:strRef>
              <c:f>Sheet1!#REF!</c:f>
              <c:strCache>
                <c:ptCount val="1"/>
                <c:pt idx="0">
                  <c:v/>
                </c:pt>
              </c:strCache>
            </c:strRef>
          </c:tx>
          <c:spPr>
            <a:solidFill>
              <a:schemeClr val="accent3"/>
            </a:solidFill>
            <a:ln>
              <a:noFill/>
            </a:ln>
            <a:effectLst/>
          </c:spPr>
          <c:invertIfNegative val="false"/>
          <c:dLbls>
            <c:delete val="true"/>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false"/>
          <c:showVal val="false"/>
          <c:showCatName val="false"/>
          <c:showSerName val="false"/>
          <c:showPercent val="false"/>
          <c:showBubbleSize val="false"/>
        </c:dLbls>
        <c:gapWidth val="219"/>
        <c:overlap val="-27"/>
        <c:axId val="101257473"/>
        <c:axId val="620427572"/>
      </c:barChart>
      <c:catAx>
        <c:axId val="101257473"/>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20427572"/>
        <c:crosses val="autoZero"/>
        <c:auto val="true"/>
        <c:lblAlgn val="ctr"/>
        <c:lblOffset val="100"/>
        <c:noMultiLvlLbl val="false"/>
      </c:catAx>
      <c:valAx>
        <c:axId val="620427572"/>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01257473"/>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收入总计</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delete val="true"/>
          </c:dLbls>
          <c:cat>
            <c:strRef>
              <c:f>Sheet1!$A$2:$A$5</c:f>
              <c:strCache>
                <c:ptCount val="4"/>
                <c:pt idx="0">
                  <c:v>财政拨款收入</c:v>
                </c:pt>
                <c:pt idx="1">
                  <c:v>政府性基金预算财政拨款收入</c:v>
                </c:pt>
                <c:pt idx="2">
                  <c:v>上级补助收入</c:v>
                </c:pt>
                <c:pt idx="3">
                  <c:v>经营收入</c:v>
                </c:pt>
              </c:strCache>
            </c:strRef>
          </c:cat>
          <c:val>
            <c:numRef>
              <c:f>Sheet1!$B$2:$B$5</c:f>
              <c:numCache>
                <c:formatCode>General</c:formatCode>
                <c:ptCount val="4"/>
                <c:pt idx="0">
                  <c:v>8.2</c:v>
                </c:pt>
                <c:pt idx="1">
                  <c:v>0</c:v>
                </c:pt>
                <c:pt idx="2">
                  <c:v>0</c:v>
                </c:pt>
                <c:pt idx="3">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支出总额</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elete val="true"/>
          </c:dLbls>
          <c:cat>
            <c:strRef>
              <c:f>Sheet1!$A$2:$A$3</c:f>
              <c:strCache>
                <c:ptCount val="2"/>
                <c:pt idx="0">
                  <c:v>基本支出</c:v>
                </c:pt>
                <c:pt idx="1">
                  <c:v>项目支出</c:v>
                </c:pt>
              </c:strCache>
            </c:strRef>
          </c:cat>
          <c:val>
            <c:numRef>
              <c:f>Sheet1!$B$2:$B$3</c:f>
              <c:numCache>
                <c:formatCode>General</c:formatCode>
                <c:ptCount val="2"/>
                <c:pt idx="0">
                  <c:v>585.81</c:v>
                </c:pt>
                <c:pt idx="1">
                  <c:v>702.99</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财政拨款收入支出总体情况</a:t>
            </a:r>
          </a:p>
        </c:rich>
      </c:tx>
      <c:layout>
        <c:manualLayout>
          <c:xMode val="edge"/>
          <c:yMode val="edge"/>
          <c:x val="0.360885275519422"/>
          <c:y val="0.0277372262773723"/>
        </c:manualLayout>
      </c:layout>
      <c:overlay val="false"/>
      <c:spPr>
        <a:noFill/>
        <a:ln>
          <a:noFill/>
        </a:ln>
        <a:effectLst/>
      </c:spPr>
    </c:title>
    <c:autoTitleDeleted val="false"/>
    <c:plotArea>
      <c:layout>
        <c:manualLayout>
          <c:layoutTarget val="inner"/>
          <c:xMode val="edge"/>
          <c:yMode val="edge"/>
          <c:x val="0.051758389261745"/>
          <c:y val="0.134061213531412"/>
          <c:w val="0.92206711409396"/>
          <c:h val="0.696330767853947"/>
        </c:manualLayout>
      </c:layout>
      <c:barChart>
        <c:barDir val="col"/>
        <c:grouping val="clustered"/>
        <c:varyColors val="false"/>
        <c:ser>
          <c:idx val="0"/>
          <c:order val="0"/>
          <c:tx>
            <c:strRef>
              <c:f>Sheet1!$B$1</c:f>
              <c:strCache>
                <c:ptCount val="1"/>
                <c:pt idx="0">
                  <c:v>2021年</c:v>
                </c:pt>
              </c:strCache>
            </c:strRef>
          </c:tx>
          <c:spPr>
            <a:solidFill>
              <a:schemeClr val="accent1"/>
            </a:solidFill>
            <a:ln>
              <a:noFill/>
            </a:ln>
            <a:effectLst/>
          </c:spPr>
          <c:invertIfNegative val="false"/>
          <c:dLbls>
            <c:delete val="true"/>
          </c:dLbls>
          <c:cat>
            <c:strRef>
              <c:f>Sheet1!$A$2:$A$3</c:f>
              <c:strCache>
                <c:ptCount val="2"/>
                <c:pt idx="0">
                  <c:v>收入</c:v>
                </c:pt>
                <c:pt idx="1">
                  <c:v>支出</c:v>
                </c:pt>
              </c:strCache>
            </c:strRef>
          </c:cat>
          <c:val>
            <c:numRef>
              <c:f>Sheet1!$B$2:$B$3</c:f>
              <c:numCache>
                <c:formatCode>General</c:formatCode>
                <c:ptCount val="2"/>
                <c:pt idx="0">
                  <c:v>1288.8</c:v>
                </c:pt>
                <c:pt idx="1">
                  <c:v>1288.8</c:v>
                </c:pt>
              </c:numCache>
            </c:numRef>
          </c:val>
        </c:ser>
        <c:ser>
          <c:idx val="1"/>
          <c:order val="1"/>
          <c:tx>
            <c:strRef>
              <c:f>Sheet1!$C$1</c:f>
              <c:strCache>
                <c:ptCount val="1"/>
                <c:pt idx="0">
                  <c:v>2020年</c:v>
                </c:pt>
              </c:strCache>
            </c:strRef>
          </c:tx>
          <c:spPr>
            <a:solidFill>
              <a:schemeClr val="accent2"/>
            </a:solidFill>
            <a:ln>
              <a:noFill/>
            </a:ln>
            <a:effectLst/>
          </c:spPr>
          <c:invertIfNegative val="false"/>
          <c:dLbls>
            <c:delete val="true"/>
          </c:dLbls>
          <c:cat>
            <c:strRef>
              <c:f>Sheet1!$A$2:$A$3</c:f>
              <c:strCache>
                <c:ptCount val="2"/>
                <c:pt idx="0">
                  <c:v>收入</c:v>
                </c:pt>
                <c:pt idx="1">
                  <c:v>支出</c:v>
                </c:pt>
              </c:strCache>
            </c:strRef>
          </c:cat>
          <c:val>
            <c:numRef>
              <c:f>Sheet1!$C$2:$C$3</c:f>
              <c:numCache>
                <c:formatCode>General</c:formatCode>
                <c:ptCount val="2"/>
                <c:pt idx="0">
                  <c:v>1100.83</c:v>
                </c:pt>
                <c:pt idx="1">
                  <c:v>1100.83</c:v>
                </c:pt>
              </c:numCache>
            </c:numRef>
          </c:val>
        </c:ser>
        <c:ser>
          <c:idx val="2"/>
          <c:order val="2"/>
          <c:tx>
            <c:strRef>
              <c:f>Sheet1!#REF!</c:f>
              <c:strCache>
                <c:ptCount val="1"/>
                <c:pt idx="0">
                  <c:v/>
                </c:pt>
              </c:strCache>
            </c:strRef>
          </c:tx>
          <c:spPr>
            <a:solidFill>
              <a:schemeClr val="accent3"/>
            </a:solidFill>
            <a:ln>
              <a:noFill/>
            </a:ln>
            <a:effectLst/>
          </c:spPr>
          <c:invertIfNegative val="false"/>
          <c:dLbls>
            <c:delete val="true"/>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false"/>
          <c:showVal val="false"/>
          <c:showCatName val="false"/>
          <c:showSerName val="false"/>
          <c:showPercent val="false"/>
          <c:showBubbleSize val="false"/>
        </c:dLbls>
        <c:gapWidth val="219"/>
        <c:overlap val="-27"/>
        <c:axId val="101257473"/>
        <c:axId val="620427572"/>
      </c:barChart>
      <c:catAx>
        <c:axId val="101257473"/>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20427572"/>
        <c:crosses val="autoZero"/>
        <c:auto val="true"/>
        <c:lblAlgn val="ctr"/>
        <c:lblOffset val="100"/>
        <c:noMultiLvlLbl val="false"/>
      </c:catAx>
      <c:valAx>
        <c:axId val="620427572"/>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01257473"/>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一般公共预算财政拨款支出变动情况表</a:t>
            </a:r>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2020年</c:v>
                </c:pt>
              </c:strCache>
            </c:strRef>
          </c:tx>
          <c:spPr>
            <a:solidFill>
              <a:schemeClr val="accent1"/>
            </a:solidFill>
            <a:ln>
              <a:noFill/>
            </a:ln>
            <a:effectLst/>
          </c:spPr>
          <c:invertIfNegative val="false"/>
          <c:dLbls>
            <c:delete val="true"/>
          </c:dLbls>
          <c:cat>
            <c:strRef>
              <c:f>Sheet1!$A$2</c:f>
              <c:strCache>
                <c:ptCount val="1"/>
                <c:pt idx="0">
                  <c:v>财政拨款支出数据</c:v>
                </c:pt>
              </c:strCache>
            </c:strRef>
          </c:cat>
          <c:val>
            <c:numRef>
              <c:f>Sheet1!$B$2</c:f>
              <c:numCache>
                <c:formatCode>General</c:formatCode>
                <c:ptCount val="1"/>
                <c:pt idx="0">
                  <c:v>1100.83</c:v>
                </c:pt>
              </c:numCache>
            </c:numRef>
          </c:val>
        </c:ser>
        <c:ser>
          <c:idx val="1"/>
          <c:order val="1"/>
          <c:tx>
            <c:strRef>
              <c:f>Sheet1!$C$1</c:f>
              <c:strCache>
                <c:ptCount val="1"/>
                <c:pt idx="0">
                  <c:v>2021年</c:v>
                </c:pt>
              </c:strCache>
            </c:strRef>
          </c:tx>
          <c:spPr>
            <a:solidFill>
              <a:schemeClr val="accent2"/>
            </a:solidFill>
            <a:ln>
              <a:noFill/>
            </a:ln>
            <a:effectLst/>
          </c:spPr>
          <c:invertIfNegative val="false"/>
          <c:dLbls>
            <c:delete val="true"/>
          </c:dLbls>
          <c:cat>
            <c:strRef>
              <c:f>Sheet1!$A$2</c:f>
              <c:strCache>
                <c:ptCount val="1"/>
                <c:pt idx="0">
                  <c:v>财政拨款支出数据</c:v>
                </c:pt>
              </c:strCache>
            </c:strRef>
          </c:cat>
          <c:val>
            <c:numRef>
              <c:f>Sheet1!$C$2</c:f>
              <c:numCache>
                <c:formatCode>General</c:formatCode>
                <c:ptCount val="1"/>
                <c:pt idx="0">
                  <c:v>1288.8</c:v>
                </c:pt>
              </c:numCache>
            </c:numRef>
          </c:val>
        </c:ser>
        <c:ser>
          <c:idx val="2"/>
          <c:order val="2"/>
          <c:tx>
            <c:strRef>
              <c:f>Sheet1!#REF!</c:f>
              <c:strCache>
                <c:ptCount val="1"/>
                <c:pt idx="0">
                  <c:v/>
                </c:pt>
              </c:strCache>
            </c:strRef>
          </c:tx>
          <c:spPr>
            <a:solidFill>
              <a:schemeClr val="accent3"/>
            </a:solidFill>
            <a:ln>
              <a:noFill/>
            </a:ln>
            <a:effectLst/>
          </c:spPr>
          <c:invertIfNegative val="false"/>
          <c:dLbls>
            <c:delete val="true"/>
          </c:dLbls>
          <c:cat>
            <c:strRef>
              <c:f>Sheet1!$A$2</c:f>
              <c:strCache>
                <c:ptCount val="1"/>
                <c:pt idx="0">
                  <c:v>财政拨款支出数据</c:v>
                </c:pt>
              </c:strCache>
            </c:strRef>
          </c:cat>
          <c:val>
            <c:numRef>
              <c:f>Sheet1!#REF!</c:f>
              <c:numCache>
                <c:formatCode>General</c:formatCode>
                <c:ptCount val="1"/>
                <c:pt idx="0">
                  <c:v>1</c:v>
                </c:pt>
              </c:numCache>
            </c:numRef>
          </c:val>
        </c:ser>
        <c:dLbls>
          <c:showLegendKey val="false"/>
          <c:showVal val="false"/>
          <c:showCatName val="false"/>
          <c:showSerName val="false"/>
          <c:showPercent val="false"/>
          <c:showBubbleSize val="false"/>
        </c:dLbls>
        <c:gapWidth val="219"/>
        <c:overlap val="-27"/>
        <c:axId val="705417383"/>
        <c:axId val="860694896"/>
      </c:barChart>
      <c:catAx>
        <c:axId val="705417383"/>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60694896"/>
        <c:crosses val="autoZero"/>
        <c:auto val="true"/>
        <c:lblAlgn val="ctr"/>
        <c:lblOffset val="100"/>
        <c:noMultiLvlLbl val="false"/>
      </c:catAx>
      <c:valAx>
        <c:axId val="860694896"/>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05417383"/>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一般公共预算财政拨款支出决算结构情况</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Lbls>
            <c:delete val="true"/>
          </c:dLbls>
          <c:cat>
            <c:strRef>
              <c:f>Sheet1!$A$2:$A$6</c:f>
              <c:strCache>
                <c:ptCount val="5"/>
                <c:pt idx="0">
                  <c:v>一般公共服务</c:v>
                </c:pt>
                <c:pt idx="1">
                  <c:v>公共安全</c:v>
                </c:pt>
                <c:pt idx="2">
                  <c:v>社会保障和就业</c:v>
                </c:pt>
                <c:pt idx="3">
                  <c:v>卫生健康支出</c:v>
                </c:pt>
                <c:pt idx="4">
                  <c:v>住房保障支出</c:v>
                </c:pt>
              </c:strCache>
            </c:strRef>
          </c:cat>
          <c:val>
            <c:numRef>
              <c:f>Sheet1!$B$2:$B$6</c:f>
              <c:numCache>
                <c:formatCode>General</c:formatCode>
                <c:ptCount val="5"/>
                <c:pt idx="0">
                  <c:v>1118.74</c:v>
                </c:pt>
                <c:pt idx="1">
                  <c:v>43.59</c:v>
                </c:pt>
                <c:pt idx="2">
                  <c:v>59.58</c:v>
                </c:pt>
                <c:pt idx="3">
                  <c:v>25.92</c:v>
                </c:pt>
                <c:pt idx="4">
                  <c:v>40.97</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“三公”经费财政拨款支出结构</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elete val="true"/>
          </c:dLbls>
          <c:cat>
            <c:strRef>
              <c:f>Sheet1!$A$2:$A$4</c:f>
              <c:strCache>
                <c:ptCount val="3"/>
                <c:pt idx="0">
                  <c:v>公务用车</c:v>
                </c:pt>
                <c:pt idx="1">
                  <c:v>因公出国（境）费</c:v>
                </c:pt>
                <c:pt idx="2">
                  <c:v>公务接待费支出</c:v>
                </c:pt>
              </c:strCache>
            </c:strRef>
          </c:cat>
          <c:val>
            <c:numRef>
              <c:f>Sheet1!$B$2:$B$4</c:f>
              <c:numCache>
                <c:formatCode>General</c:formatCode>
                <c:ptCount val="3"/>
                <c:pt idx="0">
                  <c:v>8.2</c:v>
                </c:pt>
                <c:pt idx="1">
                  <c:v>0</c:v>
                </c:pt>
                <c:pt idx="2">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碧落  </cp:lastModifiedBy>
  <dcterms:modified xsi:type="dcterms:W3CDTF">2023-09-14T18:18:30Z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6D61C6A867E448C7859984DED3B9A391_13</vt:lpwstr>
  </property>
</Properties>
</file>