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阿坝州壤塘县2025年度中共壤塘县委统战部决算公开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pPr>
      <w:r>
        <w:rPr>
          <w:rFonts w:hint="eastAsia" w:ascii="Times New Roman" w:hAnsi="Times New Roman" w:eastAsia="黑体"/>
          <w:color w:val="auto"/>
          <w:sz w:val="48"/>
          <w:szCs w:val="48"/>
          <w:highlight w:val="none"/>
        </w:rPr>
        <w:t>目录</w:t>
      </w:r>
    </w:p>
    <w:p>
      <w:pPr>
        <w:pStyle w:val="13"/>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rPr>
        <w:t>日</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0" w:name="_Toc15377196"/>
      <w:bookmarkStart w:id="1" w:name="_Toc15396599"/>
      <w:r>
        <w:rPr>
          <w:rFonts w:hint="eastAsia" w:ascii="Times New Roman" w:hAnsi="Times New Roman" w:eastAsia="仿宋_GB2312" w:cs="仿宋_GB2312"/>
          <w:b/>
          <w:color w:val="auto"/>
          <w:sz w:val="32"/>
          <w:szCs w:val="32"/>
          <w:highlight w:val="none"/>
        </w:rPr>
        <w:br w:type="page"/>
      </w:r>
    </w:p>
    <w:p>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rPr>
          <w:rFonts w:hint="eastAsia" w:ascii="国标黑体" w:hAnsi="国标黑体" w:eastAsia="国标黑体" w:cs="国标黑体"/>
          <w:kern w:val="0"/>
          <w:sz w:val="32"/>
          <w:szCs w:val="32"/>
          <w:lang w:val="zh-CN" w:eastAsia="zh-CN"/>
        </w:rPr>
      </w:pPr>
      <w:r>
        <w:rPr>
          <w:rFonts w:hint="eastAsia" w:ascii="国标黑体" w:hAnsi="国标黑体" w:eastAsia="国标黑体" w:cs="国标黑体"/>
          <w:kern w:val="0"/>
          <w:sz w:val="32"/>
          <w:szCs w:val="32"/>
          <w:lang w:val="zh-CN" w:eastAsia="zh-CN"/>
        </w:rPr>
        <w:t>一、部门职责</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 w:eastAsia="仿宋_GB2312" w:cs="Times New Roman"/>
          <w:kern w:val="0"/>
          <w:sz w:val="32"/>
          <w:szCs w:val="32"/>
          <w:lang w:val="zh-CN"/>
        </w:rPr>
      </w:pPr>
      <w:r>
        <w:rPr>
          <w:rFonts w:hint="eastAsia" w:ascii="仿宋_GB2312" w:hAnsi="仿宋" w:eastAsia="仿宋_GB2312" w:cs="Times New Roman"/>
          <w:kern w:val="0"/>
          <w:sz w:val="32"/>
          <w:szCs w:val="32"/>
          <w:lang w:val="en-US" w:eastAsia="zh-CN"/>
        </w:rPr>
        <w:t>县委统战部</w:t>
      </w:r>
      <w:r>
        <w:rPr>
          <w:rFonts w:hint="default" w:ascii="仿宋_GB2312" w:hAnsi="仿宋" w:eastAsia="仿宋_GB2312" w:cs="Times New Roman"/>
          <w:kern w:val="0"/>
          <w:sz w:val="32"/>
          <w:szCs w:val="32"/>
          <w:lang w:val="zh-CN"/>
        </w:rPr>
        <w:t>主要职</w:t>
      </w:r>
      <w:r>
        <w:rPr>
          <w:rFonts w:hint="eastAsia" w:ascii="仿宋_GB2312" w:hAnsi="仿宋" w:eastAsia="仿宋_GB2312" w:cs="Times New Roman"/>
          <w:kern w:val="0"/>
          <w:sz w:val="32"/>
          <w:szCs w:val="32"/>
          <w:lang w:val="en-US" w:eastAsia="zh-CN"/>
        </w:rPr>
        <w:t>能</w:t>
      </w:r>
      <w:r>
        <w:rPr>
          <w:rFonts w:hint="default" w:ascii="仿宋_GB2312" w:hAnsi="仿宋" w:eastAsia="仿宋_GB2312" w:cs="Times New Roman"/>
          <w:kern w:val="0"/>
          <w:sz w:val="32"/>
          <w:szCs w:val="32"/>
          <w:lang w:val="zh-CN"/>
        </w:rPr>
        <w:t>是：组织贯彻执行中央、省委、州委</w:t>
      </w:r>
      <w:r>
        <w:rPr>
          <w:rFonts w:hint="eastAsia" w:ascii="仿宋_GB2312" w:hAnsi="仿宋" w:eastAsia="仿宋_GB2312" w:cs="Times New Roman"/>
          <w:kern w:val="0"/>
          <w:sz w:val="32"/>
          <w:szCs w:val="32"/>
          <w:lang w:val="zh-CN"/>
        </w:rPr>
        <w:t>、县委</w:t>
      </w:r>
      <w:r>
        <w:rPr>
          <w:rFonts w:hint="default" w:ascii="仿宋_GB2312" w:hAnsi="仿宋" w:eastAsia="仿宋_GB2312" w:cs="Times New Roman"/>
          <w:kern w:val="0"/>
          <w:sz w:val="32"/>
          <w:szCs w:val="32"/>
          <w:lang w:val="zh-CN"/>
        </w:rPr>
        <w:t>关于统一战线的方针政策，调查研究统一战线的理论和政策，负责协调监督检查全</w:t>
      </w:r>
      <w:r>
        <w:rPr>
          <w:rFonts w:hint="eastAsia" w:ascii="仿宋_GB2312" w:hAnsi="仿宋" w:eastAsia="仿宋_GB2312" w:cs="Times New Roman"/>
          <w:kern w:val="0"/>
          <w:sz w:val="32"/>
          <w:szCs w:val="32"/>
          <w:lang w:val="zh-CN"/>
        </w:rPr>
        <w:t>县</w:t>
      </w:r>
      <w:r>
        <w:rPr>
          <w:rFonts w:hint="default" w:ascii="仿宋_GB2312" w:hAnsi="仿宋" w:eastAsia="仿宋_GB2312" w:cs="Times New Roman"/>
          <w:kern w:val="0"/>
          <w:sz w:val="32"/>
          <w:szCs w:val="32"/>
          <w:lang w:val="zh-CN"/>
        </w:rPr>
        <w:t>统一战线工作，牵头协调处理统战工作中的重大问题和组织统一战线和重大活动；负</w:t>
      </w:r>
      <w:r>
        <w:rPr>
          <w:rFonts w:hint="eastAsia" w:ascii="仿宋_GB2312" w:hAnsi="仿宋" w:eastAsia="仿宋_GB2312" w:cs="Times New Roman"/>
          <w:kern w:val="0"/>
          <w:sz w:val="32"/>
          <w:szCs w:val="32"/>
          <w:lang w:val="zh-CN"/>
        </w:rPr>
        <w:t>责</w:t>
      </w:r>
      <w:r>
        <w:rPr>
          <w:rFonts w:hint="default" w:ascii="仿宋_GB2312" w:hAnsi="仿宋" w:eastAsia="仿宋_GB2312" w:cs="Times New Roman"/>
          <w:kern w:val="0"/>
          <w:sz w:val="32"/>
          <w:szCs w:val="32"/>
          <w:lang w:val="zh-CN"/>
        </w:rPr>
        <w:t>调查研究协调全</w:t>
      </w:r>
      <w:r>
        <w:rPr>
          <w:rFonts w:hint="eastAsia" w:ascii="仿宋_GB2312" w:hAnsi="仿宋" w:eastAsia="仿宋_GB2312" w:cs="Times New Roman"/>
          <w:kern w:val="0"/>
          <w:sz w:val="32"/>
          <w:szCs w:val="32"/>
          <w:lang w:val="zh-CN"/>
        </w:rPr>
        <w:t>县</w:t>
      </w:r>
      <w:r>
        <w:rPr>
          <w:rFonts w:hint="default" w:ascii="仿宋_GB2312" w:hAnsi="仿宋" w:eastAsia="仿宋_GB2312" w:cs="Times New Roman"/>
          <w:kern w:val="0"/>
          <w:sz w:val="32"/>
          <w:szCs w:val="32"/>
          <w:lang w:val="zh-CN"/>
        </w:rPr>
        <w:t>有关民族宗教工作重大方针政策的贯彻执行，联系宗教界代表人物</w:t>
      </w:r>
      <w:r>
        <w:rPr>
          <w:rFonts w:hint="eastAsia" w:ascii="仿宋_GB2312" w:hAnsi="仿宋" w:eastAsia="仿宋_GB2312" w:cs="Times New Roman"/>
          <w:kern w:val="0"/>
          <w:sz w:val="32"/>
          <w:szCs w:val="32"/>
          <w:lang w:val="zh-CN"/>
        </w:rPr>
        <w:t>，</w:t>
      </w:r>
      <w:r>
        <w:rPr>
          <w:rFonts w:hint="eastAsia" w:ascii="仿宋_GB2312" w:hAnsi="仿宋" w:eastAsia="仿宋_GB2312"/>
          <w:kern w:val="0"/>
          <w:sz w:val="32"/>
          <w:szCs w:val="32"/>
          <w:lang w:val="zh-CN"/>
        </w:rPr>
        <w:t>协调、监督、指导全县寺庙管理工作；</w:t>
      </w:r>
      <w:r>
        <w:rPr>
          <w:rFonts w:hint="default" w:ascii="仿宋_GB2312" w:hAnsi="仿宋" w:eastAsia="仿宋_GB2312" w:cs="Times New Roman"/>
          <w:kern w:val="0"/>
          <w:sz w:val="32"/>
          <w:szCs w:val="32"/>
          <w:lang w:val="zh-CN"/>
        </w:rPr>
        <w:t>联系全</w:t>
      </w:r>
      <w:r>
        <w:rPr>
          <w:rFonts w:hint="eastAsia" w:ascii="仿宋_GB2312" w:hAnsi="仿宋" w:eastAsia="仿宋_GB2312" w:cs="Times New Roman"/>
          <w:kern w:val="0"/>
          <w:sz w:val="32"/>
          <w:szCs w:val="32"/>
          <w:lang w:val="zh-CN"/>
        </w:rPr>
        <w:t>县</w:t>
      </w:r>
      <w:r>
        <w:rPr>
          <w:rFonts w:hint="default" w:ascii="仿宋_GB2312" w:hAnsi="仿宋" w:eastAsia="仿宋_GB2312" w:cs="Times New Roman"/>
          <w:kern w:val="0"/>
          <w:sz w:val="32"/>
          <w:szCs w:val="32"/>
          <w:lang w:val="zh-CN"/>
        </w:rPr>
        <w:t>党外代表人士及党外知识分子工作，负责党外人士的政治</w:t>
      </w:r>
      <w:r>
        <w:rPr>
          <w:rFonts w:hint="eastAsia" w:ascii="仿宋_GB2312" w:hAnsi="仿宋" w:eastAsia="仿宋_GB2312" w:cs="Times New Roman"/>
          <w:kern w:val="0"/>
          <w:sz w:val="32"/>
          <w:szCs w:val="32"/>
          <w:lang w:val="zh-CN"/>
        </w:rPr>
        <w:t>安全</w:t>
      </w:r>
      <w:r>
        <w:rPr>
          <w:rFonts w:hint="default" w:ascii="仿宋_GB2312" w:hAnsi="仿宋" w:eastAsia="仿宋_GB2312" w:cs="Times New Roman"/>
          <w:kern w:val="0"/>
          <w:sz w:val="32"/>
          <w:szCs w:val="32"/>
          <w:lang w:val="zh-CN"/>
        </w:rPr>
        <w:t>，做好党外后备干部和新的代表人物队伍的建设工作，指导有关统战团体和人民团体的统战工作；调查研究并反映</w:t>
      </w:r>
      <w:r>
        <w:rPr>
          <w:rFonts w:hint="eastAsia" w:ascii="仿宋_GB2312" w:hAnsi="仿宋" w:eastAsia="仿宋_GB2312" w:cs="Times New Roman"/>
          <w:kern w:val="0"/>
          <w:sz w:val="32"/>
          <w:szCs w:val="32"/>
          <w:lang w:val="zh-CN"/>
        </w:rPr>
        <w:t>全县</w:t>
      </w:r>
      <w:r>
        <w:rPr>
          <w:rFonts w:hint="eastAsia" w:ascii="仿宋_GB2312" w:hAnsi="仿宋" w:eastAsia="仿宋_GB2312"/>
          <w:kern w:val="0"/>
          <w:sz w:val="32"/>
          <w:szCs w:val="32"/>
          <w:lang w:val="zh-CN"/>
        </w:rPr>
        <w:t>民营经济、</w:t>
      </w:r>
      <w:r>
        <w:rPr>
          <w:rFonts w:hint="default" w:ascii="仿宋_GB2312" w:hAnsi="仿宋" w:eastAsia="仿宋_GB2312" w:cs="Times New Roman"/>
          <w:kern w:val="0"/>
          <w:sz w:val="32"/>
          <w:szCs w:val="32"/>
          <w:lang w:val="zh-CN"/>
        </w:rPr>
        <w:t>非公有制经济人士</w:t>
      </w:r>
      <w:r>
        <w:rPr>
          <w:rFonts w:hint="eastAsia" w:ascii="仿宋_GB2312" w:hAnsi="仿宋" w:eastAsia="仿宋_GB2312" w:cs="Times New Roman"/>
          <w:kern w:val="0"/>
          <w:sz w:val="32"/>
          <w:szCs w:val="32"/>
          <w:lang w:val="zh-CN"/>
        </w:rPr>
        <w:t>，</w:t>
      </w:r>
      <w:r>
        <w:rPr>
          <w:rFonts w:hint="eastAsia" w:ascii="仿宋_GB2312" w:hAnsi="仿宋" w:eastAsia="仿宋_GB2312"/>
          <w:kern w:val="0"/>
          <w:sz w:val="32"/>
          <w:szCs w:val="32"/>
          <w:lang w:val="zh-CN"/>
        </w:rPr>
        <w:t>新阶层代表人士情况；负责牵头、协调、指导寺庙管理机构履行宗教事务工作相关职责；</w:t>
      </w:r>
      <w:r>
        <w:rPr>
          <w:rFonts w:hint="default" w:ascii="仿宋_GB2312" w:hAnsi="仿宋" w:eastAsia="仿宋_GB2312" w:cs="Times New Roman"/>
          <w:kern w:val="0"/>
          <w:sz w:val="32"/>
          <w:szCs w:val="32"/>
          <w:lang w:val="zh-CN"/>
        </w:rPr>
        <w:t>负责海内外统一战线的宣传工作</w:t>
      </w:r>
      <w:r>
        <w:rPr>
          <w:rFonts w:hint="eastAsia" w:ascii="仿宋_GB2312" w:hAnsi="仿宋" w:eastAsia="仿宋_GB2312" w:cs="Times New Roman"/>
          <w:kern w:val="0"/>
          <w:sz w:val="32"/>
          <w:szCs w:val="32"/>
          <w:lang w:val="zh-CN"/>
        </w:rPr>
        <w:t>；</w:t>
      </w:r>
      <w:r>
        <w:rPr>
          <w:rFonts w:hint="eastAsia" w:ascii="仿宋_GB2312" w:hAnsi="仿宋" w:eastAsia="仿宋_GB2312"/>
          <w:kern w:val="0"/>
          <w:sz w:val="32"/>
          <w:szCs w:val="32"/>
          <w:lang w:val="zh-CN"/>
        </w:rPr>
        <w:t>统筹协调4个寺庙管理委员会、县民宗局、县佛协、县工商联。</w:t>
      </w:r>
    </w:p>
    <w:p>
      <w:pPr>
        <w:numPr>
          <w:ilvl w:val="0"/>
          <w:numId w:val="0"/>
        </w:numPr>
        <w:rPr>
          <w:rFonts w:hint="eastAsia"/>
          <w:lang w:eastAsia="zh-CN"/>
        </w:rPr>
      </w:pPr>
    </w:p>
    <w:p>
      <w:pPr>
        <w:widowControl/>
        <w:jc w:val="left"/>
        <w:rPr>
          <w:rFonts w:ascii="Times New Roman" w:hAnsi="Times New Roman" w:eastAsia="黑体" w:cs="Times New Roman"/>
          <w:color w:val="auto"/>
          <w:sz w:val="32"/>
          <w:szCs w:val="32"/>
          <w:highlight w:val="none"/>
        </w:rPr>
      </w:pPr>
      <w:bookmarkStart w:id="2" w:name="_Toc15377200"/>
      <w:bookmarkStart w:id="3" w:name="_Toc15396601"/>
      <w:r>
        <w:rPr>
          <w:rFonts w:hint="eastAsia" w:ascii="Times New Roman" w:hAnsi="Times New Roman" w:eastAsia="黑体" w:cs="Times New Roman"/>
          <w:color w:val="auto"/>
          <w:sz w:val="32"/>
          <w:szCs w:val="32"/>
          <w:highlight w:val="none"/>
        </w:rPr>
        <w:t>二、机构设置</w:t>
      </w:r>
      <w:bookmarkEnd w:id="2"/>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 w:eastAsia="仿宋_GB2312" w:cs="Times New Roman"/>
          <w:kern w:val="0"/>
          <w:sz w:val="32"/>
          <w:szCs w:val="32"/>
          <w:lang w:val="zh-CN"/>
        </w:rPr>
      </w:pPr>
      <w:bookmarkStart w:id="4" w:name="_Toc15378448"/>
      <w:bookmarkStart w:id="5" w:name="_Toc15377432"/>
      <w:bookmarkStart w:id="6" w:name="_Toc15306275"/>
      <w:bookmarkStart w:id="7" w:name="_Toc15377201"/>
      <w:r>
        <w:rPr>
          <w:rFonts w:hint="eastAsia" w:ascii="仿宋_GB2312" w:hAnsi="仿宋" w:eastAsia="仿宋_GB2312" w:cs="Times New Roman"/>
          <w:kern w:val="0"/>
          <w:sz w:val="32"/>
          <w:szCs w:val="32"/>
          <w:lang w:val="zh-CN" w:eastAsia="zh-CN"/>
        </w:rPr>
        <w:t>中共壤塘县委统战部</w:t>
      </w:r>
      <w:r>
        <w:rPr>
          <w:rFonts w:hint="eastAsia" w:ascii="仿宋_GB2312" w:hAnsi="仿宋" w:eastAsia="仿宋_GB2312" w:cs="Times New Roman"/>
          <w:kern w:val="0"/>
          <w:sz w:val="32"/>
          <w:szCs w:val="32"/>
          <w:lang w:val="zh-CN"/>
        </w:rPr>
        <w:t>为一级预算单位，</w:t>
      </w:r>
      <w:r>
        <w:rPr>
          <w:rFonts w:hint="eastAsia" w:ascii="仿宋_GB2312" w:hAnsi="仿宋" w:eastAsia="仿宋_GB2312" w:cs="Times New Roman"/>
          <w:kern w:val="0"/>
          <w:sz w:val="32"/>
          <w:szCs w:val="32"/>
          <w:lang w:val="en-US" w:eastAsia="zh-CN"/>
        </w:rPr>
        <w:t>无下属二级预算单位，</w:t>
      </w:r>
      <w:r>
        <w:rPr>
          <w:rFonts w:hint="eastAsia" w:ascii="仿宋_GB2312" w:hAnsi="仿宋" w:eastAsia="仿宋_GB2312" w:cs="Times New Roman"/>
          <w:kern w:val="0"/>
          <w:sz w:val="32"/>
          <w:szCs w:val="32"/>
          <w:lang w:val="zh-CN"/>
        </w:rPr>
        <w:t>基本性质为</w:t>
      </w:r>
      <w:r>
        <w:rPr>
          <w:rFonts w:hint="eastAsia" w:ascii="仿宋_GB2312" w:hAnsi="仿宋" w:eastAsia="仿宋_GB2312" w:cs="Times New Roman"/>
          <w:kern w:val="0"/>
          <w:sz w:val="32"/>
          <w:szCs w:val="32"/>
          <w:lang w:val="en-US"/>
        </w:rPr>
        <w:t>行政</w:t>
      </w:r>
      <w:r>
        <w:rPr>
          <w:rFonts w:hint="eastAsia" w:ascii="仿宋_GB2312" w:hAnsi="仿宋" w:eastAsia="仿宋_GB2312" w:cs="Times New Roman"/>
          <w:kern w:val="0"/>
          <w:sz w:val="32"/>
          <w:szCs w:val="32"/>
          <w:lang w:val="zh-CN"/>
        </w:rPr>
        <w:t>单位</w:t>
      </w:r>
      <w:r>
        <w:rPr>
          <w:rFonts w:hint="eastAsia" w:ascii="仿宋_GB2312" w:hAnsi="仿宋" w:eastAsia="仿宋_GB2312" w:cs="Times New Roman"/>
          <w:kern w:val="0"/>
          <w:sz w:val="32"/>
          <w:szCs w:val="32"/>
          <w:lang w:val="zh-CN" w:eastAsia="zh-CN"/>
        </w:rPr>
        <w:t>。</w:t>
      </w:r>
      <w:bookmarkEnd w:id="4"/>
      <w:bookmarkEnd w:id="5"/>
      <w:bookmarkEnd w:id="6"/>
      <w:bookmarkEnd w:id="7"/>
    </w:p>
    <w:p>
      <w:pPr>
        <w:pStyle w:val="3"/>
        <w:jc w:val="center"/>
        <w:rPr>
          <w:rFonts w:hint="eastAsia" w:ascii="Times New Roman" w:hAnsi="Times New Roman" w:eastAsia="方正小标宋简体" w:cs="方正小标宋简体"/>
          <w:b w:val="0"/>
          <w:color w:val="auto"/>
          <w:highlight w:val="none"/>
        </w:rPr>
      </w:pPr>
      <w:bookmarkStart w:id="8" w:name="_Toc15377204"/>
      <w:bookmarkStart w:id="9" w:name="_Toc15396602"/>
    </w:p>
    <w:p>
      <w:pPr>
        <w:pStyle w:val="3"/>
        <w:jc w:val="center"/>
        <w:rPr>
          <w:rFonts w:hint="eastAsia" w:ascii="Times New Roman" w:hAnsi="Times New Roman" w:eastAsia="方正小标宋简体" w:cs="方正小标宋简体"/>
          <w:b w:val="0"/>
          <w:color w:val="auto"/>
          <w:highlight w:val="none"/>
        </w:rPr>
      </w:pPr>
      <w:bookmarkStart w:id="61" w:name="_GoBack"/>
      <w:bookmarkEnd w:id="6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0" w:name="_Toc15377205"/>
      <w:bookmarkStart w:id="1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0"/>
      <w:bookmarkEnd w:id="1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2025年度收入、支出总计均为1636.36万元。与上年度相比，收入、支出总计各增加381.13万元，增长30.36%。主要变动原因是财政拨款收入增加、项目支出增加。</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drawing>
          <wp:anchor distT="0" distB="0" distL="114300" distR="114300" simplePos="0" relativeHeight="251659264" behindDoc="0" locked="0" layoutInCell="1" allowOverlap="1">
            <wp:simplePos x="0" y="0"/>
            <wp:positionH relativeFrom="column">
              <wp:posOffset>111125</wp:posOffset>
            </wp:positionH>
            <wp:positionV relativeFrom="paragraph">
              <wp:posOffset>139700</wp:posOffset>
            </wp:positionV>
            <wp:extent cx="4728845" cy="2665730"/>
            <wp:effectExtent l="4445" t="4445" r="10160" b="1587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s="Times New Roman"/>
          <w:color w:val="000000"/>
          <w:kern w:val="2"/>
          <w:sz w:val="32"/>
          <w:szCs w:val="32"/>
          <w:lang w:val="en-US" w:eastAsia="zh-CN" w:bidi="ar-SA"/>
        </w:rPr>
        <w:t>（图1：收入、支出决算总计变动情况图）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2" w:name="_Toc15396604"/>
      <w:bookmarkStart w:id="13" w:name="_Toc15377206"/>
      <w:r>
        <w:rPr>
          <w:rFonts w:hint="eastAsia" w:ascii="Times New Roman" w:hAnsi="Times New Roman" w:eastAsia="黑体"/>
          <w:color w:val="auto"/>
          <w:sz w:val="32"/>
          <w:szCs w:val="32"/>
          <w:highlight w:val="none"/>
          <w:lang w:eastAsia="zh-CN"/>
        </w:rPr>
        <w:t>二、收入决算情况说明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drawing>
          <wp:anchor distT="0" distB="0" distL="114300" distR="114300" simplePos="0" relativeHeight="251660288" behindDoc="0" locked="0" layoutInCell="1" allowOverlap="1">
            <wp:simplePos x="0" y="0"/>
            <wp:positionH relativeFrom="column">
              <wp:posOffset>598170</wp:posOffset>
            </wp:positionH>
            <wp:positionV relativeFrom="paragraph">
              <wp:posOffset>1296035</wp:posOffset>
            </wp:positionV>
            <wp:extent cx="3989070" cy="2154555"/>
            <wp:effectExtent l="4445" t="5080" r="6985" b="1206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s="Times New Roman"/>
          <w:color w:val="000000"/>
          <w:kern w:val="2"/>
          <w:sz w:val="32"/>
          <w:szCs w:val="32"/>
          <w:lang w:val="en-US" w:eastAsia="zh-CN" w:bidi="ar-SA"/>
        </w:rPr>
        <w:t>2025年度本年收入合计1400.33万元，其中：一般公共预算财政拨款收入1306.39万元，占93.29%；其他收入93.94万元，占6.71%。</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（图2：收入决算结构图）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4" w:name="_Toc15377207"/>
      <w:bookmarkStart w:id="1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2025年度本年支出合计1457.1万元，其中：基本支出452.84万元，占31.08%；项目支出1004.26万元，占68.92%。</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 w:hAnsi="仿宋" w:eastAsia="仿宋" w:cs="Times New Roman"/>
          <w:color w:val="000000"/>
          <w:kern w:val="2"/>
          <w:sz w:val="32"/>
          <w:szCs w:val="32"/>
          <w:lang w:val="en-US" w:eastAsia="zh-CN" w:bidi="ar-SA"/>
        </w:rPr>
        <w:drawing>
          <wp:anchor distT="0" distB="0" distL="114300" distR="114300" simplePos="0" relativeHeight="251662336" behindDoc="0" locked="0" layoutInCell="1" allowOverlap="1">
            <wp:simplePos x="0" y="0"/>
            <wp:positionH relativeFrom="column">
              <wp:posOffset>450850</wp:posOffset>
            </wp:positionH>
            <wp:positionV relativeFrom="paragraph">
              <wp:posOffset>4070350</wp:posOffset>
            </wp:positionV>
            <wp:extent cx="3967480" cy="2130425"/>
            <wp:effectExtent l="4445" t="4445" r="9525" b="1778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cs="Times New Roman"/>
          <w:color w:val="000000"/>
          <w:kern w:val="2"/>
          <w:sz w:val="32"/>
          <w:szCs w:val="32"/>
          <w:lang w:val="en-US" w:eastAsia="zh-CN" w:bidi="ar-SA"/>
        </w:rPr>
        <w:drawing>
          <wp:anchor distT="0" distB="0" distL="114300" distR="114300" simplePos="0" relativeHeight="251661312" behindDoc="0" locked="0" layoutInCell="1" allowOverlap="1">
            <wp:simplePos x="0" y="0"/>
            <wp:positionH relativeFrom="column">
              <wp:posOffset>628015</wp:posOffset>
            </wp:positionH>
            <wp:positionV relativeFrom="paragraph">
              <wp:posOffset>97790</wp:posOffset>
            </wp:positionV>
            <wp:extent cx="3623310" cy="2014855"/>
            <wp:effectExtent l="4445" t="4445" r="10795" b="1905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cs="Times New Roman"/>
          <w:color w:val="000000"/>
          <w:kern w:val="2"/>
          <w:sz w:val="32"/>
          <w:szCs w:val="32"/>
          <w:lang w:val="en-US" w:eastAsia="zh-CN" w:bidi="ar-SA"/>
        </w:rPr>
        <w:t>（图3：支出决算结构图）</w:t>
      </w:r>
    </w:p>
    <w:p>
      <w:pPr>
        <w:spacing w:line="600" w:lineRule="exact"/>
        <w:ind w:firstLine="640" w:firstLineChars="200"/>
        <w:outlineLvl w:val="1"/>
        <w:rPr>
          <w:rStyle w:val="30"/>
          <w:rFonts w:ascii="Times New Roman" w:hAnsi="Times New Roman" w:eastAsia="黑体"/>
          <w:b w:val="0"/>
          <w:color w:val="auto"/>
          <w:highlight w:val="none"/>
        </w:rPr>
      </w:pPr>
      <w:bookmarkStart w:id="16" w:name="_Toc15396606"/>
      <w:bookmarkStart w:id="17"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2025年度收入、支出总计均为1636.36万元。与上年度相比，收入、支出总计各增加381.13万元，增长30.36%。主要变动原因是财政拨款收入增加、项目支出增加。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Times New Roman"/>
          <w:color w:val="000000"/>
          <w:kern w:val="2"/>
          <w:sz w:val="32"/>
          <w:szCs w:val="32"/>
          <w:lang w:val="en-US" w:eastAsia="zh-CN" w:bidi="ar-SA"/>
        </w:rPr>
        <w:t>图4</w:t>
      </w:r>
      <w:r>
        <w:rPr>
          <w:rFonts w:hint="eastAsia" w:ascii="Times New Roman" w:hAnsi="Times New Roman" w:eastAsia="仿宋_GB2312" w:cs="仿宋_GB2312"/>
          <w:color w:val="auto"/>
          <w:kern w:val="2"/>
          <w:sz w:val="32"/>
          <w:szCs w:val="32"/>
          <w:highlight w:val="none"/>
          <w:lang w:val="en-US" w:eastAsia="zh-CN" w:bidi="ar-SA"/>
        </w:rPr>
        <w:t>：财政拨款收、支决算总计变动情况）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0"/>
          <w:rFonts w:ascii="Times New Roman" w:hAnsi="Times New Roman" w:eastAsia="黑体"/>
          <w:b w:val="0"/>
          <w:color w:val="auto"/>
          <w:highlight w:val="none"/>
        </w:rPr>
      </w:pPr>
      <w:bookmarkStart w:id="18" w:name="_Toc15396607"/>
      <w:bookmarkStart w:id="1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18"/>
      <w:bookmarkEnd w:id="1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pPr>
        <w:spacing w:line="600" w:lineRule="exact"/>
        <w:ind w:firstLine="640" w:firstLineChars="200"/>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2025年度一般公共预算财政拨款支出1306.39万元，占本年支出合计的89.66%。与上年度相比，一般公共预算财政拨款支出增加292.43万元，增长28.84%。主要变动原因是本年度项目支出增加。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kern w:val="2"/>
          <w:sz w:val="32"/>
          <w:szCs w:val="32"/>
          <w:lang w:val="en-US" w:eastAsia="zh-CN" w:bidi="ar"/>
        </w:rPr>
        <w:drawing>
          <wp:anchor distT="0" distB="0" distL="114300" distR="114300" simplePos="0" relativeHeight="251663360" behindDoc="0" locked="0" layoutInCell="1" allowOverlap="1">
            <wp:simplePos x="0" y="0"/>
            <wp:positionH relativeFrom="column">
              <wp:posOffset>355600</wp:posOffset>
            </wp:positionH>
            <wp:positionV relativeFrom="paragraph">
              <wp:posOffset>302895</wp:posOffset>
            </wp:positionV>
            <wp:extent cx="4465955" cy="2094865"/>
            <wp:effectExtent l="4445" t="5080" r="6350" b="146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Times New Roman"/>
          <w:color w:val="auto"/>
          <w:kern w:val="2"/>
          <w:sz w:val="32"/>
          <w:szCs w:val="32"/>
          <w:lang w:val="en-US" w:eastAsia="zh-CN" w:bidi="ar-SA"/>
        </w:rPr>
        <w:t>图5</w:t>
      </w:r>
      <w:r>
        <w:rPr>
          <w:rFonts w:hint="eastAsia" w:ascii="Times New Roman" w:hAnsi="Times New Roman" w:eastAsia="仿宋_GB2312" w:cs="仿宋_GB2312"/>
          <w:color w:val="auto"/>
          <w:kern w:val="2"/>
          <w:sz w:val="32"/>
          <w:szCs w:val="32"/>
          <w:highlight w:val="none"/>
          <w:lang w:val="en-US" w:eastAsia="zh-CN" w:bidi="ar-SA"/>
        </w:rPr>
        <w:t>：一般公共预算财政拨款支出决算变动情况）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1"/>
    </w:p>
    <w:p>
      <w:pPr>
        <w:spacing w:line="600" w:lineRule="exact"/>
        <w:ind w:firstLine="640"/>
        <w:rPr>
          <w:rFonts w:hint="default" w:ascii="仿宋" w:hAnsi="仿宋" w:eastAsia="仿宋" w:cs="Times New Roman"/>
          <w:color w:val="000000"/>
          <w:kern w:val="2"/>
          <w:sz w:val="32"/>
          <w:szCs w:val="32"/>
          <w:lang w:val="en-US" w:eastAsia="zh-CN" w:bidi="ar-SA"/>
        </w:rPr>
      </w:pPr>
      <w:r>
        <w:rPr>
          <w:rFonts w:hint="default" w:ascii="仿宋" w:hAnsi="仿宋" w:eastAsia="仿宋" w:cs="Times New Roman"/>
          <w:color w:val="000000"/>
          <w:kern w:val="2"/>
          <w:sz w:val="32"/>
          <w:szCs w:val="32"/>
          <w:lang w:val="en-US" w:eastAsia="zh-CN" w:bidi="ar-SA"/>
        </w:rPr>
        <w:drawing>
          <wp:anchor distT="0" distB="0" distL="114300" distR="114300" simplePos="0" relativeHeight="251664384" behindDoc="0" locked="0" layoutInCell="1" allowOverlap="1">
            <wp:simplePos x="0" y="0"/>
            <wp:positionH relativeFrom="column">
              <wp:posOffset>686435</wp:posOffset>
            </wp:positionH>
            <wp:positionV relativeFrom="paragraph">
              <wp:posOffset>1960245</wp:posOffset>
            </wp:positionV>
            <wp:extent cx="3776980" cy="2013585"/>
            <wp:effectExtent l="4445" t="4445" r="9525" b="2032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仿宋" w:hAnsi="仿宋" w:eastAsia="仿宋" w:cs="Times New Roman"/>
          <w:color w:val="000000"/>
          <w:kern w:val="2"/>
          <w:sz w:val="32"/>
          <w:szCs w:val="32"/>
          <w:lang w:val="en-US" w:eastAsia="zh-CN" w:bidi="ar-SA"/>
        </w:rPr>
        <w:t>2025年度一般公共预算财政拨款支出1306.39万元，主要用于以下方面：一般公共服务支出1127.73万元，占86.32%；公共安全支出44.88万元，占3.44%；社会保障和就业支出85.27万元，占6.53%；卫生健康支出19.70万元，占1.50%；住房保障支出28.82万元，占2.21%。</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Times New Roman"/>
          <w:color w:val="000000"/>
          <w:kern w:val="2"/>
          <w:sz w:val="32"/>
          <w:szCs w:val="32"/>
          <w:lang w:val="en-US" w:eastAsia="zh-CN" w:bidi="ar-SA"/>
        </w:rPr>
        <w:t>图6</w:t>
      </w:r>
      <w:r>
        <w:rPr>
          <w:rFonts w:hint="eastAsia" w:ascii="Times New Roman" w:hAnsi="Times New Roman" w:eastAsia="仿宋_GB2312" w:cs="仿宋_GB2312"/>
          <w:color w:val="auto"/>
          <w:kern w:val="2"/>
          <w:sz w:val="32"/>
          <w:szCs w:val="32"/>
          <w:highlight w:val="none"/>
          <w:lang w:val="en-US" w:eastAsia="zh-CN" w:bidi="ar-SA"/>
        </w:rPr>
        <w:t>：一般公共预算财政拨款支出决算结构）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2"/>
    </w:p>
    <w:p>
      <w:pPr>
        <w:spacing w:line="600" w:lineRule="exact"/>
        <w:ind w:firstLine="640"/>
        <w:rPr>
          <w:rFonts w:hint="eastAsia" w:ascii="仿宋" w:hAnsi="仿宋" w:eastAsia="仿宋" w:cs="Times New Roman"/>
          <w:color w:val="000000"/>
          <w:kern w:val="2"/>
          <w:sz w:val="32"/>
          <w:szCs w:val="32"/>
          <w:lang w:val="en-US" w:eastAsia="zh-CN" w:bidi="ar-SA"/>
        </w:rPr>
      </w:pPr>
      <w:bookmarkStart w:id="23" w:name="_Toc15378460"/>
      <w:bookmarkStart w:id="24" w:name="_Toc15377444"/>
      <w:bookmarkStart w:id="25" w:name="_Toc15377213"/>
      <w:r>
        <w:rPr>
          <w:rFonts w:hint="eastAsia" w:ascii="仿宋" w:hAnsi="仿宋" w:eastAsia="仿宋" w:cs="Times New Roman"/>
          <w:color w:val="000000"/>
          <w:kern w:val="2"/>
          <w:sz w:val="32"/>
          <w:szCs w:val="32"/>
          <w:lang w:val="en-US" w:eastAsia="zh-CN" w:bidi="ar-SA"/>
        </w:rPr>
        <w:t>2025年度一般公共预算支出决算数为1306.39，完成预算100%。其中：</w:t>
      </w:r>
      <w:bookmarkEnd w:id="23"/>
      <w:bookmarkEnd w:id="24"/>
      <w:bookmarkEnd w:id="25"/>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1.一般公共服务（类）统战事务（款）行政运行（项）：支出决算为319.05万元，完成预算100%，决算数等于预算数；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2.一般公共服务（类）统战事务（款）一般行政管理事务（项）：支出决算为219.56万元，完成预算100%，决算数等于预算数；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3.一般公共服务（类）统战事务（款）宗教事务（项）：支出决算为93.64万元，完成预算100%，决算数等于预算数；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4.一般公共服务（类）统战事务（款）其他统战事务（项）：支出决算为495.48万元，完成预算100%，决算数等于预算数；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5.公共安全（类）其他公共安全（款）其他公共安全（项）：支出决算为44.88万元，完成预算100%，决算数等于预算数；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6.社会保障和就业（类）行政事业单位养老（款）机关事业单位基本养老保险缴费支出（项）：支出决算为38.12万元，完成预算100%，决算数等于预算数；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7.社会保障和就业（类）行政事业单位养老（款）机关事业单位职业年金缴费支出（项）：支出决算为18.80万元，完成预算100%，决算数等于预算数；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p>
    <w:p>
      <w:pPr>
        <w:numPr>
          <w:ilvl w:val="0"/>
          <w:numId w:val="0"/>
        </w:numPr>
        <w:spacing w:line="600" w:lineRule="exact"/>
        <w:ind w:firstLine="640" w:firstLineChars="200"/>
        <w:rPr>
          <w:rFonts w:hint="eastAsia"/>
          <w:lang w:val="en-US" w:eastAsia="zh-CN"/>
        </w:rPr>
      </w:pPr>
      <w:r>
        <w:rPr>
          <w:rFonts w:hint="eastAsia" w:ascii="仿宋" w:hAnsi="仿宋" w:eastAsia="仿宋" w:cs="Times New Roman"/>
          <w:color w:val="000000"/>
          <w:kern w:val="2"/>
          <w:sz w:val="32"/>
          <w:szCs w:val="32"/>
          <w:lang w:val="en-US" w:eastAsia="zh-CN" w:bidi="ar-SA"/>
        </w:rPr>
        <w:t>8.社会保障和就业（类）抚恤（款）死亡抚恤（项）：支出决算为28.34万元，完成预算100%，决算数等于预算数；</w:t>
      </w:r>
    </w:p>
    <w:p>
      <w:pPr>
        <w:numPr>
          <w:ilvl w:val="0"/>
          <w:numId w:val="0"/>
        </w:num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9.卫生健康（类）行政事业单位医疗（款）行政单位医疗（项）：支出决算为16.44万元，完成预算100%，决算数等于预算数；</w:t>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10.卫生健康（类）行政事业单位医疗（款）公务员医疗补助（项）：支出决算为3.26万元，完成预算**%，决算数小于/等于预算数的主要原因是……</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color w:val="000000"/>
          <w:kern w:val="2"/>
          <w:sz w:val="32"/>
          <w:szCs w:val="32"/>
          <w:lang w:val="en-US" w:eastAsia="zh-CN" w:bidi="ar-SA"/>
        </w:rPr>
        <w:t>11.住房保障（类）住房改革（款）住房公积金（项）：支出决算为28.82万元，完成预算100%，决算数等于预算数。</w:t>
      </w:r>
    </w:p>
    <w:p>
      <w:pPr>
        <w:tabs>
          <w:tab w:val="right" w:pos="8306"/>
        </w:tabs>
        <w:spacing w:line="600" w:lineRule="exact"/>
        <w:ind w:firstLine="640"/>
        <w:outlineLvl w:val="1"/>
        <w:rPr>
          <w:rStyle w:val="30"/>
          <w:rFonts w:ascii="Times New Roman" w:hAnsi="Times New Roman"/>
          <w:color w:val="auto"/>
          <w:highlight w:val="none"/>
        </w:rPr>
      </w:pPr>
      <w:bookmarkStart w:id="26" w:name="_Toc15377214"/>
      <w:bookmarkStart w:id="2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6"/>
      <w:bookmarkEnd w:id="27"/>
      <w:r>
        <w:rPr>
          <w:rStyle w:val="30"/>
          <w:rFonts w:ascii="Times New Roman" w:hAnsi="Times New Roman" w:eastAsia="黑体"/>
          <w:b w:val="0"/>
          <w:color w:val="auto"/>
          <w:highlight w:val="none"/>
        </w:rPr>
        <w:tab/>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2025年度一般公共预算财政拨款基本支出452.84万元，其中：</w:t>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人员经费411.76万元，主要包括：基本工资、津贴补贴、奖金、机关事业单位基本养老保险缴费、职业年金缴费、</w:t>
      </w:r>
      <w:r>
        <w:rPr>
          <w:rFonts w:hint="eastAsia" w:ascii="仿宋" w:hAnsi="仿宋" w:eastAsia="仿宋"/>
          <w:color w:val="000000"/>
          <w:sz w:val="32"/>
          <w:szCs w:val="32"/>
        </w:rPr>
        <w:t>职工基本医疗保险缴费</w:t>
      </w:r>
      <w:r>
        <w:rPr>
          <w:rFonts w:hint="eastAsia" w:ascii="仿宋" w:hAnsi="仿宋" w:eastAsia="仿宋"/>
          <w:color w:val="000000"/>
          <w:sz w:val="32"/>
          <w:szCs w:val="32"/>
          <w:lang w:eastAsia="zh-CN"/>
        </w:rPr>
        <w:t>、公务员医疗补助缴费、</w:t>
      </w:r>
      <w:r>
        <w:rPr>
          <w:rFonts w:hint="eastAsia" w:ascii="仿宋" w:hAnsi="仿宋" w:eastAsia="仿宋" w:cs="Times New Roman"/>
          <w:color w:val="000000"/>
          <w:kern w:val="2"/>
          <w:sz w:val="32"/>
          <w:szCs w:val="32"/>
          <w:lang w:val="en-US" w:eastAsia="zh-CN" w:bidi="ar-SA"/>
        </w:rPr>
        <w:t>其他社会保障缴费、住房公积金、抚恤金、生活补助、医疗费补助。</w:t>
      </w:r>
    </w:p>
    <w:p>
      <w:p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公用经费41.08万元，主要包括：办公费、电费、邮电费、取暖费、物业管理费、差旅费、公务用车运行维护费、其他商品和服务支出。</w:t>
      </w:r>
    </w:p>
    <w:p>
      <w:pPr>
        <w:spacing w:line="600" w:lineRule="exact"/>
        <w:ind w:firstLine="640"/>
        <w:outlineLvl w:val="1"/>
        <w:rPr>
          <w:rStyle w:val="30"/>
          <w:rFonts w:ascii="Times New Roman" w:hAnsi="Times New Roman" w:eastAsia="黑体"/>
          <w:b w:val="0"/>
          <w:color w:val="auto"/>
          <w:highlight w:val="none"/>
        </w:rPr>
      </w:pPr>
      <w:bookmarkStart w:id="28" w:name="_Toc15396609"/>
      <w:bookmarkStart w:id="29"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28"/>
      <w:bookmarkEnd w:id="2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0"/>
    </w:p>
    <w:p>
      <w:p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2025年度财政拨款“三公”经费支出决算为5.98万元，较上年度增加0.02万元。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1"/>
    </w:p>
    <w:p>
      <w:pPr>
        <w:spacing w:line="600" w:lineRule="exact"/>
        <w:ind w:firstLine="640" w:firstLineChars="20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2025年度财政拨款“三公”经费支出决算中，因公出国（境）费支出决算0万元，占0%；公务用车购置及运行维护费支出决算5.98万元，占100%；公务接待费支出决算0万元，占0%。具体情况如下：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253365</wp:posOffset>
            </wp:positionH>
            <wp:positionV relativeFrom="paragraph">
              <wp:posOffset>169545</wp:posOffset>
            </wp:positionV>
            <wp:extent cx="4623435" cy="2080895"/>
            <wp:effectExtent l="4445" t="4445" r="20320" b="10160"/>
            <wp:wrapTopAndBottom/>
            <wp:docPr id="134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w:t>
      </w:r>
      <w:r>
        <w:rPr>
          <w:rFonts w:hint="eastAsia" w:ascii="仿宋" w:hAnsi="仿宋" w:eastAsia="仿宋" w:cs="Times New Roman"/>
          <w:color w:val="000000"/>
          <w:kern w:val="2"/>
          <w:sz w:val="32"/>
          <w:szCs w:val="32"/>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财政拨款“三公”经费支出结构）</w:t>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1.公务用车购置及运行维护费支出5.98万元，完成预算99.67%。公务用车购置及运行维护费支出决算比上年度增加0.02万元。主要原因是公务用车使用率增加。</w:t>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公务用车运行维护费支出5.98万元。主要用于日常下乡以及出差等所需的公务用车燃料费、维修费、过路过桥费、保险费等支出。</w:t>
      </w:r>
    </w:p>
    <w:p>
      <w:pPr>
        <w:spacing w:line="600" w:lineRule="exact"/>
        <w:ind w:firstLine="640"/>
        <w:outlineLvl w:val="1"/>
        <w:rPr>
          <w:rStyle w:val="30"/>
          <w:rFonts w:ascii="Times New Roman" w:hAnsi="Times New Roman" w:eastAsia="黑体"/>
          <w:color w:val="auto"/>
          <w:highlight w:val="none"/>
        </w:rPr>
      </w:pPr>
      <w:bookmarkStart w:id="32" w:name="_Toc15377218"/>
      <w:bookmarkStart w:id="33"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2"/>
      <w:bookmarkEnd w:id="33"/>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2025年度政府性基金预算财政拨款支出0万元。</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4" w:name="_Toc15396611"/>
      <w:bookmarkStart w:id="35"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4"/>
      <w:bookmarkEnd w:id="35"/>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2025年度国有资本经营预算财政拨款支出0万元。</w:t>
      </w:r>
      <w:bookmarkStart w:id="36" w:name="_Toc15396612"/>
      <w:bookmarkStart w:id="37" w:name="_Toc15377221"/>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6"/>
      <w:bookmarkEnd w:id="3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8" w:name="_Toc15377222"/>
      <w:r>
        <w:rPr>
          <w:rFonts w:hint="eastAsia" w:ascii="Times New Roman" w:hAnsi="Times New Roman" w:eastAsia="楷体_GB2312" w:cs="楷体_GB2312"/>
          <w:b/>
          <w:color w:val="auto"/>
          <w:sz w:val="32"/>
          <w:szCs w:val="32"/>
          <w:highlight w:val="none"/>
        </w:rPr>
        <w:t>（一）机关运行经费支出情况</w:t>
      </w:r>
      <w:bookmarkEnd w:id="3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color w:val="000000"/>
          <w:kern w:val="2"/>
          <w:sz w:val="32"/>
          <w:szCs w:val="32"/>
          <w:lang w:val="en-US" w:eastAsia="zh-CN" w:bidi="ar-SA"/>
        </w:rPr>
        <w:t>2025年度，中共壤塘县委统战部机关运行经费支出41.08万元，比上年度增加1.57万元。主要原因是本年度业务活动费用增加。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23"/>
      <w:r>
        <w:rPr>
          <w:rFonts w:hint="eastAsia" w:ascii="Times New Roman" w:hAnsi="Times New Roman" w:eastAsia="楷体_GB2312" w:cs="楷体_GB2312"/>
          <w:b/>
          <w:color w:val="auto"/>
          <w:sz w:val="32"/>
          <w:szCs w:val="32"/>
          <w:highlight w:val="none"/>
        </w:rPr>
        <w:t>（二）政府采购支出情况</w:t>
      </w:r>
      <w:bookmarkEnd w:id="39"/>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2025年度，中共壤塘县委统战部政府采购支出总额227.24万元，政府采购服务支出227.24万元。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4"/>
      <w:r>
        <w:rPr>
          <w:rFonts w:hint="eastAsia" w:ascii="Times New Roman" w:hAnsi="Times New Roman" w:eastAsia="楷体_GB2312" w:cs="楷体_GB2312"/>
          <w:b/>
          <w:color w:val="auto"/>
          <w:sz w:val="32"/>
          <w:szCs w:val="32"/>
          <w:highlight w:val="none"/>
        </w:rPr>
        <w:t>（三）国有资产占有使用情况</w:t>
      </w:r>
      <w:bookmarkEnd w:id="40"/>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截至2025年12月31日，中共壤塘县委统战部共有车辆1辆，其中：其他用车1辆，其他用车主要是用于统战部日常</w:t>
      </w:r>
      <w:r>
        <w:rPr>
          <w:rFonts w:hint="eastAsia" w:ascii="仿宋_GB2312" w:eastAsia="仿宋_GB2312"/>
          <w:color w:val="000000"/>
          <w:sz w:val="32"/>
          <w:szCs w:val="32"/>
        </w:rPr>
        <w:t>出差以及其他业务</w:t>
      </w:r>
      <w:r>
        <w:rPr>
          <w:rFonts w:hint="eastAsia" w:ascii="仿宋" w:hAnsi="仿宋" w:eastAsia="仿宋" w:cs="Times New Roman"/>
          <w:color w:val="000000"/>
          <w:kern w:val="2"/>
          <w:sz w:val="32"/>
          <w:szCs w:val="32"/>
          <w:lang w:val="en-US" w:eastAsia="zh-CN" w:bidi="ar-SA"/>
        </w:rPr>
        <w:t>工作使用。</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根据预算绩效管理要求，中共壤塘县委统战部在2025年度，组织对</w:t>
      </w:r>
      <w:r>
        <w:rPr>
          <w:rFonts w:hint="eastAsia" w:ascii="仿宋_GB2312" w:hAnsi="仿宋_GB2312" w:eastAsia="仿宋_GB2312" w:cs="仿宋_GB2312"/>
          <w:sz w:val="32"/>
          <w:szCs w:val="32"/>
          <w:lang w:val="en-US" w:eastAsia="zh-CN"/>
        </w:rPr>
        <w:t>2025年同心共铸中国心大型医疗公益活动</w:t>
      </w:r>
      <w:r>
        <w:rPr>
          <w:rFonts w:hint="eastAsia" w:ascii="仿宋" w:hAnsi="仿宋" w:eastAsia="仿宋" w:cs="Times New Roman"/>
          <w:color w:val="000000"/>
          <w:kern w:val="2"/>
          <w:sz w:val="32"/>
          <w:szCs w:val="32"/>
          <w:lang w:val="en-US" w:eastAsia="zh-CN" w:bidi="ar-SA"/>
        </w:rPr>
        <w:t>等 项目</w:t>
      </w:r>
      <w:r>
        <w:rPr>
          <w:rFonts w:hint="eastAsia" w:ascii="仿宋_GB2312" w:hAnsi="仿宋_GB2312" w:eastAsia="仿宋_GB2312" w:cs="仿宋_GB2312"/>
          <w:sz w:val="32"/>
          <w:szCs w:val="32"/>
        </w:rPr>
        <w:t>开展预算事前绩效评估</w:t>
      </w:r>
      <w:r>
        <w:rPr>
          <w:rFonts w:hint="eastAsia" w:hAnsi="仿宋_GB2312" w:cs="仿宋_GB2312"/>
          <w:sz w:val="32"/>
          <w:szCs w:val="32"/>
          <w:lang w:eastAsia="zh-CN"/>
        </w:rPr>
        <w:t>、</w:t>
      </w:r>
      <w:r>
        <w:rPr>
          <w:rFonts w:hint="eastAsia" w:ascii="仿宋_GB2312" w:hAnsi="仿宋_GB2312" w:eastAsia="仿宋_GB2312" w:cs="仿宋_GB2312"/>
          <w:sz w:val="32"/>
          <w:szCs w:val="32"/>
        </w:rPr>
        <w:t>编制绩效目标，预算执行过程中，开展绩效监控</w:t>
      </w:r>
      <w:r>
        <w:rPr>
          <w:rFonts w:hint="eastAsia" w:ascii="仿宋_GB2312" w:hAnsi="仿宋_GB2312" w:eastAsia="仿宋_GB2312" w:cs="仿宋_GB2312"/>
          <w:sz w:val="32"/>
          <w:szCs w:val="32"/>
          <w:lang w:eastAsia="zh-CN"/>
        </w:rPr>
        <w:t>。</w:t>
      </w:r>
    </w:p>
    <w:p>
      <w:pPr>
        <w:spacing w:line="600" w:lineRule="exact"/>
        <w:ind w:firstLine="640"/>
        <w:rPr>
          <w:rFonts w:hint="eastAsia" w:ascii="仿宋" w:hAnsi="仿宋" w:eastAsia="仿宋" w:cs="Times New Roman"/>
          <w:color w:val="000000"/>
          <w:kern w:val="2"/>
          <w:sz w:val="32"/>
          <w:szCs w:val="32"/>
          <w:lang w:val="en-US" w:eastAsia="zh-CN" w:bidi="ar-SA"/>
        </w:rPr>
      </w:pPr>
      <w:r>
        <w:rPr>
          <w:rFonts w:hint="eastAsia" w:ascii="仿宋" w:hAnsi="仿宋" w:eastAsia="仿宋" w:cs="Times New Roman"/>
          <w:color w:val="000000"/>
          <w:kern w:val="2"/>
          <w:sz w:val="32"/>
          <w:szCs w:val="32"/>
          <w:lang w:val="en-US" w:eastAsia="zh-CN" w:bidi="ar-SA"/>
        </w:rPr>
        <w:t>组织对2025年度一般公共预算以及资本资产等全面开展绩效自评，形成中共壤塘县委统战部部门整体（含部门预算项目）绩效自评报告，其中，中共壤塘县委统战部部门整体（含部门预算项目）绩效自评得分为88分，绩效自评综述：本次部门整体支出绩效自评得分为88分，总体表现较好。绩效自评报告详见附件。</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1" w:name="_Toc15396613"/>
      <w:bookmarkStart w:id="42"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1"/>
      <w:bookmarkEnd w:id="42"/>
    </w:p>
    <w:p>
      <w:pPr>
        <w:spacing w:line="560" w:lineRule="atLeast"/>
        <w:ind w:firstLine="640" w:firstLineChars="200"/>
        <w:rPr>
          <w:rFonts w:hint="eastAsia" w:ascii="仿宋_GB2312" w:hAnsi="Times New Roman" w:eastAsia="仿宋_GB2312" w:cs="Times New Roman"/>
          <w:color w:val="000000"/>
          <w:sz w:val="32"/>
          <w:szCs w:val="32"/>
        </w:rPr>
      </w:pP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1.财政拨款收入：指单位从同级财政部门取得的财政预算资金。</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2.事业收入：指事业单位开展专业业务活动及辅助活动取得的收入。</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3.经营收入：指事业单位在专业业务活动及其辅助活动之外开展非独立核算经营活动取得的收入。</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4.其他收入：指单位取得的除上述收入以外的各项收入。</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 xml:space="preserve">5.使用非财政拨款结余（含专用结余）：指事业单位使用以前年度积累的非财政拨款结余弥补当年收支差额的金额。 </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 xml:space="preserve">6.年初结转和结余：指以前年度尚未完成、结转到本年按有关规定继续使用的资金。 </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7.结余分配：指事业单位按照会计制度规定缴纳的所得税、提取的专用结余以及转入非财政拨款结余的金额等。</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8.年末结转和结余：指单位按有关规定结转到下年或以后年度继续使用的资金。</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9.一般公共服务支出（类）统战事务（款）行政运行（项）：指行政单位（包括实行公务员管理的事业单位）的基本支出。</w:t>
      </w:r>
    </w:p>
    <w:p>
      <w:pPr>
        <w:spacing w:line="560" w:lineRule="atLeast"/>
        <w:ind w:firstLine="640" w:firstLineChars="200"/>
        <w:rPr>
          <w:rFonts w:hint="eastAsia" w:ascii="仿宋_GB2312" w:hAnsi="Times New Roman" w:eastAsia="仿宋_GB2312" w:cs="Times New Roman"/>
          <w:color w:val="000000"/>
          <w:sz w:val="32"/>
          <w:szCs w:val="32"/>
          <w:lang w:val="en-US" w:eastAsia="zh-CN"/>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仿宋_GB2312" w:hAnsi="Times New Roman" w:eastAsia="仿宋_GB2312" w:cs="Times New Roman"/>
          <w:color w:val="000000"/>
          <w:sz w:val="32"/>
          <w:szCs w:val="32"/>
          <w:lang w:val="en-US" w:eastAsia="zh-CN"/>
        </w:rPr>
        <w:t>10.一般公共服务支出（类）统战事务（款）一般行政</w:t>
      </w:r>
    </w:p>
    <w:p>
      <w:pPr>
        <w:spacing w:line="560" w:lineRule="atLeas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000000"/>
          <w:sz w:val="32"/>
          <w:szCs w:val="32"/>
          <w:lang w:val="en-US" w:eastAsia="zh-CN"/>
        </w:rPr>
        <w:t>管理事务（项</w:t>
      </w:r>
      <w:r>
        <w:rPr>
          <w:rFonts w:hint="eastAsia" w:ascii="Times New Roman" w:hAnsi="Times New Roman" w:eastAsia="仿宋_GB2312" w:cs="仿宋_GB2312"/>
          <w:color w:val="auto"/>
          <w:kern w:val="2"/>
          <w:sz w:val="32"/>
          <w:szCs w:val="32"/>
          <w:highlight w:val="none"/>
          <w:lang w:val="en-US" w:eastAsia="zh-CN" w:bidi="ar-SA"/>
        </w:rPr>
        <w:t>）：指行政单位（包括实行公务员管理的事业单位）未单独设置项级科目的其他支出。</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11.一般公共服务支出（类）统战事务（款）宗教事务（项）：指用于宗教事务管理方面的支出。</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12.一般公共服务支出（类）统战事务（款）其他统战事务支出（项）：指其他用于统战事务方面的支出。</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13.公共安全支出（类）其他公共安全支出（款）其他公共安全支出（项）：指其他用于公共安全方面的支出。</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14.社会保障和就业（类）行政事业单位养老支出（款）机关事业单位基本养老保险缴费支出（项）：指由单位缴纳的基本养老保险费支出。</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15.社会保障和就业（类）行政事业单位养老支出（款）机关事业单位职业年金缴费支出（项）：指机关事业单位实施养老保险制度由单位实际缴纳的职业年金。</w:t>
      </w:r>
    </w:p>
    <w:p>
      <w:pPr>
        <w:spacing w:line="560" w:lineRule="atLeas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16.卫生健康支出（类）行政事业单位医疗（款）行政单位医疗（项）：指财政部门集中安排的行政单位基本医疗保险缴费经费。</w:t>
      </w:r>
    </w:p>
    <w:p>
      <w:pPr>
        <w:spacing w:line="560" w:lineRule="atLeast"/>
        <w:ind w:firstLine="640" w:firstLineChars="200"/>
        <w:rPr>
          <w:rFonts w:hint="eastAsia"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lang w:val="en-US" w:eastAsia="zh-CN"/>
        </w:rPr>
        <w:t>17.住房保障支出（类）住房改革支出（款）住房公积金（项）：指行政事业</w:t>
      </w:r>
      <w:r>
        <w:rPr>
          <w:rFonts w:hint="eastAsia" w:ascii="仿宋_GB2312" w:hAnsi="Times New Roman" w:eastAsia="仿宋_GB2312" w:cs="Times New Roman"/>
          <w:color w:val="000000"/>
          <w:sz w:val="32"/>
          <w:szCs w:val="32"/>
        </w:rPr>
        <w:t>单位</w:t>
      </w:r>
      <w:r>
        <w:rPr>
          <w:rFonts w:hint="eastAsia" w:ascii="仿宋_GB2312" w:hAnsi="Times New Roman" w:eastAsia="仿宋_GB2312" w:cs="Times New Roman"/>
          <w:color w:val="000000"/>
          <w:sz w:val="32"/>
          <w:szCs w:val="32"/>
          <w:lang w:eastAsia="zh-CN"/>
        </w:rPr>
        <w:t>按</w:t>
      </w:r>
      <w:r>
        <w:rPr>
          <w:rFonts w:hint="eastAsia" w:ascii="仿宋_GB2312" w:hAnsi="Times New Roman" w:eastAsia="仿宋_GB2312" w:cs="Times New Roman"/>
          <w:color w:val="000000"/>
          <w:sz w:val="32"/>
          <w:szCs w:val="32"/>
        </w:rPr>
        <w:t>工资比例为职工缴纳的住房公积金。</w:t>
      </w:r>
    </w:p>
    <w:p>
      <w:pPr>
        <w:spacing w:line="560" w:lineRule="atLeast"/>
        <w:ind w:firstLine="640" w:firstLineChars="200"/>
        <w:rPr>
          <w:rFonts w:ascii="仿宋_GB2312" w:eastAsia="仿宋_GB2312"/>
          <w:color w:val="000000"/>
          <w:sz w:val="32"/>
          <w:szCs w:val="32"/>
        </w:rPr>
      </w:pPr>
      <w:r>
        <w:rPr>
          <w:rFonts w:hint="eastAsia" w:ascii="仿宋_GB2312" w:hAnsi="Times New Roman" w:eastAsia="仿宋_GB2312" w:cs="Times New Roman"/>
          <w:color w:val="000000"/>
          <w:sz w:val="32"/>
          <w:szCs w:val="32"/>
        </w:rPr>
        <w:t>18.基本支出：指为保</w:t>
      </w:r>
      <w:r>
        <w:rPr>
          <w:rFonts w:hint="eastAsia" w:ascii="仿宋_GB2312" w:eastAsia="仿宋_GB2312"/>
          <w:color w:val="000000"/>
          <w:sz w:val="32"/>
          <w:szCs w:val="32"/>
        </w:rPr>
        <w:t>障机构正常运转、完成日常工作任务而发生的人员支出和公用支出。</w:t>
      </w:r>
    </w:p>
    <w:p>
      <w:pPr>
        <w:spacing w:line="560" w:lineRule="atLeast"/>
        <w:ind w:firstLine="640" w:firstLineChars="200"/>
        <w:rPr>
          <w:rFonts w:hint="eastAsia" w:ascii="仿宋_GB2312" w:eastAsia="仿宋_GB2312"/>
          <w:color w:val="000000"/>
          <w:sz w:val="32"/>
          <w:szCs w:val="32"/>
        </w:rPr>
        <w:sectPr>
          <w:footerReference r:id="rId5" w:type="default"/>
          <w:pgSz w:w="11906" w:h="16838"/>
          <w:pgMar w:top="1440" w:right="1800" w:bottom="1440" w:left="1800" w:header="851" w:footer="992" w:gutter="0"/>
          <w:pgNumType w:fmt="decimal"/>
          <w:cols w:space="425" w:num="1"/>
          <w:docGrid w:type="lines" w:linePitch="312" w:charSpace="0"/>
        </w:sectPr>
      </w:pP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19.项目支出：指在基本支出之外为完成特定行政任务和事业发展目标所发生的支出。</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20.经营支出：指事业单位在专业业务活动及其辅助活动之外开展非独立核算经营活动发生的支出。</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atLeast"/>
        <w:ind w:firstLine="640" w:firstLineChars="200"/>
        <w:rPr>
          <w:rFonts w:hint="eastAsia" w:ascii="黑体" w:hAnsi="黑体" w:eastAsia="黑体"/>
          <w:color w:val="000000"/>
          <w:sz w:val="44"/>
          <w:szCs w:val="44"/>
        </w:rPr>
        <w:sectPr>
          <w:footerReference r:id="rId6" w:type="default"/>
          <w:pgSz w:w="11906" w:h="16838"/>
          <w:pgMar w:top="1440" w:right="1800" w:bottom="1440" w:left="1800" w:header="851" w:footer="992" w:gutter="0"/>
          <w:pgNumType w:fmt="decimal"/>
          <w:cols w:space="425" w:num="1"/>
          <w:docGrid w:type="lines" w:linePitch="312" w:charSpace="0"/>
        </w:sectPr>
      </w:pPr>
      <w:r>
        <w:rPr>
          <w:rFonts w:hint="eastAsia" w:ascii="仿宋_GB2312" w:eastAsia="仿宋_GB2312"/>
          <w:color w:val="000000"/>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hint="eastAsia" w:ascii="Times New Roman" w:hAnsi="Times New Roman" w:eastAsia="黑体"/>
          <w:b w:val="0"/>
          <w:color w:val="auto"/>
          <w:highlight w:val="none"/>
          <w:lang w:eastAsia="zh-CN"/>
        </w:rPr>
      </w:pPr>
      <w:bookmarkStart w:id="43" w:name="_Toc15396614"/>
      <w:bookmarkStart w:id="44" w:name="_Toc15377226"/>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3"/>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spacing w:line="360" w:lineRule="auto"/>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一、部门（单位）概况</w:t>
      </w:r>
    </w:p>
    <w:p>
      <w:p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（一）机构组成</w:t>
      </w:r>
    </w:p>
    <w:p>
      <w:pPr>
        <w:spacing w:line="360" w:lineRule="auto"/>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中国共产党壤塘县委员会统一战线工作部（简称中共壤塘县委统战部）是壤塘县委工作部门，为副县级，机构地址：四川省壤塘县罗吾塘中街90号。中共壤塘县委统战部无下属二级单位，基本性质为行政单位。</w:t>
      </w:r>
    </w:p>
    <w:p>
      <w:pPr>
        <w:numPr>
          <w:ilvl w:val="0"/>
          <w:numId w:val="1"/>
        </w:num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机构职能</w:t>
      </w:r>
    </w:p>
    <w:p>
      <w:pPr>
        <w:pStyle w:val="36"/>
        <w:keepNext w:val="0"/>
        <w:keepLines w:val="0"/>
        <w:pageBreakBefore w:val="0"/>
        <w:numPr>
          <w:ilvl w:val="0"/>
          <w:numId w:val="0"/>
        </w:numPr>
        <w:kinsoku/>
        <w:wordWrap/>
        <w:overflowPunct/>
        <w:topLinePunct w:val="0"/>
        <w:autoSpaceDE/>
        <w:autoSpaceDN/>
        <w:bidi w:val="0"/>
        <w:adjustRightInd/>
        <w:snapToGrid/>
        <w:spacing w:before="0" w:line="560" w:lineRule="exact"/>
        <w:ind w:firstLine="640" w:firstLineChars="200"/>
        <w:textAlignment w:val="auto"/>
        <w:outlineLvl w:val="9"/>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1.贯彻落实加强党对统一战线工作集中统一领导的要求。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2.研究拟定统一战线工作的政策和法规草案推动落实，深入调查研究，统筹协调和指导各乡镇、各部门（单位）统一战线工作。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3.负责发现、培养党外代表人士，制定党外干部培养规划，负责联系培养无党派人士、党外知识分子代表人士和新的社会阶层人士。</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4.贯彻落实党的民族工作方针，研究拟定民族工作的政策和重大措施，协调处理民族工作中的重大问题。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val="en-US" w:eastAsia="zh-CN" w:bidi="ar"/>
        </w:rPr>
        <w:t>5</w:t>
      </w:r>
      <w:r>
        <w:rPr>
          <w:rFonts w:hint="eastAsia" w:ascii="仿宋_GB2312" w:hAnsi="仿宋_GB2312" w:eastAsia="仿宋_GB2312" w:cs="仿宋_GB2312"/>
          <w:kern w:val="0"/>
          <w:sz w:val="32"/>
          <w:szCs w:val="32"/>
          <w:lang w:bidi="ar"/>
        </w:rPr>
        <w:t>.贯彻落实党的宗教工作基本方针和政策，研究拟定宗教工作的重大政策措施并督促落实，领导县民族宗教事务委员会依法管理宗教行政事务。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val="en-US" w:eastAsia="zh-CN" w:bidi="ar"/>
        </w:rPr>
        <w:t>6</w:t>
      </w:r>
      <w:r>
        <w:rPr>
          <w:rFonts w:hint="eastAsia" w:ascii="仿宋_GB2312" w:hAnsi="仿宋_GB2312" w:eastAsia="仿宋_GB2312" w:cs="仿宋_GB2312"/>
          <w:kern w:val="0"/>
          <w:sz w:val="32"/>
          <w:szCs w:val="32"/>
          <w:lang w:bidi="ar"/>
        </w:rPr>
        <w:t>.承担全县非公有制经济协调工作。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val="en-US" w:eastAsia="zh-CN" w:bidi="ar"/>
        </w:rPr>
        <w:t>7.</w:t>
      </w:r>
      <w:r>
        <w:rPr>
          <w:rFonts w:hint="default" w:ascii="仿宋_GB2312" w:hAnsi="仿宋_GB2312" w:eastAsia="仿宋_GB2312" w:cs="仿宋_GB2312"/>
          <w:kern w:val="0"/>
          <w:sz w:val="32"/>
          <w:szCs w:val="32"/>
          <w:lang w:bidi="ar"/>
        </w:rPr>
        <w:t>负责海内外统一战线的宣传工作</w:t>
      </w:r>
      <w:r>
        <w:rPr>
          <w:rFonts w:hint="eastAsia" w:ascii="仿宋_GB2312" w:hAnsi="仿宋_GB2312" w:eastAsia="仿宋_GB2312" w:cs="仿宋_GB2312"/>
          <w:kern w:val="0"/>
          <w:sz w:val="32"/>
          <w:szCs w:val="32"/>
          <w:lang w:bidi="ar"/>
        </w:rPr>
        <w:t>。</w:t>
      </w:r>
    </w:p>
    <w:p>
      <w:pPr>
        <w:numPr>
          <w:ilvl w:val="0"/>
          <w:numId w:val="1"/>
        </w:num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人员概况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eastAsia" w:ascii="仿宋_GB2312" w:hAnsi="宋体" w:eastAsia="仿宋_GB2312" w:cs="仿宋_GB2312"/>
          <w:kern w:val="0"/>
          <w:sz w:val="32"/>
          <w:szCs w:val="32"/>
          <w:lang w:eastAsia="zh-CN"/>
        </w:rPr>
        <w:t>截至202</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lang w:eastAsia="zh-CN"/>
        </w:rPr>
        <w:t>年</w:t>
      </w:r>
      <w:r>
        <w:rPr>
          <w:rFonts w:hint="eastAsia" w:ascii="仿宋_GB2312" w:hAnsi="宋体" w:eastAsia="仿宋_GB2312" w:cs="仿宋_GB2312"/>
          <w:kern w:val="0"/>
          <w:sz w:val="32"/>
          <w:szCs w:val="32"/>
        </w:rPr>
        <w:t>12月31日，在职总人数为</w:t>
      </w:r>
      <w:r>
        <w:rPr>
          <w:rFonts w:hint="eastAsia" w:ascii="仿宋_GB2312" w:hAnsi="宋体" w:eastAsia="仿宋_GB2312" w:cs="仿宋_GB2312"/>
          <w:kern w:val="0"/>
          <w:sz w:val="32"/>
          <w:szCs w:val="32"/>
          <w:lang w:val="en-US" w:eastAsia="zh-CN"/>
        </w:rPr>
        <w:t>15</w:t>
      </w:r>
      <w:r>
        <w:rPr>
          <w:rFonts w:hint="eastAsia" w:ascii="仿宋_GB2312" w:hAnsi="宋体" w:eastAsia="仿宋_GB2312" w:cs="仿宋_GB2312"/>
          <w:kern w:val="0"/>
          <w:sz w:val="32"/>
          <w:szCs w:val="32"/>
        </w:rPr>
        <w:t>人</w:t>
      </w:r>
      <w:r>
        <w:rPr>
          <w:rFonts w:hint="eastAsia" w:ascii="仿宋_GB2312" w:hAnsi="仿宋_GB2312" w:eastAsia="仿宋_GB2312" w:cs="仿宋_GB2312"/>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snapToGrid/>
        <w:spacing w:line="560" w:lineRule="exact"/>
        <w:ind w:firstLine="421" w:firstLineChars="200"/>
        <w:jc w:val="left"/>
        <w:textAlignment w:val="auto"/>
        <w:rPr>
          <w:rFonts w:hint="eastAsia" w:ascii="仿宋_GB2312" w:hAnsi="仿宋_GB2312" w:eastAsia="仿宋_GB2312" w:cs="仿宋_GB2312"/>
          <w:kern w:val="0"/>
          <w:sz w:val="32"/>
          <w:szCs w:val="32"/>
          <w:lang w:eastAsia="zh-CN" w:bidi="ar"/>
        </w:rPr>
      </w:pPr>
      <w:r>
        <w:rPr>
          <w:rFonts w:eastAsia="楷体_GB2312"/>
          <w:b/>
          <w:bCs/>
          <w:color w:val="000000"/>
          <w:kern w:val="0"/>
          <w:szCs w:val="32"/>
          <w:shd w:val="clear" w:color="auto" w:fill="FFFFFF"/>
          <w:lang w:val="zh-CN"/>
        </w:rPr>
        <w:t>（</w:t>
      </w:r>
      <w:r>
        <w:rPr>
          <w:rFonts w:hint="eastAsia" w:ascii="仿宋_GB2312" w:hAnsi="仿宋_GB2312" w:eastAsia="仿宋_GB2312" w:cs="仿宋_GB2312"/>
          <w:kern w:val="0"/>
          <w:sz w:val="32"/>
          <w:szCs w:val="32"/>
          <w:lang w:val="zh-CN" w:bidi="ar"/>
        </w:rPr>
        <w:t>一）收入情况。</w:t>
      </w:r>
      <w:r>
        <w:rPr>
          <w:rFonts w:hint="eastAsia" w:ascii="仿宋_GB2312" w:hAnsi="仿宋_GB2312" w:eastAsia="仿宋_GB2312" w:cs="仿宋_GB2312"/>
          <w:kern w:val="0"/>
          <w:sz w:val="32"/>
          <w:szCs w:val="32"/>
          <w:lang w:eastAsia="zh-CN" w:bidi="ar"/>
        </w:rPr>
        <w:t>中共壤塘县委统战部</w:t>
      </w:r>
      <w:r>
        <w:rPr>
          <w:rFonts w:hint="eastAsia" w:ascii="仿宋_GB2312" w:hAnsi="仿宋_GB2312" w:eastAsia="仿宋_GB2312" w:cs="仿宋_GB2312"/>
          <w:kern w:val="0"/>
          <w:sz w:val="32"/>
          <w:szCs w:val="32"/>
          <w:lang w:val="en-US" w:eastAsia="zh-CN" w:bidi="ar"/>
        </w:rPr>
        <w:t>2025</w:t>
      </w:r>
      <w:r>
        <w:rPr>
          <w:rFonts w:hint="eastAsia" w:ascii="仿宋_GB2312" w:hAnsi="仿宋_GB2312" w:eastAsia="仿宋_GB2312" w:cs="仿宋_GB2312"/>
          <w:kern w:val="0"/>
          <w:sz w:val="32"/>
          <w:szCs w:val="32"/>
          <w:lang w:bidi="ar"/>
        </w:rPr>
        <w:t>年</w:t>
      </w:r>
      <w:r>
        <w:rPr>
          <w:rFonts w:hint="eastAsia" w:ascii="仿宋_GB2312" w:hAnsi="仿宋_GB2312" w:eastAsia="仿宋_GB2312" w:cs="仿宋_GB2312"/>
          <w:kern w:val="0"/>
          <w:sz w:val="32"/>
          <w:szCs w:val="32"/>
          <w:lang w:eastAsia="zh-CN" w:bidi="ar"/>
        </w:rPr>
        <w:t>财政下达</w:t>
      </w:r>
      <w:r>
        <w:rPr>
          <w:rFonts w:hint="eastAsia" w:ascii="仿宋_GB2312" w:hAnsi="仿宋_GB2312" w:eastAsia="仿宋_GB2312" w:cs="仿宋_GB2312"/>
          <w:kern w:val="0"/>
          <w:sz w:val="32"/>
          <w:szCs w:val="32"/>
          <w:lang w:val="en-US" w:eastAsia="zh-CN" w:bidi="ar"/>
        </w:rPr>
        <w:t>收入全年预算数</w:t>
      </w:r>
      <w:r>
        <w:rPr>
          <w:rFonts w:hint="eastAsia" w:ascii="仿宋_GB2312" w:hAnsi="仿宋_GB2312" w:eastAsia="仿宋_GB2312" w:cs="仿宋_GB2312"/>
          <w:kern w:val="0"/>
          <w:sz w:val="32"/>
          <w:szCs w:val="32"/>
          <w:lang w:eastAsia="zh-CN" w:bidi="ar"/>
        </w:rPr>
        <w:t>共计</w:t>
      </w:r>
      <w:r>
        <w:rPr>
          <w:rFonts w:hint="eastAsia" w:ascii="仿宋_GB2312" w:hAnsi="仿宋_GB2312" w:eastAsia="仿宋_GB2312" w:cs="仿宋_GB2312"/>
          <w:kern w:val="0"/>
          <w:sz w:val="32"/>
          <w:szCs w:val="32"/>
          <w:lang w:val="en-US" w:eastAsia="zh-CN" w:bidi="ar"/>
        </w:rPr>
        <w:t>1636.36万元，其中</w:t>
      </w:r>
      <w:r>
        <w:rPr>
          <w:rFonts w:hint="eastAsia" w:ascii="仿宋_GB2312" w:hAnsi="仿宋_GB2312" w:eastAsia="仿宋_GB2312" w:cs="仿宋_GB2312"/>
          <w:kern w:val="0"/>
          <w:sz w:val="32"/>
          <w:szCs w:val="32"/>
          <w:lang w:eastAsia="zh-CN" w:bidi="ar"/>
        </w:rPr>
        <w:t>年初预算收入</w:t>
      </w:r>
      <w:r>
        <w:rPr>
          <w:rFonts w:hint="eastAsia" w:ascii="仿宋_GB2312" w:hAnsi="仿宋_GB2312" w:eastAsia="仿宋_GB2312" w:cs="仿宋_GB2312"/>
          <w:kern w:val="0"/>
          <w:sz w:val="32"/>
          <w:szCs w:val="32"/>
          <w:lang w:val="en-US" w:eastAsia="zh-CN" w:bidi="ar"/>
        </w:rPr>
        <w:t>441.13</w:t>
      </w:r>
      <w:r>
        <w:rPr>
          <w:rFonts w:hint="eastAsia" w:ascii="仿宋_GB2312" w:hAnsi="仿宋_GB2312" w:eastAsia="仿宋_GB2312" w:cs="仿宋_GB2312"/>
          <w:kern w:val="0"/>
          <w:sz w:val="32"/>
          <w:szCs w:val="32"/>
          <w:lang w:eastAsia="zh-CN" w:bidi="ar"/>
        </w:rPr>
        <w:t>万元，执行期中追加收入</w:t>
      </w:r>
      <w:r>
        <w:rPr>
          <w:rFonts w:hint="eastAsia" w:ascii="仿宋_GB2312" w:hAnsi="仿宋_GB2312" w:eastAsia="仿宋_GB2312" w:cs="仿宋_GB2312"/>
          <w:kern w:val="0"/>
          <w:sz w:val="32"/>
          <w:szCs w:val="32"/>
          <w:lang w:val="en-US" w:eastAsia="zh-CN" w:bidi="ar"/>
        </w:rPr>
        <w:t>1195.23万元</w:t>
      </w:r>
      <w:r>
        <w:rPr>
          <w:rFonts w:hint="eastAsia" w:ascii="仿宋_GB2312" w:hAnsi="仿宋_GB2312" w:eastAsia="仿宋_GB2312" w:cs="仿宋_GB2312"/>
          <w:kern w:val="0"/>
          <w:sz w:val="32"/>
          <w:szCs w:val="32"/>
          <w:lang w:eastAsia="zh-CN"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val="zh-CN" w:bidi="ar"/>
        </w:rPr>
      </w:pPr>
      <w:r>
        <w:rPr>
          <w:rFonts w:hint="eastAsia" w:ascii="仿宋_GB2312" w:hAnsi="仿宋_GB2312" w:eastAsia="仿宋_GB2312" w:cs="仿宋_GB2312"/>
          <w:kern w:val="0"/>
          <w:sz w:val="32"/>
          <w:szCs w:val="32"/>
          <w:lang w:val="zh-CN" w:bidi="ar"/>
        </w:rPr>
        <w:t>（二）支出情况。</w:t>
      </w:r>
      <w:r>
        <w:rPr>
          <w:rFonts w:hint="eastAsia" w:ascii="仿宋_GB2312" w:hAnsi="仿宋_GB2312" w:eastAsia="仿宋_GB2312" w:cs="仿宋_GB2312"/>
          <w:kern w:val="0"/>
          <w:sz w:val="32"/>
          <w:szCs w:val="32"/>
          <w:lang w:val="zh-CN" w:eastAsia="zh-CN" w:bidi="ar"/>
        </w:rPr>
        <w:t>中共壤塘县委统战部</w:t>
      </w:r>
      <w:r>
        <w:rPr>
          <w:rFonts w:hint="eastAsia" w:ascii="仿宋_GB2312" w:hAnsi="仿宋_GB2312" w:eastAsia="仿宋_GB2312" w:cs="仿宋_GB2312"/>
          <w:kern w:val="0"/>
          <w:sz w:val="32"/>
          <w:szCs w:val="32"/>
          <w:lang w:val="en-US" w:eastAsia="zh-CN" w:bidi="ar"/>
        </w:rPr>
        <w:t>2025</w:t>
      </w:r>
      <w:r>
        <w:rPr>
          <w:rFonts w:hint="eastAsia" w:ascii="仿宋_GB2312" w:hAnsi="仿宋_GB2312" w:eastAsia="仿宋_GB2312" w:cs="仿宋_GB2312"/>
          <w:kern w:val="0"/>
          <w:sz w:val="32"/>
          <w:szCs w:val="32"/>
          <w:lang w:bidi="ar"/>
        </w:rPr>
        <w:t>年</w:t>
      </w:r>
      <w:r>
        <w:rPr>
          <w:rFonts w:hint="eastAsia" w:ascii="仿宋_GB2312" w:hAnsi="仿宋_GB2312" w:eastAsia="仿宋_GB2312" w:cs="仿宋_GB2312"/>
          <w:kern w:val="0"/>
          <w:sz w:val="32"/>
          <w:szCs w:val="32"/>
          <w:lang w:val="en-US" w:eastAsia="zh-CN" w:bidi="ar"/>
        </w:rPr>
        <w:t>支出全年预</w:t>
      </w:r>
      <w:r>
        <w:rPr>
          <w:rFonts w:hint="eastAsia" w:ascii="仿宋_GB2312" w:hAnsi="仿宋_GB2312" w:eastAsia="仿宋_GB2312" w:cs="仿宋_GB2312"/>
          <w:kern w:val="0"/>
          <w:sz w:val="32"/>
          <w:szCs w:val="32"/>
          <w:lang w:eastAsia="zh-CN" w:bidi="ar"/>
        </w:rPr>
        <w:t>算</w:t>
      </w:r>
      <w:r>
        <w:rPr>
          <w:rFonts w:hint="eastAsia" w:ascii="仿宋_GB2312" w:hAnsi="仿宋_GB2312" w:eastAsia="仿宋_GB2312" w:cs="仿宋_GB2312"/>
          <w:kern w:val="0"/>
          <w:sz w:val="32"/>
          <w:szCs w:val="32"/>
          <w:lang w:val="en-US" w:eastAsia="zh-CN" w:bidi="ar"/>
        </w:rPr>
        <w:t>数共计1457.10万元，其中</w:t>
      </w:r>
      <w:r>
        <w:rPr>
          <w:rFonts w:hint="eastAsia" w:ascii="仿宋_GB2312" w:hAnsi="仿宋_GB2312" w:eastAsia="仿宋_GB2312" w:cs="仿宋_GB2312"/>
          <w:kern w:val="0"/>
          <w:sz w:val="32"/>
          <w:szCs w:val="32"/>
          <w:lang w:eastAsia="zh-CN" w:bidi="ar"/>
        </w:rPr>
        <w:t>基本支出</w:t>
      </w:r>
      <w:r>
        <w:rPr>
          <w:rFonts w:hint="eastAsia" w:ascii="仿宋_GB2312" w:hAnsi="仿宋_GB2312" w:eastAsia="仿宋_GB2312" w:cs="仿宋_GB2312"/>
          <w:kern w:val="0"/>
          <w:sz w:val="32"/>
          <w:szCs w:val="32"/>
          <w:lang w:val="en-US" w:eastAsia="zh-CN" w:bidi="ar"/>
        </w:rPr>
        <w:t>452.84</w:t>
      </w:r>
      <w:r>
        <w:rPr>
          <w:rFonts w:hint="eastAsia" w:ascii="仿宋_GB2312" w:hAnsi="仿宋_GB2312" w:eastAsia="仿宋_GB2312" w:cs="仿宋_GB2312"/>
          <w:kern w:val="0"/>
          <w:sz w:val="32"/>
          <w:szCs w:val="32"/>
          <w:lang w:eastAsia="zh-CN" w:bidi="ar"/>
        </w:rPr>
        <w:t>万元，项目支出</w:t>
      </w:r>
      <w:r>
        <w:rPr>
          <w:rFonts w:hint="eastAsia" w:ascii="仿宋_GB2312" w:hAnsi="仿宋_GB2312" w:eastAsia="仿宋_GB2312" w:cs="仿宋_GB2312"/>
          <w:kern w:val="0"/>
          <w:sz w:val="32"/>
          <w:szCs w:val="32"/>
          <w:lang w:val="en-US" w:eastAsia="zh-CN" w:bidi="ar"/>
        </w:rPr>
        <w:t>1004.26</w:t>
      </w:r>
      <w:r>
        <w:rPr>
          <w:rFonts w:hint="eastAsia" w:ascii="仿宋_GB2312" w:hAnsi="仿宋_GB2312" w:eastAsia="仿宋_GB2312" w:cs="仿宋_GB2312"/>
          <w:kern w:val="0"/>
          <w:sz w:val="32"/>
          <w:szCs w:val="32"/>
          <w:lang w:eastAsia="zh-CN" w:bidi="ar"/>
        </w:rPr>
        <w:t>万元</w:t>
      </w:r>
      <w:r>
        <w:rPr>
          <w:rFonts w:hint="eastAsia" w:ascii="仿宋_GB2312" w:hAnsi="仿宋_GB2312" w:eastAsia="仿宋_GB2312" w:cs="仿宋_GB2312"/>
          <w:kern w:val="0"/>
          <w:sz w:val="32"/>
          <w:szCs w:val="32"/>
          <w:lang w:bidi="ar"/>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val="zh-CN" w:bidi="ar"/>
        </w:rPr>
        <w:t>（三）</w:t>
      </w:r>
      <w:r>
        <w:rPr>
          <w:rFonts w:hint="eastAsia" w:ascii="仿宋_GB2312" w:hAnsi="仿宋_GB2312" w:eastAsia="仿宋_GB2312" w:cs="仿宋_GB2312"/>
          <w:kern w:val="0"/>
          <w:sz w:val="32"/>
          <w:szCs w:val="32"/>
          <w:lang w:bidi="ar"/>
        </w:rPr>
        <w:t>结余分配和结转结余情况。</w:t>
      </w:r>
      <w:r>
        <w:rPr>
          <w:rFonts w:hint="eastAsia" w:ascii="仿宋_GB2312" w:hAnsi="仿宋_GB2312" w:eastAsia="仿宋_GB2312" w:cs="仿宋_GB2312"/>
          <w:kern w:val="0"/>
          <w:sz w:val="32"/>
          <w:szCs w:val="32"/>
          <w:lang w:eastAsia="zh-CN" w:bidi="ar"/>
        </w:rPr>
        <w:t>中共壤塘县委统战部</w:t>
      </w:r>
      <w:r>
        <w:rPr>
          <w:rFonts w:hint="eastAsia" w:ascii="仿宋_GB2312" w:hAnsi="仿宋_GB2312" w:eastAsia="仿宋_GB2312" w:cs="仿宋_GB2312"/>
          <w:kern w:val="0"/>
          <w:sz w:val="32"/>
          <w:szCs w:val="32"/>
          <w:lang w:val="en-US" w:eastAsia="zh-CN" w:bidi="ar"/>
        </w:rPr>
        <w:t>2025</w:t>
      </w:r>
      <w:r>
        <w:rPr>
          <w:rFonts w:hint="eastAsia" w:ascii="仿宋_GB2312" w:hAnsi="仿宋_GB2312" w:eastAsia="仿宋_GB2312" w:cs="仿宋_GB2312"/>
          <w:kern w:val="0"/>
          <w:sz w:val="32"/>
          <w:szCs w:val="32"/>
          <w:lang w:bidi="ar"/>
        </w:rPr>
        <w:t>年决算报表结转结余</w:t>
      </w:r>
      <w:r>
        <w:rPr>
          <w:rFonts w:hint="eastAsia" w:ascii="仿宋_GB2312" w:hAnsi="仿宋_GB2312" w:eastAsia="仿宋_GB2312" w:cs="仿宋_GB2312"/>
          <w:kern w:val="0"/>
          <w:sz w:val="32"/>
          <w:szCs w:val="32"/>
          <w:lang w:eastAsia="zh-CN" w:bidi="ar"/>
        </w:rPr>
        <w:t>均为</w:t>
      </w:r>
      <w:r>
        <w:rPr>
          <w:rFonts w:hint="eastAsia" w:ascii="仿宋_GB2312" w:hAnsi="仿宋_GB2312" w:eastAsia="仿宋_GB2312" w:cs="仿宋_GB2312"/>
          <w:kern w:val="0"/>
          <w:sz w:val="32"/>
          <w:szCs w:val="32"/>
          <w:lang w:val="en-US" w:eastAsia="zh-CN" w:bidi="ar"/>
        </w:rPr>
        <w:t>179.26万元</w:t>
      </w:r>
      <w:r>
        <w:rPr>
          <w:rFonts w:hint="eastAsia" w:ascii="仿宋_GB2312" w:hAnsi="仿宋_GB2312" w:eastAsia="仿宋_GB2312" w:cs="仿宋_GB2312"/>
          <w:kern w:val="0"/>
          <w:sz w:val="32"/>
          <w:szCs w:val="32"/>
          <w:lang w:bidi="ar"/>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val="zh-CN" w:eastAsia="zh-CN"/>
        </w:rPr>
        <w:t>履职效能。</w:t>
      </w:r>
      <w:r>
        <w:rPr>
          <w:rFonts w:hint="eastAsia" w:ascii="仿宋_GB2312" w:hAnsi="仿宋_GB2312" w:eastAsia="仿宋_GB2312" w:cs="仿宋_GB2312"/>
          <w:kern w:val="0"/>
          <w:sz w:val="32"/>
          <w:szCs w:val="32"/>
          <w:lang w:val="en-US" w:eastAsia="zh-CN" w:bidi="ar"/>
        </w:rPr>
        <w:t>部门整体绩效目标完成情况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sz w:val="32"/>
          <w:szCs w:val="32"/>
          <w:lang w:val="en-US" w:eastAsia="zh-CN" w:bidi="ar"/>
        </w:rPr>
      </w:pPr>
      <w:r>
        <w:rPr>
          <w:rFonts w:hint="eastAsia" w:ascii="仿宋_GB2312" w:hAnsi="仿宋_GB2312" w:eastAsia="仿宋_GB2312" w:cs="仿宋_GB2312"/>
          <w:b w:val="0"/>
          <w:bCs w:val="0"/>
          <w:kern w:val="0"/>
          <w:sz w:val="32"/>
          <w:szCs w:val="32"/>
          <w:lang w:val="en-US" w:eastAsia="zh-CN" w:bidi="ar"/>
        </w:rPr>
        <w:t>2025年，我部深入贯彻学习</w:t>
      </w:r>
      <w:r>
        <w:rPr>
          <w:rFonts w:hint="default" w:ascii="仿宋_GB2312" w:hAnsi="仿宋_GB2312" w:eastAsia="仿宋_GB2312" w:cs="仿宋_GB2312"/>
          <w:b w:val="0"/>
          <w:bCs w:val="0"/>
          <w:kern w:val="0"/>
          <w:sz w:val="32"/>
          <w:szCs w:val="32"/>
          <w:lang w:val="en-US" w:eastAsia="zh-CN" w:bidi="ar"/>
        </w:rPr>
        <w:t>习近平总书记关于做好新时代党的统一战线工作的重要思想</w:t>
      </w:r>
      <w:r>
        <w:rPr>
          <w:rFonts w:hint="eastAsia" w:ascii="仿宋_GB2312" w:hAnsi="仿宋_GB2312" w:eastAsia="仿宋_GB2312" w:cs="仿宋_GB2312"/>
          <w:b w:val="0"/>
          <w:bCs w:val="0"/>
          <w:kern w:val="0"/>
          <w:sz w:val="32"/>
          <w:szCs w:val="32"/>
          <w:lang w:val="en-US" w:eastAsia="zh-CN" w:bidi="ar"/>
        </w:rPr>
        <w:t>以及中央、省委、州县关于统战工作的安排部署，紧紧围绕县委中心工作，“坚持大团结大联合”，聚焦县委“农牧立县 文旅兴县 能源富县 开放活县”发展战略，把握结合点，找准切入点，抓住着力点，全面推进统战各项工作。</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val="zh-CN" w:eastAsia="zh-CN"/>
        </w:rPr>
        <w:t>预算管理。</w:t>
      </w:r>
      <w:r>
        <w:rPr>
          <w:rFonts w:hint="eastAsia" w:ascii="仿宋_GB2312" w:hAnsi="仿宋_GB2312" w:eastAsia="仿宋_GB2312" w:cs="仿宋_GB2312"/>
          <w:kern w:val="0"/>
          <w:sz w:val="32"/>
          <w:szCs w:val="32"/>
          <w:lang w:eastAsia="zh-CN" w:bidi="ar"/>
        </w:rPr>
        <w:t>中共壤塘县委统战部</w:t>
      </w:r>
      <w:r>
        <w:rPr>
          <w:rFonts w:hint="default" w:ascii="仿宋_GB2312" w:hAnsi="仿宋_GB2312" w:eastAsia="仿宋_GB2312" w:cs="仿宋_GB2312"/>
          <w:kern w:val="0"/>
          <w:sz w:val="32"/>
          <w:szCs w:val="32"/>
          <w:lang w:val="en-US" w:eastAsia="zh-CN" w:bidi="ar"/>
        </w:rPr>
        <w:t>年初预算数为</w:t>
      </w:r>
      <w:r>
        <w:rPr>
          <w:rFonts w:hint="eastAsia" w:ascii="仿宋_GB2312" w:hAnsi="仿宋_GB2312" w:eastAsia="仿宋_GB2312" w:cs="仿宋_GB2312"/>
          <w:kern w:val="0"/>
          <w:sz w:val="32"/>
          <w:szCs w:val="32"/>
          <w:lang w:val="en-US" w:eastAsia="zh-CN" w:bidi="ar"/>
        </w:rPr>
        <w:t>441.13</w:t>
      </w:r>
      <w:r>
        <w:rPr>
          <w:rFonts w:hint="default" w:ascii="仿宋_GB2312" w:hAnsi="仿宋_GB2312" w:eastAsia="仿宋_GB2312" w:cs="仿宋_GB2312"/>
          <w:kern w:val="0"/>
          <w:sz w:val="32"/>
          <w:szCs w:val="32"/>
          <w:lang w:val="en-US" w:eastAsia="zh-CN" w:bidi="ar"/>
        </w:rPr>
        <w:t>万元，</w:t>
      </w:r>
      <w:r>
        <w:rPr>
          <w:rFonts w:hint="eastAsia" w:ascii="仿宋_GB2312" w:hAnsi="仿宋_GB2312" w:eastAsia="仿宋_GB2312" w:cs="仿宋_GB2312"/>
          <w:kern w:val="0"/>
          <w:sz w:val="32"/>
          <w:szCs w:val="32"/>
          <w:lang w:val="en-US" w:eastAsia="zh-CN" w:bidi="ar"/>
        </w:rPr>
        <w:t>执行期间根据工作安排和开展情况追加收入1195.23万元，</w:t>
      </w:r>
      <w:r>
        <w:rPr>
          <w:rFonts w:hint="default" w:ascii="仿宋_GB2312" w:hAnsi="仿宋_GB2312" w:eastAsia="仿宋_GB2312" w:cs="仿宋_GB2312"/>
          <w:kern w:val="0"/>
          <w:sz w:val="32"/>
          <w:szCs w:val="32"/>
          <w:lang w:val="en-US" w:eastAsia="zh-CN" w:bidi="ar"/>
        </w:rPr>
        <w:t>调整预算数为</w:t>
      </w:r>
      <w:r>
        <w:rPr>
          <w:rFonts w:hint="eastAsia" w:ascii="仿宋_GB2312" w:hAnsi="仿宋_GB2312" w:eastAsia="仿宋_GB2312" w:cs="仿宋_GB2312"/>
          <w:kern w:val="0"/>
          <w:sz w:val="32"/>
          <w:szCs w:val="32"/>
          <w:lang w:val="en-US" w:eastAsia="zh-CN" w:bidi="ar"/>
        </w:rPr>
        <w:t>1636.36</w:t>
      </w:r>
      <w:r>
        <w:rPr>
          <w:rFonts w:hint="default" w:ascii="仿宋_GB2312" w:hAnsi="仿宋_GB2312" w:eastAsia="仿宋_GB2312" w:cs="仿宋_GB2312"/>
          <w:kern w:val="0"/>
          <w:sz w:val="32"/>
          <w:szCs w:val="32"/>
          <w:lang w:val="en-US" w:eastAsia="zh-CN" w:bidi="ar"/>
        </w:rPr>
        <w:t>万元，</w:t>
      </w:r>
      <w:r>
        <w:rPr>
          <w:rFonts w:hint="eastAsia" w:ascii="仿宋_GB2312" w:hAnsi="仿宋_GB2312" w:eastAsia="仿宋_GB2312" w:cs="仿宋_GB2312"/>
          <w:kern w:val="0"/>
          <w:sz w:val="32"/>
          <w:szCs w:val="32"/>
          <w:lang w:val="en-US" w:eastAsia="zh-CN" w:bidi="ar"/>
        </w:rPr>
        <w:t>年末结转结余179.26万元</w:t>
      </w:r>
      <w:r>
        <w:rPr>
          <w:rFonts w:hint="default"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bidi="ar"/>
        </w:rPr>
        <w:t>单位预算编制贴合实际、统筹科学，预算安排</w:t>
      </w:r>
      <w:r>
        <w:rPr>
          <w:rFonts w:hint="eastAsia" w:ascii="仿宋_GB2312" w:hAnsi="仿宋_GB2312" w:eastAsia="仿宋_GB2312" w:cs="仿宋_GB2312"/>
          <w:kern w:val="0"/>
          <w:sz w:val="32"/>
          <w:szCs w:val="32"/>
          <w:lang w:eastAsia="zh-CN" w:bidi="ar"/>
        </w:rPr>
        <w:t>与实际</w:t>
      </w:r>
      <w:r>
        <w:rPr>
          <w:rFonts w:hint="eastAsia" w:ascii="仿宋_GB2312" w:hAnsi="仿宋_GB2312" w:eastAsia="仿宋_GB2312" w:cs="仿宋_GB2312"/>
          <w:kern w:val="0"/>
          <w:sz w:val="32"/>
          <w:szCs w:val="32"/>
          <w:lang w:bidi="ar"/>
        </w:rPr>
        <w:t>实用性</w:t>
      </w:r>
      <w:r>
        <w:rPr>
          <w:rFonts w:hint="eastAsia" w:ascii="仿宋_GB2312" w:hAnsi="仿宋_GB2312" w:eastAsia="仿宋_GB2312" w:cs="仿宋_GB2312"/>
          <w:kern w:val="0"/>
          <w:sz w:val="32"/>
          <w:szCs w:val="32"/>
          <w:lang w:eastAsia="zh-CN" w:bidi="ar"/>
        </w:rPr>
        <w:t>有差距</w:t>
      </w:r>
      <w:r>
        <w:rPr>
          <w:rFonts w:hint="eastAsia" w:ascii="仿宋_GB2312" w:hAnsi="仿宋_GB2312" w:eastAsia="仿宋_GB2312" w:cs="仿宋_GB2312"/>
          <w:kern w:val="0"/>
          <w:sz w:val="32"/>
          <w:szCs w:val="32"/>
          <w:lang w:bidi="ar"/>
        </w:rPr>
        <w:t>。</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val="zh-CN" w:eastAsia="zh-CN"/>
        </w:rPr>
        <w:t>财务管理。</w:t>
      </w:r>
      <w:r>
        <w:rPr>
          <w:rFonts w:hint="eastAsia" w:ascii="仿宋_GB2312" w:hAnsi="仿宋_GB2312" w:eastAsia="仿宋_GB2312" w:cs="仿宋_GB2312"/>
          <w:kern w:val="0"/>
          <w:sz w:val="32"/>
          <w:szCs w:val="32"/>
          <w:lang w:val="zh-CN" w:eastAsia="zh-CN" w:bidi="ar"/>
        </w:rPr>
        <w:t>中共壤塘县委统战部</w:t>
      </w:r>
      <w:r>
        <w:rPr>
          <w:rFonts w:hint="eastAsia" w:ascii="仿宋_GB2312" w:hAnsi="仿宋_GB2312" w:eastAsia="仿宋_GB2312" w:cs="仿宋_GB2312"/>
          <w:kern w:val="0"/>
          <w:sz w:val="32"/>
          <w:szCs w:val="32"/>
          <w:lang w:bidi="ar"/>
        </w:rPr>
        <w:t>财务制度体系架构完整、财务岗位设置科学合理、权责划分清晰。日常严格</w:t>
      </w:r>
      <w:r>
        <w:rPr>
          <w:rFonts w:hint="eastAsia" w:ascii="仿宋_GB2312" w:hAnsi="仿宋_GB2312" w:eastAsia="仿宋_GB2312" w:cs="仿宋_GB2312"/>
          <w:kern w:val="0"/>
          <w:sz w:val="32"/>
          <w:szCs w:val="32"/>
          <w:lang w:eastAsia="zh-CN" w:bidi="ar"/>
        </w:rPr>
        <w:t>严肃</w:t>
      </w:r>
      <w:r>
        <w:rPr>
          <w:rFonts w:hint="eastAsia" w:ascii="仿宋_GB2312" w:hAnsi="仿宋_GB2312" w:eastAsia="仿宋_GB2312" w:cs="仿宋_GB2312"/>
          <w:kern w:val="0"/>
          <w:sz w:val="32"/>
          <w:szCs w:val="32"/>
          <w:lang w:bidi="ar"/>
        </w:rPr>
        <w:t>财经纪律，筑牢财务合规运行底线，各类资金拨付、使用流程规范严谨，账务处理依规有序，财务管理整体运行规范有序。</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lang w:val="zh-CN" w:eastAsia="zh-CN"/>
        </w:rPr>
        <w:t>资产管理。</w:t>
      </w:r>
      <w:r>
        <w:rPr>
          <w:rFonts w:hint="eastAsia" w:ascii="仿宋_GB2312" w:hAnsi="仿宋_GB2312" w:eastAsia="仿宋_GB2312" w:cs="仿宋_GB2312"/>
          <w:kern w:val="0"/>
          <w:sz w:val="32"/>
          <w:szCs w:val="32"/>
          <w:lang w:val="en-US" w:eastAsia="zh-CN" w:bidi="ar"/>
        </w:rPr>
        <w:t>截至2025年12月31日，我单位《行政单位资产管理系统》固定资产原值总计107.32万元，在用的固定资产总计107.32万元，固定资产在用率达100%。</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本单位资产管理制度健全规范，常态化开展资产清查盘点工作，做到账账相符、账实相符。严格落实资产管理各项要求，统筹做好人均资产变化率、资产利用率、资产盘活率等指标管控，资产日常管理有序到位，后续将持续深挖资产使用潜力，进一步提升资产综合使用效益。</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lang w:val="zh-CN" w:eastAsia="zh-CN"/>
        </w:rPr>
        <w:t>采购管理。</w:t>
      </w:r>
      <w:r>
        <w:rPr>
          <w:rFonts w:hint="eastAsia" w:ascii="仿宋_GB2312" w:hAnsi="仿宋_GB2312" w:eastAsia="仿宋_GB2312" w:cs="仿宋_GB2312"/>
          <w:kern w:val="0"/>
          <w:sz w:val="32"/>
          <w:szCs w:val="32"/>
          <w:lang w:val="zh-CN" w:eastAsia="zh-CN" w:bidi="ar"/>
        </w:rPr>
        <w:t>中共壤塘县委统战部</w:t>
      </w:r>
      <w:r>
        <w:rPr>
          <w:rFonts w:hint="eastAsia" w:ascii="仿宋_GB2312" w:hAnsi="仿宋_GB2312" w:eastAsia="仿宋_GB2312" w:cs="仿宋_GB2312"/>
          <w:kern w:val="0"/>
          <w:sz w:val="32"/>
          <w:szCs w:val="32"/>
          <w:lang w:val="en-US" w:eastAsia="zh-CN" w:bidi="ar"/>
        </w:rPr>
        <w:t>无政府采购货物、工程支出。单位严格恪守采购管理各项规定，依法依规落实采购纪律。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zh-CN" w:eastAsia="zh-CN" w:bidi="ar"/>
        </w:rPr>
        <w:t>中共壤塘县委统战部</w:t>
      </w:r>
      <w:r>
        <w:rPr>
          <w:rFonts w:hint="eastAsia" w:ascii="仿宋_GB2312" w:hAnsi="仿宋_GB2312" w:eastAsia="仿宋_GB2312" w:cs="仿宋_GB2312"/>
          <w:kern w:val="0"/>
          <w:sz w:val="32"/>
          <w:szCs w:val="32"/>
          <w:lang w:val="en-US" w:eastAsia="zh-CN" w:bidi="ar"/>
        </w:rPr>
        <w:t>2025年实施28个项目，即2025年同心共铸中国心大型医疗公益活动资金等。该项目各环节推进规范、落实到位，具体情况如下：</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z w:val="32"/>
          <w:szCs w:val="32"/>
          <w:lang w:val="en-US" w:eastAsia="zh-CN"/>
        </w:rPr>
        <w:t>（1）项目决策。</w:t>
      </w:r>
      <w:r>
        <w:rPr>
          <w:rFonts w:hint="eastAsia" w:ascii="仿宋_GB2312" w:hAnsi="仿宋_GB2312" w:eastAsia="仿宋_GB2312" w:cs="仿宋_GB2312"/>
          <w:kern w:val="0"/>
          <w:sz w:val="32"/>
          <w:szCs w:val="32"/>
          <w:lang w:val="en-US" w:eastAsia="zh-CN" w:bidi="ar"/>
        </w:rPr>
        <w:t>中共壤塘县委统战部各类项目严格遵循规范的决策程序，严格履行审批、公示等关键环节，做到程序合规、流程规范。项目前期规划论证充分，目标设置科学合理、贴合实际，严格按照要求完成项目入库相关工作，确保项目立项有依据、推进有方向。既严格符合各项政策规定，又紧密贴合当地群众的实际需求，为项目高效有序实施奠定了坚实基础。</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sz w:val="32"/>
          <w:szCs w:val="32"/>
          <w:lang w:val="en-US" w:eastAsia="zh-CN"/>
        </w:rPr>
        <w:t>（2）项目执行。</w:t>
      </w:r>
      <w:r>
        <w:rPr>
          <w:rFonts w:hint="eastAsia" w:ascii="仿宋_GB2312" w:hAnsi="仿宋_GB2312" w:eastAsia="仿宋_GB2312" w:cs="仿宋_GB2312"/>
          <w:kern w:val="0"/>
          <w:sz w:val="32"/>
          <w:szCs w:val="32"/>
          <w:lang w:val="en-US" w:eastAsia="zh-CN" w:bidi="ar"/>
        </w:rPr>
        <w:t>项目预算执行率达100%，严格做到执行同向统筹推进，严守资金管理各项制度，资金使用合规严谨，不存在违规支出行为。项目实施过程规范严谨，依规做好项目调整相关报备管控，设备及物资采购全流程依规落实、公开透明、运转有序。紧盯项目建设时序进度，保质保量完成各项建设任务，抓实抓牢项目执行结果，项目整体按既定计划平稳落地，未发生进度滞后、重大延误等问题。</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kern w:val="0"/>
          <w:sz w:val="32"/>
          <w:szCs w:val="32"/>
          <w:lang w:val="zh-CN" w:eastAsia="zh-CN" w:bidi="ar"/>
        </w:rPr>
      </w:pPr>
      <w:r>
        <w:rPr>
          <w:rFonts w:hint="eastAsia" w:ascii="仿宋_GB2312" w:hAnsi="仿宋_GB2312" w:eastAsia="仿宋_GB2312" w:cs="仿宋_GB2312"/>
          <w:b/>
          <w:bCs/>
          <w:sz w:val="32"/>
          <w:szCs w:val="32"/>
          <w:lang w:val="en-US" w:eastAsia="zh-CN"/>
        </w:rPr>
        <w:t>（3）目标实现。</w:t>
      </w:r>
      <w:r>
        <w:rPr>
          <w:rFonts w:hint="eastAsia" w:ascii="仿宋_GB2312" w:hAnsi="仿宋_GB2312" w:eastAsia="仿宋_GB2312" w:cs="仿宋_GB2312"/>
          <w:kern w:val="0"/>
          <w:sz w:val="32"/>
          <w:szCs w:val="32"/>
          <w:lang w:val="en-US" w:eastAsia="zh-CN" w:bidi="ar"/>
        </w:rPr>
        <w:t>目前，该项目已按计划圆满完成全部任务，为壤塘县广大基层群众及僧众开展医疗救助送医送药。项目目标完成质量过硬，绩效目标完成率达100%，无任何目标偏离情况，严格按照既定时间节点推进，实施时效完全符合计划要求。同时，扎实做好目标完成复盘与总结，全面呈现项目实现效果，切实发挥了项目公益效能，有效助力民生改善。</w:t>
      </w:r>
    </w:p>
    <w:p>
      <w:pPr>
        <w:numPr>
          <w:ilvl w:val="0"/>
          <w:numId w:val="0"/>
        </w:numPr>
        <w:adjustRightInd w:val="0"/>
        <w:snapToGrid w:val="0"/>
        <w:spacing w:line="578" w:lineRule="exact"/>
        <w:ind w:firstLine="642" w:firstLineChars="200"/>
        <w:contextualSpacing/>
        <w:jc w:val="left"/>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lang w:val="en-US" w:eastAsia="zh-CN"/>
        </w:rPr>
        <w:t>根据县财政局工作要求，我单位专门成立绩效自评工作小组，有序组织开展2025年度绩效管理自评各项工作。</w:t>
      </w:r>
    </w:p>
    <w:p>
      <w:pPr>
        <w:numPr>
          <w:ilvl w:val="0"/>
          <w:numId w:val="0"/>
        </w:numPr>
        <w:adjustRightInd w:val="0"/>
        <w:snapToGrid w:val="0"/>
        <w:spacing w:line="578" w:lineRule="exact"/>
        <w:ind w:firstLine="642" w:firstLineChars="200"/>
        <w:contextualSpacing/>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1.信息公开方面：</w:t>
      </w:r>
      <w:r>
        <w:rPr>
          <w:rFonts w:hint="eastAsia" w:ascii="仿宋_GB2312" w:hAnsi="仿宋_GB2312" w:eastAsia="仿宋_GB2312" w:cs="仿宋_GB2312"/>
          <w:sz w:val="32"/>
          <w:szCs w:val="32"/>
          <w:lang w:val="en-US" w:eastAsia="zh-CN"/>
        </w:rPr>
        <w:t>严格按照财政相关规定，在预决算批复后 20 日内，按时在壤塘县人民政府门户网站完成信息公开，公开内容真实准确、要素完整规范。</w:t>
      </w:r>
    </w:p>
    <w:p>
      <w:pPr>
        <w:numPr>
          <w:ilvl w:val="0"/>
          <w:numId w:val="0"/>
        </w:numPr>
        <w:adjustRightInd w:val="0"/>
        <w:snapToGrid w:val="0"/>
        <w:spacing w:line="578" w:lineRule="exact"/>
        <w:ind w:firstLine="642" w:firstLineChars="200"/>
        <w:contextualSpacing/>
        <w:jc w:val="left"/>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sz w:val="32"/>
          <w:szCs w:val="32"/>
          <w:lang w:val="en-US" w:eastAsia="zh-CN"/>
        </w:rPr>
        <w:t>2.监督管理方面：</w:t>
      </w:r>
      <w:r>
        <w:rPr>
          <w:rFonts w:hint="eastAsia" w:ascii="仿宋_GB2312" w:hAnsi="仿宋_GB2312" w:eastAsia="仿宋_GB2312" w:cs="仿宋_GB2312"/>
          <w:sz w:val="32"/>
          <w:szCs w:val="32"/>
          <w:lang w:val="en-US" w:eastAsia="zh-CN"/>
        </w:rPr>
        <w:t>自觉依法接受财政、审计、纪检监察、巡察等部门监督检查，严格遵守财经法律法规和财经纪律，按时保质上报各类财务及绩效资料。严格落实中央八项规定精神及省、市、县厉行勤俭节约相关要求，严格执行单位财务管理制度，紧扣年初预算合理统筹安排日常公用经费支出，坚持厉行节约、精打细算，精准高效统筹使用财政资金，切实</w:t>
      </w:r>
      <w:r>
        <w:rPr>
          <w:rFonts w:hint="eastAsia" w:ascii="仿宋_GB2312" w:hAnsi="仿宋_GB2312" w:eastAsia="仿宋_GB2312" w:cs="仿宋_GB2312"/>
          <w:kern w:val="2"/>
          <w:sz w:val="32"/>
          <w:szCs w:val="32"/>
          <w:lang w:val="en-US" w:eastAsia="zh-CN" w:bidi="ar-SA"/>
        </w:rPr>
        <w:t>把资金用在关键处、刀刃上，充分发挥财政资金社会效益与经济效益，保障单位各项工作平稳有序运转。</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pStyle w:val="8"/>
        <w:keepNext w:val="0"/>
        <w:keepLines w:val="0"/>
        <w:pageBreakBefore w:val="0"/>
        <w:numPr>
          <w:ilvl w:val="0"/>
          <w:numId w:val="0"/>
        </w:numPr>
        <w:kinsoku/>
        <w:wordWrap/>
        <w:overflowPunct/>
        <w:topLinePunct w:val="0"/>
        <w:autoSpaceDE/>
        <w:autoSpaceDN/>
        <w:bidi w:val="0"/>
        <w:spacing w:line="560" w:lineRule="exact"/>
        <w:ind w:firstLine="642"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（一）评价结论。</w:t>
      </w:r>
      <w:r>
        <w:rPr>
          <w:rFonts w:hint="eastAsia" w:ascii="Times New Roman" w:hAnsi="Times New Roman" w:eastAsia="仿宋_GB2312" w:cs="Times New Roman"/>
          <w:kern w:val="2"/>
          <w:sz w:val="32"/>
          <w:szCs w:val="32"/>
          <w:u w:val="none"/>
          <w:lang w:val="zh-CN" w:eastAsia="zh-CN" w:bidi="ar"/>
        </w:rPr>
        <w:t>通过加强预算</w:t>
      </w:r>
      <w:r>
        <w:rPr>
          <w:rFonts w:hint="eastAsia" w:ascii="Times New Roman" w:eastAsia="仿宋_GB2312" w:cs="Times New Roman"/>
          <w:kern w:val="2"/>
          <w:sz w:val="32"/>
          <w:szCs w:val="32"/>
          <w:u w:val="none"/>
          <w:lang w:val="zh-CN" w:eastAsia="zh-CN" w:bidi="ar"/>
        </w:rPr>
        <w:t>绩效</w:t>
      </w:r>
      <w:r>
        <w:rPr>
          <w:rFonts w:hint="eastAsia" w:ascii="Times New Roman" w:hAnsi="Times New Roman" w:eastAsia="仿宋_GB2312" w:cs="Times New Roman"/>
          <w:kern w:val="2"/>
          <w:sz w:val="32"/>
          <w:szCs w:val="32"/>
          <w:u w:val="none"/>
          <w:lang w:val="zh-CN" w:eastAsia="zh-CN" w:bidi="ar"/>
        </w:rPr>
        <w:t>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我单位整体预算绩效评价</w:t>
      </w:r>
      <w:r>
        <w:rPr>
          <w:rFonts w:hint="eastAsia" w:ascii="仿宋_GB2312" w:hAnsi="仿宋_GB2312" w:eastAsia="仿宋_GB2312" w:cs="仿宋_GB2312"/>
          <w:kern w:val="0"/>
          <w:sz w:val="32"/>
          <w:szCs w:val="32"/>
          <w:lang w:val="zh-CN" w:eastAsia="zh-CN" w:bidi="ar"/>
        </w:rPr>
        <w:t>得分88分。</w:t>
      </w:r>
    </w:p>
    <w:p>
      <w:pPr>
        <w:pStyle w:val="8"/>
        <w:keepNext w:val="0"/>
        <w:keepLines w:val="0"/>
        <w:pageBreakBefore w:val="0"/>
        <w:numPr>
          <w:ilvl w:val="0"/>
          <w:numId w:val="0"/>
        </w:numPr>
        <w:kinsoku/>
        <w:wordWrap/>
        <w:overflowPunct/>
        <w:topLinePunct w:val="0"/>
        <w:autoSpaceDE/>
        <w:autoSpaceDN/>
        <w:bidi w:val="0"/>
        <w:spacing w:line="560" w:lineRule="exact"/>
        <w:ind w:firstLine="642"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（二）存在问题。</w:t>
      </w:r>
      <w:r>
        <w:rPr>
          <w:rFonts w:hint="eastAsia" w:ascii="Times New Roman" w:hAnsi="Times New Roman" w:eastAsia="仿宋_GB2312" w:cs="Times New Roman"/>
          <w:kern w:val="2"/>
          <w:sz w:val="32"/>
          <w:szCs w:val="32"/>
          <w:u w:val="none"/>
          <w:lang w:val="zh-CN" w:eastAsia="zh-CN" w:bidi="ar"/>
        </w:rPr>
        <w:t>预算编制与实际支出项目有的存在差异。</w:t>
      </w:r>
    </w:p>
    <w:p>
      <w:pPr>
        <w:pStyle w:val="8"/>
        <w:keepNext w:val="0"/>
        <w:keepLines w:val="0"/>
        <w:pageBreakBefore w:val="0"/>
        <w:numPr>
          <w:ilvl w:val="0"/>
          <w:numId w:val="0"/>
        </w:numPr>
        <w:kinsoku/>
        <w:wordWrap/>
        <w:overflowPunct/>
        <w:topLinePunct w:val="0"/>
        <w:autoSpaceDE/>
        <w:autoSpaceDN/>
        <w:bidi w:val="0"/>
        <w:spacing w:line="560" w:lineRule="exact"/>
        <w:ind w:firstLine="642"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eastAsia="zh-CN" w:bidi="ar-SA"/>
        </w:rPr>
      </w:pP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（三）改进建议。</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0"/>
          <w:sz w:val="32"/>
          <w:szCs w:val="32"/>
          <w:lang w:val="zh-CN" w:eastAsia="zh-CN" w:bidi="ar"/>
        </w:rPr>
      </w:pPr>
      <w:r>
        <w:rPr>
          <w:rFonts w:hint="eastAsia" w:ascii="仿宋_GB2312" w:hAnsi="仿宋_GB2312" w:eastAsia="仿宋_GB2312" w:cs="仿宋_GB2312"/>
          <w:kern w:val="0"/>
          <w:sz w:val="32"/>
          <w:szCs w:val="32"/>
          <w:lang w:val="zh-CN" w:eastAsia="zh-CN" w:bidi="ar"/>
        </w:rPr>
        <w:t>1.加强预算安排准确性，尽量减少执行中期追加数。</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0"/>
          <w:sz w:val="32"/>
          <w:szCs w:val="32"/>
          <w:lang w:val="zh-CN" w:eastAsia="zh-CN" w:bidi="ar"/>
        </w:rPr>
      </w:pPr>
      <w:r>
        <w:rPr>
          <w:rFonts w:hint="eastAsia" w:ascii="仿宋_GB2312" w:hAnsi="仿宋_GB2312" w:eastAsia="仿宋_GB2312" w:cs="仿宋_GB2312"/>
          <w:kern w:val="0"/>
          <w:sz w:val="32"/>
          <w:szCs w:val="32"/>
          <w:lang w:val="zh-CN" w:eastAsia="zh-CN" w:bidi="ar"/>
        </w:rPr>
        <w:t>2.制定明确的财务监控监督措施且确保监控、监督措施执行有效。</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pStyle w:val="2"/>
        <w:rPr>
          <w:rFonts w:hint="eastAsia" w:ascii="Times New Roman" w:hAnsi="Times New Roman" w:eastAsia="仿宋_GB2312" w:cs="Times New Roman"/>
          <w:kern w:val="2"/>
          <w:sz w:val="32"/>
          <w:szCs w:val="32"/>
          <w:u w:val="none"/>
          <w:lang w:val="zh-CN" w:eastAsia="zh-CN" w:bidi="ar"/>
        </w:rPr>
      </w:pPr>
    </w:p>
    <w:p>
      <w:pPr>
        <w:rPr>
          <w:rFonts w:hint="eastAsia" w:ascii="Times New Roman" w:hAnsi="Times New Roman" w:eastAsia="仿宋_GB2312" w:cs="Times New Roman"/>
          <w:kern w:val="2"/>
          <w:sz w:val="32"/>
          <w:szCs w:val="32"/>
          <w:u w:val="none"/>
          <w:lang w:val="zh-CN" w:eastAsia="zh-CN" w:bidi="ar"/>
        </w:rPr>
      </w:pPr>
    </w:p>
    <w:p>
      <w:pPr>
        <w:rPr>
          <w:rFonts w:hint="eastAsia"/>
          <w:lang w:val="zh-CN" w:eastAsia="zh-CN"/>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733"/>
        <w:gridCol w:w="575"/>
        <w:gridCol w:w="738"/>
        <w:gridCol w:w="79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中共壤塘县委统战部</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08"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536"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08"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1636.36</w:t>
            </w:r>
          </w:p>
        </w:tc>
        <w:tc>
          <w:tcPr>
            <w:tcW w:w="1536"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1306.39</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329.97</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08"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1636.36</w:t>
            </w:r>
          </w:p>
        </w:tc>
        <w:tc>
          <w:tcPr>
            <w:tcW w:w="1536"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1306.39</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329.97</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团结、带领全县各民族佛教徒遵守宪法、法律、法规和国家政策；协助政府贯彻落实宗教信仰自由政策和法律法规规章，维护佛教界的合法权益；宣传教规戒律；做好文物古迹和非物质文化遗产保护工作，弘扬中华优秀传统文化；开展社会公益慈善事业，造福社会；做好政府与佛教友好桥梁。</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73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57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692"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73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7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738"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7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财政拨款</w:t>
            </w:r>
            <w:r>
              <w:rPr>
                <w:rFonts w:ascii="宋体" w:hAnsi="宋体" w:eastAsia="宋体" w:cs="宋体"/>
                <w:color w:val="auto"/>
                <w:kern w:val="0"/>
                <w:sz w:val="24"/>
              </w:rPr>
              <w:t>预算编制偏离度</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272</w:t>
            </w:r>
            <w:r>
              <w:rPr>
                <w:rFonts w:hint="eastAsia" w:ascii="宋体" w:hAnsi="宋体" w:eastAsia="宋体" w:cs="宋体"/>
                <w:color w:val="auto"/>
                <w:kern w:val="0"/>
                <w:sz w:val="24"/>
              </w:rPr>
              <w:t>%</w:t>
            </w:r>
          </w:p>
        </w:tc>
        <w:tc>
          <w:tcPr>
            <w:tcW w:w="73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272.63</w:t>
            </w:r>
            <w:r>
              <w:rPr>
                <w:rFonts w:ascii="宋体" w:hAnsi="宋体" w:eastAsia="宋体" w:cs="宋体"/>
                <w:color w:val="auto"/>
                <w:kern w:val="0"/>
                <w:sz w:val="24"/>
              </w:rPr>
              <w:t>%</w:t>
            </w:r>
          </w:p>
        </w:tc>
        <w:tc>
          <w:tcPr>
            <w:tcW w:w="7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100.28%</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381.7%</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335.9%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212.04%</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单位收入统筹度</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100</w:t>
            </w:r>
            <w:r>
              <w:rPr>
                <w:rFonts w:hint="eastAsia" w:ascii="宋体" w:hAnsi="宋体" w:eastAsia="宋体" w:cs="宋体"/>
                <w:color w:val="auto"/>
                <w:kern w:val="0"/>
                <w:sz w:val="24"/>
              </w:rPr>
              <w:t>%</w:t>
            </w:r>
          </w:p>
        </w:tc>
        <w:tc>
          <w:tcPr>
            <w:tcW w:w="73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0</w:t>
            </w:r>
            <w:r>
              <w:rPr>
                <w:rFonts w:ascii="宋体" w:hAnsi="宋体" w:eastAsia="宋体" w:cs="宋体"/>
                <w:color w:val="auto"/>
                <w:kern w:val="0"/>
                <w:sz w:val="24"/>
              </w:rPr>
              <w:t>%</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100%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预算年终结余</w:t>
            </w:r>
            <w:r>
              <w:rPr>
                <w:rFonts w:ascii="宋体" w:hAnsi="宋体" w:eastAsia="宋体" w:cs="宋体"/>
                <w:color w:val="auto"/>
                <w:kern w:val="0"/>
                <w:sz w:val="24"/>
              </w:rPr>
              <w:t>率</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18</w:t>
            </w:r>
            <w:r>
              <w:rPr>
                <w:rFonts w:hint="eastAsia" w:ascii="宋体" w:hAnsi="宋体" w:eastAsia="宋体" w:cs="宋体"/>
                <w:color w:val="auto"/>
                <w:kern w:val="0"/>
                <w:sz w:val="24"/>
              </w:rPr>
              <w:t>%</w:t>
            </w:r>
          </w:p>
        </w:tc>
        <w:tc>
          <w:tcPr>
            <w:tcW w:w="73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18.51</w:t>
            </w:r>
            <w:r>
              <w:rPr>
                <w:rFonts w:ascii="宋体" w:hAnsi="宋体" w:eastAsia="宋体" w:cs="宋体"/>
                <w:color w:val="auto"/>
                <w:kern w:val="0"/>
                <w:sz w:val="24"/>
              </w:rPr>
              <w:t>%</w:t>
            </w:r>
          </w:p>
        </w:tc>
        <w:tc>
          <w:tcPr>
            <w:tcW w:w="7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14.82%</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22.2%</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5.09%</w:t>
            </w:r>
          </w:p>
        </w:tc>
      </w:tr>
      <w:tr>
        <w:tblPrEx>
          <w:tblCellMar>
            <w:top w:w="0" w:type="dxa"/>
            <w:left w:w="108" w:type="dxa"/>
            <w:bottom w:w="0" w:type="dxa"/>
            <w:right w:w="108" w:type="dxa"/>
          </w:tblCellMar>
        </w:tblPrEx>
        <w:trPr>
          <w:trHeight w:val="91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一般性支出</w:t>
            </w:r>
            <w:r>
              <w:rPr>
                <w:rFonts w:ascii="宋体" w:hAnsi="宋体" w:eastAsia="宋体" w:cs="宋体"/>
                <w:color w:val="auto"/>
                <w:kern w:val="0"/>
                <w:sz w:val="24"/>
              </w:rPr>
              <w:t>金额</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16</w:t>
            </w:r>
            <w:r>
              <w:rPr>
                <w:rFonts w:ascii="宋体" w:hAnsi="宋体" w:eastAsia="宋体" w:cs="宋体"/>
                <w:color w:val="auto"/>
                <w:kern w:val="0"/>
                <w:sz w:val="24"/>
              </w:rPr>
              <w:t>万元</w:t>
            </w:r>
          </w:p>
        </w:tc>
        <w:tc>
          <w:tcPr>
            <w:tcW w:w="3692"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x</w:t>
            </w:r>
            <w:r>
              <w:rPr>
                <w:rFonts w:ascii="宋体" w:hAnsi="宋体" w:eastAsia="宋体" w:cs="宋体"/>
                <w:color w:val="auto"/>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17000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财务管理规范</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eastAsia="zh-CN"/>
              </w:rPr>
              <w:t>优</w:t>
            </w:r>
          </w:p>
        </w:tc>
        <w:tc>
          <w:tcPr>
            <w:tcW w:w="3692"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x</w:t>
            </w:r>
            <w:r>
              <w:rPr>
                <w:rFonts w:ascii="宋体" w:hAnsi="宋体" w:eastAsia="宋体" w:cs="宋体"/>
                <w:color w:val="auto"/>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优</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资产配置预算偏离度</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0</w:t>
            </w:r>
            <w:r>
              <w:rPr>
                <w:rFonts w:ascii="宋体" w:hAnsi="宋体" w:eastAsia="宋体" w:cs="宋体"/>
                <w:color w:val="auto"/>
                <w:kern w:val="0"/>
                <w:sz w:val="24"/>
              </w:rPr>
              <w:t>%</w:t>
            </w:r>
          </w:p>
        </w:tc>
        <w:tc>
          <w:tcPr>
            <w:tcW w:w="73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0</w:t>
            </w:r>
            <w:r>
              <w:rPr>
                <w:rFonts w:ascii="宋体" w:hAnsi="宋体" w:eastAsia="宋体" w:cs="宋体"/>
                <w:color w:val="auto"/>
                <w:kern w:val="0"/>
                <w:sz w:val="24"/>
              </w:rPr>
              <w:t>%</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采购执行率</w:t>
            </w:r>
          </w:p>
        </w:tc>
        <w:tc>
          <w:tcPr>
            <w:tcW w:w="5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100</w:t>
            </w:r>
            <w:r>
              <w:rPr>
                <w:rFonts w:hint="eastAsia" w:ascii="宋体" w:hAnsi="宋体" w:eastAsia="宋体" w:cs="宋体"/>
                <w:color w:val="auto"/>
                <w:kern w:val="0"/>
                <w:sz w:val="24"/>
              </w:rPr>
              <w:t>%</w:t>
            </w:r>
          </w:p>
        </w:tc>
        <w:tc>
          <w:tcPr>
            <w:tcW w:w="73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0</w:t>
            </w:r>
            <w:r>
              <w:rPr>
                <w:rFonts w:ascii="宋体" w:hAnsi="宋体" w:eastAsia="宋体" w:cs="宋体"/>
                <w:color w:val="auto"/>
                <w:kern w:val="0"/>
                <w:sz w:val="24"/>
              </w:rPr>
              <w:t>%</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auto"/>
                <w:kern w:val="0"/>
                <w:sz w:val="24"/>
              </w:rPr>
            </w:pPr>
            <w:r>
              <w:rPr>
                <w:rFonts w:hint="eastAsia" w:ascii="宋体" w:hAnsi="宋体" w:eastAsia="宋体" w:cs="宋体"/>
                <w:color w:val="auto"/>
                <w:kern w:val="0"/>
                <w:sz w:val="24"/>
                <w:lang w:val="en-US" w:eastAsia="zh-CN"/>
              </w:rPr>
              <w:t>100%</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267"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FF0000"/>
                <w:kern w:val="0"/>
                <w:sz w:val="24"/>
              </w:rPr>
            </w:pPr>
            <w:r>
              <w:rPr>
                <w:rFonts w:hint="eastAsia" w:ascii="宋体" w:hAnsi="宋体" w:eastAsia="宋体" w:cs="宋体"/>
                <w:color w:val="auto"/>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新春慰问数量人数</w:t>
            </w:r>
          </w:p>
        </w:tc>
        <w:tc>
          <w:tcPr>
            <w:tcW w:w="4267"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新春慰问数量人数不少于250人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慰问人数大于</w:t>
            </w:r>
            <w:r>
              <w:rPr>
                <w:rFonts w:hint="eastAsia" w:ascii="宋体" w:hAnsi="宋体" w:eastAsia="宋体" w:cs="宋体"/>
                <w:color w:val="000000"/>
                <w:kern w:val="0"/>
                <w:sz w:val="24"/>
                <w:lang w:val="en-US" w:eastAsia="zh-CN"/>
              </w:rPr>
              <w:t>300人</w:t>
            </w:r>
          </w:p>
        </w:tc>
      </w:tr>
      <w:tr>
        <w:tblPrEx>
          <w:tblCellMar>
            <w:top w:w="0" w:type="dxa"/>
            <w:left w:w="108" w:type="dxa"/>
            <w:bottom w:w="0" w:type="dxa"/>
            <w:right w:w="108" w:type="dxa"/>
          </w:tblCellMar>
        </w:tblPrEx>
        <w:trPr>
          <w:trHeight w:val="66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质量</w:t>
            </w:r>
            <w:r>
              <w:rPr>
                <w:rFonts w:hint="eastAsia" w:ascii="宋体" w:hAnsi="宋体" w:eastAsia="宋体" w:cs="宋体"/>
                <w:color w:val="000000"/>
                <w:kern w:val="0"/>
                <w:sz w:val="24"/>
              </w:rPr>
              <w:t>指标</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寺庙维修维护验收合格率</w:t>
            </w:r>
          </w:p>
        </w:tc>
        <w:tc>
          <w:tcPr>
            <w:tcW w:w="4267"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寺庙维修维护验收合格率达到100%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合格率达100%</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时效</w:t>
            </w:r>
            <w:r>
              <w:rPr>
                <w:rFonts w:hint="eastAsia" w:ascii="宋体" w:hAnsi="宋体" w:eastAsia="宋体" w:cs="宋体"/>
                <w:color w:val="000000"/>
                <w:kern w:val="0"/>
                <w:sz w:val="24"/>
              </w:rPr>
              <w:t>指标</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爱国主义建设宣传时间化</w:t>
            </w:r>
          </w:p>
        </w:tc>
        <w:tc>
          <w:tcPr>
            <w:tcW w:w="4267"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爱国主义建设宣传时间达1年</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宣传时间达1年</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73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加强爱国主义教育建设</w:t>
            </w:r>
          </w:p>
        </w:tc>
        <w:tc>
          <w:tcPr>
            <w:tcW w:w="4267"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宣传爱国主义教育建设覆盖率不低于95%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覆盖率</w:t>
            </w:r>
            <w:r>
              <w:rPr>
                <w:rFonts w:hint="eastAsia" w:ascii="宋体" w:hAnsi="宋体" w:eastAsia="宋体" w:cs="宋体"/>
                <w:color w:val="000000"/>
                <w:kern w:val="0"/>
                <w:sz w:val="24"/>
                <w:lang w:val="en-US" w:eastAsia="zh-CN"/>
              </w:rPr>
              <w:t>90%</w:t>
            </w:r>
          </w:p>
        </w:tc>
      </w:tr>
    </w:tbl>
    <w:p>
      <w:pPr>
        <w:rPr>
          <w:rFonts w:eastAsia="黑体"/>
        </w:rPr>
      </w:pPr>
      <w:r>
        <w:rPr>
          <w:rFonts w:eastAsia="黑体"/>
        </w:rPr>
        <w:br w:type="page"/>
      </w:r>
    </w:p>
    <w:p>
      <w:pPr>
        <w:pStyle w:val="8"/>
        <w:keepNext w:val="0"/>
        <w:keepLines w:val="0"/>
        <w:pageBreakBefore w:val="0"/>
        <w:numPr>
          <w:ilvl w:val="0"/>
          <w:numId w:val="0"/>
        </w:numPr>
        <w:kinsoku/>
        <w:wordWrap/>
        <w:overflowPunct/>
        <w:topLinePunct w:val="0"/>
        <w:autoSpaceDE/>
        <w:autoSpaceDN/>
        <w:bidi w:val="0"/>
        <w:spacing w:line="560" w:lineRule="exact"/>
        <w:ind w:firstLine="1280" w:firstLineChars="4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p>
    <w:tbl>
      <w:tblPr>
        <w:tblStyle w:val="16"/>
        <w:tblW w:w="88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1"/>
        <w:gridCol w:w="1014"/>
        <w:gridCol w:w="580"/>
        <w:gridCol w:w="793"/>
        <w:gridCol w:w="768"/>
        <w:gridCol w:w="247"/>
        <w:gridCol w:w="521"/>
        <w:gridCol w:w="236"/>
        <w:gridCol w:w="1021"/>
        <w:gridCol w:w="168"/>
        <w:gridCol w:w="616"/>
        <w:gridCol w:w="168"/>
        <w:gridCol w:w="601"/>
        <w:gridCol w:w="168"/>
        <w:gridCol w:w="11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889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8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08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51323025T000012965178-同心共铸中国心大型医疗公益活动资金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18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中国共产党壤塘县委员会统一战线工作部</w:t>
            </w:r>
          </w:p>
        </w:tc>
        <w:tc>
          <w:tcPr>
            <w:tcW w:w="1778" w:type="dxa"/>
            <w:gridSpan w:val="3"/>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9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中国共产党壤塘县委员会统一战线工作部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08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4"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1" w:hRule="atLeast"/>
        </w:trPr>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59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9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9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9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9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9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bookmarkStart w:id="45" w:name="_Toc15396618"/>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kern w:val="2"/>
          <w:sz w:val="32"/>
          <w:szCs w:val="32"/>
          <w:u w:val="none"/>
          <w:lang w:val="zh-CN" w:eastAsia="zh-CN" w:bidi="ar"/>
        </w:rPr>
        <w:t>同心·共铸中国心”是在中央统战部、国家</w:t>
      </w:r>
      <w:r>
        <w:rPr>
          <w:rFonts w:hint="eastAsia" w:eastAsia="仿宋_GB2312" w:cs="Times New Roman"/>
          <w:kern w:val="2"/>
          <w:sz w:val="32"/>
          <w:szCs w:val="32"/>
          <w:u w:val="none"/>
          <w:lang w:val="zh-CN" w:eastAsia="zh-CN" w:bidi="ar"/>
        </w:rPr>
        <w:t>卫生健康委</w:t>
      </w:r>
      <w:r>
        <w:rPr>
          <w:rFonts w:hint="default" w:ascii="Times New Roman" w:hAnsi="Times New Roman" w:eastAsia="仿宋_GB2312" w:cs="Times New Roman"/>
          <w:kern w:val="2"/>
          <w:sz w:val="32"/>
          <w:szCs w:val="32"/>
          <w:u w:val="none"/>
          <w:lang w:val="zh-CN" w:eastAsia="zh-CN" w:bidi="ar"/>
        </w:rPr>
        <w:t>的指导下，由中国西藏文化保护与发</w:t>
      </w:r>
      <w:r>
        <w:rPr>
          <w:rFonts w:hint="default" w:ascii="方正仿宋_GBK" w:hAnsi="方正仿宋_GBK" w:eastAsia="方正仿宋_GBK" w:cs="方正仿宋_GBK"/>
          <w:color w:val="auto"/>
          <w:kern w:val="0"/>
          <w:sz w:val="32"/>
          <w:szCs w:val="32"/>
          <w:highlight w:val="none"/>
          <w:u w:val="none"/>
          <w:shd w:val="clear" w:color="auto" w:fill="FFFFFF"/>
          <w:lang w:val="zh-CN" w:eastAsia="zh-CN"/>
        </w:rPr>
        <w:t>展协会、北京同心共铸公益基金会发起的大型医疗公益活动。自2008年启动以来，该活动已持续17年，为需</w:t>
      </w:r>
      <w:r>
        <w:rPr>
          <w:rFonts w:hint="default" w:ascii="Times New Roman" w:hAnsi="Times New Roman" w:eastAsia="仿宋_GB2312" w:cs="Times New Roman"/>
          <w:kern w:val="2"/>
          <w:sz w:val="32"/>
          <w:szCs w:val="32"/>
          <w:u w:val="none"/>
          <w:lang w:val="zh-CN" w:eastAsia="zh-CN" w:bidi="ar"/>
        </w:rPr>
        <w:t>要医疗救助的群众送去了温暖与希望。此次“同心·共铸中国心”大型医疗公益活动来壤，为壤塘县广大基层群众及僧众送医赠药（送医赠药），进一步有形有感有效铸牢中华民族共同体意识。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000000"/>
          <w:kern w:val="0"/>
          <w:sz w:val="32"/>
          <w:szCs w:val="32"/>
          <w:lang w:val="zh-CN" w:eastAsia="zh-CN"/>
        </w:rPr>
      </w:pPr>
      <w:r>
        <w:rPr>
          <w:rFonts w:hint="eastAsia" w:ascii="Times New Roman" w:hAnsi="Times New Roman" w:eastAsia="仿宋_GB2312" w:cs="Times New Roman"/>
          <w:color w:val="000000"/>
          <w:kern w:val="0"/>
          <w:sz w:val="32"/>
          <w:szCs w:val="32"/>
          <w:lang w:val="en-US" w:eastAsia="zh-CN"/>
        </w:rPr>
        <w:t>本项目由</w:t>
      </w:r>
      <w:r>
        <w:rPr>
          <w:rFonts w:hint="default" w:ascii="Times New Roman" w:hAnsi="Times New Roman" w:eastAsia="仿宋_GB2312" w:cs="Times New Roman"/>
          <w:color w:val="000000"/>
          <w:kern w:val="0"/>
          <w:sz w:val="32"/>
          <w:szCs w:val="32"/>
        </w:rPr>
        <w:t>壤塘县委统战部</w:t>
      </w:r>
      <w:r>
        <w:rPr>
          <w:rFonts w:hint="eastAsia" w:ascii="Times New Roman" w:hAnsi="Times New Roman" w:eastAsia="仿宋_GB2312" w:cs="Times New Roman"/>
          <w:color w:val="000000"/>
          <w:kern w:val="0"/>
          <w:sz w:val="32"/>
          <w:szCs w:val="32"/>
          <w:lang w:val="en-US" w:eastAsia="zh-CN"/>
        </w:rPr>
        <w:t>主管，项目实施地点为</w:t>
      </w:r>
      <w:r>
        <w:rPr>
          <w:rFonts w:hint="default" w:ascii="Times New Roman" w:hAnsi="Times New Roman" w:eastAsia="仿宋_GB2312" w:cs="Times New Roman"/>
          <w:color w:val="000000"/>
          <w:kern w:val="0"/>
          <w:sz w:val="32"/>
          <w:szCs w:val="32"/>
        </w:rPr>
        <w:t>县城广场、县医院、上寨卫生院、中壤塘卫生院、上杜柯卫生院、南木达卫生院、藏洼寺、玉陀寺、三郎寺、娜泽求宗尼姑安置社区、布康木达尼姑修行点、岗木达镇敬老院、消防救援大队</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lang w:val="en-US" w:eastAsia="zh-CN"/>
        </w:rPr>
        <w:t>覆盖</w:t>
      </w:r>
      <w:r>
        <w:rPr>
          <w:rFonts w:hint="default" w:ascii="Times New Roman" w:hAnsi="Times New Roman" w:eastAsia="仿宋_GB2312" w:cs="Times New Roman"/>
          <w:color w:val="000000"/>
          <w:kern w:val="0"/>
          <w:sz w:val="32"/>
          <w:szCs w:val="32"/>
        </w:rPr>
        <w:t>全县干部群众及僧</w:t>
      </w:r>
      <w:r>
        <w:rPr>
          <w:rFonts w:hint="default" w:ascii="方正仿宋_GBK" w:hAnsi="方正仿宋_GBK" w:eastAsia="方正仿宋_GBK" w:cs="方正仿宋_GBK"/>
          <w:color w:val="auto"/>
          <w:kern w:val="0"/>
          <w:sz w:val="32"/>
          <w:szCs w:val="32"/>
          <w:highlight w:val="none"/>
          <w:u w:val="none"/>
          <w:shd w:val="clear" w:color="auto" w:fill="FFFFFF"/>
          <w:lang w:val="en-US" w:eastAsia="zh-CN"/>
        </w:rPr>
        <w:t>尼</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，实施周期为</w:t>
      </w:r>
      <w:r>
        <w:rPr>
          <w:rFonts w:hint="default" w:ascii="方正仿宋_GBK" w:hAnsi="方正仿宋_GBK" w:eastAsia="方正仿宋_GBK" w:cs="方正仿宋_GBK"/>
          <w:color w:val="auto"/>
          <w:kern w:val="0"/>
          <w:sz w:val="32"/>
          <w:szCs w:val="32"/>
          <w:highlight w:val="none"/>
          <w:u w:val="none"/>
          <w:shd w:val="clear" w:color="auto" w:fill="FFFFFF"/>
          <w:lang w:val="zh-TW" w:eastAsia="zh-CN"/>
        </w:rPr>
        <w:t>20</w:t>
      </w:r>
      <w:r>
        <w:rPr>
          <w:rFonts w:hint="default" w:ascii="方正仿宋_GBK" w:hAnsi="方正仿宋_GBK" w:eastAsia="方正仿宋_GBK" w:cs="方正仿宋_GBK"/>
          <w:color w:val="auto"/>
          <w:kern w:val="0"/>
          <w:sz w:val="32"/>
          <w:szCs w:val="32"/>
          <w:highlight w:val="none"/>
          <w:u w:val="none"/>
          <w:shd w:val="clear" w:color="auto" w:fill="FFFFFF"/>
          <w:lang w:val="en-US" w:eastAsia="zh-CN"/>
        </w:rPr>
        <w:t>25</w:t>
      </w:r>
      <w:r>
        <w:rPr>
          <w:rFonts w:hint="default" w:ascii="方正仿宋_GBK" w:hAnsi="方正仿宋_GBK" w:eastAsia="方正仿宋_GBK" w:cs="方正仿宋_GBK"/>
          <w:color w:val="auto"/>
          <w:kern w:val="0"/>
          <w:sz w:val="32"/>
          <w:szCs w:val="32"/>
          <w:highlight w:val="none"/>
          <w:u w:val="none"/>
          <w:shd w:val="clear" w:color="auto" w:fill="FFFFFF"/>
          <w:lang w:val="zh-TW" w:eastAsia="zh-CN"/>
        </w:rPr>
        <w:t>年</w:t>
      </w:r>
      <w:r>
        <w:rPr>
          <w:rFonts w:hint="default" w:ascii="方正仿宋_GBK" w:hAnsi="方正仿宋_GBK" w:eastAsia="方正仿宋_GBK" w:cs="方正仿宋_GBK"/>
          <w:color w:val="auto"/>
          <w:kern w:val="0"/>
          <w:sz w:val="32"/>
          <w:szCs w:val="32"/>
          <w:highlight w:val="none"/>
          <w:u w:val="none"/>
          <w:shd w:val="clear" w:color="auto" w:fill="FFFFFF"/>
          <w:lang w:val="en-US" w:eastAsia="zh-CN"/>
        </w:rPr>
        <w:t>5月15日—5月21日</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zh-CN"/>
        </w:rPr>
        <w:t>项目实施</w:t>
      </w:r>
      <w:r>
        <w:rPr>
          <w:rFonts w:hint="eastAsia" w:ascii="Times New Roman" w:hAnsi="Times New Roman" w:eastAsia="仿宋_GB2312" w:cs="Times New Roman"/>
          <w:color w:val="auto"/>
          <w:kern w:val="0"/>
          <w:sz w:val="32"/>
          <w:szCs w:val="32"/>
          <w:highlight w:val="none"/>
          <w:u w:val="none"/>
          <w:shd w:val="clear" w:color="auto" w:fill="FFFFFF"/>
          <w:lang w:val="zh-CN"/>
        </w:rPr>
        <w:t>目的：</w:t>
      </w:r>
      <w:r>
        <w:rPr>
          <w:rFonts w:hint="default" w:ascii="Times New Roman" w:hAnsi="Times New Roman" w:eastAsia="仿宋_GB2312" w:cs="Times New Roman"/>
          <w:color w:val="000000"/>
          <w:kern w:val="0"/>
          <w:sz w:val="32"/>
          <w:szCs w:val="32"/>
        </w:rPr>
        <w:t>北京三甲医院</w:t>
      </w:r>
      <w:r>
        <w:rPr>
          <w:rFonts w:hint="default" w:ascii="方正仿宋_GBK" w:hAnsi="方正仿宋_GBK" w:eastAsia="方正仿宋_GBK" w:cs="方正仿宋_GBK"/>
          <w:color w:val="auto"/>
          <w:kern w:val="0"/>
          <w:sz w:val="32"/>
          <w:szCs w:val="32"/>
          <w:highlight w:val="none"/>
          <w:u w:val="none"/>
          <w:shd w:val="clear" w:color="auto" w:fill="FFFFFF"/>
          <w:lang w:val="en-US" w:eastAsia="zh-CN"/>
        </w:rPr>
        <w:t>的38名专家</w:t>
      </w:r>
      <w:r>
        <w:rPr>
          <w:rFonts w:hint="default" w:ascii="Times New Roman" w:hAnsi="Times New Roman" w:eastAsia="仿宋_GB2312" w:cs="Times New Roman"/>
          <w:color w:val="000000"/>
          <w:kern w:val="0"/>
          <w:sz w:val="32"/>
          <w:szCs w:val="32"/>
        </w:rPr>
        <w:t>围绕</w:t>
      </w:r>
      <w:r>
        <w:rPr>
          <w:rFonts w:hint="default" w:ascii="Times New Roman" w:hAnsi="Times New Roman" w:eastAsia="仿宋" w:cs="Times New Roman"/>
          <w:kern w:val="0"/>
          <w:sz w:val="32"/>
          <w:szCs w:val="32"/>
          <w:lang w:bidi="ar"/>
        </w:rPr>
        <w:t>神经系统疾病，呼吸系统疾病、消化系统疾病，心脑血管系统疾病，中医科常见病及疑难杂症，肝胆胰外科常见病，骨科疾病等外科疾病，耳鼻喉科疾病等</w:t>
      </w:r>
      <w:r>
        <w:rPr>
          <w:rFonts w:hint="default" w:ascii="Times New Roman" w:hAnsi="Times New Roman" w:eastAsia="仿宋_GB2312" w:cs="Times New Roman"/>
          <w:color w:val="000000"/>
          <w:kern w:val="0"/>
          <w:sz w:val="32"/>
          <w:szCs w:val="32"/>
        </w:rPr>
        <w:t>在壤塘县开展巡诊义诊，在县城广场、县医院、上寨卫生院、中壤塘卫生院、上杜柯卫生院、南木达卫生院、藏洼寺、玉陀寺、三郎寺、娜泽求宗安置社区、布康木达修行点、岗木达镇敬老院、消防救援大队等设立义诊点，为壤塘县广大干部群众及僧尼送医赠药，进一步铸牢中华民族共同体意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方正仿宋_GBK" w:hAnsi="方正仿宋_GBK" w:eastAsia="仿宋_GB2312" w:cs="方正仿宋_GBK"/>
          <w:color w:val="auto"/>
          <w:kern w:val="0"/>
          <w:sz w:val="32"/>
          <w:szCs w:val="32"/>
          <w:highlight w:val="none"/>
          <w:u w:val="none"/>
          <w:shd w:val="clear" w:color="auto" w:fill="FFFFFF"/>
          <w:lang w:val="zh-CN" w:eastAsia="zh-CN"/>
        </w:rPr>
      </w:pP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本项目总预算为</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2.02万</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元，资金来源县级财政拨付，用于此次活动</w:t>
      </w:r>
      <w:r>
        <w:rPr>
          <w:rFonts w:hint="default" w:ascii="方正仿宋_GBK" w:hAnsi="方正仿宋_GBK" w:eastAsia="方正仿宋_GBK" w:cs="方正仿宋_GBK"/>
          <w:color w:val="auto"/>
          <w:kern w:val="0"/>
          <w:sz w:val="32"/>
          <w:szCs w:val="32"/>
          <w:highlight w:val="none"/>
          <w:u w:val="none"/>
          <w:shd w:val="clear" w:color="auto" w:fill="FFFFFF"/>
          <w:lang w:val="en-US" w:eastAsia="zh-CN"/>
        </w:rPr>
        <w:t>38</w:t>
      </w:r>
      <w:r>
        <w:rPr>
          <w:rFonts w:hint="default" w:ascii="方正仿宋_GBK" w:hAnsi="方正仿宋_GBK" w:eastAsia="方正仿宋_GBK" w:cs="方正仿宋_GBK"/>
          <w:color w:val="auto"/>
          <w:kern w:val="0"/>
          <w:sz w:val="32"/>
          <w:szCs w:val="32"/>
          <w:highlight w:val="none"/>
          <w:u w:val="none"/>
          <w:shd w:val="clear" w:color="auto" w:fill="FFFFFF"/>
          <w:lang w:val="zh-CN" w:eastAsia="zh-CN"/>
        </w:rPr>
        <w:t>名专</w:t>
      </w:r>
      <w:r>
        <w:rPr>
          <w:rFonts w:hint="default" w:ascii="Times New Roman" w:hAnsi="Times New Roman" w:eastAsia="仿宋_GB2312" w:cs="Times New Roman"/>
          <w:color w:val="000000"/>
          <w:kern w:val="0"/>
          <w:sz w:val="32"/>
          <w:szCs w:val="32"/>
        </w:rPr>
        <w:t>家</w:t>
      </w:r>
      <w:r>
        <w:rPr>
          <w:rFonts w:hint="eastAsia" w:ascii="Times New Roman" w:hAnsi="Times New Roman" w:eastAsia="仿宋_GB2312" w:cs="Times New Roman"/>
          <w:color w:val="000000"/>
          <w:kern w:val="0"/>
          <w:sz w:val="32"/>
          <w:szCs w:val="32"/>
          <w:lang w:eastAsia="zh-CN"/>
        </w:rPr>
        <w:t>餐饮费等</w:t>
      </w:r>
    </w:p>
    <w:p>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firstLine="642" w:firstLineChars="200"/>
        <w:textAlignment w:val="auto"/>
        <w:outlineLvl w:val="9"/>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整体绩效目标：</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该项目已在规定时间内圆满完成，资金拨付率达100%以上，资金保障及时有力。</w:t>
      </w:r>
    </w:p>
    <w:p>
      <w:pPr>
        <w:keepNext w:val="0"/>
        <w:keepLines w:val="0"/>
        <w:pageBreakBefore w:val="0"/>
        <w:numPr>
          <w:ilvl w:val="0"/>
          <w:numId w:val="4"/>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区域绩效目标：</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覆盖壤塘县</w:t>
      </w:r>
      <w:r>
        <w:rPr>
          <w:rFonts w:hint="default" w:ascii="Times New Roman" w:hAnsi="Times New Roman" w:eastAsia="仿宋_GB2312" w:cs="Times New Roman"/>
          <w:color w:val="000000"/>
          <w:kern w:val="0"/>
          <w:sz w:val="32"/>
          <w:szCs w:val="32"/>
        </w:rPr>
        <w:t>全县干部群众及僧尼</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，实现医疗救治全覆盖。</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3. 具体绩效目标：（</w:t>
      </w: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1</w:t>
      </w: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）产出指标。</w:t>
      </w:r>
      <w:bookmarkStart w:id="46" w:name="OLE_LINK1"/>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一是</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数量指标中，扎实推进各项具体任务落地见效，高标准完成既定目标：完成公益对象覆盖3.6万余人。项目实施全程合规有序，合规率达100%，按要求圆满完成。</w:t>
      </w: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二是</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成本指标中，活动开展资金2.02万元，使用率100%。</w:t>
      </w:r>
      <w:bookmarkEnd w:id="46"/>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三是</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时效指标中，为群众及僧尼开展医疗救助送医送药7天。</w:t>
      </w: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w:t>
      </w: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2</w:t>
      </w: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w:t>
      </w:r>
      <w:bookmarkStart w:id="47" w:name="OLE_LINK2"/>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效益指标</w:t>
      </w:r>
      <w:bookmarkEnd w:id="47"/>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团结争取，进一步有形有感有效铸牢中华民族共同体意识，切实发挥了公益项目的民生保障效益。</w:t>
      </w: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w:t>
      </w: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3</w:t>
      </w:r>
      <w:r>
        <w:rPr>
          <w:rFonts w:hint="eastAsia" w:ascii="方正仿宋_GBK" w:hAnsi="方正仿宋_GBK" w:eastAsia="方正仿宋_GBK" w:cs="方正仿宋_GBK"/>
          <w:b/>
          <w:bCs/>
          <w:color w:val="auto"/>
          <w:kern w:val="0"/>
          <w:sz w:val="32"/>
          <w:szCs w:val="32"/>
          <w:highlight w:val="none"/>
          <w:u w:val="none"/>
          <w:shd w:val="clear" w:color="auto" w:fill="FFFFFF"/>
          <w:lang w:val="zh-CN" w:eastAsia="zh-CN"/>
        </w:rPr>
        <w:t>）</w:t>
      </w: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满意度指标。</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满意度指标：通过项目实施，充分满足社区群众及僧尼医疗救助需求，获得群众广泛认可，群众满意度达95%以上，切实彰显了项目的公益价值和民生温度。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color w:val="auto"/>
          <w:sz w:val="32"/>
          <w:szCs w:val="32"/>
          <w:highlight w:val="none"/>
          <w:u w:val="none"/>
          <w:lang w:val="zh-CN"/>
        </w:rPr>
        <w:t>（一）评价目的。</w:t>
      </w:r>
      <w:r>
        <w:rPr>
          <w:rFonts w:hint="eastAsia" w:ascii="方正仿宋_GBK" w:hAnsi="方正仿宋_GBK" w:eastAsia="方正仿宋_GBK" w:cs="方正仿宋_GBK"/>
          <w:sz w:val="32"/>
          <w:szCs w:val="32"/>
        </w:rPr>
        <w:t>本次项目绩效自评旨在全面、客观反映项目资金使用情况、绩效目标完成情况及实施效果，总结项目实施中的经验做法，查找存在的问题与不足，提出改进措施，进一步规范项目管理、提升资金使用效益，为后续同类项目实施提供参考。</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b/>
          <w:color w:val="auto"/>
          <w:sz w:val="32"/>
          <w:szCs w:val="32"/>
          <w:highlight w:val="none"/>
          <w:u w:val="none"/>
          <w:lang w:val="zh-CN"/>
        </w:rPr>
        <w:t>（二）预设问题及评价重点。</w:t>
      </w:r>
      <w:r>
        <w:rPr>
          <w:rFonts w:hint="eastAsia" w:ascii="方正仿宋_GBK" w:hAnsi="方正仿宋_GBK" w:eastAsia="方正仿宋_GBK" w:cs="方正仿宋_GBK"/>
          <w:sz w:val="32"/>
          <w:szCs w:val="32"/>
          <w:lang w:val="zh-CN" w:eastAsia="zh-CN"/>
        </w:rPr>
        <w:t>按照财政项目绩效评价指标体系要求，围绕项目投入、过程、产出、效益四大维度，对资金支出使用全过程及其实施效果进行综合评价和判断，重点关注以下内容：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bCs/>
          <w:sz w:val="32"/>
          <w:szCs w:val="32"/>
          <w:lang w:val="zh-CN" w:eastAsia="zh-CN"/>
        </w:rPr>
        <w:t>预算执行情况：</w:t>
      </w:r>
      <w:r>
        <w:rPr>
          <w:rFonts w:hint="eastAsia" w:ascii="方正仿宋_GBK" w:hAnsi="方正仿宋_GBK" w:eastAsia="方正仿宋_GBK" w:cs="方正仿宋_GBK"/>
          <w:sz w:val="32"/>
          <w:szCs w:val="32"/>
          <w:lang w:val="zh-CN" w:eastAsia="zh-CN"/>
        </w:rPr>
        <w:t>资金拨付及时性、预算执行率、资金使用合规性；</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b/>
          <w:bCs/>
          <w:sz w:val="32"/>
          <w:szCs w:val="32"/>
          <w:lang w:val="zh-CN" w:eastAsia="zh-CN"/>
        </w:rPr>
        <w:t>2. 项目实施管理：</w:t>
      </w:r>
      <w:r>
        <w:rPr>
          <w:rFonts w:hint="eastAsia" w:ascii="方正仿宋_GBK" w:hAnsi="方正仿宋_GBK" w:eastAsia="方正仿宋_GBK" w:cs="方正仿宋_GBK"/>
          <w:sz w:val="32"/>
          <w:szCs w:val="32"/>
          <w:lang w:val="zh-CN" w:eastAsia="zh-CN"/>
        </w:rPr>
        <w:t>采购流程合规性、项目进度控制、质量管控情况；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default" w:ascii="Times New Roman" w:hAnsi="Times New Roman" w:eastAsia="仿宋_GB2312" w:cs="Times New Roman"/>
          <w:sz w:val="32"/>
          <w:szCs w:val="32"/>
          <w:lang w:eastAsia="zh-CN"/>
        </w:rPr>
      </w:pPr>
      <w:r>
        <w:rPr>
          <w:rFonts w:hint="eastAsia" w:ascii="方正仿宋_GBK" w:hAnsi="方正仿宋_GBK" w:eastAsia="方正仿宋_GBK" w:cs="方正仿宋_GBK"/>
          <w:b/>
          <w:bCs/>
          <w:sz w:val="32"/>
          <w:szCs w:val="32"/>
          <w:lang w:val="zh-CN" w:eastAsia="zh-CN"/>
        </w:rPr>
        <w:t>3. 实施效果：</w:t>
      </w:r>
      <w:r>
        <w:rPr>
          <w:rFonts w:hint="eastAsia" w:ascii="方正仿宋_GBK" w:hAnsi="方正仿宋_GBK" w:eastAsia="方正仿宋_GBK" w:cs="方正仿宋_GBK"/>
          <w:sz w:val="32"/>
          <w:szCs w:val="32"/>
          <w:lang w:val="zh-CN" w:eastAsia="zh-CN"/>
        </w:rPr>
        <w:t>社区应急能力提升、群众满意度等效益实现情况；</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sz w:val="32"/>
          <w:szCs w:val="32"/>
          <w:lang w:val="zh-CN" w:eastAsia="zh-CN"/>
        </w:rPr>
        <w:t>项目绩效自评所抽样点位情况。每个专项预算项目</w:t>
      </w:r>
      <w:r>
        <w:rPr>
          <w:rFonts w:hint="default" w:ascii="Times New Roman" w:hAnsi="Times New Roman" w:eastAsia="仿宋_GB2312" w:cs="Times New Roman"/>
          <w:sz w:val="32"/>
          <w:szCs w:val="32"/>
          <w:lang w:val="en-US" w:eastAsia="zh-CN"/>
        </w:rPr>
        <w:t>应选取</w:t>
      </w:r>
      <w:r>
        <w:rPr>
          <w:rFonts w:hint="eastAsia" w:ascii="Times New Roman" w:hAnsi="Times New Roman" w:eastAsia="仿宋_GB2312" w:cs="Times New Roman"/>
          <w:sz w:val="32"/>
          <w:szCs w:val="32"/>
          <w:lang w:val="en-US" w:eastAsia="zh-CN"/>
        </w:rPr>
        <w:t>专项资金分配涉及市县总数的20%、总计不超过</w:t>
      </w:r>
      <w:r>
        <w:rPr>
          <w:rFonts w:hint="default" w:ascii="Times New Roman" w:hAnsi="Times New Roman" w:eastAsia="仿宋_GB2312" w:cs="Times New Roman"/>
          <w:sz w:val="32"/>
          <w:szCs w:val="32"/>
          <w:lang w:val="en-US" w:eastAsia="zh-CN"/>
        </w:rPr>
        <w:t>20个的市县点位进行实地踏勘，且点位清单应作为自评附</w:t>
      </w:r>
      <w:r>
        <w:rPr>
          <w:rFonts w:hint="eastAsia" w:ascii="Times New Roman" w:hAnsi="Times New Roman" w:eastAsia="仿宋_GB2312" w:cs="Times New Roman"/>
          <w:sz w:val="32"/>
          <w:szCs w:val="32"/>
          <w:lang w:val="en-US" w:eastAsia="zh-CN"/>
        </w:rPr>
        <w:t>表</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sz w:val="32"/>
          <w:szCs w:val="32"/>
        </w:rPr>
        <w:t>根据项目情况和评价重点，</w:t>
      </w:r>
      <w:r>
        <w:rPr>
          <w:rFonts w:hint="default" w:ascii="Times New Roman" w:hAnsi="Times New Roman" w:eastAsia="仿宋_GB2312" w:cs="Times New Roman"/>
          <w:sz w:val="32"/>
          <w:szCs w:val="32"/>
          <w:lang w:eastAsia="zh-CN"/>
        </w:rPr>
        <w:t>用来</w:t>
      </w:r>
      <w:r>
        <w:rPr>
          <w:rFonts w:hint="default" w:ascii="Times New Roman" w:hAnsi="Times New Roman" w:eastAsia="仿宋_GB2312" w:cs="Times New Roman"/>
          <w:sz w:val="32"/>
          <w:szCs w:val="32"/>
        </w:rPr>
        <w:t>收集相关材料和开展具体评价</w:t>
      </w:r>
      <w:r>
        <w:rPr>
          <w:rFonts w:hint="default" w:ascii="Times New Roman" w:hAnsi="Times New Roman" w:eastAsia="仿宋_GB2312" w:cs="Times New Roman"/>
          <w:sz w:val="32"/>
          <w:szCs w:val="32"/>
          <w:lang w:eastAsia="zh-CN"/>
        </w:rPr>
        <w:t>的方法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包括：</w:t>
      </w:r>
      <w:r>
        <w:rPr>
          <w:rFonts w:hint="default" w:ascii="Times New Roman" w:hAnsi="Times New Roman" w:eastAsia="仿宋_GB2312" w:cs="Times New Roman"/>
          <w:sz w:val="32"/>
          <w:szCs w:val="32"/>
        </w:rPr>
        <w:t>采用成本效益分析法、标杆管理法、案卷研究法、单位自评法、实地勘察法、问卷调查法、座谈调研法等多种方法</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sz w:val="32"/>
          <w:szCs w:val="32"/>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方正仿宋_GBK" w:hAnsi="方正仿宋_GBK" w:eastAsia="方正仿宋_GBK" w:cs="方正仿宋_GBK"/>
          <w:sz w:val="32"/>
          <w:szCs w:val="32"/>
        </w:rPr>
        <w:t>本次评价由壤塘县</w:t>
      </w:r>
      <w:r>
        <w:rPr>
          <w:rFonts w:hint="eastAsia" w:ascii="方正仿宋_GBK" w:hAnsi="方正仿宋_GBK" w:eastAsia="方正仿宋_GBK" w:cs="方正仿宋_GBK"/>
          <w:sz w:val="32"/>
          <w:szCs w:val="32"/>
          <w:lang w:eastAsia="zh-CN"/>
        </w:rPr>
        <w:t>委统战部</w:t>
      </w:r>
      <w:r>
        <w:rPr>
          <w:rFonts w:hint="eastAsia" w:ascii="方正仿宋_GBK" w:hAnsi="方正仿宋_GBK" w:eastAsia="方正仿宋_GBK" w:cs="方正仿宋_GBK"/>
          <w:sz w:val="32"/>
          <w:szCs w:val="32"/>
        </w:rPr>
        <w:t>牵头成立评价组，成员包括业务科室、财务科室、</w:t>
      </w:r>
      <w:r>
        <w:rPr>
          <w:rFonts w:hint="eastAsia" w:ascii="方正仿宋_GBK" w:hAnsi="方正仿宋_GBK" w:eastAsia="方正仿宋_GBK" w:cs="方正仿宋_GBK"/>
          <w:sz w:val="32"/>
          <w:szCs w:val="32"/>
          <w:lang w:eastAsia="zh-CN"/>
        </w:rPr>
        <w:t>办公室</w:t>
      </w:r>
      <w:r>
        <w:rPr>
          <w:rFonts w:hint="eastAsia" w:ascii="方正仿宋_GBK" w:hAnsi="方正仿宋_GBK" w:eastAsia="方正仿宋_GBK" w:cs="方正仿宋_GBK"/>
          <w:sz w:val="32"/>
          <w:szCs w:val="32"/>
        </w:rPr>
        <w:t>相关人员，明确职责分工：</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业务人员：负责项目实施情况、绩效目标完成情况核查；</w:t>
      </w:r>
    </w:p>
    <w:p>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财务人员：负责项目资金使用、预算执行情况核查；</w:t>
      </w:r>
    </w:p>
    <w:p>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default" w:ascii="Times New Roman" w:hAnsi="Times New Roman" w:eastAsia="仿宋_GB2312" w:cs="Times New Roman"/>
          <w:bCs/>
          <w:sz w:val="32"/>
          <w:szCs w:val="32"/>
          <w:lang w:eastAsia="zh-CN"/>
        </w:rPr>
      </w:pPr>
      <w:r>
        <w:rPr>
          <w:rFonts w:hint="eastAsia" w:ascii="方正仿宋_GBK" w:hAnsi="方正仿宋_GBK" w:eastAsia="方正仿宋_GBK" w:cs="方正仿宋_GBK"/>
          <w:sz w:val="32"/>
          <w:szCs w:val="32"/>
          <w:lang w:eastAsia="zh-CN"/>
        </w:rPr>
        <w:t>办公室</w:t>
      </w:r>
      <w:r>
        <w:rPr>
          <w:rFonts w:hint="eastAsia" w:ascii="方正仿宋_GBK" w:hAnsi="方正仿宋_GBK" w:eastAsia="方正仿宋_GBK" w:cs="方正仿宋_GBK"/>
          <w:sz w:val="32"/>
          <w:szCs w:val="32"/>
        </w:rPr>
        <w:t>人员：负责监督评价过程的公平公正，确保评价结果客观真实。</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1.</w:t>
      </w:r>
      <w:r>
        <w:rPr>
          <w:rFonts w:hint="eastAsia" w:ascii="方正仿宋_GBK" w:hAnsi="方正仿宋_GBK" w:eastAsia="方正仿宋_GBK" w:cs="方正仿宋_GBK"/>
          <w:b/>
          <w:bCs/>
          <w:color w:val="auto"/>
          <w:sz w:val="32"/>
          <w:szCs w:val="32"/>
          <w:lang w:eastAsia="zh-CN"/>
        </w:rPr>
        <w:t>项目决策。</w:t>
      </w:r>
      <w:r>
        <w:rPr>
          <w:rFonts w:hint="eastAsia" w:ascii="方正仿宋_GBK" w:hAnsi="方正仿宋_GBK" w:eastAsia="方正仿宋_GBK" w:cs="方正仿宋_GBK"/>
          <w:color w:val="auto"/>
          <w:sz w:val="32"/>
          <w:szCs w:val="32"/>
          <w:lang w:eastAsia="zh-CN"/>
        </w:rPr>
        <w:t>项目决策程序规范，经审批、公示等环节，规划论证充分，符合群众实际需求。</w:t>
      </w:r>
      <w:r>
        <w:rPr>
          <w:rFonts w:hint="eastAsia" w:ascii="方正仿宋_GBK" w:hAnsi="方正仿宋_GBK" w:eastAsia="方正仿宋_GBK" w:cs="方正仿宋_GBK"/>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2.项目管理。</w:t>
      </w:r>
      <w:r>
        <w:rPr>
          <w:rFonts w:hint="eastAsia" w:ascii="方正仿宋_GBK" w:hAnsi="方正仿宋_GBK" w:eastAsia="方正仿宋_GBK" w:cs="方正仿宋_GBK"/>
          <w:color w:val="auto"/>
          <w:sz w:val="32"/>
          <w:szCs w:val="32"/>
          <w:lang w:eastAsia="zh-CN"/>
        </w:rPr>
        <w:t>项目管理制度健全，制定了专项资金管理、相关办法；资金分配科学合理，全程实行台账清晰，管理规范。</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3.项目实施。</w:t>
      </w:r>
      <w:r>
        <w:rPr>
          <w:rFonts w:hint="eastAsia" w:ascii="方正仿宋_GBK" w:hAnsi="方正仿宋_GBK" w:eastAsia="方正仿宋_GBK" w:cs="方正仿宋_GBK"/>
          <w:color w:val="auto"/>
          <w:sz w:val="32"/>
          <w:szCs w:val="32"/>
          <w:lang w:eastAsia="zh-CN"/>
        </w:rPr>
        <w:t>资金使用合规，无违规支出；项目按计划进度推进，无重大延误。</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4.项目结果。</w:t>
      </w:r>
      <w:r>
        <w:rPr>
          <w:rFonts w:hint="eastAsia" w:ascii="Times New Roman" w:hAnsi="Times New Roman" w:eastAsia="仿宋_GB2312" w:cs="Times New Roman"/>
          <w:color w:val="auto"/>
          <w:sz w:val="32"/>
          <w:szCs w:val="32"/>
          <w:lang w:val="en-US" w:eastAsia="zh-CN"/>
        </w:rPr>
        <w:t>圆满完成任务，群众满意度达95%以上。</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方正仿宋_GBK" w:hAnsi="方正仿宋_GBK" w:eastAsia="方正仿宋_GBK" w:cs="方正仿宋_GBK"/>
          <w:color w:val="auto"/>
          <w:sz w:val="32"/>
          <w:szCs w:val="32"/>
          <w:lang w:val="zh-CN" w:eastAsia="zh-CN"/>
        </w:rPr>
        <w:t>本项目为民生保障类项目，重点围绕以下方面开展绩效分析：</w:t>
      </w:r>
    </w:p>
    <w:p>
      <w:pPr>
        <w:spacing w:line="560" w:lineRule="exact"/>
        <w:ind w:firstLine="642" w:firstLineChars="200"/>
        <w:rPr>
          <w:rFonts w:hint="eastAsia" w:ascii="方正仿宋_GBK" w:hAnsi="方正仿宋_GBK" w:eastAsia="方正仿宋_GBK" w:cs="方正仿宋_GBK"/>
          <w:color w:val="auto"/>
          <w:sz w:val="32"/>
          <w:szCs w:val="32"/>
          <w:lang w:val="zh-CN" w:eastAsia="zh-CN"/>
        </w:rPr>
      </w:pPr>
      <w:r>
        <w:rPr>
          <w:rFonts w:hint="eastAsia" w:ascii="方正仿宋_GBK" w:hAnsi="方正仿宋_GBK" w:eastAsia="方正仿宋_GBK" w:cs="方正仿宋_GBK"/>
          <w:b/>
          <w:bCs/>
          <w:color w:val="auto"/>
          <w:sz w:val="32"/>
          <w:szCs w:val="32"/>
          <w:lang w:val="zh-CN" w:eastAsia="zh-CN"/>
        </w:rPr>
        <w:t>1. 区域均衡性：</w:t>
      </w:r>
      <w:r>
        <w:rPr>
          <w:rFonts w:hint="eastAsia" w:ascii="方正仿宋_GBK" w:hAnsi="方正仿宋_GBK" w:eastAsia="方正仿宋_GBK" w:cs="方正仿宋_GBK"/>
          <w:color w:val="auto"/>
          <w:sz w:val="32"/>
          <w:szCs w:val="32"/>
          <w:lang w:val="zh-CN" w:eastAsia="zh-CN"/>
        </w:rPr>
        <w:t>项目实施地</w:t>
      </w:r>
      <w:r>
        <w:rPr>
          <w:rFonts w:hint="default" w:ascii="Times New Roman" w:hAnsi="Times New Roman" w:eastAsia="仿宋_GB2312" w:cs="Times New Roman"/>
          <w:color w:val="000000"/>
          <w:kern w:val="0"/>
          <w:sz w:val="32"/>
          <w:szCs w:val="32"/>
        </w:rPr>
        <w:t>县城广场、县医院、上寨卫生院、中壤塘卫生院、上杜柯卫生院、南木达卫生院、藏洼寺、玉陀寺、三郎寺、娜泽求宗尼姑安置社区、布康木达尼姑修行点、岗木达镇敬老院、消防救援大队</w:t>
      </w:r>
      <w:r>
        <w:rPr>
          <w:rFonts w:hint="eastAsia" w:ascii="Times New Roman" w:hAnsi="Times New Roman" w:eastAsia="仿宋_GB2312" w:cs="Times New Roman"/>
          <w:color w:val="000000"/>
          <w:kern w:val="0"/>
          <w:sz w:val="32"/>
          <w:szCs w:val="32"/>
          <w:lang w:eastAsia="zh-CN"/>
        </w:rPr>
        <w:t>。</w:t>
      </w:r>
      <w:r>
        <w:rPr>
          <w:rFonts w:hint="eastAsia" w:ascii="方正仿宋_GBK" w:hAnsi="方正仿宋_GBK" w:eastAsia="方正仿宋_GBK" w:cs="方正仿宋_GBK"/>
          <w:color w:val="auto"/>
          <w:sz w:val="32"/>
          <w:szCs w:val="32"/>
          <w:lang w:val="zh-CN" w:eastAsia="zh-CN"/>
        </w:rPr>
        <w:t>保障基层群众需求，区域分布合理，有效弥补了偏远地区医疗救助短板；</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方正仿宋_GBK" w:hAnsi="方正仿宋_GBK" w:eastAsia="方正仿宋_GBK" w:cs="方正仿宋_GBK"/>
          <w:color w:val="auto"/>
          <w:sz w:val="32"/>
          <w:szCs w:val="32"/>
          <w:lang w:val="zh-CN" w:eastAsia="zh-CN"/>
        </w:rPr>
      </w:pPr>
      <w:r>
        <w:rPr>
          <w:rFonts w:hint="eastAsia" w:ascii="方正仿宋_GBK" w:hAnsi="方正仿宋_GBK" w:eastAsia="方正仿宋_GBK" w:cs="方正仿宋_GBK"/>
          <w:b/>
          <w:bCs/>
          <w:color w:val="auto"/>
          <w:sz w:val="32"/>
          <w:szCs w:val="32"/>
          <w:lang w:val="en-US" w:eastAsia="zh-CN"/>
        </w:rPr>
        <w:t>2.</w:t>
      </w:r>
      <w:r>
        <w:rPr>
          <w:rFonts w:hint="eastAsia" w:ascii="方正仿宋_GBK" w:hAnsi="方正仿宋_GBK" w:eastAsia="方正仿宋_GBK" w:cs="方正仿宋_GBK"/>
          <w:b/>
          <w:bCs/>
          <w:color w:val="auto"/>
          <w:sz w:val="32"/>
          <w:szCs w:val="32"/>
          <w:lang w:val="zh-CN" w:eastAsia="zh-CN"/>
        </w:rPr>
        <w:t xml:space="preserve"> 标准合理性：</w:t>
      </w:r>
      <w:r>
        <w:rPr>
          <w:rFonts w:hint="eastAsia" w:ascii="方正仿宋_GBK" w:hAnsi="方正仿宋_GBK" w:eastAsia="方正仿宋_GBK" w:cs="方正仿宋_GBK"/>
          <w:color w:val="auto"/>
          <w:sz w:val="32"/>
          <w:szCs w:val="32"/>
          <w:lang w:val="zh-CN" w:eastAsia="zh-CN"/>
        </w:rPr>
        <w:t>预算标准符合市场价格和项目实际需求，无虚高、超标准支出，资金使用效益良好；</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方正仿宋_GBK" w:hAnsi="方正仿宋_GBK" w:eastAsia="方正仿宋_GBK" w:cs="方正仿宋_GBK"/>
          <w:color w:val="auto"/>
          <w:sz w:val="32"/>
          <w:szCs w:val="32"/>
          <w:lang w:val="zh-CN" w:eastAsia="zh-CN"/>
        </w:rPr>
      </w:pPr>
      <w:r>
        <w:rPr>
          <w:rFonts w:hint="eastAsia" w:ascii="方正仿宋_GBK" w:hAnsi="方正仿宋_GBK" w:eastAsia="方正仿宋_GBK" w:cs="方正仿宋_GBK"/>
          <w:b/>
          <w:bCs/>
          <w:color w:val="auto"/>
          <w:sz w:val="32"/>
          <w:szCs w:val="32"/>
          <w:lang w:val="en-US" w:eastAsia="zh-CN"/>
        </w:rPr>
        <w:t>3.</w:t>
      </w:r>
      <w:r>
        <w:rPr>
          <w:rFonts w:hint="eastAsia" w:ascii="方正仿宋_GBK" w:hAnsi="方正仿宋_GBK" w:eastAsia="方正仿宋_GBK" w:cs="方正仿宋_GBK"/>
          <w:b/>
          <w:bCs/>
          <w:color w:val="auto"/>
          <w:sz w:val="32"/>
          <w:szCs w:val="32"/>
          <w:lang w:val="zh-CN" w:eastAsia="zh-CN"/>
        </w:rPr>
        <w:t xml:space="preserve"> 群众满意度：</w:t>
      </w:r>
      <w:r>
        <w:rPr>
          <w:rFonts w:hint="eastAsia" w:ascii="方正仿宋_GBK" w:hAnsi="方正仿宋_GBK" w:eastAsia="方正仿宋_GBK" w:cs="方正仿宋_GBK"/>
          <w:color w:val="auto"/>
          <w:sz w:val="32"/>
          <w:szCs w:val="32"/>
          <w:lang w:val="zh-CN" w:eastAsia="zh-CN"/>
        </w:rPr>
        <w:t>通过现场调研，僧尼及群众对项目的满意度为</w:t>
      </w:r>
      <w:r>
        <w:rPr>
          <w:rFonts w:hint="eastAsia" w:ascii="方正仿宋_GBK" w:hAnsi="方正仿宋_GBK" w:eastAsia="方正仿宋_GBK" w:cs="方正仿宋_GBK"/>
          <w:color w:val="auto"/>
          <w:sz w:val="32"/>
          <w:szCs w:val="32"/>
          <w:lang w:val="en-US" w:eastAsia="zh-CN"/>
        </w:rPr>
        <w:t>92</w:t>
      </w:r>
      <w:r>
        <w:rPr>
          <w:rFonts w:hint="eastAsia" w:ascii="方正仿宋_GBK" w:hAnsi="方正仿宋_GBK" w:eastAsia="方正仿宋_GBK" w:cs="方正仿宋_GBK"/>
          <w:color w:val="auto"/>
          <w:sz w:val="32"/>
          <w:szCs w:val="32"/>
          <w:lang w:val="zh-CN" w:eastAsia="zh-CN"/>
        </w:rPr>
        <w:t>%，整体评价良好，项目得到了群众的广泛认可。</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方正仿宋_GBK" w:hAnsi="方正仿宋_GBK" w:eastAsia="方正仿宋_GBK" w:cs="方正仿宋_GBK"/>
          <w:color w:val="auto"/>
          <w:kern w:val="2"/>
          <w:position w:val="0"/>
          <w:sz w:val="32"/>
          <w:szCs w:val="32"/>
          <w:lang w:val="zh-CN" w:eastAsia="zh-CN" w:bidi="ar-SA"/>
        </w:rPr>
      </w:pPr>
      <w:r>
        <w:rPr>
          <w:rFonts w:hint="default" w:ascii="方正仿宋_GBK" w:hAnsi="方正仿宋_GBK" w:eastAsia="方正仿宋_GBK" w:cs="方正仿宋_GBK"/>
          <w:color w:val="auto"/>
          <w:kern w:val="2"/>
          <w:position w:val="0"/>
          <w:sz w:val="32"/>
          <w:szCs w:val="32"/>
          <w:lang w:val="zh-CN" w:eastAsia="zh-CN" w:bidi="ar-SA"/>
        </w:rPr>
        <w:t>经自评，项目严格按照预算和绩效目标实施，资金使用合规，管理规范，各项绩效目标均已完成，</w:t>
      </w:r>
      <w:r>
        <w:rPr>
          <w:rFonts w:hint="default" w:ascii="Times New Roman" w:hAnsi="Times New Roman" w:eastAsia="仿宋_GB2312" w:cs="Times New Roman"/>
          <w:color w:val="000000"/>
          <w:kern w:val="0"/>
          <w:position w:val="3"/>
          <w:sz w:val="32"/>
          <w:szCs w:val="32"/>
          <w:lang w:val="en-US" w:eastAsia="en-US" w:bidi="ar-SA"/>
        </w:rPr>
        <w:t>为需要医疗救助的群众送去了温暖与希望。</w:t>
      </w:r>
      <w:r>
        <w:rPr>
          <w:rFonts w:hint="eastAsia" w:ascii="Times New Roman" w:hAnsi="Times New Roman" w:eastAsia="仿宋_GB2312" w:cs="Times New Roman"/>
          <w:color w:val="000000"/>
          <w:kern w:val="0"/>
          <w:position w:val="3"/>
          <w:sz w:val="32"/>
          <w:szCs w:val="32"/>
          <w:lang w:val="en-US" w:eastAsia="zh-CN" w:bidi="ar-SA"/>
        </w:rPr>
        <w:t>为</w:t>
      </w:r>
      <w:r>
        <w:rPr>
          <w:rFonts w:hint="default" w:ascii="Times New Roman" w:hAnsi="Times New Roman" w:eastAsia="仿宋_GB2312" w:cs="Times New Roman"/>
          <w:color w:val="000000"/>
          <w:kern w:val="0"/>
          <w:position w:val="3"/>
          <w:sz w:val="32"/>
          <w:szCs w:val="32"/>
          <w:lang w:val="en-US" w:eastAsia="en-US" w:bidi="ar-SA"/>
        </w:rPr>
        <w:t>群众及僧众送医赠药，进一步有形有感有效铸牢中华民族共同体意识</w:t>
      </w:r>
      <w:r>
        <w:rPr>
          <w:rFonts w:hint="eastAsia" w:ascii="Times New Roman" w:hAnsi="Times New Roman" w:eastAsia="仿宋_GB2312" w:cs="Times New Roman"/>
          <w:color w:val="000000"/>
          <w:kern w:val="0"/>
          <w:position w:val="3"/>
          <w:sz w:val="32"/>
          <w:szCs w:val="32"/>
          <w:lang w:val="en-US" w:eastAsia="zh-CN" w:bidi="ar-SA"/>
        </w:rPr>
        <w:t>，</w:t>
      </w:r>
      <w:r>
        <w:rPr>
          <w:rFonts w:hint="default" w:ascii="Times New Roman" w:hAnsi="Times New Roman" w:eastAsia="仿宋_GB2312" w:cs="Times New Roman"/>
          <w:color w:val="auto"/>
          <w:kern w:val="2"/>
          <w:position w:val="0"/>
          <w:sz w:val="32"/>
          <w:szCs w:val="32"/>
          <w:lang w:val="zh-CN" w:eastAsia="zh-CN" w:bidi="ar-SA"/>
        </w:rPr>
        <w:t>达到了项目预期效果。</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公益对象目标设立较大，未考虑诸多因素。</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default" w:ascii="Times New Roman" w:hAnsi="Times New Roman" w:eastAsia="黑体" w:cs="Times New Roman"/>
          <w:sz w:val="24"/>
          <w:szCs w:val="24"/>
          <w:highlight w:val="none"/>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eastAsia="仿宋_GB2312" w:cs="Times New Roman"/>
          <w:b w:val="0"/>
          <w:bCs w:val="0"/>
          <w:kern w:val="0"/>
          <w:position w:val="0"/>
          <w:sz w:val="32"/>
          <w:szCs w:val="32"/>
          <w:highlight w:val="none"/>
          <w:lang w:val="en-US" w:eastAsia="zh-CN" w:bidi="ar-SA"/>
        </w:rPr>
        <w:t xml:space="preserve">   存在外出打工人群，未完全完成全覆盖。下次将考虑更多因素更好设置项目绩效目标</w:t>
      </w:r>
      <w:r>
        <w:rPr>
          <w:rFonts w:hint="eastAsia" w:ascii="Times New Roman" w:hAnsi="Times New Roman" w:eastAsia="仿宋_GB2312" w:cs="Times New Roman"/>
          <w:b w:val="0"/>
          <w:bCs w:val="0"/>
          <w:kern w:val="0"/>
          <w:position w:val="0"/>
          <w:sz w:val="32"/>
          <w:szCs w:val="32"/>
          <w:highlight w:val="none"/>
          <w:lang w:val="en-US" w:eastAsia="zh-CN" w:bidi="ar-SA"/>
        </w:rPr>
        <w:t>。</w:t>
      </w: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4"/>
      <w:bookmarkEnd w:id="45"/>
      <w:bookmarkStart w:id="48"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国标黑体">
    <w:panose1 w:val="020005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imhei">
    <w:altName w:val="国标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4140" w:firstLineChars="230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wRFOoMwIAAGU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BTphMqNEM4WSX75/u/z4dfn5lcRDSNRYv0Dkg0VsaN+aFuHDucdhZN6WTsUvOBH4&#10;IfD5KrBoA+Hx0nw6n4/h4vANG+Bnj9et8+GdMIpEI6cOFUzCstPOhy50CInZtNnWUqYqSk2anM5e&#10;vxmnC1cPwKVGjkiie2y0Qrtve2Z7U5xBzJmuO7zl2xrJd8yHe+bQDngwBibcYSmlQRLTW5RUxn35&#10;13mMR5XgpaRBe+VUY5ooke81qgfAMBhuMPaDoY/q1qBfJxhEy5OJCy7IwSydUZ8xReuYAy6mOTLl&#10;NAzmbehaHFPIxXqdgo7W1Yequ4Desyzs9IPlMU0U0tv1MUDMpHEUqFOl1w3dl6rUT0ps7z/3Kerx&#10;77D6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CwRFOoMwIAAGUEAAAOAAAAAAAAAAEAIAAA&#10;ADUBAABkcnMvZTJvRG9jLnhtbFBLBQYAAAAABgAGAFkBAADa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960" w:firstLineChars="2200"/>
      <w:rPr>
        <w:rFonts w:hint="default" w:eastAsia="宋体"/>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M00NAIAAGUEAAAOAAAAZHJz&#10;L2Uyb0RvYy54bWytVM2O0zAQviPxDpbvNGkRS1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GbykxTKPkpx/fTz8fTr++kXQIiRoXZoi8d4iN7TvbInw4DzhMzNvK6/QFJwI/&#10;BD5eBBZtJDxdmk6m0xwuDt+wAX72eN35EN8Lq0kyCupRwU5YdtiE2IcOISmbsWupVFdFZUhT0KvX&#10;b/LuwsUDcGWQI5HoH5us2G7bM7OtLY8g5m3fHcHxtUTyDQvxjnm0Ax6MgYm3WCplkcSeLUpq67/+&#10;6zzFo0rwUtKgvQpqME2UqA8G1QNgHAw/GNvBMHt9Y9GvYwyi452JCz6qway81V8wRcuUAy5mODIV&#10;NA7mTexbHFPIxXLZBe2dl7u6v4DecyxuzL3jKU0SMrjlPkLMTuMkUK/KWTd0X1el86Sk9v5z30U9&#10;/h0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CzSVju0AAAAAUBAAAPAAAAAAAAAAEAIAAAADgA&#10;AABkcnMvZG93bnJldi54bWxQSwECFAAUAAAACACHTuJA2/jNNDQCAABlBAAADgAAAAAAAAABACAA&#10;AAA1AQAAZHJzL2Uyb0RvYy54bWxQSwUGAAAAAAYABgBZAQAA2w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960" w:firstLineChars="2200"/>
      <w:rPr>
        <w:rFonts w:hint="default" w:eastAsia="宋体"/>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WNyVqMgIAAGU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IEhTdMo+SX798uP35dfn4l6RAS1S7MEblziI3NW9sgfDgPOEzMm9Lr9AUnAj8E&#10;Pl8FFk0kPF2aTWezMVwcvmED/OzxuvMhvhNWk2Tk1KOCrbDstA2xCx1CUjZjN1KptorKkDqnN6/f&#10;jNsLVw/AlUGORKJ7bLJis296ZntbnEHM2647guMbieRbFuID82gHPBgDE++xlMoiie0tSirrv/zr&#10;PMWjSvBSUqO9cmowTZSo9wbVA2AcDD8Y+8EwR31n0a8TDKLjrYkLPqrBLL3VnzFFq5QDLmY4MuU0&#10;DuZd7FocU8jFatUGHZ2Xh6q7gN5zLG7NzvGUJgkZ3OoYIWarcRKoU6XXDd3XVqmflNTef+7bqMe/&#10;w/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JY3JWoyAgAAZQQAAA4AAAAAAAAAAQAgAAAA&#10;NQEAAGRycy9lMm9Eb2MueG1sUEsFBgAAAAAGAAYAWQEAANk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C093B"/>
    <w:multiLevelType w:val="singleLevel"/>
    <w:tmpl w:val="A65C093B"/>
    <w:lvl w:ilvl="0" w:tentative="0">
      <w:start w:val="2"/>
      <w:numFmt w:val="decimal"/>
      <w:suff w:val="space"/>
      <w:lvlText w:val="%1."/>
      <w:lvlJc w:val="left"/>
    </w:lvl>
  </w:abstractNum>
  <w:abstractNum w:abstractNumId="1">
    <w:nsid w:val="BEFE2D40"/>
    <w:multiLevelType w:val="singleLevel"/>
    <w:tmpl w:val="BEFE2D40"/>
    <w:lvl w:ilvl="0" w:tentative="0">
      <w:start w:val="4"/>
      <w:numFmt w:val="chineseCounting"/>
      <w:suff w:val="nothing"/>
      <w:lvlText w:val="（%1）"/>
      <w:lvlJc w:val="left"/>
      <w:rPr>
        <w:rFonts w:hint="eastAsia"/>
      </w:rPr>
    </w:lvl>
  </w:abstractNum>
  <w:abstractNum w:abstractNumId="2">
    <w:nsid w:val="FFF61C40"/>
    <w:multiLevelType w:val="singleLevel"/>
    <w:tmpl w:val="FFF61C40"/>
    <w:lvl w:ilvl="0" w:tentative="0">
      <w:start w:val="1"/>
      <w:numFmt w:val="decimal"/>
      <w:suff w:val="space"/>
      <w:lvlText w:val="%1."/>
      <w:lvlJc w:val="left"/>
    </w:lvl>
  </w:abstractNum>
  <w:abstractNum w:abstractNumId="3">
    <w:nsid w:val="27BE6324"/>
    <w:multiLevelType w:val="singleLevel"/>
    <w:tmpl w:val="27BE6324"/>
    <w:lvl w:ilvl="0" w:tentative="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CAF9080"/>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1F7A80C"/>
    <w:rsid w:val="32177DE6"/>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BF2430"/>
    <w:rsid w:val="3FF4CAE0"/>
    <w:rsid w:val="3FF7B227"/>
    <w:rsid w:val="40E54C45"/>
    <w:rsid w:val="43A407DF"/>
    <w:rsid w:val="44515BEA"/>
    <w:rsid w:val="44E268DA"/>
    <w:rsid w:val="453F7E5B"/>
    <w:rsid w:val="486A6C7A"/>
    <w:rsid w:val="49176D9B"/>
    <w:rsid w:val="4A627F82"/>
    <w:rsid w:val="4B0E749A"/>
    <w:rsid w:val="4B4F25DA"/>
    <w:rsid w:val="4B532DE6"/>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7D6258"/>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6E88F"/>
    <w:rsid w:val="62BF3928"/>
    <w:rsid w:val="62CF1171"/>
    <w:rsid w:val="63FF30A0"/>
    <w:rsid w:val="647F5392"/>
    <w:rsid w:val="664B1D71"/>
    <w:rsid w:val="67AA3209"/>
    <w:rsid w:val="681C4F0D"/>
    <w:rsid w:val="68DEF5B0"/>
    <w:rsid w:val="69046D0F"/>
    <w:rsid w:val="698D0931"/>
    <w:rsid w:val="6A993CED"/>
    <w:rsid w:val="6B053271"/>
    <w:rsid w:val="6BCE6674"/>
    <w:rsid w:val="6C4A05C8"/>
    <w:rsid w:val="6C8742B8"/>
    <w:rsid w:val="6C8A170F"/>
    <w:rsid w:val="6CB54609"/>
    <w:rsid w:val="6DBF5E93"/>
    <w:rsid w:val="6DFF077E"/>
    <w:rsid w:val="6E7E3605"/>
    <w:rsid w:val="6E7FDCC7"/>
    <w:rsid w:val="6ED6A62E"/>
    <w:rsid w:val="6EDDFC92"/>
    <w:rsid w:val="6EE00B15"/>
    <w:rsid w:val="6F544B20"/>
    <w:rsid w:val="6F6FB3EB"/>
    <w:rsid w:val="6F784160"/>
    <w:rsid w:val="6F8731EA"/>
    <w:rsid w:val="6FCE6052"/>
    <w:rsid w:val="6FD57C00"/>
    <w:rsid w:val="6FD91EE8"/>
    <w:rsid w:val="6FEFFFD8"/>
    <w:rsid w:val="6FF5CC65"/>
    <w:rsid w:val="6FFB47EC"/>
    <w:rsid w:val="6FFD5FDF"/>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9FA358"/>
    <w:rsid w:val="75DDBCA9"/>
    <w:rsid w:val="75DEEEC2"/>
    <w:rsid w:val="76E3355F"/>
    <w:rsid w:val="76FF5125"/>
    <w:rsid w:val="776F6FFA"/>
    <w:rsid w:val="778769C8"/>
    <w:rsid w:val="77DC22F5"/>
    <w:rsid w:val="77DF6A40"/>
    <w:rsid w:val="77EAF2BA"/>
    <w:rsid w:val="79086DAD"/>
    <w:rsid w:val="79974F09"/>
    <w:rsid w:val="79D7FD79"/>
    <w:rsid w:val="79EE5BA4"/>
    <w:rsid w:val="7A894339"/>
    <w:rsid w:val="7AF7C93D"/>
    <w:rsid w:val="7AFF7572"/>
    <w:rsid w:val="7B6C7DFB"/>
    <w:rsid w:val="7B7882C8"/>
    <w:rsid w:val="7BBFBED0"/>
    <w:rsid w:val="7BC3E394"/>
    <w:rsid w:val="7BDD8849"/>
    <w:rsid w:val="7C1F3737"/>
    <w:rsid w:val="7CBFC87B"/>
    <w:rsid w:val="7CFE0F48"/>
    <w:rsid w:val="7D7EC23E"/>
    <w:rsid w:val="7D916348"/>
    <w:rsid w:val="7DDFAE02"/>
    <w:rsid w:val="7E8ADEBF"/>
    <w:rsid w:val="7E9F169A"/>
    <w:rsid w:val="7ED7C204"/>
    <w:rsid w:val="7EDFE6E6"/>
    <w:rsid w:val="7EEF11D3"/>
    <w:rsid w:val="7F079243"/>
    <w:rsid w:val="7F0971A6"/>
    <w:rsid w:val="7F3F679B"/>
    <w:rsid w:val="7F4FC4EF"/>
    <w:rsid w:val="7F5E4D54"/>
    <w:rsid w:val="7F5FB67A"/>
    <w:rsid w:val="7F63ED5D"/>
    <w:rsid w:val="7F6E0135"/>
    <w:rsid w:val="7F7C76B2"/>
    <w:rsid w:val="7F7E3E01"/>
    <w:rsid w:val="7F8326C1"/>
    <w:rsid w:val="7FA30C79"/>
    <w:rsid w:val="7FAF8ABF"/>
    <w:rsid w:val="7FB7269E"/>
    <w:rsid w:val="7FC96657"/>
    <w:rsid w:val="7FDA9588"/>
    <w:rsid w:val="7FDF220F"/>
    <w:rsid w:val="7FEDC5F7"/>
    <w:rsid w:val="7FEDD9DE"/>
    <w:rsid w:val="7FF5890D"/>
    <w:rsid w:val="7FF93490"/>
    <w:rsid w:val="7FFEBC28"/>
    <w:rsid w:val="99FF2014"/>
    <w:rsid w:val="A6DD0D7F"/>
    <w:rsid w:val="ABDE822F"/>
    <w:rsid w:val="ADC6F725"/>
    <w:rsid w:val="B57FF757"/>
    <w:rsid w:val="B7CF06AB"/>
    <w:rsid w:val="B7CFA926"/>
    <w:rsid w:val="B7F8786B"/>
    <w:rsid w:val="BABB6AA1"/>
    <w:rsid w:val="BB2F4199"/>
    <w:rsid w:val="BD079C78"/>
    <w:rsid w:val="BD733540"/>
    <w:rsid w:val="BDFD8F59"/>
    <w:rsid w:val="BF3735D5"/>
    <w:rsid w:val="BF7F09AC"/>
    <w:rsid w:val="BF7F6412"/>
    <w:rsid w:val="BFD475C3"/>
    <w:rsid w:val="BFDE5EA6"/>
    <w:rsid w:val="BFEAD5A4"/>
    <w:rsid w:val="C579BEE3"/>
    <w:rsid w:val="CCEFD5B6"/>
    <w:rsid w:val="CF6FC6F3"/>
    <w:rsid w:val="CFD3D3D7"/>
    <w:rsid w:val="CFDF1009"/>
    <w:rsid w:val="D7B6FE0B"/>
    <w:rsid w:val="D7D7B16A"/>
    <w:rsid w:val="D8D6DB89"/>
    <w:rsid w:val="DB6F4CAB"/>
    <w:rsid w:val="DB777682"/>
    <w:rsid w:val="DD1FB521"/>
    <w:rsid w:val="DEFBFEAE"/>
    <w:rsid w:val="DEFD136E"/>
    <w:rsid w:val="DF1F3B80"/>
    <w:rsid w:val="DF6F9789"/>
    <w:rsid w:val="DFFF1177"/>
    <w:rsid w:val="DFFFA9E8"/>
    <w:rsid w:val="E5F4E9DC"/>
    <w:rsid w:val="E6F7C587"/>
    <w:rsid w:val="E70FE695"/>
    <w:rsid w:val="ECFED1BC"/>
    <w:rsid w:val="ED1D69BB"/>
    <w:rsid w:val="ED7FD312"/>
    <w:rsid w:val="EEF6D879"/>
    <w:rsid w:val="EF53993F"/>
    <w:rsid w:val="EF6FD633"/>
    <w:rsid w:val="EF73693B"/>
    <w:rsid w:val="EFBFB2F4"/>
    <w:rsid w:val="EFBFFA21"/>
    <w:rsid w:val="F2BEBCB8"/>
    <w:rsid w:val="F36FB518"/>
    <w:rsid w:val="F3DE1A04"/>
    <w:rsid w:val="F3F722E5"/>
    <w:rsid w:val="F61C37AC"/>
    <w:rsid w:val="F7EEC462"/>
    <w:rsid w:val="FA1FB130"/>
    <w:rsid w:val="FA5F1E70"/>
    <w:rsid w:val="FA5FDB97"/>
    <w:rsid w:val="FB7F486A"/>
    <w:rsid w:val="FBFF5B2E"/>
    <w:rsid w:val="FC7D41D0"/>
    <w:rsid w:val="FD37345A"/>
    <w:rsid w:val="FD7FFE2B"/>
    <w:rsid w:val="FDB77179"/>
    <w:rsid w:val="FDB7E79F"/>
    <w:rsid w:val="FDEE196B"/>
    <w:rsid w:val="FDFE6575"/>
    <w:rsid w:val="FEB782F3"/>
    <w:rsid w:val="FECE82C3"/>
    <w:rsid w:val="FEDFDDC2"/>
    <w:rsid w:val="FEED32F6"/>
    <w:rsid w:val="FEF781DD"/>
    <w:rsid w:val="FEFE9BFD"/>
    <w:rsid w:val="FF2B1C7E"/>
    <w:rsid w:val="FF3F7E3F"/>
    <w:rsid w:val="FFBA12D7"/>
    <w:rsid w:val="FFD97913"/>
    <w:rsid w:val="FFDFFAEE"/>
    <w:rsid w:val="FFF74997"/>
    <w:rsid w:val="FFF9B57B"/>
    <w:rsid w:val="FFFAC90F"/>
    <w:rsid w:val="FFFD61D9"/>
    <w:rsid w:val="FFFD8F59"/>
    <w:rsid w:val="FFFE83E4"/>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next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86199\Documents\WeChat%20Files\wxid_rllsynkb03bd22\FileStorage\File\2024-10\&#20915;&#31639;&#20844;&#24320;&#20998;&#2651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Sheet1!$A$2:$A$3</c:f>
              <c:strCache>
                <c:ptCount val="2"/>
                <c:pt idx="0">
                  <c:v>收入总计</c:v>
                </c:pt>
                <c:pt idx="1">
                  <c:v>支出总计</c:v>
                </c:pt>
              </c:strCache>
            </c:strRef>
          </c:cat>
          <c:val>
            <c:numRef>
              <c:f>Sheet1!$B$2:$B$3</c:f>
              <c:numCache>
                <c:formatCode>General</c:formatCode>
                <c:ptCount val="2"/>
                <c:pt idx="0">
                  <c:v>1255.23</c:v>
                </c:pt>
                <c:pt idx="1">
                  <c:v>1255.23</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Sheet1!$A$2:$A$3</c:f>
              <c:strCache>
                <c:ptCount val="2"/>
                <c:pt idx="0">
                  <c:v>收入总计</c:v>
                </c:pt>
                <c:pt idx="1">
                  <c:v>支出总计</c:v>
                </c:pt>
              </c:strCache>
            </c:strRef>
          </c:cat>
          <c:val>
            <c:numRef>
              <c:f>Sheet1!$C$2:$C$3</c:f>
              <c:numCache>
                <c:formatCode>General</c:formatCode>
                <c:ptCount val="2"/>
                <c:pt idx="0">
                  <c:v>1636.36</c:v>
                </c:pt>
                <c:pt idx="1">
                  <c:v>1636.36</c:v>
                </c:pt>
              </c:numCache>
            </c:numRef>
          </c:val>
        </c:ser>
        <c:dLbls>
          <c:showLegendKey val="0"/>
          <c:showVal val="0"/>
          <c:showCatName val="0"/>
          <c:showSerName val="0"/>
          <c:showPercent val="0"/>
          <c:showBubbleSize val="0"/>
        </c:dLbls>
        <c:gapWidth val="246"/>
        <c:overlap val="-28"/>
        <c:axId val="798373775"/>
        <c:axId val="854133110"/>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收入总计</c:v>
                      </c:pt>
                      <c:pt idx="1">
                        <c:v>支出总计</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7983737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4133110"/>
        <c:crosses val="autoZero"/>
        <c:auto val="1"/>
        <c:lblAlgn val="ctr"/>
        <c:lblOffset val="100"/>
        <c:noMultiLvlLbl val="0"/>
      </c:catAx>
      <c:valAx>
        <c:axId val="85413311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83737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333481613285884"/>
          <c:y val="0.315689981096408"/>
          <c:w val="0.336298932384342"/>
          <c:h val="0.612476370510397"/>
        </c:manualLayout>
      </c:layout>
      <c:pieChart>
        <c:varyColors val="1"/>
        <c:ser>
          <c:idx val="0"/>
          <c:order val="0"/>
          <c:tx>
            <c:strRef>
              <c:f>Sheet1!$B$1</c:f>
              <c:strCache>
                <c:ptCount val="1"/>
                <c:pt idx="0">
                  <c:v>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Sheet1!$B$2:$B$3</c:f>
              <c:numCache>
                <c:formatCode>General</c:formatCode>
                <c:ptCount val="2"/>
                <c:pt idx="0">
                  <c:v>1306.39</c:v>
                </c:pt>
                <c:pt idx="1">
                  <c:v>93.94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Sheet1!$A$2:$A$3</c:f>
              <c:strCache>
                <c:ptCount val="2"/>
                <c:pt idx="0">
                  <c:v>收入总计</c:v>
                </c:pt>
                <c:pt idx="1">
                  <c:v>支出总计</c:v>
                </c:pt>
              </c:strCache>
            </c:strRef>
          </c:cat>
          <c:val>
            <c:numRef>
              <c:f>Sheet1!$B$2:$B$3</c:f>
              <c:numCache>
                <c:formatCode>General</c:formatCode>
                <c:ptCount val="2"/>
                <c:pt idx="0">
                  <c:v>1255.23</c:v>
                </c:pt>
                <c:pt idx="1">
                  <c:v>1255.23</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Sheet1!$A$2:$A$3</c:f>
              <c:strCache>
                <c:ptCount val="2"/>
                <c:pt idx="0">
                  <c:v>收入总计</c:v>
                </c:pt>
                <c:pt idx="1">
                  <c:v>支出总计</c:v>
                </c:pt>
              </c:strCache>
            </c:strRef>
          </c:cat>
          <c:val>
            <c:numRef>
              <c:f>Sheet1!$C$2:$C$3</c:f>
              <c:numCache>
                <c:formatCode>General</c:formatCode>
                <c:ptCount val="2"/>
                <c:pt idx="0">
                  <c:v>1636.36</c:v>
                </c:pt>
                <c:pt idx="1">
                  <c:v>1636.36</c:v>
                </c:pt>
              </c:numCache>
            </c:numRef>
          </c:val>
        </c:ser>
        <c:dLbls>
          <c:showLegendKey val="0"/>
          <c:showVal val="0"/>
          <c:showCatName val="0"/>
          <c:showSerName val="0"/>
          <c:showPercent val="0"/>
          <c:showBubbleSize val="0"/>
        </c:dLbls>
        <c:gapWidth val="246"/>
        <c:overlap val="-28"/>
        <c:axId val="798373775"/>
        <c:axId val="854133110"/>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收入总计</c:v>
                      </c:pt>
                      <c:pt idx="1">
                        <c:v>支出总计</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7983737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4133110"/>
        <c:crosses val="autoZero"/>
        <c:auto val="1"/>
        <c:lblAlgn val="ctr"/>
        <c:lblOffset val="100"/>
        <c:noMultiLvlLbl val="0"/>
      </c:catAx>
      <c:valAx>
        <c:axId val="85413311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83737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452.84</c:v>
                </c:pt>
                <c:pt idx="1">
                  <c:v>1004.26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1013.96</c:v>
                </c:pt>
                <c:pt idx="1">
                  <c:v>1306.39</c:v>
                </c:pt>
              </c:numCache>
            </c:numRef>
          </c:val>
        </c:ser>
        <c:dLbls>
          <c:showLegendKey val="0"/>
          <c:showVal val="0"/>
          <c:showCatName val="0"/>
          <c:showSerName val="0"/>
          <c:showPercent val="0"/>
          <c:showBubbleSize val="0"/>
        </c:dLbls>
        <c:gapWidth val="246"/>
        <c:overlap val="-28"/>
        <c:axId val="936353110"/>
        <c:axId val="36012546"/>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delete val="1"/>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93635311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12546"/>
        <c:crosses val="autoZero"/>
        <c:auto val="1"/>
        <c:lblAlgn val="ctr"/>
        <c:lblOffset val="100"/>
        <c:noMultiLvlLbl val="0"/>
      </c:catAx>
      <c:valAx>
        <c:axId val="3601254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3531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一般公共服务支出</c:v>
                </c:pt>
                <c:pt idx="1">
                  <c:v>公共安全支出</c:v>
                </c:pt>
                <c:pt idx="2">
                  <c:v>社会保障和就业支出</c:v>
                </c:pt>
                <c:pt idx="3">
                  <c:v>卫生健康支出</c:v>
                </c:pt>
                <c:pt idx="4">
                  <c:v>住房保障支出</c:v>
                </c:pt>
              </c:strCache>
            </c:strRef>
          </c:cat>
          <c:val>
            <c:numRef>
              <c:f>Sheet1!$B$2:$B$6</c:f>
              <c:numCache>
                <c:formatCode>General</c:formatCode>
                <c:ptCount val="5"/>
                <c:pt idx="0">
                  <c:v>1127.73</c:v>
                </c:pt>
                <c:pt idx="1">
                  <c:v>44.88</c:v>
                </c:pt>
                <c:pt idx="2">
                  <c:v>85.27</c:v>
                </c:pt>
                <c:pt idx="3">
                  <c:v>19.7</c:v>
                </c:pt>
                <c:pt idx="4">
                  <c:v>28.82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endParaRPr sz="1400" b="0" i="0" u="none" strike="noStrike" baseline="0">
              <a:solidFill>
                <a:srgbClr val="595959">
                  <a:alpha val="100000"/>
                </a:srgbClr>
              </a:solidFill>
              <a:latin typeface="宋体" charset="-122"/>
              <a:ea typeface="宋体" charset="-122"/>
              <a:cs typeface="宋体" charset="-122"/>
            </a:endParaRPr>
          </a:p>
        </c:rich>
      </c:tx>
      <c:layout/>
      <c:overlay val="0"/>
      <c:spPr>
        <a:noFill/>
        <a:ln>
          <a:noFill/>
        </a:ln>
        <a:effectLst/>
      </c:spPr>
    </c:title>
    <c:autoTitleDeleted val="0"/>
    <c:plotArea>
      <c:layout/>
      <c:pieChart>
        <c:varyColors val="1"/>
        <c:ser>
          <c:idx val="0"/>
          <c:order val="0"/>
          <c:spPr/>
          <c:explosion val="0"/>
          <c:dPt>
            <c:idx val="0"/>
            <c:bubble3D val="0"/>
            <c:explosion val="0"/>
            <c:spPr>
              <a:solidFill>
                <a:schemeClr val="accent1"/>
              </a:solidFill>
              <a:ln>
                <a:noFill/>
              </a:ln>
              <a:effectLst/>
            </c:spPr>
          </c:dPt>
          <c:dPt>
            <c:idx val="1"/>
            <c:bubble3D val="0"/>
            <c:explosion val="0"/>
            <c:spPr>
              <a:solidFill>
                <a:schemeClr val="accent3"/>
              </a:solidFill>
              <a:ln>
                <a:noFill/>
              </a:ln>
              <a:effectLst/>
            </c:spPr>
          </c:dPt>
          <c:dPt>
            <c:idx val="2"/>
            <c:bubble3D val="0"/>
            <c:explosion val="0"/>
            <c:spPr>
              <a:solidFill>
                <a:schemeClr val="accent5"/>
              </a:solidFill>
              <a:ln>
                <a:noFill/>
              </a:ln>
              <a:effectLst/>
            </c:spPr>
          </c:dPt>
          <c:dLbls>
            <c:delete val="1"/>
          </c:dLbls>
          <c:cat>
            <c:strRef>
              <c:f>[决算公开分析图表.xls]Sheet1!$A$166:$A$168</c:f>
              <c:strCache>
                <c:ptCount val="3"/>
                <c:pt idx="0">
                  <c:v>因公出国（境）费</c:v>
                </c:pt>
                <c:pt idx="1">
                  <c:v>公务接待费</c:v>
                </c:pt>
                <c:pt idx="2">
                  <c:v>公务用车购置及运行维护费</c:v>
                </c:pt>
              </c:strCache>
            </c:strRef>
          </c:cat>
          <c:val>
            <c:numRef>
              <c:f>[决算公开分析图表.xls]Sheet1!$B$166:$B$168</c:f>
              <c:numCache>
                <c:formatCode>General</c:formatCode>
                <c:ptCount val="3"/>
                <c:pt idx="0">
                  <c:v>0</c:v>
                </c:pt>
                <c:pt idx="1">
                  <c:v>0</c:v>
                </c:pt>
                <c:pt idx="2">
                  <c:v>11.99</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0.0329715620277511"/>
          <c:y val="0.894993894993895"/>
          <c:w val="0.928698997114988"/>
          <c:h val="0.077533577533577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1299</Words>
  <Characters>7410</Characters>
  <Lines>61</Lines>
  <Paragraphs>17</Paragraphs>
  <TotalTime>8</TotalTime>
  <ScaleCrop>false</ScaleCrop>
  <LinksUpToDate>false</LinksUpToDate>
  <CharactersWithSpaces>8692</CharactersWithSpaces>
  <Application>WPS Office_11.8.2.1131_F1E327BC-269C-435d-A152-05C5408002CA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ransang</cp:lastModifiedBy>
  <cp:lastPrinted>2026-08-05T01:27:00Z</cp:lastPrinted>
  <dcterms:modified xsi:type="dcterms:W3CDTF">2026-10-20T16:46:34Z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9C20405CF3C44461A8C3AE6B975882EC_13</vt:lpwstr>
  </property>
</Properties>
</file>