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简体" w:eastAsia="方正小标宋简体"/>
          <w:sz w:val="72"/>
          <w:szCs w:val="72"/>
          <w:lang w:eastAsia="zh-CN"/>
        </w:rPr>
      </w:pPr>
      <w:bookmarkStart w:id="1" w:name="_Toc15377425"/>
      <w:bookmarkStart w:id="2" w:name="_Toc15377193"/>
      <w:bookmarkStart w:id="3" w:name="_Toc15396597"/>
      <w:bookmarkStart w:id="4" w:name="_Toc15378441"/>
      <w:bookmarkStart w:id="5" w:name="_Toc15396475"/>
    </w:p>
    <w:p>
      <w:pPr>
        <w:ind w:firstLine="2880" w:firstLineChars="400"/>
        <w:jc w:val="both"/>
        <w:rPr>
          <w:rFonts w:hint="eastAsia" w:ascii="方正小标宋简体" w:eastAsia="方正小标宋简体"/>
          <w:sz w:val="72"/>
          <w:szCs w:val="72"/>
          <w:lang w:eastAsia="zh-CN"/>
        </w:rPr>
      </w:pPr>
    </w:p>
    <w:bookmarkEnd w:id="0"/>
    <w:bookmarkEnd w:id="1"/>
    <w:bookmarkEnd w:id="2"/>
    <w:bookmarkEnd w:id="3"/>
    <w:bookmarkEnd w:id="4"/>
    <w:bookmarkEnd w:id="5"/>
    <w:p>
      <w:pPr>
        <w:pStyle w:val="8"/>
        <w:jc w:val="center"/>
        <w:rPr>
          <w:rFonts w:hint="eastAsia" w:ascii="方正小标宋简体" w:hAnsi="宋体" w:eastAsia="方正小标宋简体" w:cs="Times New Roman"/>
          <w:color w:val="auto"/>
          <w:kern w:val="2"/>
          <w:sz w:val="52"/>
          <w:szCs w:val="52"/>
          <w:highlight w:val="none"/>
          <w:lang w:val="en-US" w:eastAsia="zh-CN" w:bidi="ar-SA"/>
        </w:rPr>
      </w:pPr>
      <w:r>
        <w:rPr>
          <w:rFonts w:hint="eastAsia" w:ascii="方正小标宋简体" w:hAnsi="宋体" w:eastAsia="方正小标宋简体" w:cs="Times New Roman"/>
          <w:color w:val="auto"/>
          <w:kern w:val="2"/>
          <w:sz w:val="52"/>
          <w:szCs w:val="52"/>
          <w:highlight w:val="none"/>
          <w:lang w:val="en-US" w:eastAsia="zh-CN" w:bidi="ar-SA"/>
        </w:rPr>
        <w:t>阿坝州壤塘县</w:t>
      </w:r>
    </w:p>
    <w:p>
      <w:pPr>
        <w:pStyle w:val="8"/>
        <w:jc w:val="center"/>
        <w:rPr>
          <w:rFonts w:hint="eastAsia" w:ascii="方正小标宋简体" w:hAnsi="宋体" w:eastAsia="方正小标宋简体" w:cs="Times New Roman"/>
          <w:color w:val="auto"/>
          <w:kern w:val="2"/>
          <w:sz w:val="52"/>
          <w:szCs w:val="52"/>
          <w:highlight w:val="none"/>
          <w:lang w:val="en-US" w:eastAsia="zh-CN" w:bidi="ar-SA"/>
        </w:rPr>
      </w:pPr>
      <w:r>
        <w:rPr>
          <w:rFonts w:hint="eastAsia" w:ascii="方正小标宋简体" w:hAnsi="宋体" w:eastAsia="方正小标宋简体" w:cs="Times New Roman"/>
          <w:color w:val="auto"/>
          <w:kern w:val="2"/>
          <w:sz w:val="52"/>
          <w:szCs w:val="52"/>
          <w:highlight w:val="none"/>
          <w:lang w:val="en-US" w:eastAsia="zh-CN" w:bidi="ar-SA"/>
        </w:rPr>
        <w:t>2024年度中共壤塘县委统战部</w:t>
      </w:r>
    </w:p>
    <w:p>
      <w:pPr>
        <w:pStyle w:val="8"/>
        <w:jc w:val="center"/>
        <w:rPr>
          <w:rFonts w:hint="eastAsia" w:ascii="方正小标宋简体" w:hAnsi="宋体" w:eastAsia="方正小标宋简体" w:cs="Times New Roman"/>
          <w:color w:val="auto"/>
          <w:kern w:val="2"/>
          <w:sz w:val="52"/>
          <w:szCs w:val="52"/>
          <w:highlight w:val="none"/>
          <w:lang w:val="en-US" w:eastAsia="zh-CN" w:bidi="ar-SA"/>
        </w:rPr>
      </w:pPr>
      <w:r>
        <w:rPr>
          <w:rFonts w:hint="eastAsia" w:ascii="方正小标宋简体" w:hAnsi="宋体" w:eastAsia="方正小标宋简体" w:cs="Times New Roman"/>
          <w:color w:val="auto"/>
          <w:kern w:val="2"/>
          <w:sz w:val="52"/>
          <w:szCs w:val="52"/>
          <w:highlight w:val="none"/>
          <w:lang w:val="en-US" w:eastAsia="zh-CN" w:bidi="ar-SA"/>
        </w:rPr>
        <w:t>部门决算公开</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sectPr>
          <w:headerReference r:id="rId4" w:type="first"/>
          <w:footerReference r:id="rId5" w:type="first"/>
          <w:headerReference r:id="rId3" w:type="default"/>
          <w:pgSz w:w="11906" w:h="16838"/>
          <w:pgMar w:top="1440" w:right="1800" w:bottom="1440" w:left="1800" w:header="851" w:footer="992" w:gutter="0"/>
          <w:pgNumType w:fmt="decimal" w:start="1"/>
          <w:cols w:space="425" w:num="1"/>
          <w:docGrid w:type="lines" w:linePitch="312" w:charSpace="0"/>
        </w:sectPr>
      </w:pPr>
    </w:p>
    <w:p>
      <w:pPr>
        <w:pStyle w:val="15"/>
        <w:jc w:val="center"/>
        <w:rPr>
          <w:rFonts w:hint="eastAsia" w:ascii="黑体" w:hAnsi="黑体" w:eastAsia="黑体"/>
          <w:color w:val="000000"/>
          <w:sz w:val="48"/>
          <w:szCs w:val="48"/>
        </w:rPr>
      </w:pPr>
      <w:bookmarkStart w:id="6" w:name="_Toc15377226"/>
      <w:r>
        <w:rPr>
          <w:rFonts w:hint="eastAsia" w:ascii="黑体" w:hAnsi="黑体" w:eastAsia="黑体"/>
          <w:color w:val="000000"/>
          <w:sz w:val="48"/>
          <w:szCs w:val="48"/>
        </w:rPr>
        <w:t>目录</w:t>
      </w:r>
    </w:p>
    <w:p>
      <w:pPr>
        <w:pStyle w:val="15"/>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bCs w:val="0"/>
          <w:lang w:eastAsia="zh-CN"/>
        </w:rPr>
        <w:t>第一部分</w:t>
      </w:r>
      <w:r>
        <w:rPr>
          <w:rFonts w:hint="eastAsia" w:ascii="黑体" w:hAnsi="黑体" w:eastAsia="黑体"/>
          <w:bCs w:val="0"/>
          <w:lang w:val="en-US" w:eastAsia="zh-CN"/>
        </w:rPr>
        <w:t xml:space="preserve"> </w:t>
      </w:r>
      <w:r>
        <w:rPr>
          <w:rFonts w:hint="eastAsia" w:ascii="黑体" w:hAnsi="黑体" w:eastAsia="黑体"/>
          <w:bCs w:val="0"/>
        </w:rPr>
        <w:t>部门概况</w:t>
      </w:r>
      <w:r>
        <w:tab/>
      </w:r>
      <w:r>
        <w:fldChar w:fldCharType="begin"/>
      </w:r>
      <w:r>
        <w:instrText xml:space="preserve"> PAGEREF _Toc30071 \h </w:instrText>
      </w:r>
      <w:r>
        <w:fldChar w:fldCharType="separate"/>
      </w:r>
      <w:r>
        <w:t>3</w:t>
      </w:r>
      <w:r>
        <w:fldChar w:fldCharType="end"/>
      </w:r>
    </w:p>
    <w:p>
      <w:pPr>
        <w:pStyle w:val="20"/>
        <w:tabs>
          <w:tab w:val="right" w:leader="dot" w:pos="8306"/>
        </w:tabs>
        <w:rPr>
          <w:rFonts w:hint="eastAsia" w:eastAsiaTheme="minorHAnsi"/>
          <w:lang w:val="en-US" w:eastAsia="zh-CN"/>
        </w:rPr>
      </w:pPr>
      <w:r>
        <w:rPr>
          <w:rFonts w:hint="eastAsia" w:ascii="黑体" w:hAnsi="黑体" w:eastAsia="黑体"/>
          <w:color w:val="000000"/>
        </w:rPr>
        <w:t>一、</w:t>
      </w:r>
      <w:r>
        <w:rPr>
          <w:rFonts w:hint="eastAsia" w:ascii="黑体" w:hAnsi="黑体" w:eastAsia="黑体"/>
          <w:color w:val="000000"/>
          <w:lang w:val="en-US" w:eastAsia="zh-CN"/>
        </w:rPr>
        <w:t>部门职责</w:t>
      </w:r>
      <w:r>
        <w:tab/>
      </w:r>
      <w:r>
        <w:rPr>
          <w:rFonts w:hint="eastAsia"/>
          <w:lang w:val="en-US" w:eastAsia="zh-CN"/>
        </w:rPr>
        <w:t>2</w:t>
      </w:r>
    </w:p>
    <w:p>
      <w:pPr>
        <w:pStyle w:val="20"/>
        <w:tabs>
          <w:tab w:val="right" w:leader="dot" w:pos="8306"/>
        </w:tabs>
        <w:rPr>
          <w:rFonts w:hint="eastAsia" w:ascii="黑体" w:hAnsi="黑体" w:eastAsia="黑体"/>
          <w:lang w:eastAsia="zh-CN"/>
        </w:rPr>
      </w:pPr>
      <w:r>
        <w:rPr>
          <w:rFonts w:hint="eastAsia" w:ascii="黑体" w:hAnsi="黑体" w:eastAsia="黑体"/>
        </w:rPr>
        <w:t>二、机构设置</w:t>
      </w:r>
      <w:r>
        <w:rPr>
          <w:rFonts w:hint="eastAsia" w:ascii="黑体" w:hAnsi="黑体" w:eastAsia="黑体"/>
        </w:rPr>
        <w:tab/>
      </w:r>
      <w:r>
        <w:rPr>
          <w:rFonts w:hint="eastAsia" w:ascii="黑体" w:hAnsi="黑体" w:eastAsia="黑体"/>
          <w:lang w:val="en-US" w:eastAsia="zh-CN"/>
        </w:rPr>
        <w:t>2</w:t>
      </w:r>
    </w:p>
    <w:p>
      <w:pPr>
        <w:pStyle w:val="15"/>
        <w:tabs>
          <w:tab w:val="right" w:leader="dot" w:pos="8306"/>
        </w:tabs>
      </w:pPr>
      <w:r>
        <w:rPr>
          <w:rFonts w:hint="eastAsia" w:ascii="黑体" w:hAnsi="黑体" w:eastAsia="黑体"/>
          <w:bCs w:val="0"/>
        </w:rPr>
        <w:t>第二部分</w:t>
      </w:r>
      <w:r>
        <w:rPr>
          <w:rFonts w:ascii="黑体" w:hAnsi="黑体" w:eastAsia="黑体"/>
          <w:bCs w:val="0"/>
        </w:rPr>
        <w:t xml:space="preserve"> </w:t>
      </w:r>
      <w:r>
        <w:rPr>
          <w:rFonts w:hint="eastAsia" w:ascii="黑体" w:hAnsi="黑体" w:eastAsia="黑体"/>
          <w:bCs w:val="0"/>
          <w:lang w:eastAsia="zh-CN"/>
        </w:rPr>
        <w:t>2024年</w:t>
      </w:r>
      <w:r>
        <w:rPr>
          <w:rFonts w:hint="eastAsia" w:ascii="黑体" w:hAnsi="黑体" w:eastAsia="黑体"/>
          <w:bCs w:val="0"/>
        </w:rPr>
        <w:t>度部门决算情况说明</w:t>
      </w:r>
      <w:r>
        <w:tab/>
      </w:r>
      <w:r>
        <w:fldChar w:fldCharType="begin"/>
      </w:r>
      <w:r>
        <w:instrText xml:space="preserve"> PAGEREF _Toc32366 \h </w:instrText>
      </w:r>
      <w:r>
        <w:fldChar w:fldCharType="separate"/>
      </w:r>
      <w:r>
        <w:t>6</w:t>
      </w:r>
      <w:r>
        <w:fldChar w:fldCharType="end"/>
      </w:r>
    </w:p>
    <w:p>
      <w:pPr>
        <w:pStyle w:val="20"/>
        <w:tabs>
          <w:tab w:val="right" w:leader="dot" w:pos="8306"/>
        </w:tabs>
      </w:pPr>
      <w:r>
        <w:rPr>
          <w:rFonts w:hint="eastAsia" w:ascii="黑体" w:hAnsi="黑体" w:eastAsia="黑体"/>
          <w:color w:val="000000"/>
          <w:szCs w:val="32"/>
        </w:rPr>
        <w:t>一、收</w:t>
      </w:r>
      <w:r>
        <w:rPr>
          <w:rFonts w:hint="eastAsia" w:ascii="黑体" w:hAnsi="黑体" w:eastAsia="黑体"/>
        </w:rPr>
        <w:t>入支出决算总体情况说明</w:t>
      </w:r>
      <w:r>
        <w:tab/>
      </w:r>
      <w:r>
        <w:fldChar w:fldCharType="begin"/>
      </w:r>
      <w:r>
        <w:instrText xml:space="preserve"> PAGEREF _Toc29926 \h </w:instrText>
      </w:r>
      <w:r>
        <w:fldChar w:fldCharType="separate"/>
      </w:r>
      <w:r>
        <w:t>6</w:t>
      </w:r>
      <w:r>
        <w:fldChar w:fldCharType="end"/>
      </w:r>
    </w:p>
    <w:p>
      <w:pPr>
        <w:pStyle w:val="20"/>
        <w:tabs>
          <w:tab w:val="right" w:leader="dot" w:pos="8306"/>
        </w:tabs>
      </w:pPr>
      <w:r>
        <w:rPr>
          <w:rFonts w:hint="eastAsia" w:ascii="黑体" w:hAnsi="黑体" w:eastAsia="黑体"/>
          <w:color w:val="000000"/>
          <w:szCs w:val="32"/>
        </w:rPr>
        <w:t>二、收</w:t>
      </w:r>
      <w:r>
        <w:rPr>
          <w:rFonts w:hint="eastAsia" w:ascii="黑体" w:hAnsi="黑体" w:eastAsia="黑体"/>
        </w:rPr>
        <w:t>入决算情况说明</w:t>
      </w:r>
      <w:r>
        <w:tab/>
      </w:r>
      <w:r>
        <w:fldChar w:fldCharType="begin"/>
      </w:r>
      <w:r>
        <w:instrText xml:space="preserve"> PAGEREF _Toc23496 \h </w:instrText>
      </w:r>
      <w:r>
        <w:fldChar w:fldCharType="separate"/>
      </w:r>
      <w:r>
        <w:t>7</w:t>
      </w:r>
      <w:r>
        <w:fldChar w:fldCharType="end"/>
      </w:r>
    </w:p>
    <w:p>
      <w:pPr>
        <w:pStyle w:val="20"/>
        <w:tabs>
          <w:tab w:val="right" w:leader="dot" w:pos="8306"/>
        </w:tabs>
      </w:pPr>
      <w:r>
        <w:rPr>
          <w:rFonts w:hint="eastAsia" w:ascii="黑体" w:hAnsi="黑体" w:eastAsia="黑体"/>
          <w:color w:val="000000"/>
          <w:szCs w:val="32"/>
        </w:rPr>
        <w:t>三、支</w:t>
      </w:r>
      <w:r>
        <w:rPr>
          <w:rFonts w:hint="eastAsia" w:ascii="黑体" w:hAnsi="黑体" w:eastAsia="黑体"/>
        </w:rPr>
        <w:t>出决算情况说明</w:t>
      </w:r>
      <w:r>
        <w:tab/>
      </w:r>
      <w:r>
        <w:fldChar w:fldCharType="begin"/>
      </w:r>
      <w:r>
        <w:instrText xml:space="preserve"> PAGEREF _Toc631 \h </w:instrText>
      </w:r>
      <w:r>
        <w:fldChar w:fldCharType="separate"/>
      </w:r>
      <w:r>
        <w:t>7</w:t>
      </w:r>
      <w:r>
        <w:fldChar w:fldCharType="end"/>
      </w:r>
    </w:p>
    <w:p>
      <w:pPr>
        <w:pStyle w:val="20"/>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_Toc3545 \h </w:instrText>
      </w:r>
      <w:r>
        <w:fldChar w:fldCharType="separate"/>
      </w:r>
      <w:r>
        <w:t>7</w:t>
      </w:r>
      <w:r>
        <w:fldChar w:fldCharType="end"/>
      </w:r>
    </w:p>
    <w:p>
      <w:pPr>
        <w:pStyle w:val="20"/>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_Toc30996 \h </w:instrText>
      </w:r>
      <w:r>
        <w:fldChar w:fldCharType="separate"/>
      </w:r>
      <w:r>
        <w:t>8</w:t>
      </w:r>
      <w:r>
        <w:fldChar w:fldCharType="end"/>
      </w:r>
    </w:p>
    <w:p>
      <w:pPr>
        <w:pStyle w:val="12"/>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_Toc11309 \h </w:instrText>
      </w:r>
      <w:r>
        <w:fldChar w:fldCharType="separate"/>
      </w:r>
      <w:r>
        <w:t>8</w:t>
      </w:r>
      <w:r>
        <w:fldChar w:fldCharType="end"/>
      </w:r>
    </w:p>
    <w:p>
      <w:pPr>
        <w:pStyle w:val="12"/>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_Toc7609 \h </w:instrText>
      </w:r>
      <w:r>
        <w:fldChar w:fldCharType="separate"/>
      </w:r>
      <w:r>
        <w:t>9</w:t>
      </w:r>
      <w:r>
        <w:fldChar w:fldCharType="end"/>
      </w:r>
    </w:p>
    <w:p>
      <w:pPr>
        <w:pStyle w:val="12"/>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_Toc11521 \h </w:instrText>
      </w:r>
      <w:r>
        <w:fldChar w:fldCharType="separate"/>
      </w:r>
      <w:r>
        <w:t>10</w:t>
      </w:r>
      <w:r>
        <w:fldChar w:fldCharType="end"/>
      </w:r>
    </w:p>
    <w:p>
      <w:pPr>
        <w:pStyle w:val="20"/>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_Toc1555 \h </w:instrText>
      </w:r>
      <w:r>
        <w:fldChar w:fldCharType="separate"/>
      </w:r>
      <w:r>
        <w:t>11</w:t>
      </w:r>
      <w:r>
        <w:fldChar w:fldCharType="end"/>
      </w:r>
    </w:p>
    <w:p>
      <w:pPr>
        <w:pStyle w:val="20"/>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_Toc3601 \h </w:instrText>
      </w:r>
      <w:r>
        <w:fldChar w:fldCharType="separate"/>
      </w:r>
      <w:r>
        <w:t>12</w:t>
      </w:r>
      <w:r>
        <w:fldChar w:fldCharType="end"/>
      </w:r>
    </w:p>
    <w:p>
      <w:pPr>
        <w:pStyle w:val="12"/>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_Toc1192 \h </w:instrText>
      </w:r>
      <w:r>
        <w:fldChar w:fldCharType="separate"/>
      </w:r>
      <w:r>
        <w:t>12</w:t>
      </w:r>
      <w:r>
        <w:fldChar w:fldCharType="end"/>
      </w:r>
    </w:p>
    <w:p>
      <w:pPr>
        <w:pStyle w:val="12"/>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_Toc23708 \h </w:instrText>
      </w:r>
      <w:r>
        <w:fldChar w:fldCharType="separate"/>
      </w:r>
      <w:r>
        <w:t>12</w:t>
      </w:r>
      <w:r>
        <w:fldChar w:fldCharType="end"/>
      </w:r>
    </w:p>
    <w:p>
      <w:pPr>
        <w:pStyle w:val="20"/>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_Toc11084 \h </w:instrText>
      </w:r>
      <w:r>
        <w:fldChar w:fldCharType="separate"/>
      </w:r>
      <w:r>
        <w:t>13</w:t>
      </w:r>
      <w:r>
        <w:fldChar w:fldCharType="end"/>
      </w:r>
    </w:p>
    <w:p>
      <w:pPr>
        <w:pStyle w:val="20"/>
        <w:tabs>
          <w:tab w:val="right" w:leader="dot" w:pos="8306"/>
        </w:tabs>
      </w:pPr>
      <w:r>
        <w:rPr>
          <w:rFonts w:hint="eastAsia" w:ascii="黑体" w:eastAsia="黑体"/>
          <w:color w:val="000000"/>
          <w:szCs w:val="32"/>
        </w:rPr>
        <w:t>九、</w:t>
      </w:r>
      <w:r>
        <w:rPr>
          <w:rFonts w:hint="eastAsia" w:ascii="黑体" w:hAnsi="黑体" w:eastAsia="黑体"/>
        </w:rPr>
        <w:t>国有资本经营预算支出决算情况说明</w:t>
      </w:r>
      <w:r>
        <w:tab/>
      </w:r>
      <w:r>
        <w:fldChar w:fldCharType="begin"/>
      </w:r>
      <w:r>
        <w:instrText xml:space="preserve"> PAGEREF _Toc24199 \h </w:instrText>
      </w:r>
      <w:r>
        <w:fldChar w:fldCharType="separate"/>
      </w:r>
      <w:r>
        <w:t>13</w:t>
      </w:r>
      <w:r>
        <w:fldChar w:fldCharType="end"/>
      </w:r>
    </w:p>
    <w:p>
      <w:pPr>
        <w:pStyle w:val="20"/>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_Toc15906 \h </w:instrText>
      </w:r>
      <w:r>
        <w:fldChar w:fldCharType="separate"/>
      </w:r>
      <w:r>
        <w:t>13</w:t>
      </w:r>
      <w:r>
        <w:fldChar w:fldCharType="end"/>
      </w:r>
    </w:p>
    <w:p>
      <w:pPr>
        <w:pStyle w:val="12"/>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_Toc28124 \h </w:instrText>
      </w:r>
      <w:r>
        <w:fldChar w:fldCharType="separate"/>
      </w:r>
      <w:r>
        <w:t>13</w:t>
      </w:r>
      <w:r>
        <w:fldChar w:fldCharType="end"/>
      </w:r>
    </w:p>
    <w:p>
      <w:pPr>
        <w:pStyle w:val="12"/>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_Toc953 \h </w:instrText>
      </w:r>
      <w:r>
        <w:fldChar w:fldCharType="separate"/>
      </w:r>
      <w:r>
        <w:t>13</w:t>
      </w:r>
      <w:r>
        <w:fldChar w:fldCharType="end"/>
      </w:r>
    </w:p>
    <w:p>
      <w:pPr>
        <w:pStyle w:val="12"/>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_Toc24818 \h </w:instrText>
      </w:r>
      <w:r>
        <w:fldChar w:fldCharType="separate"/>
      </w:r>
      <w:r>
        <w:t>13</w:t>
      </w:r>
      <w:r>
        <w:fldChar w:fldCharType="end"/>
      </w:r>
    </w:p>
    <w:p>
      <w:pPr>
        <w:pStyle w:val="12"/>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_Toc776 \h </w:instrText>
      </w:r>
      <w:r>
        <w:fldChar w:fldCharType="separate"/>
      </w:r>
      <w:r>
        <w:t>13</w:t>
      </w:r>
      <w:r>
        <w:fldChar w:fldCharType="end"/>
      </w:r>
    </w:p>
    <w:p>
      <w:pPr>
        <w:pStyle w:val="15"/>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_Toc27892 \h </w:instrText>
      </w:r>
      <w:r>
        <w:fldChar w:fldCharType="separate"/>
      </w:r>
      <w:r>
        <w:t>15</w:t>
      </w:r>
      <w:r>
        <w:fldChar w:fldCharType="end"/>
      </w:r>
    </w:p>
    <w:p>
      <w:pPr>
        <w:pStyle w:val="15"/>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_Toc1621 \h </w:instrText>
      </w:r>
      <w:r>
        <w:fldChar w:fldCharType="separate"/>
      </w:r>
      <w:r>
        <w:t>18</w:t>
      </w:r>
      <w:r>
        <w:fldChar w:fldCharType="end"/>
      </w:r>
    </w:p>
    <w:p>
      <w:pPr>
        <w:pStyle w:val="15"/>
        <w:tabs>
          <w:tab w:val="right" w:leader="dot" w:pos="8306"/>
        </w:tabs>
        <w:rPr>
          <w:rFonts w:hint="default" w:eastAsiaTheme="minorHAnsi"/>
          <w:lang w:val="en-US" w:eastAsia="zh-CN"/>
        </w:rPr>
      </w:pPr>
      <w:r>
        <w:rPr>
          <w:rFonts w:hint="eastAsia" w:ascii="黑体" w:hAnsi="黑体" w:eastAsia="黑体" w:cs="黑体"/>
        </w:rPr>
        <w:t>第五部分 附表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color w:val="000000"/>
        </w:rPr>
        <w:t>一、收</w:t>
      </w:r>
      <w:r>
        <w:rPr>
          <w:rFonts w:hint="eastAsia" w:ascii="仿宋" w:hAnsi="仿宋" w:eastAsia="仿宋"/>
          <w:bCs w:val="0"/>
        </w:rPr>
        <w:t>入支出决算总表</w:t>
      </w:r>
      <w:r>
        <w:tab/>
      </w:r>
      <w:r>
        <w:rPr>
          <w:rFonts w:hint="eastAsia"/>
          <w:lang w:val="en-US" w:eastAsia="zh-CN"/>
        </w:rPr>
        <w:t>24</w:t>
      </w:r>
    </w:p>
    <w:p>
      <w:pPr>
        <w:pStyle w:val="20"/>
        <w:tabs>
          <w:tab w:val="right" w:leader="dot" w:pos="8306"/>
        </w:tabs>
        <w:rPr>
          <w:rFonts w:hint="default" w:eastAsiaTheme="minorHAnsi"/>
          <w:lang w:val="en-US" w:eastAsia="zh-CN"/>
        </w:rPr>
      </w:pPr>
      <w:r>
        <w:rPr>
          <w:rFonts w:hint="eastAsia" w:ascii="仿宋" w:hAnsi="仿宋" w:eastAsia="仿宋"/>
          <w:color w:val="000000"/>
        </w:rPr>
        <w:t>二、收</w:t>
      </w:r>
      <w:r>
        <w:rPr>
          <w:rFonts w:hint="eastAsia" w:ascii="仿宋" w:hAnsi="仿宋" w:eastAsia="仿宋"/>
          <w:bCs w:val="0"/>
        </w:rPr>
        <w:t>入决算表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rPr>
          <w:rFonts w:hint="eastAsia"/>
          <w:lang w:val="en-US" w:eastAsia="zh-CN"/>
        </w:rPr>
        <w:t>24</w:t>
      </w:r>
    </w:p>
    <w:p>
      <w:pPr>
        <w:pStyle w:val="20"/>
        <w:tabs>
          <w:tab w:val="right" w:leader="dot" w:pos="8306"/>
        </w:tabs>
        <w:rPr>
          <w:rFonts w:hint="default" w:eastAsiaTheme="minorHAnsi"/>
          <w:lang w:val="en-US" w:eastAsia="zh-CN"/>
        </w:rPr>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rPr>
          <w:rFonts w:hint="eastAsia"/>
          <w:lang w:val="en-US" w:eastAsia="zh-CN"/>
        </w:rPr>
        <w:t>24</w:t>
      </w:r>
    </w:p>
    <w:p>
      <w:pPr>
        <w:pStyle w:val="20"/>
        <w:tabs>
          <w:tab w:val="right" w:leader="dot" w:pos="8306"/>
        </w:tabs>
        <w:rPr>
          <w:rFonts w:hint="default" w:eastAsiaTheme="minorHAnsi"/>
          <w:lang w:val="en-US" w:eastAsia="zh-CN"/>
        </w:rPr>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十、</w:t>
      </w:r>
      <w:r>
        <w:rPr>
          <w:rFonts w:hint="eastAsia" w:ascii="仿宋" w:hAnsi="仿宋" w:eastAsia="仿宋"/>
          <w:color w:val="000000"/>
        </w:rPr>
        <w:t>政</w:t>
      </w:r>
      <w:r>
        <w:rPr>
          <w:rFonts w:hint="eastAsia" w:ascii="仿宋" w:hAnsi="仿宋" w:eastAsia="仿宋"/>
          <w:bCs w:val="0"/>
        </w:rPr>
        <w:t>府性基金预算财政拨款收入支出决算表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十</w:t>
      </w:r>
      <w:r>
        <w:rPr>
          <w:rFonts w:hint="eastAsia" w:ascii="仿宋" w:hAnsi="仿宋" w:eastAsia="仿宋"/>
          <w:bCs w:val="0"/>
          <w:lang w:val="en-US" w:eastAsia="zh-CN"/>
        </w:rPr>
        <w:t>一</w:t>
      </w:r>
      <w:r>
        <w:rPr>
          <w:rFonts w:hint="eastAsia" w:ascii="仿宋" w:hAnsi="仿宋" w:eastAsia="仿宋"/>
          <w:bCs w:val="0"/>
        </w:rPr>
        <w:t>、</w:t>
      </w:r>
      <w:r>
        <w:rPr>
          <w:rFonts w:hint="eastAsia" w:ascii="仿宋" w:hAnsi="仿宋" w:eastAsia="仿宋"/>
          <w:color w:val="000000"/>
        </w:rPr>
        <w:t>国</w:t>
      </w:r>
      <w:r>
        <w:rPr>
          <w:rFonts w:hint="eastAsia" w:ascii="仿宋" w:hAnsi="仿宋" w:eastAsia="仿宋"/>
          <w:bCs w:val="0"/>
        </w:rPr>
        <w:t>有资本经营预算财政拨款</w:t>
      </w:r>
      <w:r>
        <w:rPr>
          <w:rFonts w:hint="eastAsia" w:ascii="仿宋" w:hAnsi="仿宋" w:eastAsia="仿宋"/>
          <w:bCs w:val="0"/>
          <w:lang w:val="en-US" w:eastAsia="zh-CN"/>
        </w:rPr>
        <w:t>收入</w:t>
      </w:r>
      <w:r>
        <w:rPr>
          <w:rFonts w:hint="eastAsia" w:ascii="仿宋" w:hAnsi="仿宋" w:eastAsia="仿宋"/>
          <w:bCs w:val="0"/>
        </w:rPr>
        <w:t>支出决算表</w:t>
      </w:r>
      <w:r>
        <w:tab/>
      </w:r>
      <w:r>
        <w:rPr>
          <w:rFonts w:hint="eastAsia"/>
          <w:lang w:val="en-US" w:eastAsia="zh-CN"/>
        </w:rPr>
        <w:t>24</w:t>
      </w:r>
    </w:p>
    <w:p>
      <w:pPr>
        <w:pStyle w:val="20"/>
        <w:tabs>
          <w:tab w:val="right" w:leader="dot" w:pos="8306"/>
        </w:tabs>
        <w:rPr>
          <w:rFonts w:hint="eastAsia"/>
          <w:lang w:val="en-US" w:eastAsia="zh-CN"/>
        </w:rPr>
      </w:pPr>
      <w:r>
        <w:rPr>
          <w:rFonts w:hint="eastAsia" w:ascii="仿宋" w:hAnsi="仿宋" w:eastAsia="仿宋"/>
          <w:bCs w:val="0"/>
        </w:rPr>
        <w:t>十</w:t>
      </w:r>
      <w:r>
        <w:rPr>
          <w:rFonts w:hint="eastAsia" w:ascii="仿宋" w:hAnsi="仿宋" w:eastAsia="仿宋"/>
          <w:bCs w:val="0"/>
          <w:lang w:val="en-US" w:eastAsia="zh-CN"/>
        </w:rPr>
        <w:t>二</w:t>
      </w:r>
      <w:r>
        <w:rPr>
          <w:rFonts w:hint="eastAsia" w:ascii="仿宋" w:hAnsi="仿宋" w:eastAsia="仿宋"/>
          <w:bCs w:val="0"/>
        </w:rPr>
        <w:t>、国有资本经营预算财政拨款支出决算表</w:t>
      </w:r>
      <w:r>
        <w:tab/>
      </w:r>
      <w:r>
        <w:rPr>
          <w:rFonts w:hint="eastAsia"/>
          <w:lang w:val="en-US" w:eastAsia="zh-CN"/>
        </w:rPr>
        <w:t>24</w:t>
      </w:r>
    </w:p>
    <w:p>
      <w:pPr>
        <w:pStyle w:val="20"/>
        <w:tabs>
          <w:tab w:val="right" w:leader="dot" w:pos="8306"/>
        </w:tabs>
        <w:rPr>
          <w:rFonts w:hint="default" w:eastAsiaTheme="minorHAnsi"/>
          <w:lang w:val="en-US" w:eastAsia="zh-CN"/>
        </w:rPr>
      </w:pPr>
      <w:r>
        <w:rPr>
          <w:rFonts w:hint="eastAsia" w:ascii="仿宋" w:hAnsi="仿宋" w:eastAsia="仿宋"/>
          <w:bCs w:val="0"/>
          <w:lang w:val="en-US" w:eastAsia="zh-CN"/>
        </w:rPr>
        <w:t>十三、</w:t>
      </w:r>
      <w:r>
        <w:rPr>
          <w:rFonts w:hint="eastAsia" w:ascii="仿宋" w:hAnsi="仿宋" w:eastAsia="仿宋"/>
          <w:bCs w:val="0"/>
        </w:rPr>
        <w:t>财政拨款“三公”经费支出决算表</w:t>
      </w:r>
      <w:r>
        <w:tab/>
      </w:r>
      <w:r>
        <w:rPr>
          <w:rFonts w:hint="eastAsia"/>
          <w:lang w:val="en-US" w:eastAsia="zh-CN"/>
        </w:rPr>
        <w:t>24</w:t>
      </w:r>
    </w:p>
    <w:p>
      <w:pPr>
        <w:widowControl/>
        <w:spacing w:line="440" w:lineRule="exact"/>
        <w:jc w:val="left"/>
        <w:rPr>
          <w:rFonts w:asciiTheme="minorHAnsi" w:eastAsiaTheme="minorHAnsi"/>
          <w:bCs/>
          <w:caps/>
          <w:szCs w:val="20"/>
        </w:rPr>
      </w:pPr>
      <w:r>
        <w:rPr>
          <w:rFonts w:asciiTheme="minorHAnsi" w:eastAsiaTheme="minorHAnsi"/>
          <w:bCs/>
          <w:caps/>
          <w:szCs w:val="20"/>
        </w:rPr>
        <w:fldChar w:fldCharType="end"/>
      </w:r>
      <w:bookmarkStart w:id="7" w:name="_Toc15377196"/>
      <w:bookmarkStart w:id="8" w:name="_Toc15396599"/>
    </w:p>
    <w:p>
      <w:pPr>
        <w:pStyle w:val="2"/>
      </w:pPr>
    </w:p>
    <w:p>
      <w:pPr>
        <w:pStyle w:val="4"/>
        <w:numPr>
          <w:ilvl w:val="0"/>
          <w:numId w:val="0"/>
        </w:numPr>
        <w:spacing w:before="0" w:after="0" w:line="560" w:lineRule="exact"/>
        <w:ind w:firstLine="2200" w:firstLineChars="500"/>
        <w:jc w:val="both"/>
        <w:rPr>
          <w:rStyle w:val="30"/>
          <w:rFonts w:hint="eastAsia" w:ascii="黑体" w:hAnsi="黑体" w:eastAsia="黑体"/>
          <w:b w:val="0"/>
          <w:bCs w:val="0"/>
          <w:lang w:eastAsia="zh-CN"/>
        </w:rPr>
      </w:pPr>
      <w:bookmarkStart w:id="9" w:name="_Toc79163601"/>
      <w:bookmarkStart w:id="10" w:name="_Toc30071"/>
    </w:p>
    <w:p>
      <w:pPr>
        <w:rPr>
          <w:rStyle w:val="30"/>
          <w:rFonts w:hint="eastAsia" w:ascii="黑体" w:hAnsi="黑体" w:eastAsia="黑体"/>
          <w:b w:val="0"/>
          <w:bCs w:val="0"/>
          <w:lang w:eastAsia="zh-CN"/>
        </w:rPr>
      </w:pPr>
    </w:p>
    <w:p>
      <w:pPr>
        <w:pStyle w:val="2"/>
        <w:rPr>
          <w:rFonts w:hint="eastAsia"/>
          <w:lang w:eastAsia="zh-CN"/>
        </w:rPr>
      </w:pPr>
    </w:p>
    <w:p>
      <w:pPr>
        <w:pStyle w:val="4"/>
        <w:numPr>
          <w:ilvl w:val="0"/>
          <w:numId w:val="1"/>
        </w:numPr>
        <w:spacing w:before="0" w:after="0" w:line="560" w:lineRule="exact"/>
        <w:ind w:left="110" w:leftChars="0" w:firstLine="2200" w:firstLineChars="0"/>
        <w:jc w:val="both"/>
        <w:rPr>
          <w:rStyle w:val="30"/>
          <w:rFonts w:hint="eastAsia" w:ascii="黑体" w:hAnsi="黑体" w:eastAsia="黑体"/>
          <w:b w:val="0"/>
          <w:bCs w:val="0"/>
        </w:rPr>
      </w:pPr>
      <w:r>
        <w:rPr>
          <w:rStyle w:val="30"/>
          <w:rFonts w:hint="eastAsia" w:ascii="黑体" w:hAnsi="黑体" w:eastAsia="黑体"/>
          <w:b w:val="0"/>
          <w:bCs w:val="0"/>
        </w:rPr>
        <w:t>部门概况</w:t>
      </w:r>
      <w:bookmarkEnd w:id="7"/>
      <w:bookmarkEnd w:id="8"/>
      <w:bookmarkEnd w:id="9"/>
      <w:bookmarkEnd w:id="10"/>
    </w:p>
    <w:p>
      <w:pPr>
        <w:numPr>
          <w:ilvl w:val="0"/>
          <w:numId w:val="0"/>
        </w:numPr>
        <w:rPr>
          <w:rFonts w:hint="eastAsia"/>
          <w:lang w:eastAsia="zh-CN"/>
        </w:rPr>
      </w:pPr>
    </w:p>
    <w:p>
      <w:pPr>
        <w:pStyle w:val="2"/>
        <w:rPr>
          <w:rFonts w:hint="eastAsia"/>
          <w:lang w:eastAsia="zh-CN"/>
        </w:rPr>
      </w:pPr>
    </w:p>
    <w:p>
      <w:pPr>
        <w:pStyle w:val="41"/>
        <w:spacing w:line="600" w:lineRule="exact"/>
        <w:ind w:firstLine="640"/>
        <w:outlineLvl w:val="1"/>
        <w:rPr>
          <w:rFonts w:hint="default" w:ascii="Times New Roman" w:hAnsi="Times New Roman" w:eastAsia="方正楷体_GBK" w:cs="Times New Roman"/>
          <w:b/>
          <w:bCs/>
          <w:sz w:val="32"/>
          <w:szCs w:val="32"/>
        </w:rPr>
      </w:pPr>
      <w:r>
        <w:rPr>
          <w:rFonts w:hint="eastAsia" w:ascii="黑体" w:hAnsi="黑体" w:eastAsia="黑体"/>
          <w:color w:val="000000"/>
          <w:sz w:val="32"/>
          <w:szCs w:val="32"/>
          <w:lang w:val="en-US" w:eastAsia="zh-CN"/>
        </w:rPr>
        <w:t>一、</w:t>
      </w:r>
      <w:r>
        <w:rPr>
          <w:rFonts w:hint="default" w:ascii="黑体" w:hAnsi="黑体" w:eastAsia="黑体"/>
          <w:color w:val="000000"/>
          <w:sz w:val="32"/>
          <w:szCs w:val="32"/>
          <w:lang w:val="en-US" w:eastAsia="zh-CN"/>
        </w:rPr>
        <w:t>部门职能简介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Times New Roman"/>
          <w:kern w:val="0"/>
          <w:sz w:val="32"/>
          <w:szCs w:val="32"/>
          <w:lang w:val="zh-CN"/>
        </w:rPr>
      </w:pPr>
      <w:r>
        <w:rPr>
          <w:rFonts w:hint="eastAsia" w:ascii="仿宋_GB2312" w:hAnsi="仿宋" w:eastAsia="仿宋_GB2312" w:cs="Times New Roman"/>
          <w:kern w:val="0"/>
          <w:sz w:val="32"/>
          <w:szCs w:val="32"/>
          <w:lang w:val="en-US" w:eastAsia="zh-CN"/>
        </w:rPr>
        <w:t>县委统战部</w:t>
      </w:r>
      <w:r>
        <w:rPr>
          <w:rFonts w:hint="default" w:ascii="仿宋_GB2312" w:hAnsi="仿宋" w:eastAsia="仿宋_GB2312" w:cs="Times New Roman"/>
          <w:kern w:val="0"/>
          <w:sz w:val="32"/>
          <w:szCs w:val="32"/>
          <w:lang w:val="zh-CN"/>
        </w:rPr>
        <w:t>主要职</w:t>
      </w:r>
      <w:r>
        <w:rPr>
          <w:rFonts w:hint="eastAsia" w:ascii="仿宋_GB2312" w:hAnsi="仿宋" w:eastAsia="仿宋_GB2312" w:cs="Times New Roman"/>
          <w:kern w:val="0"/>
          <w:sz w:val="32"/>
          <w:szCs w:val="32"/>
          <w:lang w:val="en-US" w:eastAsia="zh-CN"/>
        </w:rPr>
        <w:t>能</w:t>
      </w:r>
      <w:r>
        <w:rPr>
          <w:rFonts w:hint="default" w:ascii="仿宋_GB2312" w:hAnsi="仿宋" w:eastAsia="仿宋_GB2312" w:cs="Times New Roman"/>
          <w:kern w:val="0"/>
          <w:sz w:val="32"/>
          <w:szCs w:val="32"/>
          <w:lang w:val="zh-CN"/>
        </w:rPr>
        <w:t>是：组织贯彻执行中央、省委、州委</w:t>
      </w:r>
      <w:r>
        <w:rPr>
          <w:rFonts w:hint="eastAsia" w:ascii="仿宋_GB2312" w:hAnsi="仿宋" w:eastAsia="仿宋_GB2312" w:cs="Times New Roman"/>
          <w:kern w:val="0"/>
          <w:sz w:val="32"/>
          <w:szCs w:val="32"/>
          <w:lang w:val="zh-CN"/>
        </w:rPr>
        <w:t>、县委</w:t>
      </w:r>
      <w:r>
        <w:rPr>
          <w:rFonts w:hint="default" w:ascii="仿宋_GB2312" w:hAnsi="仿宋" w:eastAsia="仿宋_GB2312" w:cs="Times New Roman"/>
          <w:kern w:val="0"/>
          <w:sz w:val="32"/>
          <w:szCs w:val="32"/>
          <w:lang w:val="zh-CN"/>
        </w:rPr>
        <w:t>关于统一战线的方针政策，调查研究统一战线的理论和政策，负责协调监督检查全</w:t>
      </w:r>
      <w:r>
        <w:rPr>
          <w:rFonts w:hint="eastAsia" w:ascii="仿宋_GB2312" w:hAnsi="仿宋" w:eastAsia="仿宋_GB2312" w:cs="Times New Roman"/>
          <w:kern w:val="0"/>
          <w:sz w:val="32"/>
          <w:szCs w:val="32"/>
          <w:lang w:val="zh-CN"/>
        </w:rPr>
        <w:t>县</w:t>
      </w:r>
      <w:r>
        <w:rPr>
          <w:rFonts w:hint="default" w:ascii="仿宋_GB2312" w:hAnsi="仿宋" w:eastAsia="仿宋_GB2312" w:cs="Times New Roman"/>
          <w:kern w:val="0"/>
          <w:sz w:val="32"/>
          <w:szCs w:val="32"/>
          <w:lang w:val="zh-CN"/>
        </w:rPr>
        <w:t>统一战线工作，牵头协调处理统战工作中的重大问题和组织统一战线和重大活动；负调查研究协调全</w:t>
      </w:r>
      <w:r>
        <w:rPr>
          <w:rFonts w:hint="eastAsia" w:ascii="仿宋_GB2312" w:hAnsi="仿宋" w:eastAsia="仿宋_GB2312" w:cs="Times New Roman"/>
          <w:kern w:val="0"/>
          <w:sz w:val="32"/>
          <w:szCs w:val="32"/>
          <w:lang w:val="zh-CN"/>
        </w:rPr>
        <w:t>县</w:t>
      </w:r>
      <w:r>
        <w:rPr>
          <w:rFonts w:hint="default" w:ascii="仿宋_GB2312" w:hAnsi="仿宋" w:eastAsia="仿宋_GB2312" w:cs="Times New Roman"/>
          <w:kern w:val="0"/>
          <w:sz w:val="32"/>
          <w:szCs w:val="32"/>
          <w:lang w:val="zh-CN"/>
        </w:rPr>
        <w:t>有关民族和宗教工作重大方针政策的贯彻执行，联系宗教界代表人物</w:t>
      </w:r>
      <w:r>
        <w:rPr>
          <w:rFonts w:hint="eastAsia" w:ascii="仿宋_GB2312" w:hAnsi="仿宋" w:eastAsia="仿宋_GB2312" w:cs="Times New Roman"/>
          <w:kern w:val="0"/>
          <w:sz w:val="32"/>
          <w:szCs w:val="32"/>
          <w:lang w:val="zh-CN"/>
        </w:rPr>
        <w:t>，</w:t>
      </w:r>
      <w:r>
        <w:rPr>
          <w:rFonts w:hint="eastAsia" w:ascii="仿宋_GB2312" w:hAnsi="仿宋" w:eastAsia="仿宋_GB2312"/>
          <w:kern w:val="0"/>
          <w:sz w:val="32"/>
          <w:szCs w:val="32"/>
          <w:lang w:val="zh-CN"/>
        </w:rPr>
        <w:t>协调、监督、指导全县寺庙管理工作；</w:t>
      </w:r>
      <w:r>
        <w:rPr>
          <w:rFonts w:hint="default" w:ascii="仿宋_GB2312" w:hAnsi="仿宋" w:eastAsia="仿宋_GB2312" w:cs="Times New Roman"/>
          <w:kern w:val="0"/>
          <w:sz w:val="32"/>
          <w:szCs w:val="32"/>
          <w:lang w:val="zh-CN"/>
        </w:rPr>
        <w:t>联系</w:t>
      </w:r>
      <w:bookmarkStart w:id="150" w:name="_GoBack"/>
      <w:bookmarkEnd w:id="150"/>
      <w:r>
        <w:rPr>
          <w:rFonts w:hint="default" w:ascii="仿宋_GB2312" w:hAnsi="仿宋" w:eastAsia="仿宋_GB2312" w:cs="Times New Roman"/>
          <w:kern w:val="0"/>
          <w:sz w:val="32"/>
          <w:szCs w:val="32"/>
          <w:lang w:val="zh-CN"/>
        </w:rPr>
        <w:t>全</w:t>
      </w:r>
      <w:r>
        <w:rPr>
          <w:rFonts w:hint="eastAsia" w:ascii="仿宋_GB2312" w:hAnsi="仿宋" w:eastAsia="仿宋_GB2312" w:cs="Times New Roman"/>
          <w:kern w:val="0"/>
          <w:sz w:val="32"/>
          <w:szCs w:val="32"/>
          <w:lang w:val="zh-CN"/>
        </w:rPr>
        <w:t>县</w:t>
      </w:r>
      <w:r>
        <w:rPr>
          <w:rFonts w:hint="default" w:ascii="仿宋_GB2312" w:hAnsi="仿宋" w:eastAsia="仿宋_GB2312" w:cs="Times New Roman"/>
          <w:kern w:val="0"/>
          <w:sz w:val="32"/>
          <w:szCs w:val="32"/>
          <w:lang w:val="zh-CN"/>
        </w:rPr>
        <w:t>党外代表人士及党外知识分子工作，负责党外人士的政治安排，做好党外后备干部和新的代表人物队伍的建设工作，指导有关统战团体和人民团体的统战工作；调查研究并反映</w:t>
      </w:r>
      <w:r>
        <w:rPr>
          <w:rFonts w:hint="eastAsia" w:ascii="仿宋_GB2312" w:hAnsi="仿宋" w:eastAsia="仿宋_GB2312" w:cs="Times New Roman"/>
          <w:kern w:val="0"/>
          <w:sz w:val="32"/>
          <w:szCs w:val="32"/>
          <w:lang w:val="zh-CN"/>
        </w:rPr>
        <w:t>全县</w:t>
      </w:r>
      <w:r>
        <w:rPr>
          <w:rFonts w:hint="eastAsia" w:ascii="仿宋_GB2312" w:hAnsi="仿宋" w:eastAsia="仿宋_GB2312"/>
          <w:kern w:val="0"/>
          <w:sz w:val="32"/>
          <w:szCs w:val="32"/>
          <w:lang w:val="zh-CN"/>
        </w:rPr>
        <w:t>民营经济、</w:t>
      </w:r>
      <w:r>
        <w:rPr>
          <w:rFonts w:hint="default" w:ascii="仿宋_GB2312" w:hAnsi="仿宋" w:eastAsia="仿宋_GB2312" w:cs="Times New Roman"/>
          <w:kern w:val="0"/>
          <w:sz w:val="32"/>
          <w:szCs w:val="32"/>
          <w:lang w:val="zh-CN"/>
        </w:rPr>
        <w:t>非公有制经济代表人士</w:t>
      </w:r>
      <w:r>
        <w:rPr>
          <w:rFonts w:hint="eastAsia" w:ascii="仿宋_GB2312" w:hAnsi="仿宋" w:eastAsia="仿宋_GB2312" w:cs="Times New Roman"/>
          <w:kern w:val="0"/>
          <w:sz w:val="32"/>
          <w:szCs w:val="32"/>
          <w:lang w:val="zh-CN"/>
        </w:rPr>
        <w:t>，</w:t>
      </w:r>
      <w:r>
        <w:rPr>
          <w:rFonts w:hint="eastAsia" w:ascii="仿宋_GB2312" w:hAnsi="仿宋" w:eastAsia="仿宋_GB2312"/>
          <w:kern w:val="0"/>
          <w:sz w:val="32"/>
          <w:szCs w:val="32"/>
          <w:lang w:val="zh-CN"/>
        </w:rPr>
        <w:t>新阶层代表人士情况；负责牵头、协调、指导寺庙管理机构履行宗教事务工作相关职责；</w:t>
      </w:r>
      <w:r>
        <w:rPr>
          <w:rFonts w:hint="default" w:ascii="仿宋_GB2312" w:hAnsi="仿宋" w:eastAsia="仿宋_GB2312" w:cs="Times New Roman"/>
          <w:kern w:val="0"/>
          <w:sz w:val="32"/>
          <w:szCs w:val="32"/>
          <w:lang w:val="zh-CN"/>
        </w:rPr>
        <w:t>负责海内外统一战线的宣传工作</w:t>
      </w:r>
      <w:r>
        <w:rPr>
          <w:rFonts w:hint="eastAsia" w:ascii="仿宋_GB2312" w:hAnsi="仿宋" w:eastAsia="仿宋_GB2312" w:cs="Times New Roman"/>
          <w:kern w:val="0"/>
          <w:sz w:val="32"/>
          <w:szCs w:val="32"/>
          <w:lang w:val="zh-CN"/>
        </w:rPr>
        <w:t>；</w:t>
      </w:r>
      <w:r>
        <w:rPr>
          <w:rFonts w:hint="eastAsia" w:ascii="仿宋_GB2312" w:hAnsi="仿宋" w:eastAsia="仿宋_GB2312"/>
          <w:kern w:val="0"/>
          <w:sz w:val="32"/>
          <w:szCs w:val="32"/>
          <w:lang w:val="zh-CN"/>
        </w:rPr>
        <w:t>统筹协调4个寺庙管理委员会、县民宗局、县佛协、县工商联。</w:t>
      </w:r>
    </w:p>
    <w:p>
      <w:pPr>
        <w:pStyle w:val="5"/>
        <w:spacing w:before="0" w:after="0" w:line="560" w:lineRule="exact"/>
        <w:rPr>
          <w:rStyle w:val="31"/>
          <w:b w:val="0"/>
          <w:bCs w:val="0"/>
        </w:rPr>
      </w:pPr>
      <w:bookmarkStart w:id="11" w:name="_Toc15377199"/>
      <w:bookmarkStart w:id="12" w:name="_Toc79163604"/>
      <w:bookmarkStart w:id="13" w:name="_Toc15378446"/>
      <w:r>
        <w:rPr>
          <w:rFonts w:hint="eastAsia" w:ascii="黑体" w:eastAsia="黑体"/>
          <w:b w:val="0"/>
          <w:color w:val="000000"/>
        </w:rPr>
        <w:t xml:space="preserve">    </w:t>
      </w:r>
      <w:r>
        <w:rPr>
          <w:rFonts w:hint="eastAsia" w:ascii="黑体" w:hAnsi="黑体" w:eastAsia="黑体" w:cs="Times New Roman"/>
          <w:b w:val="0"/>
          <w:bCs w:val="0"/>
          <w:color w:val="000000"/>
          <w:kern w:val="2"/>
          <w:sz w:val="32"/>
          <w:szCs w:val="32"/>
          <w:lang w:val="en-US" w:eastAsia="zh-CN" w:bidi="ar-SA"/>
        </w:rPr>
        <w:t>二、机构设置</w:t>
      </w:r>
    </w:p>
    <w:p>
      <w:pPr>
        <w:pStyle w:val="8"/>
        <w:adjustRightInd w:val="0"/>
        <w:snapToGrid w:val="0"/>
        <w:spacing w:beforeLines="0" w:line="560" w:lineRule="atLeast"/>
        <w:ind w:firstLine="640" w:firstLineChars="200"/>
        <w:rPr>
          <w:rFonts w:hint="eastAsia" w:hAnsi="仿宋"/>
          <w:sz w:val="32"/>
          <w:szCs w:val="32"/>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hAnsi="仿宋"/>
          <w:sz w:val="32"/>
          <w:szCs w:val="32"/>
          <w:lang w:eastAsia="zh-CN"/>
        </w:rPr>
        <w:t>中共壤塘县委统战部</w:t>
      </w:r>
      <w:r>
        <w:rPr>
          <w:rFonts w:hAnsi="仿宋"/>
          <w:sz w:val="32"/>
          <w:szCs w:val="32"/>
        </w:rPr>
        <w:t>为一级预算单位，</w:t>
      </w:r>
      <w:r>
        <w:rPr>
          <w:rFonts w:hint="eastAsia" w:hAnsi="仿宋"/>
          <w:sz w:val="32"/>
          <w:szCs w:val="32"/>
          <w:lang w:val="en-US" w:eastAsia="zh-CN"/>
        </w:rPr>
        <w:t>无下属二级预算单位，</w:t>
      </w:r>
      <w:r>
        <w:rPr>
          <w:rFonts w:hAnsi="仿宋"/>
          <w:sz w:val="32"/>
          <w:szCs w:val="32"/>
        </w:rPr>
        <w:t>基本性质为</w:t>
      </w:r>
      <w:r>
        <w:rPr>
          <w:rFonts w:hint="eastAsia" w:hAnsi="仿宋"/>
          <w:sz w:val="32"/>
          <w:szCs w:val="32"/>
          <w:lang w:val="en-US"/>
        </w:rPr>
        <w:t>行政</w:t>
      </w:r>
      <w:r>
        <w:rPr>
          <w:rFonts w:hAnsi="仿宋"/>
          <w:sz w:val="32"/>
          <w:szCs w:val="32"/>
        </w:rPr>
        <w:t>单位</w:t>
      </w:r>
    </w:p>
    <w:bookmarkEnd w:id="11"/>
    <w:bookmarkEnd w:id="12"/>
    <w:bookmarkEnd w:id="13"/>
    <w:p>
      <w:pPr>
        <w:pStyle w:val="8"/>
        <w:adjustRightInd w:val="0"/>
        <w:snapToGrid w:val="0"/>
        <w:spacing w:beforeLines="0" w:line="560" w:lineRule="atLeast"/>
        <w:rPr>
          <w:rFonts w:hint="eastAsia" w:hAnsi="仿宋"/>
          <w:sz w:val="32"/>
          <w:szCs w:val="32"/>
        </w:rPr>
      </w:pPr>
    </w:p>
    <w:p>
      <w:pPr>
        <w:widowControl/>
        <w:jc w:val="center"/>
        <w:rPr>
          <w:sz w:val="32"/>
          <w:szCs w:val="40"/>
        </w:rPr>
      </w:pPr>
      <w:bookmarkStart w:id="14" w:name="_Toc79163609"/>
      <w:bookmarkStart w:id="15" w:name="_Toc15377204"/>
      <w:bookmarkStart w:id="16" w:name="_Toc15396602"/>
      <w:bookmarkStart w:id="17" w:name="_Toc32366"/>
      <w:r>
        <w:rPr>
          <w:rStyle w:val="30"/>
          <w:rFonts w:hint="eastAsia" w:ascii="黑体" w:hAnsi="黑体" w:eastAsia="黑体"/>
          <w:b w:val="0"/>
          <w:bCs w:val="0"/>
        </w:rPr>
        <w:t>第二部分</w:t>
      </w:r>
      <w:r>
        <w:rPr>
          <w:rStyle w:val="30"/>
          <w:rFonts w:ascii="黑体" w:hAnsi="黑体" w:eastAsia="黑体"/>
          <w:b w:val="0"/>
          <w:bCs w:val="0"/>
        </w:rPr>
        <w:t xml:space="preserve"> </w:t>
      </w:r>
      <w:r>
        <w:rPr>
          <w:rStyle w:val="30"/>
          <w:rFonts w:hint="eastAsia" w:ascii="黑体" w:hAnsi="黑体" w:eastAsia="黑体"/>
          <w:b w:val="0"/>
          <w:bCs w:val="0"/>
          <w:lang w:eastAsia="zh-CN"/>
        </w:rPr>
        <w:t>2024年</w:t>
      </w:r>
      <w:r>
        <w:rPr>
          <w:rStyle w:val="30"/>
          <w:rFonts w:hint="eastAsia" w:ascii="黑体" w:hAnsi="黑体" w:eastAsia="黑体"/>
          <w:b w:val="0"/>
          <w:bCs w:val="0"/>
        </w:rPr>
        <w:t>度部门决算情况说明</w:t>
      </w:r>
      <w:bookmarkEnd w:id="14"/>
      <w:bookmarkEnd w:id="15"/>
      <w:bookmarkEnd w:id="16"/>
      <w:bookmarkEnd w:id="17"/>
    </w:p>
    <w:p>
      <w:pPr>
        <w:pStyle w:val="41"/>
        <w:spacing w:line="600" w:lineRule="exact"/>
        <w:ind w:firstLine="640"/>
        <w:outlineLvl w:val="1"/>
        <w:rPr>
          <w:rStyle w:val="31"/>
          <w:rFonts w:ascii="黑体" w:hAnsi="黑体" w:eastAsia="黑体"/>
          <w:b w:val="0"/>
        </w:rPr>
      </w:pPr>
      <w:bookmarkStart w:id="18" w:name="_Toc15377205"/>
      <w:bookmarkStart w:id="19" w:name="_Toc15396603"/>
      <w:bookmarkStart w:id="20" w:name="_Toc29926"/>
      <w:bookmarkStart w:id="21" w:name="_Toc79163610"/>
      <w:r>
        <w:rPr>
          <w:rFonts w:hint="eastAsia" w:ascii="黑体" w:hAnsi="黑体" w:eastAsia="黑体"/>
          <w:color w:val="000000"/>
          <w:sz w:val="32"/>
          <w:szCs w:val="32"/>
        </w:rPr>
        <w:t>一、收</w:t>
      </w:r>
      <w:r>
        <w:rPr>
          <w:rStyle w:val="31"/>
          <w:rFonts w:hint="eastAsia" w:ascii="黑体" w:hAnsi="黑体" w:eastAsia="黑体"/>
          <w:b w:val="0"/>
        </w:rPr>
        <w:t>入支出决算总体情况说明</w:t>
      </w:r>
      <w:bookmarkEnd w:id="18"/>
      <w:bookmarkEnd w:id="19"/>
      <w:bookmarkEnd w:id="20"/>
      <w:bookmarkEnd w:id="21"/>
    </w:p>
    <w:p>
      <w:pPr>
        <w:spacing w:line="600" w:lineRule="exact"/>
        <w:ind w:firstLine="640" w:firstLineChars="200"/>
        <w:rPr>
          <w:rFonts w:hint="eastAsia" w:ascii="仿宋" w:hAnsi="仿宋" w:eastAsia="仿宋"/>
          <w:color w:val="000000"/>
          <w:szCs w:val="32"/>
          <w:lang w:eastAsia="zh-CN"/>
        </w:rPr>
      </w:pPr>
      <w:r>
        <w:rPr>
          <w:rFonts w:hint="eastAsia" w:ascii="仿宋" w:hAnsi="仿宋" w:eastAsia="仿宋" w:cs="仿宋"/>
          <w:color w:val="000000"/>
          <w:kern w:val="2"/>
          <w:sz w:val="32"/>
          <w:szCs w:val="32"/>
          <w:lang w:val="en-US" w:eastAsia="zh-CN" w:bidi="ar"/>
        </w:rPr>
        <w:t>2024年度收入总计1255.23元，支出总计1019.20万元；与2023年相比，收入增加125.35万元，增长11.09%，主要变动原因：</w:t>
      </w:r>
      <w:r>
        <w:rPr>
          <w:rFonts w:hint="eastAsia" w:ascii="仿宋" w:hAnsi="仿宋" w:eastAsia="仿宋"/>
          <w:color w:val="000000"/>
          <w:sz w:val="32"/>
          <w:szCs w:val="32"/>
        </w:rPr>
        <w:t>本年度</w:t>
      </w:r>
      <w:r>
        <w:rPr>
          <w:rFonts w:hint="eastAsia" w:ascii="仿宋" w:hAnsi="仿宋" w:eastAsia="仿宋"/>
          <w:color w:val="000000"/>
          <w:sz w:val="32"/>
          <w:szCs w:val="32"/>
          <w:lang w:val="en-US" w:eastAsia="zh-CN"/>
        </w:rPr>
        <w:t>新增代管资金收入，收入增加；</w:t>
      </w:r>
      <w:r>
        <w:rPr>
          <w:rFonts w:hint="eastAsia" w:ascii="仿宋" w:hAnsi="仿宋" w:eastAsia="仿宋" w:cs="仿宋"/>
          <w:color w:val="000000"/>
          <w:kern w:val="2"/>
          <w:sz w:val="32"/>
          <w:szCs w:val="32"/>
          <w:lang w:val="en-US" w:eastAsia="zh-CN" w:bidi="ar"/>
        </w:rPr>
        <w:t>支出减少110.68万元，下降9.8%。主要变动原因：</w:t>
      </w:r>
      <w:r>
        <w:rPr>
          <w:rFonts w:hint="eastAsia" w:ascii="仿宋" w:hAnsi="仿宋" w:eastAsia="仿宋"/>
          <w:color w:val="000000"/>
          <w:sz w:val="32"/>
          <w:szCs w:val="32"/>
        </w:rPr>
        <w:t>本年度</w:t>
      </w:r>
      <w:r>
        <w:rPr>
          <w:rFonts w:hint="eastAsia" w:ascii="仿宋" w:hAnsi="仿宋" w:eastAsia="仿宋"/>
          <w:color w:val="000000"/>
          <w:sz w:val="32"/>
          <w:szCs w:val="32"/>
          <w:lang w:val="en-US" w:eastAsia="zh-CN"/>
        </w:rPr>
        <w:t>项目减少，支出减少</w:t>
      </w:r>
      <w:r>
        <w:rPr>
          <w:rFonts w:hint="eastAsia" w:ascii="仿宋" w:hAnsi="仿宋" w:eastAsia="仿宋"/>
          <w:color w:val="000000"/>
          <w:sz w:val="32"/>
          <w:szCs w:val="32"/>
          <w:lang w:eastAsia="zh-CN"/>
        </w:rPr>
        <w:t>。</w:t>
      </w:r>
    </w:p>
    <w:p>
      <w:pPr>
        <w:pStyle w:val="10"/>
        <w:ind w:left="0" w:leftChars="0" w:firstLine="0" w:firstLineChars="0"/>
        <w:jc w:val="center"/>
        <w:rPr>
          <w:rFonts w:hint="eastAsia"/>
          <w:lang w:val="en-US" w:eastAsia="zh-CN"/>
        </w:rPr>
      </w:pPr>
      <w:r>
        <w:drawing>
          <wp:inline distT="0" distB="0" distL="114300" distR="114300">
            <wp:extent cx="4134485" cy="2405380"/>
            <wp:effectExtent l="4445" t="4445" r="13970" b="9525"/>
            <wp:docPr id="13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lang w:val="en-US" w:eastAsia="zh-CN"/>
        </w:rPr>
        <w:t xml:space="preserve"> </w:t>
      </w:r>
      <w:r>
        <w:drawing>
          <wp:inline distT="0" distB="0" distL="114300" distR="114300">
            <wp:extent cx="4146550" cy="2245360"/>
            <wp:effectExtent l="4445" t="5080" r="20955" b="16510"/>
            <wp:docPr id="134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0"/>
        <w:jc w:val="center"/>
        <w:rPr>
          <w:rFonts w:hint="eastAsia" w:ascii="仿宋" w:hAnsi="仿宋" w:eastAsia="仿宋"/>
          <w:color w:val="000000"/>
          <w:sz w:val="32"/>
          <w:szCs w:val="32"/>
        </w:rPr>
      </w:pP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41"/>
        <w:spacing w:line="600" w:lineRule="exact"/>
        <w:ind w:left="0" w:leftChars="0" w:firstLine="640" w:firstLineChars="200"/>
        <w:outlineLvl w:val="1"/>
        <w:rPr>
          <w:rFonts w:hint="eastAsia" w:ascii="黑体" w:hAnsi="黑体" w:eastAsia="黑体"/>
          <w:color w:val="000000"/>
          <w:sz w:val="32"/>
          <w:szCs w:val="32"/>
        </w:rPr>
        <w:sectPr>
          <w:footerReference r:id="rId7" w:type="default"/>
          <w:pgSz w:w="11906" w:h="16838"/>
          <w:pgMar w:top="1440" w:right="1800" w:bottom="1440" w:left="1800" w:header="851" w:footer="992" w:gutter="0"/>
          <w:pgNumType w:fmt="decimal" w:start="6"/>
          <w:cols w:space="425" w:num="1"/>
          <w:docGrid w:type="lines" w:linePitch="312" w:charSpace="0"/>
        </w:sectPr>
      </w:pPr>
      <w:bookmarkStart w:id="22" w:name="_Toc15377206"/>
      <w:bookmarkStart w:id="23" w:name="_Toc15396604"/>
      <w:bookmarkStart w:id="24" w:name="_Toc79163611"/>
    </w:p>
    <w:p>
      <w:pPr>
        <w:pStyle w:val="41"/>
        <w:spacing w:line="600" w:lineRule="exact"/>
        <w:ind w:left="0" w:leftChars="0" w:firstLine="640" w:firstLineChars="200"/>
        <w:outlineLvl w:val="1"/>
        <w:rPr>
          <w:rStyle w:val="31"/>
          <w:rFonts w:ascii="黑体" w:hAnsi="黑体" w:eastAsia="黑体"/>
          <w:b w:val="0"/>
        </w:rPr>
      </w:pPr>
      <w:bookmarkStart w:id="25" w:name="_Toc23496"/>
      <w:r>
        <w:rPr>
          <w:rFonts w:hint="eastAsia" w:ascii="黑体" w:hAnsi="黑体" w:eastAsia="黑体"/>
          <w:color w:val="000000"/>
          <w:sz w:val="32"/>
          <w:szCs w:val="32"/>
        </w:rPr>
        <w:t>二、收</w:t>
      </w:r>
      <w:r>
        <w:rPr>
          <w:rStyle w:val="31"/>
          <w:rFonts w:hint="eastAsia" w:ascii="黑体" w:hAnsi="黑体" w:eastAsia="黑体"/>
          <w:b w:val="0"/>
        </w:rPr>
        <w:t>入决算情况说明</w:t>
      </w:r>
      <w:bookmarkEnd w:id="22"/>
      <w:bookmarkEnd w:id="23"/>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1255.23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1013.96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80.78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其他收入241.26万元，占19.22%</w:t>
      </w:r>
      <w:r>
        <w:rPr>
          <w:rFonts w:hint="eastAsia" w:ascii="仿宋" w:hAnsi="仿宋" w:eastAsia="仿宋"/>
          <w:color w:val="000000"/>
          <w:sz w:val="32"/>
          <w:szCs w:val="32"/>
        </w:rPr>
        <w:t>。</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536575</wp:posOffset>
            </wp:positionH>
            <wp:positionV relativeFrom="paragraph">
              <wp:posOffset>219075</wp:posOffset>
            </wp:positionV>
            <wp:extent cx="3620135" cy="2018030"/>
            <wp:effectExtent l="5080" t="4445" r="13335" b="15875"/>
            <wp:wrapSquare wrapText="bothSides"/>
            <wp:docPr id="135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1920" w:firstLineChars="6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17"/>
      </w:pPr>
    </w:p>
    <w:p>
      <w:pPr>
        <w:pStyle w:val="41"/>
        <w:spacing w:line="600" w:lineRule="exact"/>
        <w:ind w:left="640" w:firstLine="0" w:firstLineChars="0"/>
        <w:outlineLvl w:val="1"/>
        <w:rPr>
          <w:rStyle w:val="31"/>
          <w:rFonts w:ascii="黑体" w:hAnsi="黑体" w:eastAsia="黑体"/>
          <w:b w:val="0"/>
        </w:rPr>
      </w:pPr>
      <w:bookmarkStart w:id="26" w:name="_Toc15377207"/>
      <w:bookmarkStart w:id="27" w:name="_Toc15396605"/>
      <w:bookmarkStart w:id="28" w:name="_Toc79163612"/>
      <w:bookmarkStart w:id="29" w:name="_Toc631"/>
      <w:r>
        <w:rPr>
          <w:rFonts w:hint="eastAsia" w:ascii="黑体" w:hAnsi="黑体" w:eastAsia="黑体"/>
          <w:color w:val="000000"/>
          <w:sz w:val="32"/>
          <w:szCs w:val="32"/>
        </w:rPr>
        <w:t>三、支</w:t>
      </w:r>
      <w:r>
        <w:rPr>
          <w:rStyle w:val="31"/>
          <w:rFonts w:hint="eastAsia" w:ascii="黑体" w:hAnsi="黑体" w:eastAsia="黑体"/>
          <w:b w:val="0"/>
        </w:rPr>
        <w:t>出决算情况说明</w:t>
      </w:r>
      <w:bookmarkEnd w:id="26"/>
      <w:bookmarkEnd w:id="27"/>
      <w:bookmarkEnd w:id="28"/>
      <w:bookmarkEnd w:id="29"/>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2024年</w:t>
      </w:r>
      <w:r>
        <w:rPr>
          <w:rFonts w:hint="eastAsia" w:ascii="仿宋_GB2312" w:eastAsia="仿宋_GB2312"/>
          <w:sz w:val="32"/>
          <w:szCs w:val="32"/>
        </w:rPr>
        <w:t>本年支出合计</w:t>
      </w:r>
      <w:r>
        <w:rPr>
          <w:rFonts w:hint="eastAsia" w:ascii="仿宋_GB2312" w:eastAsia="仿宋_GB2312"/>
          <w:sz w:val="32"/>
          <w:szCs w:val="32"/>
          <w:lang w:eastAsia="zh-CN"/>
        </w:rPr>
        <w:t>1019.2</w:t>
      </w:r>
      <w:r>
        <w:rPr>
          <w:rFonts w:hint="eastAsia" w:ascii="仿宋_GB2312" w:eastAsia="仿宋_GB2312"/>
          <w:sz w:val="32"/>
          <w:szCs w:val="32"/>
        </w:rPr>
        <w:t>万元，其中：基本支出</w:t>
      </w:r>
      <w:r>
        <w:rPr>
          <w:rFonts w:hint="eastAsia" w:ascii="仿宋_GB2312" w:eastAsia="仿宋_GB2312"/>
          <w:sz w:val="32"/>
          <w:szCs w:val="32"/>
          <w:lang w:eastAsia="zh-CN"/>
        </w:rPr>
        <w:t>396.27</w:t>
      </w:r>
      <w:r>
        <w:rPr>
          <w:rFonts w:hint="eastAsia" w:ascii="仿宋_GB2312" w:eastAsia="仿宋_GB2312"/>
          <w:sz w:val="32"/>
          <w:szCs w:val="32"/>
        </w:rPr>
        <w:t>万元，占</w:t>
      </w:r>
      <w:r>
        <w:rPr>
          <w:rFonts w:hint="eastAsia" w:ascii="仿宋_GB2312" w:eastAsia="仿宋_GB2312"/>
          <w:sz w:val="32"/>
          <w:szCs w:val="32"/>
          <w:lang w:val="en-US" w:eastAsia="zh-CN"/>
        </w:rPr>
        <w:t>38.88</w:t>
      </w:r>
      <w:r>
        <w:rPr>
          <w:rFonts w:hint="eastAsia" w:ascii="仿宋_GB2312" w:eastAsia="仿宋_GB2312"/>
          <w:sz w:val="32"/>
          <w:szCs w:val="32"/>
        </w:rPr>
        <w:t>%；项目支出</w:t>
      </w:r>
      <w:r>
        <w:rPr>
          <w:rFonts w:hint="eastAsia" w:ascii="仿宋_GB2312" w:eastAsia="仿宋_GB2312"/>
          <w:sz w:val="32"/>
          <w:szCs w:val="32"/>
          <w:lang w:eastAsia="zh-CN"/>
        </w:rPr>
        <w:t>622.93</w:t>
      </w:r>
      <w:r>
        <w:rPr>
          <w:rFonts w:hint="eastAsia" w:ascii="仿宋_GB2312" w:eastAsia="仿宋_GB2312"/>
          <w:sz w:val="32"/>
          <w:szCs w:val="32"/>
        </w:rPr>
        <w:t>万元，</w:t>
      </w:r>
      <w:r>
        <w:rPr>
          <w:rFonts w:hint="eastAsia" w:ascii="仿宋_GB2312" w:eastAsia="仿宋_GB2312"/>
          <w:sz w:val="32"/>
          <w:szCs w:val="32"/>
          <w:lang w:val="en-US" w:eastAsia="zh-CN"/>
        </w:rPr>
        <w:t>61.12</w:t>
      </w:r>
      <w:r>
        <w:rPr>
          <w:rFonts w:hint="eastAsia" w:ascii="仿宋_GB2312" w:eastAsia="仿宋_GB2312"/>
          <w:sz w:val="32"/>
          <w:szCs w:val="32"/>
        </w:rPr>
        <w:t>%；</w:t>
      </w:r>
    </w:p>
    <w:p>
      <w:pPr>
        <w:pStyle w:val="10"/>
        <w:rPr>
          <w:rFonts w:ascii="仿宋" w:hAnsi="仿宋" w:eastAsia="仿宋"/>
          <w:color w:val="000000"/>
          <w:szCs w:val="32"/>
          <w:shd w:val="pct10" w:color="auto" w:fill="FFFFFF"/>
        </w:rPr>
      </w:pPr>
      <w:r>
        <w:drawing>
          <wp:inline distT="0" distB="0" distL="114300" distR="114300">
            <wp:extent cx="3658870" cy="2108200"/>
            <wp:effectExtent l="4445" t="4445" r="13335" b="20955"/>
            <wp:docPr id="134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600" w:lineRule="exact"/>
        <w:ind w:firstLine="2240" w:firstLineChars="7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pStyle w:val="17"/>
      </w:pPr>
    </w:p>
    <w:p>
      <w:pPr>
        <w:spacing w:line="600" w:lineRule="exact"/>
        <w:ind w:firstLine="640" w:firstLineChars="200"/>
        <w:outlineLvl w:val="1"/>
        <w:rPr>
          <w:rStyle w:val="31"/>
          <w:rFonts w:ascii="黑体" w:hAnsi="黑体" w:eastAsia="黑体"/>
          <w:b w:val="0"/>
        </w:rPr>
      </w:pPr>
      <w:bookmarkStart w:id="30" w:name="_Toc79163613"/>
      <w:bookmarkStart w:id="31" w:name="_Toc15396606"/>
      <w:bookmarkStart w:id="32" w:name="_Toc3545"/>
      <w:bookmarkStart w:id="33" w:name="_Toc15377208"/>
      <w:r>
        <w:rPr>
          <w:rFonts w:hint="eastAsia" w:ascii="黑体" w:hAnsi="黑体" w:eastAsia="黑体"/>
          <w:color w:val="000000"/>
          <w:sz w:val="32"/>
          <w:szCs w:val="32"/>
        </w:rPr>
        <w:t>四、财</w:t>
      </w:r>
      <w:r>
        <w:rPr>
          <w:rStyle w:val="31"/>
          <w:rFonts w:hint="eastAsia" w:ascii="黑体" w:hAnsi="黑体" w:eastAsia="黑体"/>
          <w:b w:val="0"/>
        </w:rPr>
        <w:t>政拨款收入支出决算总体情况说明</w:t>
      </w:r>
      <w:bookmarkEnd w:id="30"/>
      <w:bookmarkEnd w:id="31"/>
      <w:bookmarkEnd w:id="32"/>
      <w:bookmarkEnd w:id="33"/>
    </w:p>
    <w:p>
      <w:pPr>
        <w:spacing w:line="600" w:lineRule="exact"/>
        <w:ind w:firstLine="640"/>
        <w:rPr>
          <w:rFonts w:ascii="仿宋" w:hAnsi="仿宋" w:eastAsia="仿宋"/>
          <w:color w:val="000000"/>
          <w:sz w:val="32"/>
          <w:szCs w:val="32"/>
        </w:rPr>
      </w:pPr>
      <w:r>
        <w:rPr>
          <w:rFonts w:hint="eastAsia" w:ascii="仿宋" w:hAnsi="仿宋" w:eastAsia="仿宋" w:cs="仿宋"/>
          <w:color w:val="000000"/>
          <w:kern w:val="2"/>
          <w:sz w:val="32"/>
          <w:szCs w:val="32"/>
          <w:lang w:val="en-US" w:eastAsia="zh-CN" w:bidi="ar"/>
        </w:rPr>
        <w:t>2024年度财政拨款收入总计1013.96元，财政拨款支出总计1013.96万元；与2023年相比，财政拨款收入减少115.92万元，下降10.26%，财政拨款支出减少115.92万元，下降10.26%。主要变动原因：本年度项目减少，收支减少</w:t>
      </w:r>
      <w:r>
        <w:rPr>
          <w:rFonts w:hint="eastAsia" w:ascii="仿宋" w:hAnsi="仿宋" w:eastAsia="仿宋"/>
          <w:color w:val="000000"/>
          <w:sz w:val="32"/>
          <w:szCs w:val="32"/>
        </w:rPr>
        <w:t>。</w:t>
      </w:r>
    </w:p>
    <w:p>
      <w:pPr>
        <w:pStyle w:val="10"/>
        <w:jc w:val="both"/>
      </w:pPr>
      <w:r>
        <w:drawing>
          <wp:inline distT="0" distB="0" distL="114300" distR="114300">
            <wp:extent cx="4208780" cy="2156460"/>
            <wp:effectExtent l="4445" t="4445" r="15875" b="10795"/>
            <wp:docPr id="134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0"/>
        <w:jc w:val="both"/>
        <w:rPr>
          <w:rFonts w:ascii="仿宋" w:hAnsi="仿宋" w:eastAsia="仿宋"/>
          <w:color w:val="000000"/>
          <w:szCs w:val="32"/>
        </w:rPr>
      </w:pPr>
      <w:r>
        <w:drawing>
          <wp:inline distT="0" distB="0" distL="114300" distR="114300">
            <wp:extent cx="4340860" cy="2025650"/>
            <wp:effectExtent l="4445" t="4445" r="17145" b="8255"/>
            <wp:docPr id="134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31"/>
          <w:rFonts w:ascii="黑体" w:hAnsi="黑体" w:eastAsia="黑体"/>
          <w:b w:val="0"/>
        </w:rPr>
      </w:pPr>
      <w:bookmarkStart w:id="34" w:name="_Toc30996"/>
      <w:bookmarkStart w:id="35" w:name="_Toc79163614"/>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1"/>
          <w:rFonts w:hint="eastAsia" w:ascii="黑体" w:hAnsi="黑体" w:eastAsia="黑体"/>
          <w:b w:val="0"/>
        </w:rPr>
        <w:t>般公共预算财政拨款支出决算情况说明</w:t>
      </w:r>
      <w:bookmarkEnd w:id="34"/>
      <w:bookmarkEnd w:id="35"/>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1309"/>
      <w:bookmarkStart w:id="39" w:name="_Toc79163615"/>
      <w:bookmarkStart w:id="40" w:name="_Toc15377210"/>
      <w:r>
        <w:rPr>
          <w:rFonts w:hint="eastAsia" w:ascii="仿宋" w:hAnsi="仿宋" w:eastAsia="仿宋"/>
          <w:b/>
          <w:color w:val="000000"/>
          <w:sz w:val="32"/>
          <w:szCs w:val="32"/>
        </w:rPr>
        <w:t>（一）一般公共预算财政拨款支出决算总体情况</w:t>
      </w:r>
      <w:bookmarkEnd w:id="38"/>
      <w:bookmarkEnd w:id="39"/>
      <w:bookmarkEnd w:id="4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1013.96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99.48</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相比，一般公共预算财政拨款</w:t>
      </w:r>
      <w:r>
        <w:rPr>
          <w:rFonts w:hint="eastAsia" w:ascii="仿宋" w:hAnsi="仿宋" w:eastAsia="仿宋" w:cs="仿宋"/>
          <w:color w:val="000000"/>
          <w:kern w:val="2"/>
          <w:sz w:val="32"/>
          <w:szCs w:val="32"/>
          <w:lang w:val="en-US" w:eastAsia="zh-CN" w:bidi="ar"/>
        </w:rPr>
        <w:t>减少115.92万元，下降10.26%。主要变动原因：本年度项目减少，收支减少</w:t>
      </w:r>
      <w:r>
        <w:rPr>
          <w:rFonts w:hint="eastAsia" w:ascii="仿宋" w:hAnsi="仿宋" w:eastAsia="仿宋"/>
          <w:color w:val="000000"/>
          <w:sz w:val="32"/>
          <w:szCs w:val="32"/>
        </w:rPr>
        <w:t>。</w:t>
      </w:r>
    </w:p>
    <w:p>
      <w:pPr>
        <w:pStyle w:val="10"/>
        <w:rPr>
          <w:rFonts w:ascii="仿宋" w:hAnsi="仿宋" w:eastAsia="仿宋"/>
          <w:color w:val="000000"/>
          <w:szCs w:val="32"/>
        </w:rPr>
      </w:pPr>
      <w:r>
        <w:drawing>
          <wp:inline distT="0" distB="0" distL="114300" distR="114300">
            <wp:extent cx="4168140" cy="2306320"/>
            <wp:effectExtent l="4445" t="4445" r="18415" b="13335"/>
            <wp:docPr id="134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0"/>
        <w:ind w:firstLine="320" w:firstLineChars="100"/>
        <w:rPr>
          <w:rFonts w:hint="eastAsia"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5</w:t>
      </w:r>
      <w:r>
        <w:rPr>
          <w:rFonts w:hint="eastAsia" w:ascii="仿宋" w:hAnsi="仿宋" w:eastAsia="仿宋"/>
          <w:color w:val="000000"/>
          <w:szCs w:val="32"/>
        </w:rPr>
        <w:t>：一般公共预算财政拨款支出决算变动情况）</w:t>
      </w:r>
    </w:p>
    <w:p/>
    <w:p>
      <w:pPr>
        <w:spacing w:line="600" w:lineRule="exact"/>
        <w:ind w:firstLine="643" w:firstLineChars="200"/>
        <w:outlineLvl w:val="2"/>
        <w:rPr>
          <w:rFonts w:ascii="仿宋" w:hAnsi="仿宋" w:eastAsia="仿宋"/>
          <w:b/>
          <w:color w:val="000000"/>
          <w:sz w:val="32"/>
          <w:szCs w:val="32"/>
        </w:rPr>
      </w:pPr>
      <w:bookmarkStart w:id="41" w:name="_Toc15377211"/>
      <w:bookmarkStart w:id="42" w:name="_Toc7609"/>
      <w:bookmarkStart w:id="43" w:name="_Toc79163616"/>
      <w:r>
        <w:rPr>
          <w:rFonts w:hint="eastAsia" w:ascii="仿宋" w:hAnsi="仿宋" w:eastAsia="仿宋"/>
          <w:b/>
          <w:color w:val="000000"/>
          <w:sz w:val="32"/>
          <w:szCs w:val="32"/>
        </w:rPr>
        <w:t>（二）一般公共预算财政拨款支出决算结构情况</w:t>
      </w:r>
      <w:bookmarkEnd w:id="41"/>
      <w:bookmarkEnd w:id="42"/>
      <w:bookmarkEnd w:id="43"/>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1013.96</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一般公共服务</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901.24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88.88</w:t>
      </w:r>
      <w:r>
        <w:rPr>
          <w:rFonts w:hint="eastAsia" w:ascii="仿宋" w:hAnsi="仿宋" w:eastAsia="仿宋"/>
          <w:color w:val="000000"/>
          <w:sz w:val="32"/>
          <w:szCs w:val="32"/>
        </w:rPr>
        <w:t>%；</w:t>
      </w:r>
      <w:r>
        <w:rPr>
          <w:rFonts w:hint="eastAsia" w:ascii="仿宋" w:hAnsi="仿宋" w:eastAsia="仿宋"/>
          <w:b/>
          <w:bCs/>
          <w:color w:val="000000"/>
          <w:sz w:val="32"/>
          <w:szCs w:val="32"/>
        </w:rPr>
        <w:t>公共安全支出</w:t>
      </w:r>
      <w:r>
        <w:rPr>
          <w:rFonts w:hint="default" w:ascii="仿宋" w:hAnsi="仿宋" w:eastAsia="仿宋"/>
          <w:b w:val="0"/>
          <w:bCs w:val="0"/>
          <w:color w:val="000000"/>
          <w:sz w:val="32"/>
          <w:szCs w:val="32"/>
        </w:rPr>
        <w:t>10.00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0.99</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b/>
          <w:bCs/>
          <w:color w:val="000000"/>
          <w:sz w:val="32"/>
          <w:szCs w:val="32"/>
        </w:rPr>
        <w:t>支出</w:t>
      </w:r>
      <w:r>
        <w:rPr>
          <w:rFonts w:hint="default" w:ascii="仿宋" w:hAnsi="仿宋" w:eastAsia="仿宋"/>
          <w:color w:val="000000"/>
          <w:sz w:val="32"/>
          <w:szCs w:val="32"/>
        </w:rPr>
        <w:t>55.66</w:t>
      </w:r>
      <w:r>
        <w:rPr>
          <w:rFonts w:hint="eastAsia" w:ascii="仿宋" w:hAnsi="仿宋" w:eastAsia="仿宋"/>
          <w:color w:val="000000"/>
          <w:sz w:val="32"/>
          <w:szCs w:val="32"/>
        </w:rPr>
        <w:t>万元，占5.</w:t>
      </w:r>
      <w:r>
        <w:rPr>
          <w:rFonts w:hint="eastAsia" w:ascii="仿宋" w:hAnsi="仿宋" w:eastAsia="仿宋"/>
          <w:color w:val="000000"/>
          <w:sz w:val="32"/>
          <w:szCs w:val="32"/>
          <w:lang w:val="en-US" w:eastAsia="zh-CN"/>
        </w:rPr>
        <w:t>49</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default" w:ascii="仿宋" w:hAnsi="仿宋" w:eastAsia="仿宋"/>
          <w:color w:val="000000"/>
          <w:sz w:val="32"/>
          <w:szCs w:val="32"/>
        </w:rPr>
        <w:t>19.48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1.92</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default" w:ascii="仿宋" w:hAnsi="仿宋" w:eastAsia="仿宋"/>
          <w:color w:val="000000"/>
          <w:sz w:val="32"/>
          <w:szCs w:val="32"/>
        </w:rPr>
        <w:t>27.58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2.72</w:t>
      </w:r>
      <w:r>
        <w:rPr>
          <w:rFonts w:hint="eastAsia" w:ascii="仿宋" w:hAnsi="仿宋" w:eastAsia="仿宋"/>
          <w:color w:val="000000"/>
          <w:sz w:val="32"/>
          <w:szCs w:val="32"/>
        </w:rPr>
        <w:t>%。</w:t>
      </w:r>
    </w:p>
    <w:p>
      <w:pPr>
        <w:pStyle w:val="8"/>
        <w:jc w:val="center"/>
        <w:rPr>
          <w:rFonts w:hint="eastAsia" w:ascii="仿宋" w:hAnsi="仿宋" w:eastAsia="仿宋"/>
          <w:color w:val="000000"/>
          <w:sz w:val="32"/>
          <w:szCs w:val="32"/>
        </w:rPr>
      </w:pPr>
      <w:r>
        <w:drawing>
          <wp:inline distT="0" distB="0" distL="114300" distR="114300">
            <wp:extent cx="3723005" cy="2057400"/>
            <wp:effectExtent l="4445" t="4445" r="6350" b="14605"/>
            <wp:docPr id="135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3" w:firstLineChars="200"/>
        <w:outlineLvl w:val="2"/>
        <w:rPr>
          <w:rFonts w:hint="eastAsia" w:ascii="仿宋" w:hAnsi="仿宋" w:eastAsia="仿宋"/>
          <w:b/>
          <w:color w:val="000000"/>
          <w:sz w:val="32"/>
          <w:szCs w:val="32"/>
        </w:rPr>
        <w:sectPr>
          <w:footerReference r:id="rId8" w:type="default"/>
          <w:pgSz w:w="11906" w:h="16838"/>
          <w:pgMar w:top="1440" w:right="1800" w:bottom="1440" w:left="1800" w:header="851" w:footer="992" w:gutter="0"/>
          <w:pgNumType w:fmt="decimal"/>
          <w:cols w:space="425" w:num="1"/>
          <w:docGrid w:type="lines" w:linePitch="312" w:charSpace="0"/>
        </w:sectPr>
      </w:pPr>
      <w:bookmarkStart w:id="44" w:name="_Toc15377212"/>
      <w:bookmarkStart w:id="45" w:name="_Toc79163617"/>
    </w:p>
    <w:p>
      <w:pPr>
        <w:spacing w:line="600" w:lineRule="exact"/>
        <w:ind w:firstLine="643" w:firstLineChars="200"/>
        <w:outlineLvl w:val="2"/>
        <w:rPr>
          <w:rFonts w:ascii="仿宋" w:hAnsi="仿宋" w:eastAsia="仿宋"/>
          <w:b/>
          <w:color w:val="000000"/>
          <w:sz w:val="32"/>
          <w:szCs w:val="32"/>
        </w:rPr>
      </w:pPr>
      <w:bookmarkStart w:id="46" w:name="_Toc11521"/>
      <w:r>
        <w:rPr>
          <w:rFonts w:hint="eastAsia" w:ascii="仿宋" w:hAnsi="仿宋" w:eastAsia="仿宋"/>
          <w:b/>
          <w:color w:val="000000"/>
          <w:sz w:val="32"/>
          <w:szCs w:val="32"/>
        </w:rPr>
        <w:t>（三）一般公共预算财政拨款支出决算具体情况</w:t>
      </w:r>
      <w:bookmarkEnd w:id="44"/>
      <w:bookmarkEnd w:id="45"/>
      <w:bookmarkEnd w:id="46"/>
    </w:p>
    <w:p>
      <w:pPr>
        <w:spacing w:line="600" w:lineRule="exact"/>
        <w:ind w:firstLine="643" w:firstLineChars="200"/>
        <w:rPr>
          <w:rFonts w:ascii="仿宋_GB2312" w:eastAsia="仿宋_GB2312"/>
          <w:b/>
          <w:bCs/>
          <w:sz w:val="32"/>
          <w:szCs w:val="32"/>
        </w:rPr>
      </w:pPr>
      <w:bookmarkStart w:id="47" w:name="_Toc15378460"/>
      <w:bookmarkStart w:id="48" w:name="_Toc15377213"/>
      <w:bookmarkStart w:id="49" w:name="_Toc15377444"/>
      <w:r>
        <w:rPr>
          <w:rFonts w:hint="eastAsia" w:ascii="仿宋_GB2312" w:eastAsia="仿宋_GB2312"/>
          <w:b/>
          <w:bCs/>
          <w:sz w:val="32"/>
          <w:szCs w:val="32"/>
          <w:lang w:eastAsia="zh-CN"/>
        </w:rPr>
        <w:t>2024年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1129.88</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47"/>
      <w:bookmarkEnd w:id="48"/>
      <w:bookmarkEnd w:id="49"/>
    </w:p>
    <w:p>
      <w:pPr>
        <w:spacing w:line="600" w:lineRule="exact"/>
        <w:ind w:firstLine="643" w:firstLineChars="200"/>
        <w:rPr>
          <w:rFonts w:ascii="仿宋" w:hAnsi="仿宋" w:eastAsia="仿宋"/>
          <w:b/>
          <w:color w:val="000000"/>
          <w:sz w:val="32"/>
          <w:szCs w:val="32"/>
        </w:rPr>
      </w:pPr>
      <w:r>
        <w:rPr>
          <w:rStyle w:val="26"/>
          <w:rFonts w:ascii="仿宋" w:hAnsi="仿宋" w:eastAsia="仿宋"/>
          <w:bCs/>
          <w:color w:val="000000"/>
          <w:sz w:val="32"/>
          <w:szCs w:val="32"/>
        </w:rPr>
        <w:t>1.</w:t>
      </w:r>
      <w:r>
        <w:rPr>
          <w:rStyle w:val="26"/>
          <w:rFonts w:hint="eastAsia" w:ascii="仿宋" w:hAnsi="仿宋" w:eastAsia="仿宋"/>
          <w:bCs/>
          <w:color w:val="000000"/>
          <w:sz w:val="32"/>
          <w:szCs w:val="32"/>
        </w:rPr>
        <w:t>一般公共服务（类）民族事务（款）民族工作专项（项）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支出决算为7.96万元，完成预算100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rPr>
        <w:t>2</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一般公共服务（类）统战事务（款）行政运行（项）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支出决算为293.55万元，完成预算100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rPr>
        <w:t>3</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一般公共服务（类）民族事务（款）一般行政管理事务（项）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支出决算为311.16万元，完成预算100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rPr>
        <w:t>4</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一般公共服务（类）民族事务（款）宗教事务（项）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支出决算为96.28万元，完成预算100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rPr>
        <w:t>5</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一般公共服务（类）民族事务（款）其他统战事务支出（项）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支出决算为192.29万元，完成预算100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Style w:val="26"/>
          <w:rFonts w:ascii="仿宋" w:hAnsi="仿宋" w:eastAsia="仿宋"/>
          <w:bCs/>
          <w:color w:val="000000"/>
          <w:sz w:val="32"/>
          <w:szCs w:val="32"/>
        </w:rPr>
      </w:pPr>
      <w:r>
        <w:rPr>
          <w:rStyle w:val="26"/>
          <w:rFonts w:hint="eastAsia" w:ascii="仿宋" w:hAnsi="仿宋" w:eastAsia="仿宋"/>
          <w:bCs/>
          <w:color w:val="000000"/>
          <w:sz w:val="32"/>
          <w:szCs w:val="32"/>
        </w:rPr>
        <w:t>6</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公共安全支出（类）其他公共安全支出（款）其他公共安全支出（项）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支出决算为10.00万元，完成预算100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rPr>
        <w:t>7</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社会保障和就业（类）行政事业单位养老支出（款）机关事业单位基本养老保险缴费支出（项）</w:t>
      </w:r>
      <w:r>
        <w:rPr>
          <w:rStyle w:val="26"/>
          <w:rFonts w:hint="eastAsia" w:ascii="仿宋" w:hAnsi="仿宋" w:eastAsia="仿宋"/>
          <w:bCs/>
          <w:color w:val="000000"/>
          <w:sz w:val="32"/>
          <w:szCs w:val="32"/>
          <w:lang w:eastAsia="zh-CN"/>
        </w:rPr>
        <w:t>：</w:t>
      </w:r>
      <w:r>
        <w:rPr>
          <w:rStyle w:val="26"/>
          <w:rFonts w:hint="eastAsia" w:ascii="仿宋" w:hAnsi="仿宋" w:eastAsia="仿宋"/>
          <w:b w:val="0"/>
          <w:bCs/>
          <w:color w:val="000000"/>
          <w:sz w:val="32"/>
          <w:szCs w:val="32"/>
        </w:rPr>
        <w:t>支出决算为37.12万元，完成预算100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Style w:val="26"/>
          <w:rFonts w:hint="eastAsia" w:ascii="仿宋" w:hAnsi="仿宋" w:eastAsia="仿宋"/>
          <w:bCs/>
          <w:color w:val="000000"/>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pPr>
        <w:spacing w:line="600" w:lineRule="exact"/>
        <w:ind w:firstLine="643" w:firstLineChars="200"/>
        <w:rPr>
          <w:rStyle w:val="26"/>
          <w:rFonts w:hint="eastAsia" w:ascii="仿宋" w:hAnsi="仿宋" w:eastAsia="仿宋"/>
          <w:b w:val="0"/>
          <w:bCs/>
          <w:color w:val="000000"/>
          <w:sz w:val="32"/>
          <w:szCs w:val="32"/>
        </w:rPr>
      </w:pPr>
      <w:r>
        <w:rPr>
          <w:rStyle w:val="26"/>
          <w:rFonts w:hint="eastAsia" w:ascii="仿宋" w:hAnsi="仿宋" w:eastAsia="仿宋"/>
          <w:bCs/>
          <w:color w:val="000000"/>
          <w:sz w:val="32"/>
          <w:szCs w:val="32"/>
        </w:rPr>
        <w:t>8</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社会保障和就业（类）行政事业单位养老支出（款）机关事业单位职业年金缴费支出（项）</w:t>
      </w:r>
      <w:r>
        <w:rPr>
          <w:rStyle w:val="26"/>
          <w:rFonts w:hint="eastAsia" w:ascii="仿宋" w:hAnsi="仿宋" w:eastAsia="仿宋"/>
          <w:bCs/>
          <w:color w:val="000000"/>
          <w:sz w:val="32"/>
          <w:szCs w:val="32"/>
          <w:lang w:eastAsia="zh-CN"/>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支出决算为18.54万元，完成预算100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9</w:t>
      </w:r>
      <w:r>
        <w:rPr>
          <w:rStyle w:val="26"/>
          <w:rFonts w:ascii="仿宋" w:hAnsi="仿宋" w:eastAsia="仿宋"/>
          <w:bCs/>
          <w:color w:val="000000"/>
          <w:sz w:val="32"/>
          <w:szCs w:val="32"/>
        </w:rPr>
        <w:t>.</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（类）行政事业单位医疗（款）行政单位医疗（项）</w:t>
      </w:r>
      <w:r>
        <w:rPr>
          <w:rStyle w:val="26"/>
          <w:rFonts w:hint="eastAsia" w:ascii="仿宋" w:hAnsi="仿宋" w:eastAsia="仿宋"/>
          <w:bCs/>
          <w:color w:val="000000"/>
          <w:sz w:val="32"/>
          <w:szCs w:val="32"/>
          <w:lang w:eastAsia="zh-CN"/>
        </w:rPr>
        <w:t>：</w:t>
      </w:r>
      <w:r>
        <w:rPr>
          <w:rStyle w:val="26"/>
          <w:rFonts w:hint="eastAsia" w:ascii="仿宋" w:hAnsi="仿宋" w:eastAsia="仿宋"/>
          <w:b w:val="0"/>
          <w:bCs/>
          <w:color w:val="000000"/>
          <w:sz w:val="32"/>
          <w:szCs w:val="32"/>
        </w:rPr>
        <w:t>支出决算为15.57万元，完成预算100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spacing w:line="600" w:lineRule="exact"/>
        <w:ind w:firstLine="643" w:firstLineChars="200"/>
        <w:rPr>
          <w:rStyle w:val="26"/>
          <w:rFonts w:ascii="仿宋" w:hAnsi="仿宋" w:eastAsia="仿宋"/>
          <w:b w:val="0"/>
          <w:bCs/>
          <w:color w:val="000000"/>
          <w:sz w:val="32"/>
          <w:szCs w:val="32"/>
        </w:rPr>
      </w:pPr>
      <w:r>
        <w:rPr>
          <w:rStyle w:val="26"/>
          <w:rFonts w:hint="eastAsia" w:ascii="仿宋" w:hAnsi="仿宋" w:eastAsia="仿宋"/>
          <w:bCs/>
          <w:color w:val="000000"/>
          <w:sz w:val="32"/>
          <w:szCs w:val="32"/>
        </w:rPr>
        <w:t>1</w:t>
      </w:r>
      <w:r>
        <w:rPr>
          <w:rStyle w:val="26"/>
          <w:rFonts w:hint="eastAsia" w:ascii="仿宋" w:hAnsi="仿宋" w:eastAsia="仿宋"/>
          <w:bCs/>
          <w:color w:val="000000"/>
          <w:sz w:val="32"/>
          <w:szCs w:val="32"/>
          <w:lang w:val="en-US" w:eastAsia="zh-CN"/>
        </w:rPr>
        <w:t>0</w:t>
      </w:r>
      <w:r>
        <w:rPr>
          <w:rStyle w:val="26"/>
          <w:rFonts w:ascii="仿宋" w:hAnsi="仿宋" w:eastAsia="仿宋"/>
          <w:bCs/>
          <w:color w:val="000000"/>
          <w:sz w:val="32"/>
          <w:szCs w:val="32"/>
        </w:rPr>
        <w:t>.</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（类）行政事业单位医疗（款）公务员医疗补助（项）</w:t>
      </w:r>
      <w:r>
        <w:rPr>
          <w:rStyle w:val="26"/>
          <w:rFonts w:hint="eastAsia" w:ascii="仿宋" w:hAnsi="仿宋" w:eastAsia="仿宋"/>
          <w:bCs/>
          <w:color w:val="000000"/>
          <w:sz w:val="32"/>
          <w:szCs w:val="32"/>
          <w:lang w:eastAsia="zh-CN"/>
        </w:rPr>
        <w:t>：</w:t>
      </w:r>
      <w:r>
        <w:rPr>
          <w:rStyle w:val="26"/>
          <w:rFonts w:hint="eastAsia" w:ascii="仿宋" w:hAnsi="仿宋" w:eastAsia="仿宋"/>
          <w:b w:val="0"/>
          <w:bCs/>
          <w:color w:val="000000"/>
          <w:sz w:val="32"/>
          <w:szCs w:val="32"/>
        </w:rPr>
        <w:t>支出决算为3.91万元，完成预算100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11.</w:t>
      </w:r>
      <w:r>
        <w:rPr>
          <w:rFonts w:hint="eastAsia" w:ascii="仿宋" w:hAnsi="仿宋" w:eastAsia="仿宋"/>
          <w:b/>
          <w:bCs/>
          <w:color w:val="000000"/>
          <w:sz w:val="32"/>
          <w:szCs w:val="32"/>
        </w:rPr>
        <w:t>住房保障支出</w:t>
      </w:r>
      <w:r>
        <w:rPr>
          <w:rStyle w:val="26"/>
          <w:rFonts w:hint="eastAsia" w:ascii="仿宋" w:hAnsi="仿宋" w:eastAsia="仿宋"/>
          <w:bCs/>
          <w:color w:val="000000"/>
          <w:sz w:val="32"/>
          <w:szCs w:val="32"/>
        </w:rPr>
        <w:t>（类）住房改革支出（款）住房公积金（项）</w:t>
      </w:r>
      <w:r>
        <w:rPr>
          <w:rStyle w:val="26"/>
          <w:rFonts w:hint="eastAsia" w:ascii="仿宋" w:hAnsi="仿宋" w:eastAsia="仿宋"/>
          <w:bCs/>
          <w:color w:val="000000"/>
          <w:sz w:val="32"/>
          <w:szCs w:val="32"/>
          <w:lang w:eastAsia="zh-CN"/>
        </w:rPr>
        <w:t>：</w:t>
      </w:r>
      <w:r>
        <w:rPr>
          <w:rStyle w:val="26"/>
          <w:rFonts w:hint="eastAsia" w:ascii="仿宋" w:hAnsi="仿宋" w:eastAsia="仿宋"/>
          <w:b w:val="0"/>
          <w:bCs/>
          <w:color w:val="000000"/>
          <w:sz w:val="32"/>
          <w:szCs w:val="32"/>
        </w:rPr>
        <w:t>支出决算为26.16万元，完成预算100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pPr>
        <w:pStyle w:val="8"/>
        <w:numPr>
          <w:ilvl w:val="0"/>
          <w:numId w:val="0"/>
        </w:numPr>
        <w:rPr>
          <w:rStyle w:val="26"/>
          <w:rFonts w:hint="eastAsia" w:ascii="仿宋" w:hAnsi="仿宋" w:eastAsia="仿宋"/>
          <w:b w:val="0"/>
          <w:bCs/>
          <w:color w:val="000000"/>
          <w:sz w:val="32"/>
          <w:szCs w:val="32"/>
          <w:lang w:eastAsia="zh-CN"/>
        </w:rPr>
      </w:pPr>
      <w:r>
        <w:rPr>
          <w:rStyle w:val="26"/>
          <w:rFonts w:hint="eastAsia" w:ascii="仿宋" w:hAnsi="仿宋" w:eastAsia="仿宋"/>
          <w:bCs/>
          <w:color w:val="000000"/>
          <w:sz w:val="32"/>
          <w:szCs w:val="32"/>
        </w:rPr>
        <w:t>1</w:t>
      </w:r>
      <w:r>
        <w:rPr>
          <w:rStyle w:val="26"/>
          <w:rFonts w:hint="eastAsia" w:ascii="仿宋" w:hAnsi="仿宋" w:eastAsia="仿宋"/>
          <w:bCs/>
          <w:color w:val="000000"/>
          <w:sz w:val="32"/>
          <w:szCs w:val="32"/>
          <w:lang w:val="en-US" w:eastAsia="zh-CN"/>
        </w:rPr>
        <w:t>2</w:t>
      </w:r>
      <w:r>
        <w:rPr>
          <w:rStyle w:val="26"/>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26"/>
          <w:rFonts w:hint="eastAsia" w:ascii="仿宋" w:hAnsi="仿宋" w:eastAsia="仿宋"/>
          <w:bCs/>
          <w:color w:val="000000"/>
          <w:sz w:val="32"/>
          <w:szCs w:val="32"/>
        </w:rPr>
        <w:t>（类）住房改革支出（款）购房补贴（项）</w:t>
      </w:r>
      <w:r>
        <w:rPr>
          <w:rStyle w:val="26"/>
          <w:rFonts w:hint="eastAsia" w:ascii="仿宋" w:hAnsi="仿宋" w:eastAsia="仿宋"/>
          <w:bCs/>
          <w:color w:val="000000"/>
          <w:sz w:val="32"/>
          <w:szCs w:val="32"/>
          <w:lang w:eastAsia="zh-CN"/>
        </w:rPr>
        <w:t>：</w:t>
      </w:r>
      <w:r>
        <w:rPr>
          <w:rStyle w:val="26"/>
          <w:rFonts w:hint="eastAsia" w:ascii="仿宋" w:hAnsi="仿宋" w:eastAsia="仿宋"/>
          <w:b w:val="0"/>
          <w:bCs/>
          <w:color w:val="000000"/>
          <w:sz w:val="32"/>
          <w:szCs w:val="32"/>
        </w:rPr>
        <w:t>支出决算为1.4</w:t>
      </w:r>
      <w:r>
        <w:rPr>
          <w:rStyle w:val="26"/>
          <w:rFonts w:hint="eastAsia" w:ascii="仿宋" w:hAnsi="仿宋" w:eastAsia="仿宋"/>
          <w:b w:val="0"/>
          <w:bCs/>
          <w:color w:val="000000"/>
          <w:sz w:val="32"/>
          <w:szCs w:val="32"/>
          <w:lang w:val="en-US" w:eastAsia="zh-CN"/>
        </w:rPr>
        <w:t>3</w:t>
      </w:r>
      <w:r>
        <w:rPr>
          <w:rStyle w:val="26"/>
          <w:rFonts w:hint="eastAsia" w:ascii="仿宋" w:hAnsi="仿宋" w:eastAsia="仿宋"/>
          <w:b w:val="0"/>
          <w:bCs/>
          <w:color w:val="000000"/>
          <w:sz w:val="32"/>
          <w:szCs w:val="32"/>
        </w:rPr>
        <w:t>万元，完成预算100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r>
        <w:rPr>
          <w:rStyle w:val="26"/>
          <w:rFonts w:hint="eastAsia" w:ascii="仿宋" w:hAnsi="仿宋" w:eastAsia="仿宋"/>
          <w:b w:val="0"/>
          <w:bCs/>
          <w:color w:val="000000"/>
          <w:sz w:val="32"/>
          <w:szCs w:val="32"/>
          <w:lang w:eastAsia="zh-CN"/>
        </w:rPr>
        <w:t>。</w:t>
      </w:r>
    </w:p>
    <w:p/>
    <w:p>
      <w:pPr>
        <w:tabs>
          <w:tab w:val="right" w:pos="8306"/>
        </w:tabs>
        <w:spacing w:line="600" w:lineRule="exact"/>
        <w:ind w:firstLine="640"/>
        <w:outlineLvl w:val="1"/>
        <w:rPr>
          <w:rStyle w:val="31"/>
        </w:rPr>
      </w:pPr>
      <w:bookmarkStart w:id="50" w:name="_Toc79163618"/>
      <w:bookmarkStart w:id="51" w:name="_Toc15396608"/>
      <w:bookmarkStart w:id="52" w:name="_Toc15377214"/>
      <w:bookmarkStart w:id="53" w:name="_Toc155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1"/>
          <w:rFonts w:hint="eastAsia" w:ascii="黑体" w:hAnsi="黑体" w:eastAsia="黑体"/>
          <w:b w:val="0"/>
        </w:rPr>
        <w:t>般公共预算财政拨款基本支出决算情况说明</w:t>
      </w:r>
      <w:bookmarkEnd w:id="50"/>
      <w:bookmarkEnd w:id="51"/>
      <w:bookmarkEnd w:id="52"/>
      <w:bookmarkEnd w:id="53"/>
      <w:r>
        <w:rPr>
          <w:rStyle w:val="31"/>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lang w:eastAsia="zh-CN"/>
        </w:rPr>
        <w:t>396.27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356.76</w:t>
      </w:r>
      <w:r>
        <w:rPr>
          <w:rFonts w:hint="eastAsia" w:ascii="仿宋" w:hAnsi="仿宋" w:eastAsia="仿宋"/>
          <w:color w:val="000000"/>
          <w:sz w:val="32"/>
          <w:szCs w:val="32"/>
        </w:rPr>
        <w:t>万元，主要包括：基本工资、津贴补贴、奖金、机关事业单位基本养老保险缴费、职业年金缴费、职工基本医疗保险缴费</w:t>
      </w:r>
      <w:r>
        <w:rPr>
          <w:rFonts w:hint="eastAsia" w:ascii="仿宋" w:hAnsi="仿宋" w:eastAsia="仿宋"/>
          <w:color w:val="000000"/>
          <w:sz w:val="32"/>
          <w:szCs w:val="32"/>
          <w:lang w:eastAsia="zh-CN"/>
        </w:rPr>
        <w:t>、公务员医疗补助缴费、</w:t>
      </w:r>
      <w:r>
        <w:rPr>
          <w:rFonts w:hint="eastAsia" w:ascii="仿宋" w:hAnsi="仿宋" w:eastAsia="仿宋"/>
          <w:color w:val="000000"/>
          <w:sz w:val="32"/>
          <w:szCs w:val="32"/>
        </w:rPr>
        <w:t>其他社会保障缴费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生活补助、医疗费补助</w:t>
      </w:r>
      <w:r>
        <w:rPr>
          <w:rFonts w:hint="eastAsia" w:ascii="仿宋" w:hAnsi="仿宋" w:eastAsia="仿宋"/>
          <w:color w:val="000000"/>
          <w:sz w:val="32"/>
          <w:szCs w:val="32"/>
          <w:lang w:eastAsia="zh-CN"/>
        </w:rPr>
        <w:t>、</w:t>
      </w:r>
      <w:r>
        <w:rPr>
          <w:rFonts w:hint="eastAsia" w:ascii="仿宋" w:hAnsi="仿宋" w:eastAsia="仿宋"/>
          <w:color w:val="000000"/>
          <w:sz w:val="32"/>
          <w:szCs w:val="32"/>
        </w:rPr>
        <w:t>住房公积金。</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日常公用经费3</w:t>
      </w:r>
      <w:r>
        <w:rPr>
          <w:rFonts w:hint="eastAsia" w:ascii="仿宋" w:hAnsi="仿宋" w:eastAsia="仿宋"/>
          <w:color w:val="000000"/>
          <w:sz w:val="32"/>
          <w:szCs w:val="32"/>
          <w:lang w:val="en-US" w:eastAsia="zh-CN"/>
        </w:rPr>
        <w:t>9.51</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eastAsia="zh-CN"/>
        </w:rPr>
        <w:t>、</w:t>
      </w:r>
      <w:r>
        <w:rPr>
          <w:rFonts w:hint="eastAsia" w:ascii="仿宋" w:hAnsi="仿宋" w:eastAsia="仿宋"/>
          <w:color w:val="000000"/>
          <w:sz w:val="32"/>
          <w:szCs w:val="32"/>
        </w:rPr>
        <w:t>电费、邮电费、取暖费、物业管理费、差旅费</w:t>
      </w:r>
      <w:r>
        <w:rPr>
          <w:rFonts w:hint="eastAsia" w:ascii="仿宋" w:hAnsi="仿宋" w:eastAsia="仿宋"/>
          <w:color w:val="000000"/>
          <w:sz w:val="32"/>
          <w:szCs w:val="32"/>
          <w:lang w:eastAsia="zh-CN"/>
        </w:rPr>
        <w:t>、</w:t>
      </w:r>
      <w:r>
        <w:rPr>
          <w:rFonts w:hint="eastAsia" w:ascii="仿宋" w:hAnsi="仿宋" w:eastAsia="仿宋"/>
          <w:color w:val="000000"/>
          <w:sz w:val="32"/>
          <w:szCs w:val="32"/>
        </w:rPr>
        <w:t>公务用车运行维护费。</w:t>
      </w:r>
    </w:p>
    <w:p>
      <w:pPr>
        <w:spacing w:line="600" w:lineRule="exact"/>
        <w:ind w:firstLine="640"/>
        <w:outlineLvl w:val="1"/>
        <w:rPr>
          <w:rStyle w:val="31"/>
          <w:rFonts w:ascii="黑体" w:hAnsi="黑体" w:eastAsia="黑体"/>
          <w:b w:val="0"/>
        </w:rPr>
      </w:pPr>
      <w:bookmarkStart w:id="54" w:name="_Toc15396609"/>
      <w:bookmarkStart w:id="55" w:name="_Toc15377215"/>
      <w:bookmarkStart w:id="56" w:name="_Toc79163619"/>
      <w:bookmarkStart w:id="57" w:name="_Toc3601"/>
      <w:r>
        <w:rPr>
          <w:rFonts w:hint="eastAsia" w:ascii="黑体" w:eastAsia="黑体"/>
          <w:color w:val="000000"/>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54"/>
      <w:bookmarkEnd w:id="55"/>
      <w:bookmarkEnd w:id="56"/>
      <w:bookmarkEnd w:id="57"/>
    </w:p>
    <w:p>
      <w:pPr>
        <w:spacing w:line="600" w:lineRule="exact"/>
        <w:ind w:firstLine="640"/>
        <w:outlineLvl w:val="2"/>
        <w:rPr>
          <w:rFonts w:ascii="仿宋" w:hAnsi="仿宋" w:eastAsia="仿宋"/>
          <w:b/>
          <w:color w:val="000000"/>
          <w:sz w:val="32"/>
          <w:szCs w:val="32"/>
        </w:rPr>
      </w:pPr>
      <w:bookmarkStart w:id="58" w:name="_Toc79163620"/>
      <w:bookmarkStart w:id="59" w:name="_Toc15377216"/>
      <w:bookmarkStart w:id="60" w:name="_Toc1192"/>
      <w:r>
        <w:rPr>
          <w:rFonts w:hint="eastAsia" w:ascii="仿宋" w:hAnsi="仿宋" w:eastAsia="仿宋"/>
          <w:b/>
          <w:color w:val="000000"/>
          <w:sz w:val="32"/>
          <w:szCs w:val="32"/>
        </w:rPr>
        <w:t>（一）“三公”经费财政拨款支出决算总体情况说明</w:t>
      </w:r>
      <w:bookmarkEnd w:id="58"/>
      <w:bookmarkEnd w:id="59"/>
      <w:bookmarkEnd w:id="6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“三公”经费财政拨款支出决算为</w:t>
      </w:r>
      <w:r>
        <w:rPr>
          <w:rFonts w:hint="eastAsia" w:ascii="仿宋_GB2312" w:eastAsia="仿宋_GB2312"/>
          <w:color w:val="000000"/>
          <w:sz w:val="32"/>
          <w:szCs w:val="32"/>
          <w:lang w:val="en-US" w:eastAsia="zh-CN"/>
        </w:rPr>
        <w:t>5.96</w:t>
      </w:r>
      <w:r>
        <w:rPr>
          <w:rFonts w:hint="eastAsia" w:ascii="仿宋" w:hAnsi="仿宋" w:eastAsia="仿宋"/>
          <w:color w:val="000000"/>
          <w:sz w:val="32"/>
          <w:szCs w:val="32"/>
        </w:rPr>
        <w:t>万元。</w:t>
      </w:r>
    </w:p>
    <w:p>
      <w:pPr>
        <w:spacing w:line="600" w:lineRule="exact"/>
        <w:ind w:firstLine="640"/>
        <w:outlineLvl w:val="2"/>
        <w:rPr>
          <w:rFonts w:ascii="仿宋" w:hAnsi="仿宋" w:eastAsia="仿宋"/>
          <w:b/>
          <w:color w:val="000000"/>
          <w:sz w:val="32"/>
          <w:szCs w:val="32"/>
        </w:rPr>
      </w:pPr>
      <w:bookmarkStart w:id="61" w:name="_Toc79163621"/>
      <w:bookmarkStart w:id="62" w:name="_Toc15377217"/>
      <w:bookmarkStart w:id="63" w:name="_Toc23708"/>
      <w:r>
        <w:rPr>
          <w:rFonts w:hint="eastAsia" w:ascii="仿宋" w:hAnsi="仿宋" w:eastAsia="仿宋"/>
          <w:b/>
          <w:color w:val="000000"/>
          <w:sz w:val="32"/>
          <w:szCs w:val="32"/>
        </w:rPr>
        <w:t>（二）“三公”经费财政拨款支出决算具体情况说明</w:t>
      </w:r>
      <w:bookmarkEnd w:id="61"/>
      <w:bookmarkEnd w:id="62"/>
      <w:bookmarkEnd w:id="6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“三公”经费财政拨款支出决算中，因公出国（境）费支出决算0万元，占0%；公务用车购置及运行维护费支出决算</w:t>
      </w:r>
      <w:r>
        <w:rPr>
          <w:rFonts w:hint="eastAsia" w:ascii="仿宋_GB2312" w:eastAsia="仿宋_GB2312"/>
          <w:color w:val="000000"/>
          <w:sz w:val="32"/>
          <w:szCs w:val="32"/>
          <w:lang w:val="en-US" w:eastAsia="zh-CN"/>
        </w:rPr>
        <w:t>5.96</w:t>
      </w:r>
      <w:r>
        <w:rPr>
          <w:rFonts w:hint="eastAsia" w:ascii="仿宋_GB2312" w:eastAsia="仿宋_GB2312"/>
          <w:color w:val="000000"/>
          <w:sz w:val="32"/>
          <w:szCs w:val="32"/>
        </w:rPr>
        <w:t>万元，占100%；公务接待费支出决算0万元，占0%。具体情况如下：</w:t>
      </w:r>
    </w:p>
    <w:p>
      <w:pPr>
        <w:pStyle w:val="29"/>
        <w:jc w:val="center"/>
        <w:rPr>
          <w:rFonts w:ascii="仿宋_GB2312" w:eastAsia="仿宋_GB2312"/>
          <w:color w:val="000000"/>
          <w:sz w:val="32"/>
          <w:szCs w:val="32"/>
        </w:rPr>
      </w:pPr>
      <w:r>
        <w:drawing>
          <wp:inline distT="0" distB="0" distL="114300" distR="114300">
            <wp:extent cx="4623435" cy="2080895"/>
            <wp:effectExtent l="4445" t="4445" r="203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（图7：“三公”经费财政拨款支出结构）</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6"/>
          <w:rFonts w:hint="eastAsia" w:ascii="仿宋" w:hAnsi="仿宋" w:eastAsia="仿宋"/>
          <w:b w:val="0"/>
          <w:bCs/>
          <w:color w:val="000000"/>
          <w:sz w:val="32"/>
          <w:szCs w:val="32"/>
        </w:rPr>
        <w:t>。</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lang w:val="en-US" w:eastAsia="zh-CN"/>
        </w:rPr>
        <w:t>5.96</w:t>
      </w:r>
      <w:r>
        <w:rPr>
          <w:rFonts w:hint="eastAsia" w:ascii="仿宋_GB2312" w:eastAsia="仿宋_GB2312"/>
          <w:color w:val="000000"/>
          <w:sz w:val="32"/>
          <w:szCs w:val="32"/>
        </w:rPr>
        <w:t>万元。公务用车购置及运行维护费支出决算比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lang w:val="en-US" w:eastAsia="zh-CN"/>
        </w:rPr>
        <w:t>减少6.03</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下降50.29</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厉行节约</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w:t>
      </w: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lang w:val="en-US" w:eastAsia="zh-CN"/>
        </w:rPr>
        <w:t>5.96</w:t>
      </w:r>
      <w:r>
        <w:rPr>
          <w:rFonts w:hint="eastAsia" w:ascii="仿宋_GB2312" w:eastAsia="仿宋_GB2312"/>
          <w:color w:val="000000"/>
          <w:sz w:val="32"/>
          <w:szCs w:val="32"/>
        </w:rPr>
        <w:t>万元。主要用于日常下乡以及出差等所需的公务用车燃料费、维修费、过路过桥费、保险费等支出。</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p>
    <w:p>
      <w:pPr>
        <w:spacing w:line="600" w:lineRule="exact"/>
        <w:ind w:firstLine="640" w:firstLineChars="200"/>
        <w:outlineLvl w:val="1"/>
        <w:rPr>
          <w:rStyle w:val="31"/>
          <w:rFonts w:ascii="黑体" w:hAnsi="黑体" w:eastAsia="黑体"/>
        </w:rPr>
      </w:pPr>
      <w:bookmarkStart w:id="64" w:name="_Toc15377218"/>
      <w:bookmarkStart w:id="65" w:name="_Toc15396610"/>
      <w:bookmarkStart w:id="66" w:name="_Toc11084"/>
      <w:bookmarkStart w:id="67" w:name="_Toc79163622"/>
      <w:r>
        <w:rPr>
          <w:rFonts w:hint="eastAsia" w:ascii="黑体" w:eastAsia="黑体"/>
          <w:color w:val="000000"/>
          <w:sz w:val="32"/>
          <w:szCs w:val="32"/>
        </w:rPr>
        <w:t>八、</w:t>
      </w:r>
      <w:r>
        <w:rPr>
          <w:rStyle w:val="31"/>
          <w:rFonts w:hint="eastAsia" w:ascii="黑体" w:hAnsi="黑体" w:eastAsia="黑体"/>
          <w:b w:val="0"/>
        </w:rPr>
        <w:t>政府性基金预算支出决算情况说明</w:t>
      </w:r>
      <w:bookmarkEnd w:id="64"/>
      <w:bookmarkEnd w:id="65"/>
      <w:bookmarkEnd w:id="66"/>
      <w:bookmarkEnd w:id="6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政府性基金预算拨款支出0万元。</w:t>
      </w:r>
    </w:p>
    <w:p>
      <w:pPr>
        <w:spacing w:line="600" w:lineRule="exact"/>
        <w:ind w:firstLine="640" w:firstLineChars="200"/>
        <w:outlineLvl w:val="1"/>
        <w:rPr>
          <w:rStyle w:val="31"/>
          <w:rFonts w:ascii="黑体" w:hAnsi="黑体" w:eastAsia="黑体"/>
          <w:b w:val="0"/>
        </w:rPr>
      </w:pPr>
      <w:bookmarkStart w:id="68" w:name="_Toc24199"/>
      <w:bookmarkStart w:id="69" w:name="_Toc79163623"/>
      <w:bookmarkStart w:id="70" w:name="_Toc15396611"/>
      <w:bookmarkStart w:id="71" w:name="_Toc15377219"/>
      <w:r>
        <w:rPr>
          <w:rFonts w:hint="eastAsia" w:ascii="黑体" w:eastAsia="黑体"/>
          <w:color w:val="000000"/>
          <w:sz w:val="32"/>
          <w:szCs w:val="32"/>
        </w:rPr>
        <w:t>九、</w:t>
      </w:r>
      <w:r>
        <w:rPr>
          <w:rStyle w:val="31"/>
          <w:rFonts w:hint="eastAsia" w:ascii="黑体" w:hAnsi="黑体" w:eastAsia="黑体"/>
          <w:b w:val="0"/>
        </w:rPr>
        <w:t>国有资本经营预算支出决算情况说明</w:t>
      </w:r>
      <w:bookmarkEnd w:id="68"/>
      <w:bookmarkEnd w:id="69"/>
      <w:bookmarkEnd w:id="70"/>
      <w:bookmarkEnd w:id="7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国有资本经营预算拨款支出0万元。</w:t>
      </w:r>
    </w:p>
    <w:p>
      <w:pPr>
        <w:spacing w:line="600" w:lineRule="exact"/>
        <w:ind w:firstLine="640" w:firstLineChars="200"/>
        <w:outlineLvl w:val="1"/>
        <w:rPr>
          <w:rStyle w:val="31"/>
          <w:rFonts w:ascii="黑体" w:hAnsi="黑体" w:eastAsia="黑体"/>
        </w:rPr>
      </w:pPr>
      <w:bookmarkStart w:id="72" w:name="_Toc15377221"/>
      <w:bookmarkStart w:id="73" w:name="_Toc15906"/>
      <w:bookmarkStart w:id="74" w:name="_Toc15396612"/>
      <w:bookmarkStart w:id="75" w:name="_Toc79163624"/>
      <w:r>
        <w:rPr>
          <w:rFonts w:hint="eastAsia" w:ascii="黑体" w:hAnsi="黑体" w:eastAsia="黑体"/>
          <w:color w:val="000000"/>
          <w:sz w:val="32"/>
          <w:szCs w:val="32"/>
        </w:rPr>
        <w:t>十</w:t>
      </w:r>
      <w:r>
        <w:rPr>
          <w:rStyle w:val="31"/>
          <w:rFonts w:hint="eastAsia" w:ascii="黑体" w:hAnsi="黑体" w:eastAsia="黑体"/>
        </w:rPr>
        <w:t>、</w:t>
      </w:r>
      <w:r>
        <w:rPr>
          <w:rStyle w:val="31"/>
          <w:rFonts w:hint="eastAsia" w:ascii="黑体" w:hAnsi="黑体" w:eastAsia="黑体"/>
          <w:b w:val="0"/>
        </w:rPr>
        <w:t>其他重要事项的情况说明</w:t>
      </w:r>
      <w:bookmarkEnd w:id="72"/>
      <w:bookmarkEnd w:id="73"/>
      <w:bookmarkEnd w:id="74"/>
      <w:bookmarkEnd w:id="75"/>
    </w:p>
    <w:p>
      <w:pPr>
        <w:spacing w:line="600" w:lineRule="exact"/>
        <w:ind w:firstLine="643" w:firstLineChars="200"/>
        <w:outlineLvl w:val="2"/>
        <w:rPr>
          <w:rFonts w:ascii="仿宋" w:hAnsi="仿宋" w:eastAsia="仿宋"/>
          <w:color w:val="000000"/>
          <w:sz w:val="32"/>
          <w:szCs w:val="32"/>
        </w:rPr>
      </w:pPr>
      <w:bookmarkStart w:id="76" w:name="_Toc28124"/>
      <w:bookmarkStart w:id="77" w:name="_Toc15377222"/>
      <w:bookmarkStart w:id="78" w:name="_Toc79163625"/>
      <w:r>
        <w:rPr>
          <w:rFonts w:hint="eastAsia" w:ascii="仿宋" w:hAnsi="仿宋" w:eastAsia="仿宋"/>
          <w:b/>
          <w:color w:val="000000"/>
          <w:sz w:val="32"/>
          <w:szCs w:val="32"/>
        </w:rPr>
        <w:t>（一）机关运行经费支出情况</w:t>
      </w:r>
      <w:bookmarkEnd w:id="76"/>
      <w:bookmarkEnd w:id="77"/>
      <w:bookmarkEnd w:id="78"/>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，中共壤塘县委统战部机关运行经费支出</w:t>
      </w:r>
      <w:r>
        <w:rPr>
          <w:rFonts w:hint="eastAsia" w:ascii="仿宋_GB2312" w:eastAsia="仿宋_GB2312"/>
          <w:color w:val="000000"/>
          <w:sz w:val="32"/>
          <w:szCs w:val="32"/>
          <w:lang w:val="en-US" w:eastAsia="zh-CN"/>
        </w:rPr>
        <w:t>39.51</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lang w:val="en-US" w:eastAsia="zh-CN"/>
        </w:rPr>
        <w:t>减少8.88</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下降18.35</w:t>
      </w:r>
      <w:r>
        <w:rPr>
          <w:rFonts w:ascii="仿宋_GB2312" w:eastAsia="仿宋_GB2312"/>
          <w:color w:val="000000"/>
          <w:sz w:val="32"/>
          <w:szCs w:val="32"/>
        </w:rPr>
        <w:t>%</w:t>
      </w:r>
      <w:r>
        <w:rPr>
          <w:rFonts w:hint="eastAsia" w:ascii="仿宋_GB2312" w:eastAsia="仿宋_GB2312"/>
          <w:color w:val="000000"/>
          <w:sz w:val="32"/>
          <w:szCs w:val="32"/>
        </w:rPr>
        <w:t>。主要原因是本年度业务活动</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，相应费用</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9" w:name="_Toc79163626"/>
      <w:bookmarkStart w:id="80" w:name="_Toc15377223"/>
      <w:bookmarkStart w:id="81" w:name="_Toc953"/>
      <w:r>
        <w:rPr>
          <w:rFonts w:hint="eastAsia" w:ascii="仿宋" w:hAnsi="仿宋" w:eastAsia="仿宋"/>
          <w:b/>
          <w:color w:val="000000"/>
          <w:sz w:val="32"/>
          <w:szCs w:val="32"/>
        </w:rPr>
        <w:t>（二）政府采购支出情况</w:t>
      </w:r>
      <w:bookmarkEnd w:id="79"/>
      <w:bookmarkEnd w:id="80"/>
      <w:bookmarkEnd w:id="81"/>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，中共壤塘县委统战部政府采购支出总额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，政府采购服务支出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2" w:name="_Toc15377224"/>
      <w:bookmarkStart w:id="83" w:name="_Toc24818"/>
      <w:bookmarkStart w:id="84" w:name="_Toc79163627"/>
      <w:r>
        <w:rPr>
          <w:rFonts w:hint="eastAsia" w:ascii="仿宋" w:hAnsi="仿宋" w:eastAsia="仿宋"/>
          <w:b/>
          <w:color w:val="000000"/>
          <w:sz w:val="32"/>
          <w:szCs w:val="32"/>
        </w:rPr>
        <w:t>（三）国有资产占有使用情况</w:t>
      </w:r>
      <w:bookmarkEnd w:id="82"/>
      <w:bookmarkEnd w:id="83"/>
      <w:bookmarkEnd w:id="84"/>
    </w:p>
    <w:p>
      <w:pPr>
        <w:autoSpaceDE w:val="0"/>
        <w:autoSpaceDN w:val="0"/>
        <w:adjustRightInd w:val="0"/>
        <w:spacing w:line="600" w:lineRule="exact"/>
        <w:ind w:firstLine="640" w:firstLineChars="200"/>
        <w:jc w:val="left"/>
        <w:rPr>
          <w:rFonts w:ascii="仿宋" w:hAnsi="仿宋" w:eastAsia="仿宋"/>
          <w:b/>
          <w:color w:val="FF0000"/>
          <w:sz w:val="32"/>
          <w:szCs w:val="32"/>
        </w:rPr>
      </w:pPr>
      <w:bookmarkStart w:id="85" w:name="OLE_LINK1"/>
      <w:r>
        <w:rPr>
          <w:rFonts w:hint="eastAsia" w:ascii="仿宋_GB2312" w:eastAsia="仿宋_GB2312"/>
          <w:color w:val="000000"/>
          <w:sz w:val="32"/>
          <w:szCs w:val="32"/>
        </w:rPr>
        <w:t>截</w:t>
      </w:r>
      <w:r>
        <w:rPr>
          <w:rFonts w:hint="eastAsia" w:ascii="仿宋_GB2312" w:eastAsia="仿宋_GB2312"/>
          <w:color w:val="000000"/>
          <w:sz w:val="32"/>
          <w:szCs w:val="32"/>
          <w:lang w:eastAsia="zh-CN"/>
        </w:rPr>
        <w:t>止</w:t>
      </w:r>
      <w:bookmarkEnd w:id="85"/>
      <w:r>
        <w:rPr>
          <w:rFonts w:hint="eastAsia" w:ascii="仿宋_GB2312" w:eastAsia="仿宋_GB2312"/>
          <w:color w:val="000000"/>
          <w:sz w:val="32"/>
          <w:szCs w:val="32"/>
          <w:lang w:eastAsia="zh-CN"/>
        </w:rPr>
        <w:t>2024年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日，中共壤塘县委统战部共有车辆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辆，其中：主要领导干部用车0辆、机要通信用车0辆、应急保障用车0辆、其他用车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其他用车主要是用于单位出差以及其他业务使用。单价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776"/>
      <w:bookmarkStart w:id="87" w:name="_Toc79163628"/>
      <w:r>
        <w:rPr>
          <w:rFonts w:hint="eastAsia" w:ascii="仿宋" w:hAnsi="仿宋" w:eastAsia="仿宋"/>
          <w:b/>
          <w:color w:val="000000"/>
          <w:sz w:val="32"/>
          <w:szCs w:val="32"/>
        </w:rPr>
        <w:t>（四）预算绩效管理情况。</w:t>
      </w:r>
      <w:bookmarkEnd w:id="86"/>
      <w:bookmarkEnd w:id="87"/>
    </w:p>
    <w:p>
      <w:pPr>
        <w:pStyle w:val="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根据预算绩效管理要求，本部门在</w:t>
      </w:r>
      <w:r>
        <w:rPr>
          <w:rFonts w:hint="eastAsia"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预算编制阶段，</w:t>
      </w:r>
      <w:r>
        <w:rPr>
          <w:rFonts w:hint="eastAsia" w:hAnsi="仿宋_GB2312" w:cs="仿宋_GB2312"/>
          <w:sz w:val="32"/>
          <w:szCs w:val="32"/>
          <w:lang w:eastAsia="zh-CN"/>
        </w:rPr>
        <w:t>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开展预算事前绩效评估</w:t>
      </w:r>
      <w:r>
        <w:rPr>
          <w:rFonts w:hint="eastAsia" w:hAnsi="仿宋_GB2312" w:cs="仿宋_GB2312"/>
          <w:sz w:val="32"/>
          <w:szCs w:val="32"/>
          <w:lang w:eastAsia="zh-CN"/>
        </w:rPr>
        <w:t>、</w:t>
      </w:r>
      <w:r>
        <w:rPr>
          <w:rFonts w:hint="eastAsia" w:ascii="仿宋_GB2312" w:hAnsi="仿宋_GB2312" w:eastAsia="仿宋_GB2312" w:cs="仿宋_GB2312"/>
          <w:sz w:val="32"/>
          <w:szCs w:val="32"/>
        </w:rPr>
        <w:t>编制绩效目标，预算执行过程中，开展绩效监控</w:t>
      </w:r>
      <w:r>
        <w:rPr>
          <w:rFonts w:hint="eastAsia" w:ascii="仿宋_GB2312" w:hAnsi="仿宋_GB2312" w:eastAsia="仿宋_GB2312" w:cs="仿宋_GB2312"/>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对</w:t>
      </w:r>
      <w:r>
        <w:rPr>
          <w:rFonts w:hint="eastAsia"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度一般公共预算</w:t>
      </w:r>
      <w:r>
        <w:rPr>
          <w:rFonts w:hint="eastAsia" w:ascii="仿宋_GB2312" w:hAnsi="仿宋_GB2312" w:eastAsia="仿宋_GB2312" w:cs="仿宋_GB2312"/>
          <w:sz w:val="32"/>
          <w:szCs w:val="32"/>
          <w:lang w:eastAsia="zh-CN"/>
        </w:rPr>
        <w:t>以及资本资产等</w:t>
      </w:r>
      <w:r>
        <w:rPr>
          <w:rFonts w:hint="eastAsia" w:ascii="仿宋_GB2312" w:hAnsi="仿宋_GB2312" w:eastAsia="仿宋_GB2312" w:cs="仿宋_GB2312"/>
          <w:sz w:val="32"/>
          <w:szCs w:val="32"/>
          <w:lang w:val="en-US" w:eastAsia="zh-CN"/>
        </w:rPr>
        <w:t>全面开展绩效自评，形成</w:t>
      </w:r>
      <w:r>
        <w:rPr>
          <w:rFonts w:hint="eastAsia" w:hAnsi="仿宋_GB2312" w:cs="仿宋_GB2312"/>
          <w:sz w:val="32"/>
          <w:szCs w:val="32"/>
          <w:lang w:val="en-US" w:eastAsia="zh-CN"/>
        </w:rPr>
        <w:t>中共壤塘县委统战部</w:t>
      </w:r>
      <w:r>
        <w:rPr>
          <w:rFonts w:hint="eastAsia" w:ascii="仿宋_GB2312" w:hAnsi="仿宋_GB2312" w:eastAsia="仿宋_GB2312" w:cs="仿宋_GB2312"/>
          <w:sz w:val="32"/>
          <w:szCs w:val="32"/>
          <w:lang w:eastAsia="zh-CN"/>
        </w:rPr>
        <w:t>部门整体（含部门预算项目）</w:t>
      </w:r>
      <w:r>
        <w:rPr>
          <w:rFonts w:hint="eastAsia" w:ascii="仿宋_GB2312" w:hAnsi="仿宋_GB2312" w:eastAsia="仿宋_GB2312" w:cs="仿宋_GB2312"/>
          <w:sz w:val="32"/>
          <w:szCs w:val="32"/>
          <w:lang w:val="en-US" w:eastAsia="zh-CN"/>
        </w:rPr>
        <w:t>绩效自评报告，其中，中共壤塘县委统战部部门整体</w:t>
      </w:r>
      <w:r>
        <w:rPr>
          <w:rFonts w:hint="eastAsia" w:ascii="仿宋_GB2312" w:hAnsi="仿宋_GB2312" w:eastAsia="仿宋_GB2312" w:cs="仿宋_GB2312"/>
          <w:sz w:val="32"/>
          <w:szCs w:val="32"/>
          <w:lang w:eastAsia="zh-CN"/>
        </w:rPr>
        <w:t>（含部门预算项目）</w:t>
      </w:r>
      <w:r>
        <w:rPr>
          <w:rFonts w:hint="eastAsia" w:ascii="仿宋_GB2312" w:hAnsi="仿宋_GB2312" w:eastAsia="仿宋_GB2312" w:cs="仿宋_GB2312"/>
          <w:sz w:val="32"/>
          <w:szCs w:val="32"/>
          <w:lang w:val="en-US" w:eastAsia="zh-CN"/>
        </w:rPr>
        <w:t>绩效自评得分为</w:t>
      </w:r>
      <w:r>
        <w:rPr>
          <w:rFonts w:hint="eastAsia" w:hAnsi="仿宋_GB2312" w:cs="仿宋_GB2312"/>
          <w:sz w:val="32"/>
          <w:szCs w:val="32"/>
          <w:lang w:val="en-US" w:eastAsia="zh-CN"/>
        </w:rPr>
        <w:t>98</w:t>
      </w:r>
      <w:r>
        <w:rPr>
          <w:rFonts w:hint="eastAsia" w:ascii="仿宋_GB2312" w:hAnsi="仿宋_GB2312" w:eastAsia="仿宋_GB2312" w:cs="仿宋_GB2312"/>
          <w:sz w:val="32"/>
          <w:szCs w:val="32"/>
          <w:lang w:val="en-US" w:eastAsia="zh-CN"/>
        </w:rPr>
        <w:t>分，绩效自评综述：</w:t>
      </w:r>
      <w:r>
        <w:rPr>
          <w:rFonts w:hint="eastAsia" w:hAnsi="仿宋_GB2312" w:cs="仿宋_GB2312"/>
          <w:sz w:val="32"/>
          <w:szCs w:val="32"/>
          <w:lang w:val="en-US" w:eastAsia="zh-CN"/>
        </w:rPr>
        <w:t>本次部门整体支出绩效自评得分为98分，总体表现较好</w:t>
      </w:r>
      <w:r>
        <w:rPr>
          <w:rFonts w:hint="eastAsia" w:ascii="仿宋_GB2312" w:hAnsi="仿宋_GB2312" w:eastAsia="仿宋_GB2312" w:cs="仿宋_GB2312"/>
          <w:sz w:val="32"/>
          <w:szCs w:val="32"/>
          <w:lang w:val="en-US" w:eastAsia="zh-CN"/>
        </w:rPr>
        <w:t>。绩效自评报告详见附件。</w:t>
      </w:r>
    </w:p>
    <w:p>
      <w:pPr>
        <w:pStyle w:val="8"/>
        <w:rPr>
          <w:rFonts w:hint="eastAsia" w:ascii="仿宋_GB2312" w:hAnsi="仿宋_GB2312" w:eastAsia="仿宋_GB2312" w:cs="仿宋_GB2312"/>
          <w:sz w:val="32"/>
          <w:szCs w:val="32"/>
          <w:lang w:val="en-US" w:eastAsia="zh-CN"/>
        </w:rPr>
        <w:sectPr>
          <w:footerReference r:id="rId10" w:type="default"/>
          <w:pgSz w:w="11906" w:h="16838"/>
          <w:pgMar w:top="1440" w:right="1800" w:bottom="1440" w:left="1800" w:header="851" w:footer="992" w:gutter="0"/>
          <w:pgNumType w:fmt="decimal"/>
          <w:cols w:space="425" w:num="1"/>
          <w:docGrid w:type="lines" w:linePitch="312" w:charSpace="0"/>
        </w:sectPr>
      </w:pPr>
    </w:p>
    <w:p>
      <w:pPr>
        <w:rPr>
          <w:rFonts w:hint="eastAsia"/>
          <w:lang w:val="en-US" w:eastAsia="zh-CN"/>
        </w:rPr>
      </w:pPr>
    </w:p>
    <w:p>
      <w:pPr>
        <w:numPr>
          <w:ilvl w:val="0"/>
          <w:numId w:val="2"/>
        </w:numPr>
        <w:spacing w:line="600" w:lineRule="exact"/>
        <w:ind w:firstLine="660" w:firstLineChars="150"/>
        <w:jc w:val="center"/>
        <w:outlineLvl w:val="0"/>
        <w:rPr>
          <w:rStyle w:val="30"/>
          <w:rFonts w:ascii="黑体" w:hAnsi="黑体" w:eastAsia="黑体"/>
          <w:b w:val="0"/>
        </w:rPr>
      </w:pPr>
      <w:bookmarkStart w:id="88" w:name="_Toc15396613"/>
      <w:bookmarkStart w:id="89" w:name="_Toc15377225"/>
      <w:bookmarkStart w:id="90" w:name="_Toc27892"/>
      <w:bookmarkStart w:id="91" w:name="_Toc79163629"/>
      <w:r>
        <w:rPr>
          <w:rFonts w:hint="eastAsia" w:ascii="黑体" w:hAnsi="黑体" w:eastAsia="黑体"/>
          <w:color w:val="000000"/>
          <w:sz w:val="44"/>
          <w:szCs w:val="44"/>
        </w:rPr>
        <w:t>名</w:t>
      </w:r>
      <w:r>
        <w:rPr>
          <w:rStyle w:val="30"/>
          <w:rFonts w:hint="eastAsia" w:ascii="黑体" w:hAnsi="黑体" w:eastAsia="黑体"/>
          <w:b w:val="0"/>
        </w:rPr>
        <w:t>词解释</w:t>
      </w:r>
      <w:bookmarkEnd w:id="88"/>
      <w:bookmarkEnd w:id="89"/>
      <w:bookmarkEnd w:id="90"/>
      <w:bookmarkEnd w:id="91"/>
    </w:p>
    <w:p>
      <w:pPr>
        <w:spacing w:line="600" w:lineRule="exact"/>
        <w:jc w:val="left"/>
        <w:rPr>
          <w:rFonts w:ascii="宋体"/>
          <w:b/>
          <w:color w:val="000000"/>
          <w:sz w:val="44"/>
          <w:szCs w:val="44"/>
        </w:rPr>
      </w:pPr>
    </w:p>
    <w:p>
      <w:pPr>
        <w:pStyle w:val="40"/>
        <w:spacing w:line="560" w:lineRule="atLeas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40"/>
        <w:spacing w:line="560" w:lineRule="atLeas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40"/>
        <w:spacing w:line="560" w:lineRule="atLeas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40"/>
        <w:spacing w:line="560" w:lineRule="atLeas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其他收入：指单位取得的除上述收入以外的各项收入。主要是援建资金。</w:t>
      </w:r>
    </w:p>
    <w:p>
      <w:pPr>
        <w:pStyle w:val="40"/>
        <w:spacing w:line="560" w:lineRule="atLeas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40"/>
        <w:spacing w:line="560" w:lineRule="atLeast"/>
        <w:ind w:firstLine="640" w:firstLineChars="200"/>
        <w:rPr>
          <w:rFonts w:ascii="仿宋_GB2312" w:eastAsia="仿宋_GB2312"/>
          <w:sz w:val="32"/>
          <w:szCs w:val="32"/>
        </w:rPr>
      </w:pPr>
      <w:r>
        <w:rPr>
          <w:rFonts w:hint="eastAsia" w:ascii="仿宋_GB2312" w:eastAsia="仿宋_GB2312"/>
          <w:sz w:val="32"/>
          <w:szCs w:val="32"/>
        </w:rPr>
        <w:t>6.年末结转和结余：指单位按有关规定结转到下年或以后年度继续使用的资金。</w:t>
      </w:r>
    </w:p>
    <w:p>
      <w:pPr>
        <w:pStyle w:val="10"/>
        <w:tabs>
          <w:tab w:val="left" w:pos="960"/>
        </w:tabs>
        <w:spacing w:line="560" w:lineRule="atLeast"/>
        <w:ind w:firstLine="640"/>
        <w:rPr>
          <w:rFonts w:ascii="仿宋_GB2312" w:eastAsia="仿宋_GB2312"/>
          <w:color w:val="000000"/>
        </w:rPr>
      </w:pPr>
      <w:r>
        <w:rPr>
          <w:rFonts w:hint="eastAsia" w:ascii="仿宋_GB2312"/>
          <w:color w:val="000000"/>
        </w:rPr>
        <w:t>7</w:t>
      </w:r>
      <w:r>
        <w:rPr>
          <w:rFonts w:ascii="仿宋_GB2312" w:eastAsia="仿宋_GB2312"/>
          <w:color w:val="000000"/>
        </w:rPr>
        <w:t>.</w:t>
      </w:r>
      <w:r>
        <w:rPr>
          <w:rFonts w:hint="eastAsia" w:ascii="仿宋_GB2312" w:eastAsia="仿宋_GB2312"/>
          <w:color w:val="000000"/>
        </w:rPr>
        <w:t>一般公共服务支出（类）民族事务（款）民族工作专项（项）：指用于民族事务管理方面的专项支出。</w:t>
      </w:r>
    </w:p>
    <w:p>
      <w:pPr>
        <w:pStyle w:val="10"/>
        <w:tabs>
          <w:tab w:val="left" w:pos="960"/>
        </w:tabs>
        <w:spacing w:line="560" w:lineRule="atLeast"/>
        <w:ind w:firstLine="640"/>
        <w:rPr>
          <w:rFonts w:ascii="仿宋_GB2312" w:eastAsia="仿宋_GB2312"/>
          <w:color w:val="000000"/>
        </w:rPr>
      </w:pPr>
      <w:r>
        <w:rPr>
          <w:rFonts w:hint="eastAsia" w:ascii="仿宋_GB2312" w:eastAsia="仿宋_GB2312"/>
          <w:color w:val="000000"/>
        </w:rPr>
        <w:t>8</w:t>
      </w:r>
      <w:r>
        <w:rPr>
          <w:rFonts w:ascii="仿宋_GB2312" w:eastAsia="仿宋_GB2312"/>
          <w:color w:val="000000"/>
        </w:rPr>
        <w:t>.</w:t>
      </w:r>
      <w:r>
        <w:rPr>
          <w:rFonts w:hint="eastAsia" w:ascii="仿宋_GB2312" w:eastAsia="仿宋_GB2312"/>
          <w:color w:val="000000"/>
        </w:rPr>
        <w:t>一般公共服务支出（类）组织事务（款）其他组织事务支出（项）：指其他用于中国共产党组织部门的事务支出。</w:t>
      </w:r>
    </w:p>
    <w:p>
      <w:pPr>
        <w:pStyle w:val="10"/>
        <w:tabs>
          <w:tab w:val="left" w:pos="960"/>
        </w:tabs>
        <w:spacing w:line="560" w:lineRule="atLeast"/>
        <w:ind w:firstLine="640"/>
        <w:rPr>
          <w:rFonts w:ascii="仿宋_GB2312" w:eastAsia="仿宋_GB2312"/>
          <w:color w:val="000000"/>
        </w:rPr>
      </w:pPr>
      <w:r>
        <w:rPr>
          <w:rFonts w:hint="eastAsia" w:ascii="仿宋_GB2312" w:eastAsia="仿宋_GB2312"/>
          <w:color w:val="000000"/>
        </w:rPr>
        <w:t>9</w:t>
      </w:r>
      <w:r>
        <w:rPr>
          <w:rFonts w:ascii="仿宋_GB2312" w:eastAsia="仿宋_GB2312"/>
          <w:color w:val="000000"/>
        </w:rPr>
        <w:t>.</w:t>
      </w:r>
      <w:r>
        <w:rPr>
          <w:rFonts w:hint="eastAsia" w:ascii="仿宋_GB2312" w:eastAsia="仿宋_GB2312"/>
          <w:color w:val="000000"/>
        </w:rPr>
        <w:t>一般公共服务支出（类）统战事务（款）行政运行（项）：指行政单位（包括实行公务员管理的事业单位）的基本支出。</w:t>
      </w:r>
    </w:p>
    <w:p>
      <w:pPr>
        <w:pStyle w:val="10"/>
        <w:tabs>
          <w:tab w:val="left" w:pos="960"/>
        </w:tabs>
        <w:spacing w:line="560" w:lineRule="atLeast"/>
        <w:ind w:firstLine="640"/>
        <w:rPr>
          <w:rFonts w:hint="eastAsia" w:ascii="仿宋_GB2312" w:eastAsia="仿宋_GB2312"/>
          <w:color w:val="000000"/>
        </w:rPr>
        <w:sectPr>
          <w:footerReference r:id="rId11" w:type="default"/>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color w:val="000000"/>
        </w:rPr>
        <w:t>10</w:t>
      </w:r>
      <w:r>
        <w:rPr>
          <w:rFonts w:ascii="仿宋_GB2312" w:eastAsia="仿宋_GB2312"/>
          <w:color w:val="000000"/>
        </w:rPr>
        <w:t>.</w:t>
      </w:r>
      <w:r>
        <w:rPr>
          <w:rFonts w:hint="eastAsia" w:ascii="仿宋_GB2312" w:eastAsia="仿宋_GB2312"/>
          <w:color w:val="000000"/>
        </w:rPr>
        <w:t>一般公共服务支出（类）统战事务（款）一般行政</w:t>
      </w:r>
    </w:p>
    <w:p>
      <w:pPr>
        <w:pStyle w:val="10"/>
        <w:tabs>
          <w:tab w:val="left" w:pos="960"/>
        </w:tabs>
        <w:spacing w:line="560" w:lineRule="atLeast"/>
        <w:ind w:left="0" w:leftChars="0" w:firstLine="0" w:firstLineChars="0"/>
        <w:rPr>
          <w:rFonts w:ascii="仿宋_GB2312" w:eastAsia="仿宋_GB2312"/>
          <w:color w:val="000000"/>
        </w:rPr>
      </w:pPr>
      <w:r>
        <w:rPr>
          <w:rFonts w:hint="eastAsia" w:ascii="仿宋_GB2312" w:eastAsia="仿宋_GB2312"/>
          <w:color w:val="000000"/>
        </w:rPr>
        <w:t>管理事务（项）：指行政单位（包括实行公务员管理的事业单位）未单独设置项级科目的其他支出。</w:t>
      </w:r>
    </w:p>
    <w:p>
      <w:pPr>
        <w:pStyle w:val="10"/>
        <w:tabs>
          <w:tab w:val="left" w:pos="960"/>
        </w:tabs>
        <w:spacing w:line="560" w:lineRule="atLeast"/>
        <w:ind w:firstLine="640"/>
        <w:rPr>
          <w:rFonts w:ascii="仿宋_GB2312" w:eastAsia="仿宋_GB2312"/>
          <w:color w:val="000000"/>
        </w:rPr>
      </w:pPr>
      <w:r>
        <w:rPr>
          <w:rFonts w:hint="eastAsia" w:ascii="仿宋_GB2312" w:eastAsia="仿宋_GB2312"/>
          <w:color w:val="000000"/>
        </w:rPr>
        <w:t>11</w:t>
      </w:r>
      <w:r>
        <w:rPr>
          <w:rFonts w:ascii="仿宋_GB2312" w:eastAsia="仿宋_GB2312"/>
          <w:color w:val="000000"/>
        </w:rPr>
        <w:t>.</w:t>
      </w:r>
      <w:r>
        <w:rPr>
          <w:rFonts w:hint="eastAsia" w:ascii="仿宋_GB2312" w:eastAsia="仿宋_GB2312"/>
          <w:color w:val="000000"/>
        </w:rPr>
        <w:t>一般公共服务支出（类）统战事务（款）宗教事务（项）：指用于宗教事务管理方面的支出。</w:t>
      </w:r>
    </w:p>
    <w:p>
      <w:pPr>
        <w:pStyle w:val="10"/>
        <w:tabs>
          <w:tab w:val="left" w:pos="960"/>
        </w:tabs>
        <w:spacing w:line="560" w:lineRule="atLeast"/>
        <w:ind w:firstLine="640"/>
        <w:rPr>
          <w:rFonts w:ascii="仿宋_GB2312" w:eastAsia="仿宋_GB2312"/>
          <w:color w:val="000000"/>
        </w:rPr>
      </w:pPr>
      <w:r>
        <w:rPr>
          <w:rFonts w:hint="eastAsia" w:ascii="仿宋_GB2312" w:eastAsia="仿宋_GB2312"/>
          <w:color w:val="000000"/>
        </w:rPr>
        <w:t>12</w:t>
      </w:r>
      <w:r>
        <w:rPr>
          <w:rFonts w:ascii="仿宋_GB2312" w:eastAsia="仿宋_GB2312"/>
          <w:color w:val="000000"/>
        </w:rPr>
        <w:t>.</w:t>
      </w:r>
      <w:r>
        <w:rPr>
          <w:rFonts w:hint="eastAsia" w:ascii="仿宋_GB2312" w:eastAsia="仿宋_GB2312"/>
          <w:color w:val="000000"/>
        </w:rPr>
        <w:t>一般公共服务支出（类）统战事务（款）其他统战事务支出（项）：指其他用于统战事务方面的支出。</w:t>
      </w:r>
    </w:p>
    <w:p>
      <w:pPr>
        <w:pStyle w:val="10"/>
        <w:tabs>
          <w:tab w:val="left" w:pos="960"/>
        </w:tabs>
        <w:spacing w:line="560" w:lineRule="atLeast"/>
        <w:ind w:firstLine="640"/>
        <w:rPr>
          <w:rFonts w:ascii="仿宋_GB2312" w:eastAsia="仿宋_GB2312"/>
          <w:color w:val="000000"/>
        </w:rPr>
      </w:pPr>
      <w:r>
        <w:rPr>
          <w:rFonts w:hint="eastAsia" w:ascii="仿宋_GB2312" w:eastAsia="仿宋_GB2312"/>
          <w:color w:val="000000"/>
        </w:rPr>
        <w:t>13</w:t>
      </w:r>
      <w:r>
        <w:rPr>
          <w:rFonts w:ascii="仿宋_GB2312" w:eastAsia="仿宋_GB2312"/>
          <w:color w:val="000000"/>
        </w:rPr>
        <w:t>.</w:t>
      </w:r>
      <w:r>
        <w:rPr>
          <w:rFonts w:hint="eastAsia" w:ascii="仿宋_GB2312" w:eastAsia="仿宋_GB2312"/>
          <w:color w:val="000000"/>
        </w:rPr>
        <w:t>公共安全支出（类）其他公共安全支出（款）其他公共安全支出（项）：指其他用于公共安全方面的支出。</w:t>
      </w:r>
    </w:p>
    <w:p>
      <w:pPr>
        <w:pStyle w:val="10"/>
        <w:tabs>
          <w:tab w:val="left" w:pos="960"/>
        </w:tabs>
        <w:spacing w:line="560" w:lineRule="atLeast"/>
        <w:ind w:firstLine="640"/>
        <w:rPr>
          <w:rFonts w:eastAsia="仿宋_GB2312"/>
        </w:rPr>
      </w:pPr>
      <w:r>
        <w:rPr>
          <w:rFonts w:hint="eastAsia" w:ascii="仿宋_GB2312" w:eastAsia="仿宋_GB2312"/>
          <w:color w:val="000000"/>
        </w:rPr>
        <w:t>14.社会保障和就业（类）行政事业单位养老支出（款）机关事业单位基本养老保险缴费支出（项）：指由单位缴纳的基本养老保险费支出。</w:t>
      </w: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社会保障和就业（类）行政事业单位养老支出（款）机关事业单位职业年金缴费支出（项）：指机关事业单位实施养老保险制度由单位实际缴纳的职业年金。</w:t>
      </w: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16.卫生健康支出（类）行政事业单位医疗（款）行政单位医疗（项）：指财政部门集中安排的行政单位基本医疗保险缴费经费。</w:t>
      </w: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17.住房保障支出（类）住房改革支出（款）住房公积金（项）：指行政事业单位</w:t>
      </w:r>
      <w:r>
        <w:rPr>
          <w:rFonts w:hint="eastAsia" w:ascii="仿宋_GB2312" w:eastAsia="仿宋_GB2312"/>
          <w:color w:val="000000"/>
          <w:sz w:val="32"/>
          <w:szCs w:val="32"/>
          <w:lang w:eastAsia="zh-CN"/>
        </w:rPr>
        <w:t>按</w:t>
      </w:r>
      <w:r>
        <w:rPr>
          <w:rFonts w:hint="eastAsia" w:ascii="仿宋_GB2312" w:eastAsia="仿宋_GB2312"/>
          <w:color w:val="000000"/>
          <w:sz w:val="32"/>
          <w:szCs w:val="32"/>
        </w:rPr>
        <w:t>工资比例为职工缴纳的住房公积金。</w:t>
      </w: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spacing w:line="560" w:lineRule="atLeast"/>
        <w:ind w:firstLine="640" w:firstLineChars="200"/>
        <w:rPr>
          <w:rFonts w:hint="eastAsia" w:ascii="仿宋_GB2312" w:eastAsia="仿宋_GB2312"/>
          <w:color w:val="000000"/>
          <w:sz w:val="32"/>
          <w:szCs w:val="32"/>
        </w:rPr>
        <w:sectPr>
          <w:footerReference r:id="rId12" w:type="default"/>
          <w:pgSz w:w="11906" w:h="16838"/>
          <w:pgMar w:top="1440" w:right="1800" w:bottom="1440" w:left="1800" w:header="851" w:footer="992" w:gutter="0"/>
          <w:pgNumType w:fmt="decimal"/>
          <w:cols w:space="425" w:num="1"/>
          <w:docGrid w:type="lines" w:linePitch="312" w:charSpace="0"/>
        </w:sectPr>
      </w:pP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19.项目支出：指在基本支出之外为完成特定行政任务和事业发展目标所发生的支出。</w:t>
      </w: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atLeast"/>
        <w:ind w:firstLine="640" w:firstLineChars="200"/>
        <w:rPr>
          <w:rFonts w:ascii="仿宋_GB2312" w:eastAsia="仿宋_GB2312"/>
          <w:sz w:val="32"/>
          <w:szCs w:val="32"/>
        </w:rPr>
      </w:pPr>
      <w:r>
        <w:rPr>
          <w:rFonts w:hint="eastAsia" w:ascii="仿宋_GB2312" w:eastAsia="仿宋_GB2312"/>
          <w:color w:val="00000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sectPr>
          <w:footerReference r:id="rId13" w:type="default"/>
          <w:pgSz w:w="11906" w:h="16838"/>
          <w:pgMar w:top="1440" w:right="1800" w:bottom="1440" w:left="1800" w:header="851" w:footer="992" w:gutter="0"/>
          <w:pgNumType w:fmt="decimal"/>
          <w:cols w:space="425" w:num="1"/>
          <w:docGrid w:type="lines" w:linePitch="312" w:charSpace="0"/>
        </w:sectPr>
      </w:pPr>
      <w:bookmarkStart w:id="92" w:name="_Toc79163630"/>
      <w:bookmarkStart w:id="93" w:name="_Toc15396614"/>
    </w:p>
    <w:p>
      <w:pPr>
        <w:spacing w:line="600" w:lineRule="exact"/>
        <w:jc w:val="center"/>
        <w:outlineLvl w:val="0"/>
        <w:rPr>
          <w:rStyle w:val="30"/>
          <w:rFonts w:hint="eastAsia" w:ascii="黑体" w:hAnsi="黑体" w:eastAsia="黑体"/>
          <w:b w:val="0"/>
        </w:rPr>
      </w:pPr>
      <w:bookmarkStart w:id="94" w:name="_Toc1621"/>
      <w:r>
        <w:rPr>
          <w:rFonts w:hint="eastAsia" w:ascii="黑体" w:hAnsi="黑体" w:eastAsia="黑体"/>
          <w:color w:val="000000"/>
          <w:sz w:val="44"/>
          <w:szCs w:val="44"/>
        </w:rPr>
        <w:t>第</w:t>
      </w:r>
      <w:r>
        <w:rPr>
          <w:rStyle w:val="30"/>
          <w:rFonts w:hint="eastAsia" w:ascii="黑体" w:hAnsi="黑体" w:eastAsia="黑体"/>
          <w:b w:val="0"/>
        </w:rPr>
        <w:t>四部分</w:t>
      </w:r>
      <w:r>
        <w:rPr>
          <w:rStyle w:val="30"/>
          <w:rFonts w:ascii="黑体" w:hAnsi="黑体" w:eastAsia="黑体"/>
          <w:b w:val="0"/>
        </w:rPr>
        <w:t xml:space="preserve"> </w:t>
      </w:r>
      <w:r>
        <w:rPr>
          <w:rStyle w:val="30"/>
          <w:rFonts w:hint="eastAsia" w:ascii="黑体" w:hAnsi="黑体" w:eastAsia="黑体"/>
          <w:b w:val="0"/>
        </w:rPr>
        <w:t>附件</w:t>
      </w:r>
      <w:bookmarkEnd w:id="92"/>
      <w:bookmarkEnd w:id="93"/>
      <w:bookmarkEnd w:id="94"/>
    </w:p>
    <w:p>
      <w:pPr>
        <w:pStyle w:val="19"/>
      </w:pPr>
    </w:p>
    <w:p>
      <w:pPr>
        <w:spacing w:line="360" w:lineRule="auto"/>
        <w:jc w:val="center"/>
        <w:rPr>
          <w:rFonts w:hint="eastAsia" w:ascii="宋体" w:hAnsi="宋体" w:eastAsia="宋体" w:cs="宋体"/>
          <w:b/>
          <w:bCs/>
          <w:kern w:val="0"/>
          <w:sz w:val="44"/>
          <w:szCs w:val="44"/>
          <w:lang w:eastAsia="zh-CN"/>
        </w:rPr>
      </w:pPr>
      <w:r>
        <w:rPr>
          <w:rFonts w:hint="eastAsia" w:ascii="宋体" w:hAnsi="宋体" w:cs="宋体"/>
          <w:b/>
          <w:bCs/>
          <w:kern w:val="0"/>
          <w:sz w:val="44"/>
          <w:szCs w:val="44"/>
          <w:lang w:eastAsia="zh-CN"/>
        </w:rPr>
        <w:t>中共壤塘县委统战部</w:t>
      </w:r>
    </w:p>
    <w:p>
      <w:pPr>
        <w:spacing w:line="360" w:lineRule="auto"/>
        <w:jc w:val="center"/>
        <w:rPr>
          <w:rFonts w:ascii="宋体" w:hAnsi="宋体" w:cs="宋体"/>
          <w:kern w:val="0"/>
          <w:szCs w:val="21"/>
        </w:rPr>
      </w:pPr>
      <w:r>
        <w:rPr>
          <w:rFonts w:hint="eastAsia" w:ascii="宋体" w:hAnsi="宋体" w:cs="宋体"/>
          <w:b/>
          <w:bCs/>
          <w:kern w:val="0"/>
          <w:sz w:val="44"/>
          <w:szCs w:val="44"/>
          <w:lang w:eastAsia="zh-CN"/>
        </w:rPr>
        <w:t>2024年</w:t>
      </w:r>
      <w:r>
        <w:rPr>
          <w:rFonts w:hint="eastAsia" w:ascii="宋体" w:hAnsi="宋体" w:cs="宋体"/>
          <w:b/>
          <w:bCs/>
          <w:kern w:val="0"/>
          <w:sz w:val="44"/>
          <w:szCs w:val="44"/>
        </w:rPr>
        <w:t>度部门整体支出绩效评价自评报告</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一、部门（单位）概况</w:t>
      </w:r>
    </w:p>
    <w:p>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spacing w:line="360" w:lineRule="auto"/>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中国共产党壤塘县委员会统一战线工作部（简称中共壤塘县委统战部）是壤塘县党委工作部门，为副县级，机构地址：四川省壤塘县罗吾塘中街90号。中共壤塘县委统战部无下属二级单位，基本性质为行政单位。</w:t>
      </w:r>
    </w:p>
    <w:p>
      <w:pPr>
        <w:numPr>
          <w:ilvl w:val="0"/>
          <w:numId w:val="3"/>
        </w:num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pStyle w:val="4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1.贯彻落实加强党对统一战线工作集中统一领导的要求。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2.研究拟定统一战线工作的政策和法规草案推动落实，深入调查研究，统筹协调和指导各乡镇、各部门（单位）统一战线工作。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3.负责发现、培养党外代表人士，制定党外干部培养规划，负责联系培养无党派人士、党外知识分子代表人士和新的社会阶层代表人士。</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4.贯彻落实党的民族工作方针，研究拟定民族工作的政策和重大措施，协调处理民族工作中的重大问题。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.贯彻落实党的宗教工作基本方针和政策，研究拟定宗教工作的重大政策措施并督促落实，领导县民族宗教事务委员会依法管理宗教行政事务。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.承担全县非公有制经济协调工作。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7.</w:t>
      </w:r>
      <w:r>
        <w:rPr>
          <w:rFonts w:hint="default" w:ascii="仿宋_GB2312" w:hAnsi="仿宋_GB2312" w:eastAsia="仿宋_GB2312" w:cs="仿宋_GB2312"/>
          <w:kern w:val="0"/>
          <w:sz w:val="32"/>
          <w:szCs w:val="32"/>
          <w:lang w:bidi="ar"/>
        </w:rPr>
        <w:t>负责海内外统一战线的宣传工作</w:t>
      </w:r>
      <w:r>
        <w:rPr>
          <w:rFonts w:hint="eastAsia" w:ascii="仿宋_GB2312" w:hAnsi="仿宋_GB2312" w:eastAsia="仿宋_GB2312" w:cs="仿宋_GB2312"/>
          <w:kern w:val="0"/>
          <w:sz w:val="32"/>
          <w:szCs w:val="32"/>
          <w:lang w:bidi="ar"/>
        </w:rPr>
        <w:t>。</w:t>
      </w:r>
    </w:p>
    <w:p>
      <w:pPr>
        <w:numPr>
          <w:ilvl w:val="0"/>
          <w:numId w:val="3"/>
        </w:num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pPr>
        <w:ind w:firstLine="640" w:firstLineChars="200"/>
        <w:rPr>
          <w:rFonts w:ascii="仿宋_GB2312" w:hAnsi="仿宋_GB2312" w:eastAsia="仿宋_GB2312" w:cs="仿宋_GB2312"/>
          <w:sz w:val="32"/>
          <w:szCs w:val="32"/>
        </w:rPr>
      </w:pPr>
      <w:r>
        <w:rPr>
          <w:rFonts w:hint="eastAsia" w:ascii="仿宋_GB2312" w:hAnsi="宋体" w:eastAsia="仿宋_GB2312" w:cs="仿宋_GB2312"/>
          <w:kern w:val="0"/>
          <w:sz w:val="32"/>
          <w:szCs w:val="32"/>
        </w:rPr>
        <w:t>截止</w:t>
      </w:r>
      <w:r>
        <w:rPr>
          <w:rFonts w:hint="eastAsia" w:ascii="仿宋_GB2312" w:hAnsi="宋体" w:eastAsia="仿宋_GB2312" w:cs="仿宋_GB2312"/>
          <w:kern w:val="0"/>
          <w:sz w:val="32"/>
          <w:szCs w:val="32"/>
          <w:lang w:eastAsia="zh-CN"/>
        </w:rPr>
        <w:t>2024年</w:t>
      </w:r>
      <w:r>
        <w:rPr>
          <w:rFonts w:hint="eastAsia" w:ascii="仿宋_GB2312" w:hAnsi="宋体" w:eastAsia="仿宋_GB2312" w:cs="仿宋_GB2312"/>
          <w:kern w:val="0"/>
          <w:sz w:val="32"/>
          <w:szCs w:val="32"/>
        </w:rPr>
        <w:t>12月31日，在职总人数为</w:t>
      </w:r>
      <w:r>
        <w:rPr>
          <w:rFonts w:hint="eastAsia" w:ascii="仿宋_GB2312" w:hAnsi="宋体" w:eastAsia="仿宋_GB2312" w:cs="仿宋_GB2312"/>
          <w:kern w:val="0"/>
          <w:sz w:val="32"/>
          <w:szCs w:val="32"/>
          <w:lang w:val="en-US" w:eastAsia="zh-CN"/>
        </w:rPr>
        <w:t>15</w:t>
      </w:r>
      <w:r>
        <w:rPr>
          <w:rFonts w:hint="eastAsia" w:ascii="仿宋_GB2312" w:hAnsi="宋体" w:eastAsia="仿宋_GB2312" w:cs="仿宋_GB2312"/>
          <w:kern w:val="0"/>
          <w:sz w:val="32"/>
          <w:szCs w:val="32"/>
        </w:rPr>
        <w:t>人</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pStyle w:val="47"/>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财政下达</w:t>
      </w:r>
      <w:r>
        <w:rPr>
          <w:rFonts w:hint="eastAsia" w:ascii="仿宋_GB2312" w:hAnsi="仿宋_GB2312" w:eastAsia="仿宋_GB2312" w:cs="仿宋_GB2312"/>
          <w:sz w:val="32"/>
          <w:szCs w:val="32"/>
          <w:lang w:eastAsia="zh-CN"/>
        </w:rPr>
        <w:t>中共壤塘县委统战部</w:t>
      </w:r>
      <w:r>
        <w:rPr>
          <w:rFonts w:hint="eastAsia" w:ascii="仿宋_GB2312" w:hAnsi="仿宋_GB2312" w:eastAsia="仿宋_GB2312" w:cs="仿宋_GB2312"/>
          <w:sz w:val="32"/>
          <w:szCs w:val="32"/>
        </w:rPr>
        <w:t>年初预算收入</w:t>
      </w:r>
      <w:r>
        <w:rPr>
          <w:rFonts w:hint="eastAsia" w:ascii="仿宋_GB2312" w:hAnsi="仿宋_GB2312" w:eastAsia="仿宋_GB2312" w:cs="仿宋_GB2312"/>
          <w:sz w:val="32"/>
          <w:szCs w:val="32"/>
          <w:lang w:val="en-US" w:eastAsia="zh-CN"/>
        </w:rPr>
        <w:t>299.01</w:t>
      </w:r>
      <w:r>
        <w:rPr>
          <w:rFonts w:hint="eastAsia" w:ascii="仿宋_GB2312" w:hAnsi="仿宋_GB2312" w:eastAsia="仿宋_GB2312" w:cs="仿宋_GB2312"/>
          <w:sz w:val="32"/>
          <w:szCs w:val="32"/>
        </w:rPr>
        <w:t>万元，执行期中追加收入</w:t>
      </w:r>
      <w:r>
        <w:rPr>
          <w:rFonts w:hint="eastAsia" w:ascii="仿宋_GB2312" w:hAnsi="仿宋_GB2312" w:eastAsia="仿宋_GB2312" w:cs="仿宋_GB2312"/>
          <w:sz w:val="32"/>
          <w:szCs w:val="32"/>
          <w:lang w:val="en-US" w:eastAsia="zh-CN"/>
        </w:rPr>
        <w:t>714.95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部门财政资金收入</w:t>
      </w:r>
      <w:r>
        <w:rPr>
          <w:rFonts w:hint="eastAsia" w:ascii="仿宋_GB2312" w:hAnsi="仿宋_GB2312" w:eastAsia="仿宋_GB2312" w:cs="仿宋_GB2312"/>
          <w:sz w:val="32"/>
          <w:szCs w:val="32"/>
          <w:lang w:val="en-US" w:eastAsia="zh-CN"/>
        </w:rPr>
        <w:t>合计1013.96万元；其他收入241.26万元，全年实际收入合计为1255.23万元，本年度无财政应返还额度</w:t>
      </w:r>
      <w:r>
        <w:rPr>
          <w:rFonts w:hint="eastAsia" w:ascii="仿宋_GB2312" w:hAnsi="仿宋_GB2312" w:eastAsia="仿宋_GB2312" w:cs="仿宋_GB2312"/>
          <w:sz w:val="32"/>
          <w:szCs w:val="32"/>
        </w:rPr>
        <w:t xml:space="preserve">。 </w:t>
      </w:r>
    </w:p>
    <w:p>
      <w:pPr>
        <w:pStyle w:val="47"/>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pPr>
        <w:pStyle w:val="47"/>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2024年中共壤塘县委统战部</w:t>
      </w:r>
      <w:r>
        <w:rPr>
          <w:rFonts w:hint="eastAsia" w:ascii="仿宋_GB2312" w:hAnsi="仿宋_GB2312" w:eastAsia="仿宋_GB2312" w:cs="仿宋_GB2312"/>
          <w:sz w:val="32"/>
          <w:szCs w:val="32"/>
        </w:rPr>
        <w:t>支出全年预算数共计</w:t>
      </w:r>
      <w:r>
        <w:rPr>
          <w:rFonts w:hint="eastAsia" w:ascii="仿宋_GB2312" w:hAnsi="仿宋_GB2312" w:eastAsia="仿宋_GB2312" w:cs="仿宋_GB2312"/>
          <w:sz w:val="32"/>
          <w:szCs w:val="32"/>
          <w:lang w:eastAsia="zh-CN"/>
        </w:rPr>
        <w:t>1255.23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396.27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622.93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，年末结转和结余非财政拨款236.03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47"/>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pPr>
        <w:pStyle w:val="47"/>
        <w:spacing w:line="360" w:lineRule="auto"/>
        <w:ind w:firstLine="643"/>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1.部门整体绩效目标制定情况</w:t>
      </w:r>
    </w:p>
    <w:p>
      <w:pPr>
        <w:pStyle w:val="47"/>
        <w:spacing w:line="360" w:lineRule="auto"/>
        <w:ind w:firstLine="643"/>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按照预算绩效管理要求，对</w:t>
      </w:r>
      <w:r>
        <w:rPr>
          <w:rFonts w:hint="eastAsia" w:ascii="仿宋_GB2312" w:hAnsi="仿宋_GB2312" w:eastAsia="仿宋_GB2312" w:cs="仿宋_GB2312"/>
          <w:sz w:val="32"/>
          <w:szCs w:val="32"/>
          <w:highlight w:val="none"/>
          <w:lang w:eastAsia="zh-CN"/>
        </w:rPr>
        <w:t>2024年</w:t>
      </w:r>
      <w:r>
        <w:rPr>
          <w:rFonts w:hint="eastAsia" w:ascii="仿宋_GB2312" w:hAnsi="仿宋_GB2312" w:eastAsia="仿宋_GB2312" w:cs="仿宋_GB2312"/>
          <w:sz w:val="32"/>
          <w:szCs w:val="32"/>
          <w:highlight w:val="none"/>
        </w:rPr>
        <w:t>一般公共预算项目支出开展绩效目标管理，共编制绩效目标覆盖率达到100%。制定</w:t>
      </w:r>
      <w:r>
        <w:rPr>
          <w:rFonts w:hint="eastAsia" w:ascii="仿宋_GB2312" w:hAnsi="仿宋_GB2312" w:eastAsia="仿宋_GB2312" w:cs="仿宋_GB2312"/>
          <w:sz w:val="32"/>
          <w:szCs w:val="32"/>
          <w:highlight w:val="none"/>
          <w:lang w:eastAsia="zh-CN"/>
        </w:rPr>
        <w:t>2024年</w:t>
      </w:r>
      <w:r>
        <w:rPr>
          <w:rFonts w:hint="eastAsia" w:ascii="仿宋_GB2312" w:hAnsi="仿宋_GB2312" w:eastAsia="仿宋_GB2312" w:cs="仿宋_GB2312"/>
          <w:sz w:val="32"/>
          <w:szCs w:val="32"/>
          <w:highlight w:val="none"/>
        </w:rPr>
        <w:t>整体目标：</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我部</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坚持大团结大联合，凝聚新力量，奋进新征程”为目标，坚定不移贯彻落实统战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4321”工作法，把握结合点，找准切入点，抓住着力点，全面推进统战各项工作，圆满完成今年的各项工作任务，为壤塘县经济社会</w:t>
      </w:r>
      <w:r>
        <w:rPr>
          <w:rFonts w:hint="default" w:ascii="Times New Roman" w:hAnsi="Times New Roman" w:eastAsia="仿宋_GB2312" w:cs="Times New Roman"/>
          <w:sz w:val="32"/>
          <w:szCs w:val="32"/>
          <w:highlight w:val="none"/>
          <w:lang w:eastAsia="zh-CN"/>
        </w:rPr>
        <w:t>高质量</w:t>
      </w:r>
      <w:r>
        <w:rPr>
          <w:rFonts w:hint="default" w:ascii="Times New Roman" w:hAnsi="Times New Roman" w:eastAsia="仿宋_GB2312" w:cs="Times New Roman"/>
          <w:sz w:val="32"/>
          <w:szCs w:val="32"/>
          <w:highlight w:val="none"/>
        </w:rPr>
        <w:t>发展和社会稳定做出积极贡献</w:t>
      </w:r>
      <w:r>
        <w:rPr>
          <w:rFonts w:hint="eastAsia" w:ascii="仿宋_GB2312" w:hAnsi="仿宋_GB2312" w:eastAsia="仿宋_GB2312" w:cs="仿宋_GB2312"/>
          <w:sz w:val="32"/>
          <w:szCs w:val="32"/>
          <w:highlight w:val="none"/>
          <w:lang w:eastAsia="zh-CN"/>
        </w:rPr>
        <w:t>。</w:t>
      </w:r>
    </w:p>
    <w:p>
      <w:pPr>
        <w:pStyle w:val="47"/>
        <w:numPr>
          <w:ilvl w:val="0"/>
          <w:numId w:val="0"/>
        </w:numPr>
        <w:spacing w:line="360" w:lineRule="auto"/>
        <w:ind w:firstLine="643" w:firstLineChars="200"/>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2.</w:t>
      </w:r>
      <w:r>
        <w:rPr>
          <w:rFonts w:hint="eastAsia" w:ascii="仿宋_GB2312" w:hAnsi="仿宋_GB2312" w:eastAsia="仿宋_GB2312" w:cs="仿宋_GB2312"/>
          <w:b/>
          <w:bCs/>
          <w:kern w:val="0"/>
          <w:sz w:val="32"/>
          <w:szCs w:val="32"/>
          <w:highlight w:val="none"/>
        </w:rPr>
        <w:t>部门整体绩效目标完成情况</w:t>
      </w:r>
    </w:p>
    <w:p>
      <w:pPr>
        <w:pStyle w:val="47"/>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cs="宋体"/>
          <w:color w:val="333333"/>
          <w:kern w:val="0"/>
          <w:sz w:val="32"/>
          <w:szCs w:val="32"/>
        </w:rPr>
        <w:t>县委统战部将紧紧围绕县委县政府中心工作，认真贯彻中央、省委、州委统战工作决策部署，按照年初制定的工作要点，加强统战系统队伍建设,坚持对</w:t>
      </w:r>
      <w:r>
        <w:rPr>
          <w:rFonts w:hint="eastAsia" w:ascii="仿宋_GB2312" w:hAnsi="宋体" w:eastAsia="仿宋_GB2312" w:cs="宋体"/>
          <w:color w:val="333333"/>
          <w:kern w:val="0"/>
          <w:sz w:val="32"/>
          <w:szCs w:val="32"/>
          <w:lang w:eastAsia="zh-CN"/>
        </w:rPr>
        <w:t>各类</w:t>
      </w:r>
      <w:r>
        <w:rPr>
          <w:rFonts w:hint="eastAsia" w:ascii="仿宋_GB2312" w:hAnsi="宋体" w:eastAsia="仿宋_GB2312" w:cs="宋体"/>
          <w:color w:val="333333"/>
          <w:kern w:val="0"/>
          <w:sz w:val="32"/>
          <w:szCs w:val="32"/>
        </w:rPr>
        <w:t>统战对象给予关心关爱等工作重点，切实发挥凝心聚力作用，确保</w:t>
      </w:r>
      <w:r>
        <w:rPr>
          <w:rFonts w:hint="eastAsia" w:ascii="仿宋_GB2312" w:hAnsi="宋体" w:eastAsia="仿宋_GB2312" w:cs="宋体"/>
          <w:color w:val="333333"/>
          <w:kern w:val="0"/>
          <w:sz w:val="32"/>
          <w:szCs w:val="32"/>
          <w:lang w:eastAsia="zh-CN"/>
        </w:rPr>
        <w:t>壤塘</w:t>
      </w:r>
      <w:r>
        <w:rPr>
          <w:rFonts w:hint="eastAsia" w:ascii="仿宋_GB2312" w:hAnsi="宋体" w:eastAsia="仿宋_GB2312" w:cs="宋体"/>
          <w:color w:val="333333"/>
          <w:kern w:val="0"/>
          <w:sz w:val="32"/>
          <w:szCs w:val="32"/>
        </w:rPr>
        <w:t>和谐稳定。</w:t>
      </w:r>
    </w:p>
    <w:p>
      <w:pPr>
        <w:pStyle w:val="47"/>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pPr>
        <w:pStyle w:val="47"/>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在预算编制中进一步夯实预算编制基础，及时更新相关基础数据，严格控制“三公”经费预算及支出，预算编制及决算编制做到了及时、完整、准确、合理、高效</w:t>
      </w:r>
      <w:r>
        <w:rPr>
          <w:rFonts w:ascii="仿宋_GB2312" w:hAnsi="仿宋_GB2312" w:eastAsia="仿宋_GB2312" w:cs="仿宋_GB2312"/>
          <w:sz w:val="32"/>
          <w:szCs w:val="32"/>
        </w:rPr>
        <w:t>。</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4.支出控制</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本年度资金使用过程中严格按照单位财务管理制度要求执行，资金使用的合规性体现在：</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（1）所有经费开支坚持财务审批制度，重大资金支出（日常公用经费在1万元及以上）由部务会会议研究决定。</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（2）在报销经费时，经办人使用统一规范的审批单，在审批单上写明用途、经办人员、股室负责人、财务负责人、单位领导、金额、报销日期等内容。</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（3）费用报销审批程序 </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经办人填写报销单→由业务股室负责人确认签字→财务科人员核签字→财务分管领导确认签字→领导（常务副部长）批准后，到财务科出纳处办理支付手续。</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各个审批环节的具体职责：</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股室负责人及其分管领导对其发生的支出用途及金额的真实性、准确性负责，并对其股室填写的支出审批单内容、大小写金额、票据张数进行审核。经济业务发生后，原则上在30天之内报账完毕。不得将几个经济事项的票据合并填报。</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室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领导审查财务收支的真实性、合法性、必要性，并在报销凭证上明确签署报销意见。所有费用报销实行单位负责人“一支笔”签批制度。严格控制现金支付，原则上采用公务卡和转账结算。会计人员进行会计核算时，对不符合财经管理规定的票据有权拒绝接受并应立即报告。</w:t>
      </w:r>
    </w:p>
    <w:p>
      <w:pPr>
        <w:pStyle w:val="47"/>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5.预算动态调整</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实行了预算动态调整，根据支出实际情况对预算有增减变动预算控制。</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6.预算执行进度</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各阶段预算执行进度均达标。</w:t>
      </w:r>
    </w:p>
    <w:p>
      <w:pPr>
        <w:pStyle w:val="47"/>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7.预算完成情况</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预算完成100%。</w:t>
      </w:r>
    </w:p>
    <w:p>
      <w:pPr>
        <w:pStyle w:val="47"/>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.违规纪录</w:t>
      </w:r>
    </w:p>
    <w:p>
      <w:pPr>
        <w:pStyle w:val="47"/>
        <w:spacing w:line="360" w:lineRule="auto"/>
        <w:jc w:val="both"/>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rPr>
        <w:t>截</w:t>
      </w:r>
      <w:r>
        <w:rPr>
          <w:rFonts w:hint="eastAsia" w:ascii="仿宋_GB2312" w:eastAsia="仿宋_GB2312"/>
          <w:color w:val="000000"/>
          <w:sz w:val="32"/>
          <w:szCs w:val="32"/>
          <w:lang w:eastAsia="zh-CN"/>
        </w:rPr>
        <w:t>止</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12月31日，我单位无违规纪录情况</w:t>
      </w:r>
      <w:r>
        <w:rPr>
          <w:rFonts w:hint="eastAsia" w:ascii="仿宋_GB2312" w:hAnsi="仿宋_GB2312" w:eastAsia="仿宋_GB2312" w:cs="仿宋_GB2312"/>
          <w:sz w:val="32"/>
          <w:szCs w:val="32"/>
          <w:lang w:eastAsia="zh-CN"/>
        </w:rPr>
        <w:t>。</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（二）结果应用情况</w:t>
      </w:r>
    </w:p>
    <w:p>
      <w:pPr>
        <w:pStyle w:val="47"/>
        <w:spacing w:line="36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三公</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经费</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公”经费控制。中共壤塘县委统战部2024年“三公”经费预算6万元，决算支出5.96万元。其中公务用车购置及运行维护费预算6万元，决算支出5.96万元（其中公务用车运行维护费5.96万元）,未发生因公出国（境）费及公务接待费，2024年“三公”经费决算均未超过预算</w:t>
      </w:r>
      <w:r>
        <w:rPr>
          <w:rFonts w:hint="eastAsia" w:ascii="仿宋_GB2312" w:hAnsi="仿宋_GB2312" w:eastAsia="仿宋_GB2312" w:cs="仿宋_GB2312"/>
          <w:sz w:val="32"/>
          <w:szCs w:val="32"/>
        </w:rPr>
        <w:t>。</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2.资产管理</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固定资产在用率。截止</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12月31日，中共壤塘县委统战部《行政单位资产管理系统》固定资产总计107.32万元，在用的固定资产总计107.32万元，固定资产在用率达100%。</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3.信息公开</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信息公开。中共壤塘县委统战部已经按财政要求及时完成预算、决算、绩效等信息公开工作，信息在政府门户网站中公开。</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4.政府采购</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中共壤塘县委统战部发生政府采购支出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Style w:val="47"/>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四、评价结论及建议</w:t>
      </w:r>
    </w:p>
    <w:p>
      <w:pPr>
        <w:pStyle w:val="47"/>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pStyle w:val="47"/>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部门整体支出绩效评价情况开展自评，并撰写《中共壤塘县委统战部</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部门整体支出绩效评价报告》。根据考核评分细则，我部严格按照国家的相关财务管理制度规定，财务制度健全、会计核算规范，依照计划管理使用。按照部门整体支出绩效评价指标体系对照打分得出结果</w:t>
      </w:r>
      <w:r>
        <w:rPr>
          <w:rFonts w:hint="eastAsia" w:ascii="仿宋_GB2312" w:hAnsi="仿宋_GB2312" w:eastAsia="仿宋_GB2312" w:cs="仿宋_GB2312"/>
          <w:sz w:val="32"/>
          <w:szCs w:val="32"/>
          <w:highlight w:val="none"/>
        </w:rPr>
        <w:t>为9</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rPr>
        <w:t>。</w:t>
      </w:r>
    </w:p>
    <w:p>
      <w:pPr>
        <w:pStyle w:val="47"/>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1.执行期间根据工作安排和开展情况追加收入较多，年初预算数与调整预算数差别较大，预算安排不准确</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pPr>
        <w:pStyle w:val="47"/>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1.加强预算安排准确性，尽量减少执行中期追加数。</w:t>
      </w: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7"/>
        <w:spacing w:line="360" w:lineRule="auto"/>
        <w:ind w:firstLine="640"/>
        <w:rPr>
          <w:rFonts w:hint="eastAsia" w:ascii="仿宋_GB2312" w:hAnsi="仿宋_GB2312" w:eastAsia="仿宋_GB2312" w:cs="仿宋_GB2312"/>
          <w:sz w:val="32"/>
          <w:szCs w:val="32"/>
          <w:lang w:val="en-US" w:eastAsia="zh-CN"/>
        </w:rPr>
      </w:pPr>
    </w:p>
    <w:p>
      <w:pPr>
        <w:pStyle w:val="4"/>
        <w:bidi w:val="0"/>
        <w:jc w:val="center"/>
        <w:rPr>
          <w:rFonts w:hint="eastAsia" w:ascii="黑体" w:hAnsi="黑体" w:eastAsia="黑体" w:cs="黑体"/>
        </w:rPr>
      </w:pPr>
      <w:bookmarkStart w:id="95" w:name="_Toc7602"/>
      <w:bookmarkStart w:id="96" w:name="_Toc79163635"/>
      <w:bookmarkStart w:id="97" w:name="_Toc15396618"/>
      <w:r>
        <w:rPr>
          <w:rFonts w:hint="eastAsia" w:ascii="黑体" w:hAnsi="黑体" w:eastAsia="黑体" w:cs="黑体"/>
        </w:rPr>
        <w:t>第五部分 附表</w:t>
      </w:r>
      <w:bookmarkEnd w:id="6"/>
      <w:bookmarkEnd w:id="95"/>
      <w:bookmarkEnd w:id="96"/>
      <w:bookmarkEnd w:id="97"/>
    </w:p>
    <w:p>
      <w:pPr>
        <w:pStyle w:val="5"/>
        <w:rPr>
          <w:rFonts w:ascii="仿宋" w:hAnsi="仿宋" w:eastAsia="仿宋"/>
          <w:color w:val="000000"/>
        </w:rPr>
      </w:pPr>
      <w:bookmarkStart w:id="98" w:name="_Toc79163636"/>
      <w:bookmarkStart w:id="99" w:name="_Toc12877"/>
      <w:bookmarkStart w:id="100" w:name="_Toc15396619"/>
      <w:bookmarkStart w:id="101" w:name="_Toc17017"/>
      <w:r>
        <w:rPr>
          <w:rFonts w:hint="eastAsia" w:ascii="仿宋" w:hAnsi="仿宋" w:eastAsia="仿宋"/>
          <w:b w:val="0"/>
          <w:color w:val="000000"/>
        </w:rPr>
        <w:t>一、收</w:t>
      </w:r>
      <w:r>
        <w:rPr>
          <w:rStyle w:val="31"/>
          <w:rFonts w:hint="eastAsia" w:ascii="仿宋" w:hAnsi="仿宋" w:eastAsia="仿宋"/>
          <w:b w:val="0"/>
          <w:bCs w:val="0"/>
        </w:rPr>
        <w:t>入支出决算总表</w:t>
      </w:r>
      <w:bookmarkEnd w:id="98"/>
      <w:bookmarkEnd w:id="99"/>
      <w:bookmarkEnd w:id="100"/>
      <w:bookmarkEnd w:id="101"/>
    </w:p>
    <w:p>
      <w:pPr>
        <w:pStyle w:val="5"/>
        <w:rPr>
          <w:rFonts w:ascii="仿宋" w:hAnsi="仿宋" w:eastAsia="仿宋"/>
          <w:color w:val="000000"/>
        </w:rPr>
      </w:pPr>
      <w:bookmarkStart w:id="102" w:name="_Toc22435"/>
      <w:bookmarkStart w:id="103" w:name="_Toc15396620"/>
      <w:bookmarkStart w:id="104" w:name="_Toc79163637"/>
      <w:bookmarkStart w:id="105" w:name="_Toc5337"/>
      <w:r>
        <w:rPr>
          <w:rFonts w:hint="eastAsia" w:ascii="仿宋" w:hAnsi="仿宋" w:eastAsia="仿宋"/>
          <w:b w:val="0"/>
          <w:color w:val="000000"/>
        </w:rPr>
        <w:t>二、收</w:t>
      </w:r>
      <w:r>
        <w:rPr>
          <w:rStyle w:val="31"/>
          <w:rFonts w:hint="eastAsia" w:ascii="仿宋" w:hAnsi="仿宋" w:eastAsia="仿宋"/>
          <w:b w:val="0"/>
          <w:bCs w:val="0"/>
        </w:rPr>
        <w:t>入决算表</w:t>
      </w:r>
      <w:bookmarkEnd w:id="102"/>
      <w:bookmarkEnd w:id="103"/>
      <w:bookmarkEnd w:id="104"/>
      <w:bookmarkEnd w:id="105"/>
    </w:p>
    <w:p>
      <w:pPr>
        <w:pStyle w:val="5"/>
        <w:rPr>
          <w:rFonts w:ascii="仿宋" w:hAnsi="仿宋" w:eastAsia="仿宋"/>
          <w:color w:val="000000"/>
        </w:rPr>
      </w:pPr>
      <w:bookmarkStart w:id="106" w:name="_Toc79163638"/>
      <w:bookmarkStart w:id="107" w:name="_Toc15396621"/>
      <w:bookmarkStart w:id="108" w:name="_Toc21288"/>
      <w:bookmarkStart w:id="109" w:name="_Toc15057"/>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出决算表</w:t>
      </w:r>
      <w:bookmarkEnd w:id="106"/>
      <w:bookmarkEnd w:id="107"/>
      <w:bookmarkEnd w:id="108"/>
      <w:bookmarkEnd w:id="109"/>
    </w:p>
    <w:p>
      <w:pPr>
        <w:pStyle w:val="5"/>
        <w:rPr>
          <w:rFonts w:ascii="仿宋" w:hAnsi="仿宋" w:eastAsia="仿宋"/>
          <w:b w:val="0"/>
          <w:color w:val="000000"/>
        </w:rPr>
      </w:pPr>
      <w:bookmarkStart w:id="110" w:name="_Toc30975"/>
      <w:bookmarkStart w:id="111" w:name="_Toc15396622"/>
      <w:bookmarkStart w:id="112" w:name="_Toc79163639"/>
      <w:bookmarkStart w:id="113" w:name="_Toc5123"/>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110"/>
      <w:bookmarkEnd w:id="111"/>
      <w:bookmarkEnd w:id="112"/>
      <w:bookmarkEnd w:id="113"/>
    </w:p>
    <w:p>
      <w:pPr>
        <w:pStyle w:val="5"/>
        <w:rPr>
          <w:rStyle w:val="31"/>
          <w:rFonts w:ascii="仿宋" w:hAnsi="仿宋" w:eastAsia="仿宋"/>
          <w:b w:val="0"/>
          <w:bCs w:val="0"/>
        </w:rPr>
      </w:pPr>
      <w:bookmarkStart w:id="114" w:name="_Toc19276"/>
      <w:bookmarkStart w:id="115" w:name="_Toc8697"/>
      <w:bookmarkStart w:id="116" w:name="_Toc79163640"/>
      <w:bookmarkStart w:id="117" w:name="_Toc15396623"/>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w:t>
      </w:r>
      <w:bookmarkEnd w:id="114"/>
      <w:bookmarkEnd w:id="115"/>
      <w:bookmarkEnd w:id="116"/>
      <w:bookmarkEnd w:id="117"/>
      <w:bookmarkStart w:id="118" w:name="_Toc15396624"/>
    </w:p>
    <w:p>
      <w:pPr>
        <w:pStyle w:val="5"/>
        <w:rPr>
          <w:rFonts w:ascii="仿宋" w:hAnsi="仿宋" w:eastAsia="仿宋"/>
          <w:color w:val="000000"/>
        </w:rPr>
      </w:pPr>
      <w:bookmarkStart w:id="119" w:name="_Toc79163641"/>
      <w:bookmarkStart w:id="120" w:name="_Toc12357"/>
      <w:bookmarkStart w:id="121" w:name="_Toc27768"/>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118"/>
      <w:bookmarkEnd w:id="119"/>
      <w:bookmarkEnd w:id="120"/>
      <w:bookmarkEnd w:id="121"/>
    </w:p>
    <w:p>
      <w:pPr>
        <w:pStyle w:val="5"/>
        <w:rPr>
          <w:rFonts w:ascii="仿宋" w:hAnsi="仿宋" w:eastAsia="仿宋"/>
          <w:color w:val="000000"/>
        </w:rPr>
      </w:pPr>
      <w:bookmarkStart w:id="122" w:name="_Toc15840"/>
      <w:bookmarkStart w:id="123" w:name="_Toc79163642"/>
      <w:bookmarkStart w:id="124" w:name="_Toc9865"/>
      <w:bookmarkStart w:id="125"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122"/>
      <w:bookmarkEnd w:id="123"/>
      <w:bookmarkEnd w:id="124"/>
      <w:bookmarkEnd w:id="125"/>
    </w:p>
    <w:p>
      <w:pPr>
        <w:pStyle w:val="5"/>
        <w:rPr>
          <w:rFonts w:ascii="仿宋" w:hAnsi="仿宋" w:eastAsia="仿宋"/>
          <w:color w:val="000000"/>
        </w:rPr>
      </w:pPr>
      <w:bookmarkStart w:id="126" w:name="_Toc79163643"/>
      <w:bookmarkStart w:id="127" w:name="_Toc17185"/>
      <w:bookmarkStart w:id="128" w:name="_Toc29358"/>
      <w:bookmarkStart w:id="129" w:name="_Toc15396626"/>
      <w:bookmarkStart w:id="130" w:name="_Toc29548"/>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126"/>
      <w:bookmarkEnd w:id="127"/>
      <w:bookmarkEnd w:id="128"/>
      <w:bookmarkEnd w:id="129"/>
      <w:bookmarkEnd w:id="130"/>
    </w:p>
    <w:p>
      <w:pPr>
        <w:pStyle w:val="5"/>
        <w:rPr>
          <w:rFonts w:ascii="仿宋" w:hAnsi="仿宋" w:eastAsia="仿宋"/>
          <w:color w:val="000000"/>
        </w:rPr>
      </w:pPr>
      <w:bookmarkStart w:id="131" w:name="_Toc25183"/>
      <w:bookmarkStart w:id="132" w:name="_Toc15396627"/>
      <w:bookmarkStart w:id="133" w:name="_Toc79163644"/>
      <w:bookmarkStart w:id="134" w:name="_Toc79163894"/>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131"/>
      <w:bookmarkEnd w:id="132"/>
      <w:bookmarkEnd w:id="133"/>
      <w:bookmarkEnd w:id="134"/>
    </w:p>
    <w:p>
      <w:pPr>
        <w:pStyle w:val="5"/>
        <w:rPr>
          <w:rFonts w:ascii="仿宋" w:hAnsi="仿宋" w:eastAsia="仿宋"/>
          <w:color w:val="000000"/>
        </w:rPr>
      </w:pPr>
      <w:bookmarkStart w:id="135" w:name="_Toc15396628"/>
      <w:bookmarkStart w:id="136" w:name="_Toc79163895"/>
      <w:bookmarkStart w:id="137" w:name="_Toc79163645"/>
      <w:bookmarkStart w:id="138" w:name="_Toc3074"/>
      <w:r>
        <w:rPr>
          <w:rStyle w:val="31"/>
          <w:rFonts w:hint="eastAsia" w:ascii="仿宋" w:hAnsi="仿宋" w:eastAsia="仿宋"/>
          <w:b w:val="0"/>
          <w:bCs w:val="0"/>
        </w:rPr>
        <w:t>十、</w:t>
      </w:r>
      <w:bookmarkEnd w:id="135"/>
      <w:bookmarkEnd w:id="136"/>
      <w:bookmarkEnd w:id="137"/>
      <w:bookmarkStart w:id="139" w:name="_Toc79163646"/>
      <w:bookmarkStart w:id="140" w:name="_Toc15396629"/>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138"/>
      <w:bookmarkEnd w:id="139"/>
      <w:bookmarkEnd w:id="140"/>
    </w:p>
    <w:p>
      <w:pPr>
        <w:pStyle w:val="5"/>
        <w:rPr>
          <w:rStyle w:val="31"/>
          <w:rFonts w:ascii="仿宋" w:hAnsi="仿宋" w:eastAsia="仿宋"/>
          <w:b w:val="0"/>
          <w:bCs w:val="0"/>
        </w:rPr>
      </w:pPr>
      <w:bookmarkStart w:id="141" w:name="_Toc79163897"/>
      <w:bookmarkStart w:id="142" w:name="_Toc15396630"/>
      <w:bookmarkStart w:id="143" w:name="_Toc79163647"/>
      <w:bookmarkStart w:id="144" w:name="_Toc1462"/>
      <w:r>
        <w:rPr>
          <w:rStyle w:val="31"/>
          <w:rFonts w:hint="eastAsia" w:ascii="仿宋" w:hAnsi="仿宋" w:eastAsia="仿宋"/>
          <w:b w:val="0"/>
          <w:bCs w:val="0"/>
        </w:rPr>
        <w:t>十</w:t>
      </w:r>
      <w:bookmarkEnd w:id="141"/>
      <w:bookmarkEnd w:id="142"/>
      <w:bookmarkEnd w:id="143"/>
      <w:bookmarkStart w:id="145" w:name="_Toc15396631"/>
      <w:bookmarkStart w:id="146" w:name="_Toc79163648"/>
      <w:r>
        <w:rPr>
          <w:rStyle w:val="31"/>
          <w:rFonts w:hint="eastAsia" w:ascii="仿宋" w:hAnsi="仿宋" w:eastAsia="仿宋"/>
          <w:b w:val="0"/>
          <w:bCs w:val="0"/>
          <w:lang w:val="en-US" w:eastAsia="zh-CN"/>
        </w:rPr>
        <w:t>一</w:t>
      </w:r>
      <w:r>
        <w:rPr>
          <w:rStyle w:val="31"/>
          <w:rFonts w:hint="eastAsia" w:ascii="仿宋" w:hAnsi="仿宋" w:eastAsia="仿宋"/>
          <w:b w:val="0"/>
          <w:bCs w:val="0"/>
        </w:rPr>
        <w:t>、</w:t>
      </w:r>
      <w:r>
        <w:rPr>
          <w:rFonts w:hint="eastAsia" w:ascii="仿宋" w:hAnsi="仿宋" w:eastAsia="仿宋"/>
          <w:b w:val="0"/>
          <w:color w:val="000000"/>
        </w:rPr>
        <w:t>国</w:t>
      </w:r>
      <w:r>
        <w:rPr>
          <w:rStyle w:val="31"/>
          <w:rFonts w:hint="eastAsia" w:ascii="仿宋" w:hAnsi="仿宋" w:eastAsia="仿宋"/>
          <w:b w:val="0"/>
          <w:bCs w:val="0"/>
        </w:rPr>
        <w:t>有资本经营预算财政拨款</w:t>
      </w:r>
      <w:r>
        <w:rPr>
          <w:rStyle w:val="31"/>
          <w:rFonts w:hint="eastAsia" w:ascii="仿宋" w:hAnsi="仿宋" w:eastAsia="仿宋"/>
          <w:b w:val="0"/>
          <w:bCs w:val="0"/>
          <w:lang w:val="en-US" w:eastAsia="zh-CN"/>
        </w:rPr>
        <w:t>收入</w:t>
      </w:r>
      <w:r>
        <w:rPr>
          <w:rStyle w:val="31"/>
          <w:rFonts w:hint="eastAsia" w:ascii="仿宋" w:hAnsi="仿宋" w:eastAsia="仿宋"/>
          <w:b w:val="0"/>
          <w:bCs w:val="0"/>
        </w:rPr>
        <w:t>支出决算表</w:t>
      </w:r>
      <w:bookmarkEnd w:id="144"/>
      <w:bookmarkEnd w:id="145"/>
      <w:bookmarkEnd w:id="146"/>
    </w:p>
    <w:p>
      <w:pPr>
        <w:pStyle w:val="5"/>
        <w:rPr>
          <w:rStyle w:val="31"/>
          <w:rFonts w:hint="eastAsia" w:ascii="仿宋" w:hAnsi="仿宋" w:eastAsia="仿宋"/>
          <w:b w:val="0"/>
          <w:bCs w:val="0"/>
        </w:rPr>
      </w:pPr>
      <w:bookmarkStart w:id="147" w:name="_Toc20145"/>
      <w:bookmarkStart w:id="148" w:name="_Toc79163649"/>
      <w:r>
        <w:rPr>
          <w:rStyle w:val="31"/>
          <w:rFonts w:hint="eastAsia" w:ascii="仿宋" w:hAnsi="仿宋" w:eastAsia="仿宋"/>
          <w:b w:val="0"/>
          <w:bCs w:val="0"/>
        </w:rPr>
        <w:t>十</w:t>
      </w:r>
      <w:r>
        <w:rPr>
          <w:rStyle w:val="31"/>
          <w:rFonts w:hint="eastAsia" w:ascii="仿宋" w:hAnsi="仿宋" w:eastAsia="仿宋"/>
          <w:b w:val="0"/>
          <w:bCs w:val="0"/>
          <w:lang w:val="en-US" w:eastAsia="zh-CN"/>
        </w:rPr>
        <w:t>二</w:t>
      </w:r>
      <w:r>
        <w:rPr>
          <w:rStyle w:val="31"/>
          <w:rFonts w:hint="eastAsia" w:ascii="仿宋" w:hAnsi="仿宋" w:eastAsia="仿宋"/>
          <w:b w:val="0"/>
          <w:bCs w:val="0"/>
        </w:rPr>
        <w:t>、国有资本经营预算财政拨款支出决算表</w:t>
      </w:r>
      <w:bookmarkEnd w:id="147"/>
      <w:bookmarkEnd w:id="148"/>
    </w:p>
    <w:p>
      <w:pPr>
        <w:rPr>
          <w:rStyle w:val="31"/>
          <w:rFonts w:ascii="仿宋" w:hAnsi="仿宋" w:eastAsia="仿宋"/>
          <w:b w:val="0"/>
          <w:bCs w:val="0"/>
        </w:rPr>
      </w:pPr>
      <w:bookmarkStart w:id="149" w:name="_Toc17325"/>
      <w:r>
        <w:rPr>
          <w:rStyle w:val="31"/>
          <w:rFonts w:hint="eastAsia" w:ascii="仿宋" w:hAnsi="仿宋" w:eastAsia="仿宋"/>
          <w:b w:val="0"/>
          <w:bCs w:val="0"/>
          <w:lang w:val="en-US" w:eastAsia="zh-CN"/>
        </w:rPr>
        <w:t>十三、</w:t>
      </w:r>
      <w:r>
        <w:rPr>
          <w:rStyle w:val="31"/>
          <w:rFonts w:hint="eastAsia" w:ascii="仿宋" w:hAnsi="仿宋" w:eastAsia="仿宋"/>
          <w:b w:val="0"/>
          <w:bCs w:val="0"/>
        </w:rPr>
        <w:t>财政拨款“三公”经费支出决算表</w:t>
      </w:r>
      <w:bookmarkEnd w:id="149"/>
    </w:p>
    <w:sectPr>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60" w:firstLineChars="2200"/>
      <w:rPr>
        <w:rFonts w:hint="default" w:eastAsia="宋体"/>
        <w:lang w:val="en-US" w:eastAsia="zh-CN"/>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1Go8VAgAAFw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Urs7uqKEs0UlnT6/u3049fp51cSlYCotX4Gz42Fb+jemg7ug95DGSfv&#10;KqfijZkI7AD7eAFYdIHwGDSdTKc5TBy24YH82WO4dT68E0aRKBTUYYMJWHZY+9C7Di6xmjarRsq0&#10;RalJW9D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Z1Go8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eRLA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y6eUaKawpPP3b+cfv84/v5KoBESt9XN4bi18Q/fWdHAf9B7KOHlX&#10;ORVvzERgB9inK8CiC4THoNlkNsth4rAND+TPHsOt8+GdMIpEoaAOG0zAsuPGh951cInVtFk3UqYt&#10;Sk3agk5fv8lTwNWC5FKjRhyibzZKodt1l8l2pjxhMGd6dnjL1w2Kb5gPD8yBDmgYFA/3OCppUMRc&#10;JEpq4748p4/+2BKslLSgV0E1+E+JfK+xvcjEQXCDsBsEfVC3Bnwd4+tYnkQEuCAHsXJGfQbvV7EG&#10;TExzVCpoGMTb0FMc/4aL1So5Haxr9nUfAO5ZFjZ6a3ksE4H0dnUIADNhHAHqUbngBvalLV1+SqT3&#10;n+/k9fif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OeRLA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5RrO4VAgAAFw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Xf6WEs0UlnT68f308+H06xuJSkDUWj+D58bCN3TvTAf3Qe+hjJN3&#10;lVPxxkwEdoB9vAAsukB4DJpOptMcJg7b8ED+7DHcOh/eC6NIFArqsMEELDusfehdB5dYTZtVI2Xa&#10;otSkLejV6zd5CrhYkFxq1IhD9M1GKXTb7jzZ1pRHDOZMzw5v+apB8TXz4Z450AENg+LhDkclDYqY&#10;s0RJbdzXv+mjP7YEKyUt6FVQDf5TIj9obC8ycRDcIGwHQe/VjQFfx/g6licRAS7IQaycUV/A+2Ws&#10;ARPTHJUKGgbxJvQUx7/hYrlMTnvrml3dB4B7loW13lgey0QgvV3uA8BMGEeAelTOuIF9aUvnnxLp&#10;/fSdvB7/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5RrO4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9HZcWAgAAFw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bsp+NFMYUmXr18u335cvn8m8RIUtdYvELmziA3da9MhfLz3uIyT&#10;d5VT8YuZCPwAO18JFl0gPCbNZ/N5DheHb/wBfvaUbp0Pb4RRJBoFddhgIpadtj70oWNIrKbNppEy&#10;bVFq0hb05uWrPCVcPQCXGjXiEH2z0Qrdvhsm25vyjMGc6dXhLd80KL5lPjwyBzmgYUg8POCopEER&#10;M1iU1MZ9+tt9jMeW4KWkhbwKqqF/SuRbje0BMIyGG439aOijujPQ6xRPx/JkIsEFOZqVM+ojdL+O&#10;NeBimqNSQcNo3oVe4ng3XKzXKehoXXOo+wRoz7Kw1TvLY5lIpLfrYwCZieNIUM/KwBvUl7Y0vJQo&#10;71//U9TTe17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HPR2XFgIAABcEAAAOAAAAAAAA&#10;AAEAIAAAAB8BAABkcnMvZTJvRG9jLnhtbFBLBQYAAAAABgAGAFkBAACn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uGo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G08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4uGo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60" w:firstLineChars="2200"/>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EJvY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QEJvY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60" w:firstLineChars="2200"/>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Lzqg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liVZgpLunz9cvn24/L9M4lKQNRav4DnzsI3dK9NB/dR76GMk3eV&#10;U/HGTAR2gH2+Aiy6QHgMms/m8xwmDtv4QP7sKdw6H94Io0gUCuqwwQQsO2196F1Hl1hNm00jZdqi&#10;1KQt6M3LV3kKuFqQXGrUiEP0zUYpdPtumGxvyjMGc6Znh7d806D4lvnwyBzogIZB8fCAo5IGRcwg&#10;UVIb9+lv+uiPLcFKSQt6FVSD/5TItxrbi0wcBTcK+1HQR3VnwNcpvo7lSUSAC3IUK2fUR/B+HWvA&#10;xDRHpYKGUbwLPcXxb7hYr5PT0brmUPcB4J5lYat3lscyEUhv18cAMBPGEaAelQE3sC9tafgpkd6/&#10;vpPX039e/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mcvOqBQCAAAX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27BE6324"/>
    <w:multiLevelType w:val="singleLevel"/>
    <w:tmpl w:val="27BE6324"/>
    <w:lvl w:ilvl="0" w:tentative="0">
      <w:start w:val="2"/>
      <w:numFmt w:val="chineseCounting"/>
      <w:suff w:val="nothing"/>
      <w:lvlText w:val="（%1）"/>
      <w:lvlJc w:val="left"/>
      <w:rPr>
        <w:rFonts w:hint="eastAsia"/>
      </w:rPr>
    </w:lvl>
  </w:abstractNum>
  <w:abstractNum w:abstractNumId="2">
    <w:nsid w:val="73DE4676"/>
    <w:multiLevelType w:val="singleLevel"/>
    <w:tmpl w:val="73DE4676"/>
    <w:lvl w:ilvl="0" w:tentative="0">
      <w:start w:val="1"/>
      <w:numFmt w:val="chineseCounting"/>
      <w:suff w:val="space"/>
      <w:lvlText w:val="第%1部分"/>
      <w:lvlJc w:val="left"/>
      <w:pPr>
        <w:ind w:left="11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 w:name="KSO_WPS_MARK_KEY" w:val="607107ec-28f6-4202-9420-e617c3daee02"/>
  </w:docVars>
  <w:rsids>
    <w:rsidRoot w:val="00F1361C"/>
    <w:rsid w:val="000222C6"/>
    <w:rsid w:val="0002549F"/>
    <w:rsid w:val="000468DB"/>
    <w:rsid w:val="0006487A"/>
    <w:rsid w:val="00064A97"/>
    <w:rsid w:val="00065F8F"/>
    <w:rsid w:val="00070A43"/>
    <w:rsid w:val="000768F2"/>
    <w:rsid w:val="00083BA5"/>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667A3"/>
    <w:rsid w:val="0027224D"/>
    <w:rsid w:val="00280496"/>
    <w:rsid w:val="00282EBD"/>
    <w:rsid w:val="00294DC9"/>
    <w:rsid w:val="00295495"/>
    <w:rsid w:val="00296306"/>
    <w:rsid w:val="002A31DE"/>
    <w:rsid w:val="002B2613"/>
    <w:rsid w:val="002D6D05"/>
    <w:rsid w:val="002F1818"/>
    <w:rsid w:val="002F567B"/>
    <w:rsid w:val="003216A9"/>
    <w:rsid w:val="00335A74"/>
    <w:rsid w:val="00361CE5"/>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2CAD"/>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280D"/>
    <w:rsid w:val="0071798E"/>
    <w:rsid w:val="007416B6"/>
    <w:rsid w:val="00746F48"/>
    <w:rsid w:val="0075404D"/>
    <w:rsid w:val="00756B72"/>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3D3C"/>
    <w:rsid w:val="008253BB"/>
    <w:rsid w:val="0083706E"/>
    <w:rsid w:val="008408F6"/>
    <w:rsid w:val="008423A5"/>
    <w:rsid w:val="00850625"/>
    <w:rsid w:val="00853718"/>
    <w:rsid w:val="00855221"/>
    <w:rsid w:val="00860645"/>
    <w:rsid w:val="008632E0"/>
    <w:rsid w:val="00871F71"/>
    <w:rsid w:val="00872FD8"/>
    <w:rsid w:val="008827C9"/>
    <w:rsid w:val="00885AF4"/>
    <w:rsid w:val="00892977"/>
    <w:rsid w:val="008939CD"/>
    <w:rsid w:val="008B768C"/>
    <w:rsid w:val="008C4DB1"/>
    <w:rsid w:val="008C4EAF"/>
    <w:rsid w:val="008C5176"/>
    <w:rsid w:val="008C7BD1"/>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714C"/>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0BAD"/>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A02C0"/>
    <w:rsid w:val="00BB4DF0"/>
    <w:rsid w:val="00BC289F"/>
    <w:rsid w:val="00BC2D50"/>
    <w:rsid w:val="00BC5361"/>
    <w:rsid w:val="00BC5460"/>
    <w:rsid w:val="00BC6B50"/>
    <w:rsid w:val="00BD0E25"/>
    <w:rsid w:val="00BE5E6B"/>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3C75"/>
    <w:rsid w:val="00CB4E70"/>
    <w:rsid w:val="00CC09B6"/>
    <w:rsid w:val="00CC0A1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2EE055C"/>
    <w:rsid w:val="046B275D"/>
    <w:rsid w:val="05062FCA"/>
    <w:rsid w:val="050B6D23"/>
    <w:rsid w:val="064B4EE4"/>
    <w:rsid w:val="07D94EB6"/>
    <w:rsid w:val="0A2032A3"/>
    <w:rsid w:val="0ACF434F"/>
    <w:rsid w:val="0B264A45"/>
    <w:rsid w:val="0B313D30"/>
    <w:rsid w:val="0B66293E"/>
    <w:rsid w:val="0CF839A0"/>
    <w:rsid w:val="0DBC5853"/>
    <w:rsid w:val="0DD752A7"/>
    <w:rsid w:val="0E7D2C2A"/>
    <w:rsid w:val="0FF461BD"/>
    <w:rsid w:val="10944F33"/>
    <w:rsid w:val="109A5BFB"/>
    <w:rsid w:val="10C055FF"/>
    <w:rsid w:val="10C1086A"/>
    <w:rsid w:val="118107EC"/>
    <w:rsid w:val="125809B5"/>
    <w:rsid w:val="13120EFB"/>
    <w:rsid w:val="143E4A1F"/>
    <w:rsid w:val="14633D95"/>
    <w:rsid w:val="14A34129"/>
    <w:rsid w:val="15E117EF"/>
    <w:rsid w:val="16640F24"/>
    <w:rsid w:val="16BB723D"/>
    <w:rsid w:val="174208D1"/>
    <w:rsid w:val="1A3B5DFE"/>
    <w:rsid w:val="1CCE1EFE"/>
    <w:rsid w:val="1D155CEE"/>
    <w:rsid w:val="21310982"/>
    <w:rsid w:val="21354AB4"/>
    <w:rsid w:val="237E0055"/>
    <w:rsid w:val="240371BF"/>
    <w:rsid w:val="249E73D4"/>
    <w:rsid w:val="27203F50"/>
    <w:rsid w:val="278154B6"/>
    <w:rsid w:val="29FD04D3"/>
    <w:rsid w:val="2A2E0C3A"/>
    <w:rsid w:val="2B9601FE"/>
    <w:rsid w:val="2BB62C95"/>
    <w:rsid w:val="2E1B018E"/>
    <w:rsid w:val="2E5C5BFF"/>
    <w:rsid w:val="30BF48C2"/>
    <w:rsid w:val="314430A9"/>
    <w:rsid w:val="31965918"/>
    <w:rsid w:val="319F7F4E"/>
    <w:rsid w:val="326B7F22"/>
    <w:rsid w:val="391D47E6"/>
    <w:rsid w:val="3AD076F1"/>
    <w:rsid w:val="3B252F0F"/>
    <w:rsid w:val="3B866650"/>
    <w:rsid w:val="3CA56B3A"/>
    <w:rsid w:val="3CCF23AE"/>
    <w:rsid w:val="3D271C45"/>
    <w:rsid w:val="3E5754B7"/>
    <w:rsid w:val="3EAD5FC1"/>
    <w:rsid w:val="3EBF7DB1"/>
    <w:rsid w:val="40737482"/>
    <w:rsid w:val="41370B8A"/>
    <w:rsid w:val="41DC602D"/>
    <w:rsid w:val="41FF2501"/>
    <w:rsid w:val="425C741F"/>
    <w:rsid w:val="434D4ED4"/>
    <w:rsid w:val="44384737"/>
    <w:rsid w:val="44A17F98"/>
    <w:rsid w:val="459F4E7E"/>
    <w:rsid w:val="4624380D"/>
    <w:rsid w:val="472C77A5"/>
    <w:rsid w:val="47486AC1"/>
    <w:rsid w:val="49F40065"/>
    <w:rsid w:val="4CF0791F"/>
    <w:rsid w:val="4E030DE3"/>
    <w:rsid w:val="4E5E075D"/>
    <w:rsid w:val="4ECE2238"/>
    <w:rsid w:val="4EF55B73"/>
    <w:rsid w:val="4FBD2223"/>
    <w:rsid w:val="51133873"/>
    <w:rsid w:val="51B33D72"/>
    <w:rsid w:val="53B94A5D"/>
    <w:rsid w:val="55BB3A6D"/>
    <w:rsid w:val="55EB7FF2"/>
    <w:rsid w:val="560B23E1"/>
    <w:rsid w:val="56781132"/>
    <w:rsid w:val="5F497278"/>
    <w:rsid w:val="60B10120"/>
    <w:rsid w:val="61574299"/>
    <w:rsid w:val="62EF7BB4"/>
    <w:rsid w:val="637C2412"/>
    <w:rsid w:val="654A0306"/>
    <w:rsid w:val="662419C0"/>
    <w:rsid w:val="66F66060"/>
    <w:rsid w:val="67136C12"/>
    <w:rsid w:val="68D75A1D"/>
    <w:rsid w:val="69227516"/>
    <w:rsid w:val="6A650554"/>
    <w:rsid w:val="6ACA6605"/>
    <w:rsid w:val="6AE95542"/>
    <w:rsid w:val="6C4A05C8"/>
    <w:rsid w:val="6CD16E13"/>
    <w:rsid w:val="6D14274C"/>
    <w:rsid w:val="6FEE1FCA"/>
    <w:rsid w:val="6FEE6B3D"/>
    <w:rsid w:val="70DC0075"/>
    <w:rsid w:val="72734D90"/>
    <w:rsid w:val="7313731C"/>
    <w:rsid w:val="748F1CD6"/>
    <w:rsid w:val="74FF4332"/>
    <w:rsid w:val="76780761"/>
    <w:rsid w:val="78A0431D"/>
    <w:rsid w:val="79835E6B"/>
    <w:rsid w:val="7A5073DE"/>
    <w:rsid w:val="7CCA70B9"/>
    <w:rsid w:val="7DA27FCE"/>
    <w:rsid w:val="7DA939D5"/>
    <w:rsid w:val="7F2E5C04"/>
    <w:rsid w:val="F41AF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38"/>
    <w:qFormat/>
    <w:uiPriority w:val="99"/>
    <w:pPr>
      <w:tabs>
        <w:tab w:val="center" w:pos="4153"/>
        <w:tab w:val="right" w:pos="8306"/>
      </w:tabs>
      <w:snapToGrid w:val="0"/>
      <w:jc w:val="left"/>
    </w:pPr>
    <w:rPr>
      <w:rFonts w:ascii="Calibri" w:hAnsi="Calibri"/>
      <w:kern w:val="0"/>
      <w:sz w:val="18"/>
      <w:szCs w:val="20"/>
      <w:lang w:val="zh-CN"/>
    </w:rPr>
  </w:style>
  <w:style w:type="paragraph" w:styleId="3">
    <w:name w:val="header"/>
    <w:basedOn w:val="1"/>
    <w:next w:val="1"/>
    <w:link w:val="37"/>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next w:val="1"/>
    <w:link w:val="39"/>
    <w:qFormat/>
    <w:uiPriority w:val="99"/>
    <w:pPr>
      <w:spacing w:beforeLines="30"/>
    </w:pPr>
    <w:rPr>
      <w:rFonts w:ascii="仿宋_GB2312" w:eastAsia="仿宋_GB2312"/>
      <w:kern w:val="0"/>
      <w:sz w:val="24"/>
      <w:szCs w:val="20"/>
      <w:lang w:val="zh-CN"/>
    </w:rPr>
  </w:style>
  <w:style w:type="paragraph" w:styleId="9">
    <w:name w:val="Body Text Indent"/>
    <w:basedOn w:val="1"/>
    <w:next w:val="10"/>
    <w:qFormat/>
    <w:uiPriority w:val="99"/>
    <w:pPr>
      <w:spacing w:line="600" w:lineRule="atLeast"/>
      <w:ind w:firstLine="630"/>
    </w:pPr>
    <w:rPr>
      <w:rFonts w:eastAsia="仿宋_GB2312"/>
      <w:sz w:val="32"/>
    </w:rPr>
  </w:style>
  <w:style w:type="paragraph" w:styleId="10">
    <w:name w:val="Body Text First Indent 2"/>
    <w:basedOn w:val="9"/>
    <w:next w:val="1"/>
    <w:qFormat/>
    <w:uiPriority w:val="99"/>
    <w:rPr>
      <w:rFonts w:eastAsia="宋体"/>
    </w:r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4"/>
    <w:semiHidden/>
    <w:unhideWhenUsed/>
    <w:qFormat/>
    <w:uiPriority w:val="99"/>
    <w:rPr>
      <w:sz w:val="18"/>
      <w:szCs w:val="18"/>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footnote text"/>
    <w:basedOn w:val="1"/>
    <w:next w:val="10"/>
    <w:semiHidden/>
    <w:qFormat/>
    <w:uiPriority w:val="0"/>
    <w:pPr>
      <w:snapToGrid w:val="0"/>
      <w:jc w:val="left"/>
    </w:pPr>
    <w:rPr>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文档正文"/>
    <w:basedOn w:val="1"/>
    <w:qFormat/>
    <w:uiPriority w:val="99"/>
    <w:pPr>
      <w:spacing w:line="480" w:lineRule="atLeast"/>
      <w:textAlignment w:val="baseline"/>
    </w:pPr>
    <w:rPr>
      <w:rFonts w:ascii="Arial" w:hAnsi="Arial" w:cs="Arial"/>
    </w:rPr>
  </w:style>
  <w:style w:type="character" w:customStyle="1" w:styleId="30">
    <w:name w:val="标题 1 Char"/>
    <w:basedOn w:val="25"/>
    <w:link w:val="4"/>
    <w:qFormat/>
    <w:locked/>
    <w:uiPriority w:val="9"/>
    <w:rPr>
      <w:rFonts w:ascii="Times New Roman" w:hAnsi="Times New Roman" w:cs="Times New Roman"/>
      <w:b/>
      <w:bCs/>
      <w:kern w:val="44"/>
      <w:sz w:val="44"/>
      <w:szCs w:val="44"/>
    </w:rPr>
  </w:style>
  <w:style w:type="character" w:customStyle="1" w:styleId="31">
    <w:name w:val="标题 2 Char"/>
    <w:basedOn w:val="25"/>
    <w:link w:val="5"/>
    <w:qFormat/>
    <w:locked/>
    <w:uiPriority w:val="9"/>
    <w:rPr>
      <w:rFonts w:ascii="Cambria" w:hAnsi="Cambria" w:eastAsia="宋体" w:cs="Times New Roman"/>
      <w:b/>
      <w:bCs/>
      <w:kern w:val="2"/>
      <w:sz w:val="32"/>
      <w:szCs w:val="32"/>
    </w:rPr>
  </w:style>
  <w:style w:type="character" w:customStyle="1" w:styleId="32">
    <w:name w:val="标题 3 Char"/>
    <w:basedOn w:val="25"/>
    <w:link w:val="6"/>
    <w:qFormat/>
    <w:locked/>
    <w:uiPriority w:val="9"/>
    <w:rPr>
      <w:rFonts w:ascii="Times New Roman" w:hAnsi="Times New Roman" w:cs="Times New Roman"/>
      <w:b/>
      <w:bCs/>
      <w:kern w:val="2"/>
      <w:sz w:val="32"/>
      <w:szCs w:val="32"/>
    </w:rPr>
  </w:style>
  <w:style w:type="character" w:customStyle="1" w:styleId="33">
    <w:name w:val="Body Text Char"/>
    <w:basedOn w:val="25"/>
    <w:semiHidden/>
    <w:qFormat/>
    <w:uiPriority w:val="99"/>
    <w:rPr>
      <w:rFonts w:ascii="Times New Roman" w:hAnsi="Times New Roman" w:cs="Times New Roman"/>
      <w:sz w:val="24"/>
      <w:szCs w:val="24"/>
    </w:rPr>
  </w:style>
  <w:style w:type="character" w:customStyle="1" w:styleId="34">
    <w:name w:val="批注框文本 Char"/>
    <w:basedOn w:val="25"/>
    <w:link w:val="14"/>
    <w:semiHidden/>
    <w:qFormat/>
    <w:locked/>
    <w:uiPriority w:val="99"/>
    <w:rPr>
      <w:rFonts w:ascii="Times New Roman" w:hAnsi="Times New Roman" w:cs="Times New Roman"/>
      <w:kern w:val="2"/>
      <w:sz w:val="18"/>
      <w:szCs w:val="18"/>
    </w:rPr>
  </w:style>
  <w:style w:type="character" w:customStyle="1" w:styleId="35">
    <w:name w:val="Footer Char"/>
    <w:basedOn w:val="25"/>
    <w:semiHidden/>
    <w:qFormat/>
    <w:uiPriority w:val="99"/>
    <w:rPr>
      <w:rFonts w:ascii="Times New Roman" w:hAnsi="Times New Roman" w:cs="Times New Roman"/>
      <w:sz w:val="18"/>
      <w:szCs w:val="18"/>
    </w:rPr>
  </w:style>
  <w:style w:type="character" w:customStyle="1" w:styleId="36">
    <w:name w:val="Header Char"/>
    <w:basedOn w:val="25"/>
    <w:semiHidden/>
    <w:qFormat/>
    <w:uiPriority w:val="99"/>
    <w:rPr>
      <w:rFonts w:ascii="Times New Roman" w:hAnsi="Times New Roman" w:cs="Times New Roman"/>
      <w:sz w:val="18"/>
      <w:szCs w:val="18"/>
    </w:rPr>
  </w:style>
  <w:style w:type="character" w:customStyle="1" w:styleId="37">
    <w:name w:val="页眉 Char"/>
    <w:link w:val="3"/>
    <w:qFormat/>
    <w:locked/>
    <w:uiPriority w:val="99"/>
    <w:rPr>
      <w:sz w:val="18"/>
    </w:rPr>
  </w:style>
  <w:style w:type="character" w:customStyle="1" w:styleId="38">
    <w:name w:val="页脚 Char"/>
    <w:link w:val="2"/>
    <w:qFormat/>
    <w:locked/>
    <w:uiPriority w:val="99"/>
    <w:rPr>
      <w:sz w:val="18"/>
    </w:rPr>
  </w:style>
  <w:style w:type="character" w:customStyle="1" w:styleId="39">
    <w:name w:val="正文文本 Char"/>
    <w:link w:val="8"/>
    <w:qFormat/>
    <w:locked/>
    <w:uiPriority w:val="99"/>
    <w:rPr>
      <w:rFonts w:ascii="仿宋_GB2312" w:hAnsi="Times New Roman" w:eastAsia="仿宋_GB2312"/>
      <w:sz w:val="24"/>
    </w:rPr>
  </w:style>
  <w:style w:type="paragraph" w:customStyle="1" w:styleId="4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1">
    <w:name w:val="列表段落1"/>
    <w:basedOn w:val="1"/>
    <w:qFormat/>
    <w:uiPriority w:val="34"/>
    <w:pPr>
      <w:ind w:firstLine="420" w:firstLineChars="200"/>
    </w:pPr>
  </w:style>
  <w:style w:type="paragraph" w:customStyle="1" w:styleId="42">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5">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46">
    <w:name w:val="四号正文"/>
    <w:basedOn w:val="1"/>
    <w:qFormat/>
    <w:uiPriority w:val="0"/>
    <w:pPr>
      <w:spacing w:line="360" w:lineRule="auto"/>
    </w:pPr>
    <w:rPr>
      <w:rFonts w:ascii="??" w:hAnsi="??" w:cs="宋体"/>
      <w:color w:val="000000"/>
      <w:kern w:val="0"/>
      <w:sz w:val="28"/>
      <w:szCs w:val="21"/>
    </w:rPr>
  </w:style>
  <w:style w:type="paragraph" w:customStyle="1" w:styleId="47">
    <w:name w:val="列出段落1"/>
    <w:basedOn w:val="1"/>
    <w:qFormat/>
    <w:uiPriority w:val="34"/>
    <w:pPr>
      <w:ind w:firstLine="420" w:firstLineChars="200"/>
    </w:pPr>
    <w:rPr>
      <w:rFonts w:ascii="Calibri" w:hAnsi="Calibri"/>
    </w:rPr>
  </w:style>
  <w:style w:type="paragraph" w:styleId="48">
    <w:name w:val="No Spacing"/>
    <w:link w:val="49"/>
    <w:qFormat/>
    <w:uiPriority w:val="1"/>
    <w:rPr>
      <w:rFonts w:asciiTheme="minorHAnsi" w:hAnsiTheme="minorHAnsi" w:eastAsiaTheme="minorEastAsia" w:cstheme="minorBidi"/>
      <w:sz w:val="22"/>
      <w:szCs w:val="22"/>
      <w:lang w:val="en-US" w:eastAsia="zh-CN" w:bidi="ar-SA"/>
    </w:rPr>
  </w:style>
  <w:style w:type="character" w:customStyle="1" w:styleId="49">
    <w:name w:val="无间隔 Char"/>
    <w:basedOn w:val="25"/>
    <w:link w:val="48"/>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9.xml"/><Relationship Id="rId23" Type="http://schemas.openxmlformats.org/officeDocument/2006/relationships/chart" Target="charts/chart8.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6199\Documents\WeChat%20Files\wxid_rllsynkb03bd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2023年</c:v>
                </c:pt>
                <c:pt idx="1">
                  <c:v>2024年</c:v>
                </c:pt>
              </c:strCache>
            </c:strRef>
          </c:cat>
          <c:val>
            <c:numRef>
              <c:f>[决算公开分析图表.xls]Sheet1!$A$4:$B$4</c:f>
              <c:numCache>
                <c:formatCode>General</c:formatCode>
                <c:ptCount val="2"/>
                <c:pt idx="0">
                  <c:v>1129.88</c:v>
                </c:pt>
                <c:pt idx="1" c:formatCode="#,##0.00">
                  <c:v>1255.23</c:v>
                </c:pt>
              </c:numCache>
            </c:numRef>
          </c:val>
        </c:ser>
        <c:dLbls>
          <c:showLegendKey val="0"/>
          <c:showVal val="0"/>
          <c:showCatName val="0"/>
          <c:showSerName val="0"/>
          <c:showPercent val="0"/>
          <c:showBubbleSize val="0"/>
        </c:dLbls>
        <c:gapWidth val="219"/>
        <c:overlap val="-27"/>
        <c:axId val="314881465"/>
        <c:axId val="757827420"/>
      </c:barChart>
      <c:catAx>
        <c:axId val="3148814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7827420"/>
        <c:crosses val="autoZero"/>
        <c:auto val="1"/>
        <c:lblAlgn val="ctr"/>
        <c:lblOffset val="100"/>
        <c:noMultiLvlLbl val="0"/>
      </c:catAx>
      <c:valAx>
        <c:axId val="7578274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88146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2023年</c:v>
                </c:pt>
                <c:pt idx="1">
                  <c:v>2024年</c:v>
                </c:pt>
              </c:strCache>
            </c:strRef>
          </c:cat>
          <c:val>
            <c:numRef>
              <c:f>[决算公开分析图表.xls]Sheet1!$A$25:$B$25</c:f>
              <c:numCache>
                <c:formatCode>General</c:formatCode>
                <c:ptCount val="2"/>
                <c:pt idx="0">
                  <c:v>1129.88</c:v>
                </c:pt>
                <c:pt idx="1" c:formatCode="#,##0.00">
                  <c:v>1019.2</c:v>
                </c:pt>
              </c:numCache>
            </c:numRef>
          </c:val>
        </c:ser>
        <c:dLbls>
          <c:showLegendKey val="0"/>
          <c:showVal val="0"/>
          <c:showCatName val="0"/>
          <c:showSerName val="0"/>
          <c:showPercent val="0"/>
          <c:showBubbleSize val="0"/>
        </c:dLbls>
        <c:gapWidth val="219"/>
        <c:overlap val="-27"/>
        <c:axId val="818411759"/>
        <c:axId val="351555114"/>
      </c:barChart>
      <c:catAx>
        <c:axId val="81841175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555114"/>
        <c:crosses val="autoZero"/>
        <c:auto val="1"/>
        <c:lblAlgn val="ctr"/>
        <c:lblOffset val="100"/>
        <c:noMultiLvlLbl val="0"/>
      </c:catAx>
      <c:valAx>
        <c:axId val="35155511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8411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elete val="1"/>
          </c:dLbls>
          <c:cat>
            <c:strRef>
              <c:f>[决算公开分析图表.xls]Sheet1!$D$43:$D$44</c:f>
              <c:strCache>
                <c:ptCount val="2"/>
                <c:pt idx="0">
                  <c:v>一般公共预算财政拨款收入</c:v>
                </c:pt>
                <c:pt idx="1">
                  <c:v>其他收入</c:v>
                </c:pt>
              </c:strCache>
            </c:strRef>
          </c:cat>
          <c:val>
            <c:numRef>
              <c:f>[决算公开分析图表.xls]Sheet1!$E$43:$E$44</c:f>
              <c:numCache>
                <c:formatCode>#,##0.00</c:formatCode>
                <c:ptCount val="2"/>
                <c:pt idx="0">
                  <c:v>1013.96</c:v>
                </c:pt>
                <c:pt idx="1" c:formatCode="General">
                  <c:v>241.26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elete val="1"/>
          </c:dLbls>
          <c:cat>
            <c:strRef>
              <c:f>[决算公开分析图表.xls]Sheet1!$C$57:$C$58</c:f>
              <c:strCache>
                <c:ptCount val="2"/>
                <c:pt idx="0">
                  <c:v>基本支出</c:v>
                </c:pt>
                <c:pt idx="1">
                  <c:v>项目支出</c:v>
                </c:pt>
              </c:strCache>
            </c:strRef>
          </c:cat>
          <c:val>
            <c:numRef>
              <c:f>[决算公开分析图表.xls]Sheet1!$D$57:$D$58</c:f>
              <c:numCache>
                <c:formatCode>General</c:formatCode>
                <c:ptCount val="2"/>
                <c:pt idx="0">
                  <c:v>396.27</c:v>
                </c:pt>
                <c:pt idx="1" c:formatCode="#,##0.00">
                  <c:v>622.93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022"/>
          <c:y val="0.89475"/>
          <c:w val="0.9275"/>
          <c:h val="0.093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[决算公开分析图表.xls]Sheet1!$A$82:$B$82</c:f>
              <c:strCache>
                <c:ptCount val="2"/>
                <c:pt idx="0">
                  <c:v>2023年</c:v>
                </c:pt>
                <c:pt idx="1">
                  <c:v>2024年</c:v>
                </c:pt>
              </c:strCache>
            </c:strRef>
          </c:cat>
          <c:val>
            <c:numRef>
              <c:f>[决算公开分析图表.xls]Sheet1!$A$83:$B$83</c:f>
              <c:numCache>
                <c:formatCode>General</c:formatCode>
                <c:ptCount val="2"/>
                <c:pt idx="0">
                  <c:v>1129.88</c:v>
                </c:pt>
                <c:pt idx="1" c:formatCode="#,##0.00">
                  <c:v>1013.96</c:v>
                </c:pt>
              </c:numCache>
            </c:numRef>
          </c:val>
        </c:ser>
        <c:dLbls>
          <c:showLegendKey val="0"/>
          <c:showVal val="0"/>
          <c:showCatName val="0"/>
          <c:showSerName val="0"/>
          <c:showPercent val="0"/>
          <c:showBubbleSize val="0"/>
        </c:dLbls>
        <c:gapWidth val="219"/>
        <c:overlap val="-27"/>
        <c:axId val="862280183"/>
        <c:axId val="839048716"/>
      </c:barChart>
      <c:catAx>
        <c:axId val="8622801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048716"/>
        <c:crosses val="autoZero"/>
        <c:auto val="1"/>
        <c:lblAlgn val="ctr"/>
        <c:lblOffset val="100"/>
        <c:noMultiLvlLbl val="0"/>
      </c:catAx>
      <c:valAx>
        <c:axId val="8390487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2801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[决算公开分析图表.xls]Sheet1!$A$99:$B$99</c:f>
              <c:strCache>
                <c:ptCount val="2"/>
                <c:pt idx="0">
                  <c:v>2023年</c:v>
                </c:pt>
                <c:pt idx="1">
                  <c:v>2024年</c:v>
                </c:pt>
              </c:strCache>
            </c:strRef>
          </c:cat>
          <c:val>
            <c:numRef>
              <c:f>[决算公开分析图表.xls]Sheet1!$A$100:$B$100</c:f>
              <c:numCache>
                <c:formatCode>General</c:formatCode>
                <c:ptCount val="2"/>
                <c:pt idx="0">
                  <c:v>1129.88</c:v>
                </c:pt>
                <c:pt idx="1" c:formatCode="#,##0.00">
                  <c:v>1013.96</c:v>
                </c:pt>
              </c:numCache>
            </c:numRef>
          </c:val>
        </c:ser>
        <c:dLbls>
          <c:showLegendKey val="0"/>
          <c:showVal val="0"/>
          <c:showCatName val="0"/>
          <c:showSerName val="0"/>
          <c:showPercent val="0"/>
          <c:showBubbleSize val="0"/>
        </c:dLbls>
        <c:gapWidth val="219"/>
        <c:overlap val="-27"/>
        <c:axId val="301484187"/>
        <c:axId val="803611363"/>
      </c:barChart>
      <c:catAx>
        <c:axId val="30148418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1363"/>
        <c:crosses val="autoZero"/>
        <c:auto val="1"/>
        <c:lblAlgn val="ctr"/>
        <c:lblOffset val="100"/>
        <c:noMultiLvlLbl val="0"/>
      </c:catAx>
      <c:valAx>
        <c:axId val="80361136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4841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5321992487624"/>
          <c:y val="0.0787843557603584"/>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[决算公开分析图表.xls]Sheet1!$A$115:$B$115</c:f>
              <c:strCache>
                <c:ptCount val="2"/>
                <c:pt idx="0">
                  <c:v>2023年</c:v>
                </c:pt>
                <c:pt idx="1">
                  <c:v>2024年</c:v>
                </c:pt>
              </c:strCache>
            </c:strRef>
          </c:cat>
          <c:val>
            <c:numRef>
              <c:f>[决算公开分析图表.xls]Sheet1!$A$116:$B$116</c:f>
              <c:numCache>
                <c:formatCode>General</c:formatCode>
                <c:ptCount val="2"/>
                <c:pt idx="0">
                  <c:v>1129.88</c:v>
                </c:pt>
                <c:pt idx="1" c:formatCode="#,##0.00">
                  <c:v>1013.96</c:v>
                </c:pt>
              </c:numCache>
            </c:numRef>
          </c:val>
        </c:ser>
        <c:dLbls>
          <c:showLegendKey val="0"/>
          <c:showVal val="0"/>
          <c:showCatName val="0"/>
          <c:showSerName val="0"/>
          <c:showPercent val="0"/>
          <c:showBubbleSize val="0"/>
        </c:dLbls>
        <c:gapWidth val="219"/>
        <c:overlap val="-27"/>
        <c:axId val="214012275"/>
        <c:axId val="92476527"/>
      </c:barChart>
      <c:catAx>
        <c:axId val="21401227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76527"/>
        <c:crosses val="autoZero"/>
        <c:auto val="1"/>
        <c:lblAlgn val="ctr"/>
        <c:lblOffset val="100"/>
        <c:noMultiLvlLbl val="0"/>
      </c:catAx>
      <c:valAx>
        <c:axId val="924765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0122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2923053574139"/>
          <c:y val="0.0421348314606742"/>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dPt>
          <c:dLbls>
            <c:delete val="1"/>
          </c:dLbls>
          <c:cat>
            <c:strRef>
              <c:f>[决算公开分析图表.xls]Sheet1!$C$139:$C$143</c:f>
              <c:strCache>
                <c:ptCount val="5"/>
                <c:pt idx="0">
                  <c:v>一般公共服务支出</c:v>
                </c:pt>
                <c:pt idx="1">
                  <c:v>社会保障和就业支出</c:v>
                </c:pt>
                <c:pt idx="2">
                  <c:v>卫生健康支出</c:v>
                </c:pt>
                <c:pt idx="3">
                  <c:v>住房保障支出</c:v>
                </c:pt>
                <c:pt idx="4">
                  <c:v>公共安全支出</c:v>
                </c:pt>
              </c:strCache>
            </c:strRef>
          </c:cat>
          <c:val>
            <c:numRef>
              <c:f>[决算公开分析图表.xls]Sheet1!$D$139:$D$143</c:f>
              <c:numCache>
                <c:formatCode>General</c:formatCode>
                <c:ptCount val="5"/>
                <c:pt idx="0">
                  <c:v>901.24</c:v>
                </c:pt>
                <c:pt idx="1">
                  <c:v>55.66</c:v>
                </c:pt>
                <c:pt idx="2">
                  <c:v>19.48</c:v>
                </c:pt>
                <c:pt idx="3" c:formatCode="#,##0.00">
                  <c:v>27.58</c:v>
                </c:pt>
                <c:pt idx="4" c:formatCode="#,##0.00">
                  <c:v>10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549213870342451"/>
          <c:y val="0.211764705882353"/>
          <c:w val="0.432694378634504"/>
          <c:h val="0.7781512605042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c:explosion val="0"/>
          <c:dPt>
            <c:idx val="0"/>
            <c:bubble3D val="0"/>
            <c:explosion val="0"/>
            <c:spPr>
              <a:solidFill>
                <a:schemeClr val="accent1"/>
              </a:solidFill>
              <a:ln>
                <a:noFill/>
              </a:ln>
              <a:effectLst/>
            </c:spPr>
          </c:dPt>
          <c:dPt>
            <c:idx val="1"/>
            <c:bubble3D val="0"/>
            <c:explosion val="0"/>
            <c:spPr>
              <a:solidFill>
                <a:schemeClr val="accent3"/>
              </a:solidFill>
              <a:ln>
                <a:noFill/>
              </a:ln>
              <a:effectLst/>
            </c:spPr>
          </c:dPt>
          <c:dPt>
            <c:idx val="2"/>
            <c:bubble3D val="0"/>
            <c:explosion val="0"/>
            <c:spPr>
              <a:solidFill>
                <a:schemeClr val="accent5"/>
              </a:solidFill>
              <a:ln>
                <a:noFill/>
              </a:ln>
              <a:effectLst/>
            </c:spPr>
          </c:dPt>
          <c:dLbls>
            <c:delete val="1"/>
          </c:dLbls>
          <c:cat>
            <c:strRef>
              <c:f>[决算公开分析图表.xls]Sheet1!$A$166:$A$168</c:f>
              <c:strCache>
                <c:ptCount val="3"/>
                <c:pt idx="0">
                  <c:v>因公出国（境）费</c:v>
                </c:pt>
                <c:pt idx="1">
                  <c:v>公务接待费</c:v>
                </c:pt>
                <c:pt idx="2">
                  <c:v>公务用车购置及运行维护费</c:v>
                </c:pt>
              </c:strCache>
            </c:strRef>
          </c:cat>
          <c:val>
            <c:numRef>
              <c:f>[决算公开分析图表.xls]Sheet1!$B$166:$B$168</c:f>
              <c:numCache>
                <c:formatCode>General</c:formatCode>
                <c:ptCount val="3"/>
                <c:pt idx="0">
                  <c:v>0</c:v>
                </c:pt>
                <c:pt idx="1">
                  <c:v>0</c:v>
                </c:pt>
                <c:pt idx="2">
                  <c:v>11.99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10102</Words>
  <Characters>10897</Characters>
  <Lines>101</Lines>
  <Paragraphs>28</Paragraphs>
  <TotalTime>12</TotalTime>
  <ScaleCrop>false</ScaleCrop>
  <LinksUpToDate>false</LinksUpToDate>
  <CharactersWithSpaces>10996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Administrator</cp:lastModifiedBy>
  <cp:lastPrinted>2025-10-24T03:25:24Z</cp:lastPrinted>
  <dcterms:modified xsi:type="dcterms:W3CDTF">2025-10-24T03:25:58Z</dcterms:modified>
  <dc:title>阿坝州部门决算说明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5539177B32C04EBABF315ED8B050EB7D</vt:lpwstr>
  </property>
</Properties>
</file>