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193"/>
      <w:bookmarkStart w:id="2" w:name="_Toc15396597"/>
      <w:bookmarkStart w:id="3" w:name="_Toc15396475"/>
      <w:bookmarkStart w:id="4" w:name="_Toc15378441"/>
      <w:bookmarkStart w:id="5" w:name="_Toc15377425"/>
      <w:r>
        <w:rPr>
          <w:rFonts w:hint="eastAsia" w:ascii="黑体" w:hAnsi="黑体" w:eastAsia="黑体" w:cs="黑体"/>
          <w:color w:val="auto"/>
          <w:kern w:val="2"/>
          <w:sz w:val="32"/>
          <w:szCs w:val="32"/>
          <w:highlight w:val="none"/>
          <w:lang w:val="en-US" w:eastAsia="zh-CN" w:bidi="ar-SA"/>
        </w:rPr>
        <w:t>附件2</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60" w:name="_GoBack"/>
      <w:bookmarkEnd w:id="60"/>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2025年度宣传部</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spacing w:line="600" w:lineRule="exact"/>
        <w:jc w:val="center"/>
        <w:outlineLvl w:val="0"/>
        <w:rPr>
          <w:rFonts w:ascii="Times New Roman" w:hAnsi="Times New Roman" w:eastAsia="方正小标宋简体"/>
          <w:color w:val="auto"/>
          <w:sz w:val="72"/>
          <w:szCs w:val="72"/>
          <w:highlight w:val="none"/>
        </w:rPr>
      </w:pP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宣传部</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r>
        <w:rPr>
          <w:rFonts w:hint="eastAsia" w:ascii="Times New Roman" w:eastAsia="方正小标宋简体" w:cs="Times New Roman"/>
          <w:color w:val="auto"/>
          <w:kern w:val="2"/>
          <w:sz w:val="44"/>
          <w:szCs w:val="44"/>
          <w:highlight w:val="none"/>
          <w:lang w:val="en-US" w:eastAsia="zh-CN" w:bidi="ar-SA"/>
        </w:rPr>
        <w:t>（事业）</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20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1.履行政治领导责任，做好理论武装和思想政治工作，负责学习、宣传、贯彻执行党的理论和路线方针政策，贯彻落实党中央、省委、州委、县委的决策部署，发挥好把方向、管大局、保落实的重要作用。</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2.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思想政治工作和精神文明建设方面的重要事项。党风廉政建设和反腐败工作方面的重要事项。其他应当由党组讨论和决定的重大问题。</w:t>
      </w:r>
    </w:p>
    <w:p>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3.贯彻党管干部原则，加强干部队伍建设，完善干部培养选拔机制，加强干部教育管理监督。贯彻党管人才原则，加强人才队伍建设。加强对本单位工会、共青团、妇联等群团工作的领导。</w:t>
      </w:r>
    </w:p>
    <w:p>
      <w:pPr>
        <w:pStyle w:val="6"/>
        <w:adjustRightInd w:val="0"/>
        <w:snapToGrid w:val="0"/>
        <w:spacing w:before="93" w:line="600" w:lineRule="exact"/>
        <w:ind w:firstLine="672" w:firstLineChars="210"/>
        <w:outlineLvl w:val="9"/>
        <w:rPr>
          <w:rFonts w:hint="default" w:ascii="仿宋_GB2312" w:hAnsi="仿宋" w:eastAsia="仿宋_GB2312"/>
          <w:sz w:val="32"/>
          <w:szCs w:val="32"/>
          <w:highlight w:val="yellow"/>
          <w:lang w:val="en-US"/>
        </w:rPr>
      </w:pPr>
      <w:r>
        <w:rPr>
          <w:rFonts w:hint="eastAsia" w:ascii="仿宋" w:hAnsi="仿宋" w:eastAsia="仿宋" w:cs="Times New Roman"/>
          <w:bCs/>
          <w:color w:val="000000"/>
          <w:kern w:val="0"/>
          <w:sz w:val="32"/>
          <w:szCs w:val="32"/>
          <w:highlight w:val="none"/>
          <w:lang w:val="en-US" w:eastAsia="zh-CN" w:bidi="ar-SA"/>
        </w:rPr>
        <w:t>4.履行党要管党、全面从严治党主体责任，加强对本单位党的建设的领导，落实党建工作责任制。认真履行党风廉政建设主体责任，支持纪检监察机构履行监督责任。</w:t>
      </w:r>
    </w:p>
    <w:p>
      <w:pPr>
        <w:numPr>
          <w:ilvl w:val="0"/>
          <w:numId w:val="0"/>
        </w:numPr>
        <w:rPr>
          <w:rFonts w:hint="eastAsia"/>
          <w:lang w:eastAsia="zh-CN"/>
        </w:rPr>
      </w:pPr>
    </w:p>
    <w:p>
      <w:pPr>
        <w:pStyle w:val="4"/>
        <w:numPr>
          <w:ilvl w:val="0"/>
          <w:numId w:val="1"/>
        </w:numPr>
        <w:ind w:left="0" w:leftChars="0" w:firstLine="0" w:firstLineChars="0"/>
        <w:rPr>
          <w:rStyle w:val="30"/>
          <w:rFonts w:hint="eastAsia" w:ascii="Times New Roman" w:hAnsi="Times New Roman" w:eastAsia="黑体"/>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机</w:t>
      </w:r>
      <w:r>
        <w:rPr>
          <w:rStyle w:val="30"/>
          <w:rFonts w:hint="eastAsia" w:ascii="Times New Roman" w:hAnsi="Times New Roman" w:eastAsia="黑体"/>
          <w:b w:val="0"/>
          <w:bCs w:val="0"/>
          <w:color w:val="auto"/>
          <w:highlight w:val="none"/>
        </w:rPr>
        <w:t>构设置</w:t>
      </w:r>
      <w:bookmarkEnd w:id="8"/>
      <w:bookmarkEnd w:id="9"/>
    </w:p>
    <w:p>
      <w:pPr>
        <w:numPr>
          <w:ilvl w:val="0"/>
          <w:numId w:val="0"/>
        </w:numPr>
        <w:ind w:leftChars="0" w:firstLine="640" w:firstLineChars="200"/>
      </w:pPr>
      <w:r>
        <w:rPr>
          <w:rStyle w:val="36"/>
          <w:rFonts w:hint="eastAsia" w:ascii="仿宋_GB2312" w:hAnsi="仿宋_GB2312" w:eastAsia="仿宋_GB2312" w:cs="Times New Roman"/>
          <w:b w:val="0"/>
          <w:i w:val="0"/>
          <w:caps w:val="0"/>
          <w:color w:val="000000"/>
          <w:spacing w:val="0"/>
          <w:w w:val="100"/>
          <w:sz w:val="32"/>
          <w:szCs w:val="32"/>
          <w:lang w:val="en-US" w:eastAsia="zh-CN"/>
        </w:rPr>
        <w:t>1.阿坝州壤塘县网络安全和信息化中心为公益一类事业单位，基本性质为事业单位。</w:t>
      </w:r>
    </w:p>
    <w:p>
      <w:pPr>
        <w:pStyle w:val="6"/>
        <w:adjustRightInd w:val="0"/>
        <w:snapToGrid w:val="0"/>
        <w:spacing w:before="93" w:line="600" w:lineRule="exact"/>
        <w:ind w:firstLine="672" w:firstLineChars="210"/>
        <w:outlineLvl w:val="9"/>
        <w:rPr>
          <w:rStyle w:val="36"/>
          <w:rFonts w:hint="default" w:ascii="仿宋_GB2312" w:hAnsi="仿宋_GB2312" w:eastAsia="仿宋_GB2312" w:cs="Times New Roman"/>
          <w:b w:val="0"/>
          <w:i w:val="0"/>
          <w:caps w:val="0"/>
          <w:color w:val="000000"/>
          <w:spacing w:val="0"/>
          <w:w w:val="100"/>
          <w:sz w:val="32"/>
          <w:szCs w:val="32"/>
          <w:lang w:val="en-US" w:eastAsia="zh-CN"/>
        </w:rPr>
      </w:pPr>
      <w:r>
        <w:rPr>
          <w:rStyle w:val="36"/>
          <w:rFonts w:hint="eastAsia" w:hAnsi="仿宋_GB2312" w:cs="Times New Roman"/>
          <w:b w:val="0"/>
          <w:i w:val="0"/>
          <w:caps w:val="0"/>
          <w:color w:val="000000"/>
          <w:spacing w:val="0"/>
          <w:w w:val="100"/>
          <w:sz w:val="32"/>
          <w:szCs w:val="32"/>
          <w:lang w:val="en-US" w:eastAsia="zh-CN"/>
        </w:rPr>
        <w:t>2.</w:t>
      </w:r>
      <w:r>
        <w:rPr>
          <w:rStyle w:val="36"/>
          <w:rFonts w:hint="eastAsia" w:ascii="仿宋_GB2312" w:hAnsi="仿宋_GB2312" w:eastAsia="仿宋_GB2312" w:cs="Times New Roman"/>
          <w:b w:val="0"/>
          <w:i w:val="0"/>
          <w:caps w:val="0"/>
          <w:color w:val="000000"/>
          <w:spacing w:val="0"/>
          <w:w w:val="100"/>
          <w:sz w:val="32"/>
          <w:szCs w:val="32"/>
          <w:lang w:val="en-US" w:eastAsia="zh-CN"/>
        </w:rPr>
        <w:t>阿坝州壤塘县网络安全和信息化中心独立编制机构数1个，独立核算机构数1个，非参公事业人员8人。</w:t>
      </w:r>
    </w:p>
    <w:p>
      <w:pPr>
        <w:pStyle w:val="6"/>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bookmarkStart w:id="10" w:name="_Toc15396602"/>
      <w:bookmarkStart w:id="11" w:name="_Toc15377204"/>
      <w:r>
        <w:rPr>
          <w:rFonts w:hint="eastAsia" w:ascii="Times New Roman" w:hAnsi="Times New Roman" w:eastAsia="黑体" w:cs="Times New Roman"/>
          <w:color w:val="auto"/>
          <w:sz w:val="44"/>
          <w:szCs w:val="44"/>
          <w:highlight w:val="none"/>
        </w:rPr>
        <w:t>第二部分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w:t>
      </w:r>
      <w:r>
        <w:rPr>
          <w:rFonts w:hint="eastAsia" w:ascii="Times New Roman" w:hAnsi="Times New Roman" w:eastAsia="黑体" w:cs="Times New Roman"/>
          <w:color w:val="auto"/>
          <w:sz w:val="44"/>
          <w:szCs w:val="44"/>
          <w:highlight w:val="none"/>
          <w:lang w:val="en-US" w:eastAsia="zh-CN"/>
        </w:rPr>
        <w:t>2025年度</w:t>
      </w:r>
      <w:r>
        <w:rPr>
          <w:rFonts w:hint="eastAsia" w:ascii="Times New Roman" w:hAnsi="Times New Roman" w:eastAsia="黑体" w:cs="Times New Roman"/>
          <w:color w:val="auto"/>
          <w:sz w:val="44"/>
          <w:szCs w:val="44"/>
          <w:highlight w:val="none"/>
        </w:rPr>
        <w:t>部门决算情况说明</w:t>
      </w:r>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201.9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11.61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5.44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sz w:val="32"/>
          <w:szCs w:val="32"/>
          <w:lang w:eastAsia="zh-CN"/>
        </w:rPr>
        <w:t>人员经费政策变动，收入</w:t>
      </w:r>
      <w:r>
        <w:rPr>
          <w:rFonts w:hint="eastAsia" w:eastAsia="仿宋_GB2312" w:cs="仿宋_GB2312"/>
          <w:sz w:val="32"/>
          <w:szCs w:val="32"/>
          <w:lang w:val="en-US" w:eastAsia="zh-CN"/>
        </w:rPr>
        <w:t>减少</w:t>
      </w:r>
      <w:r>
        <w:rPr>
          <w:rFonts w:hint="eastAsia" w:eastAsia="仿宋_GB2312" w:cs="仿宋_GB2312"/>
          <w:sz w:val="32"/>
          <w:szCs w:val="32"/>
          <w:lang w:eastAsia="zh-CN"/>
        </w:rPr>
        <w:t>。</w:t>
      </w:r>
      <w:r>
        <w:rPr>
          <w:rFonts w:hint="eastAsia" w:eastAsia="仿宋_GB2312" w:cs="仿宋_GB2312"/>
          <w:sz w:val="32"/>
          <w:szCs w:val="32"/>
          <w:lang w:eastAsia="zh-CN"/>
        </w:rPr>
        <w:drawing>
          <wp:inline distT="0" distB="0" distL="114300" distR="114300">
            <wp:extent cx="5269865" cy="4086860"/>
            <wp:effectExtent l="0" t="0" r="6985" b="8890"/>
            <wp:docPr id="1" name="图片 1"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1"/>
                    <pic:cNvPicPr>
                      <a:picLocks noChangeAspect="1"/>
                    </pic:cNvPicPr>
                  </pic:nvPicPr>
                  <pic:blipFill>
                    <a:blip r:embed="rId8"/>
                    <a:stretch>
                      <a:fillRect/>
                    </a:stretch>
                  </pic:blipFill>
                  <pic:spPr>
                    <a:xfrm>
                      <a:off x="0" y="0"/>
                      <a:ext cx="5269865" cy="4086860"/>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Start w:id="14" w:name="_Toc15396604"/>
      <w:bookmarkStart w:id="15" w:name="_Toc15377206"/>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sz w:val="32"/>
          <w:szCs w:val="32"/>
          <w:lang w:val="en-US" w:eastAsia="zh-CN"/>
        </w:rPr>
        <w:t>201.9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sz w:val="32"/>
          <w:szCs w:val="32"/>
          <w:lang w:val="en-US" w:eastAsia="zh-CN"/>
        </w:rPr>
        <w:t>201.9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b/>
          <w:bCs/>
          <w:color w:val="auto"/>
          <w:sz w:val="32"/>
          <w:szCs w:val="32"/>
          <w:highlight w:val="none"/>
          <w:lang w:eastAsia="zh-CN"/>
        </w:rPr>
        <w:drawing>
          <wp:inline distT="0" distB="0" distL="114300" distR="114300">
            <wp:extent cx="5266690" cy="3707765"/>
            <wp:effectExtent l="0" t="0" r="10160" b="6985"/>
            <wp:docPr id="3" name="图片 3"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222"/>
                    <pic:cNvPicPr>
                      <a:picLocks noChangeAspect="1"/>
                    </pic:cNvPicPr>
                  </pic:nvPicPr>
                  <pic:blipFill>
                    <a:blip r:embed="rId9"/>
                    <a:stretch>
                      <a:fillRect/>
                    </a:stretch>
                  </pic:blipFill>
                  <pic:spPr>
                    <a:xfrm>
                      <a:off x="0" y="0"/>
                      <a:ext cx="5266690" cy="370776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201.9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201.9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eastAsia="zh-CN"/>
        </w:rPr>
        <w:drawing>
          <wp:inline distT="0" distB="0" distL="114300" distR="114300">
            <wp:extent cx="5272405" cy="3773805"/>
            <wp:effectExtent l="0" t="0" r="4445" b="17145"/>
            <wp:docPr id="4" name="图片 4"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333"/>
                    <pic:cNvPicPr>
                      <a:picLocks noChangeAspect="1"/>
                    </pic:cNvPicPr>
                  </pic:nvPicPr>
                  <pic:blipFill>
                    <a:blip r:embed="rId10"/>
                    <a:stretch>
                      <a:fillRect/>
                    </a:stretch>
                  </pic:blipFill>
                  <pic:spPr>
                    <a:xfrm>
                      <a:off x="0" y="0"/>
                      <a:ext cx="5272405" cy="377380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201.9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11.61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5.44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sz w:val="32"/>
          <w:szCs w:val="32"/>
          <w:lang w:eastAsia="zh-CN"/>
        </w:rPr>
        <w:t>人员经费政策变动，收入</w:t>
      </w:r>
      <w:r>
        <w:rPr>
          <w:rFonts w:hint="eastAsia" w:eastAsia="仿宋_GB2312" w:cs="仿宋_GB2312"/>
          <w:sz w:val="32"/>
          <w:szCs w:val="32"/>
          <w:lang w:val="en-US" w:eastAsia="zh-CN"/>
        </w:rPr>
        <w:t>减少</w:t>
      </w:r>
      <w:r>
        <w:rPr>
          <w:rFonts w:hint="eastAsia" w:eastAsia="仿宋_GB2312" w:cs="仿宋_GB2312"/>
          <w:sz w:val="32"/>
          <w:szCs w:val="32"/>
          <w:lang w:eastAsia="zh-CN"/>
        </w:rPr>
        <w:t>。</w:t>
      </w:r>
      <w:r>
        <w:rPr>
          <w:rFonts w:hint="eastAsia" w:eastAsia="仿宋_GB2312" w:cs="仿宋_GB2312"/>
          <w:sz w:val="32"/>
          <w:szCs w:val="32"/>
          <w:lang w:eastAsia="zh-CN"/>
        </w:rPr>
        <w:drawing>
          <wp:inline distT="0" distB="0" distL="114300" distR="114300">
            <wp:extent cx="5269865" cy="4086860"/>
            <wp:effectExtent l="0" t="0" r="6985" b="8890"/>
            <wp:docPr id="2" name="图片 2"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111"/>
                    <pic:cNvPicPr>
                      <a:picLocks noChangeAspect="1"/>
                    </pic:cNvPicPr>
                  </pic:nvPicPr>
                  <pic:blipFill>
                    <a:blip r:embed="rId8"/>
                    <a:stretch>
                      <a:fillRect/>
                    </a:stretch>
                  </pic:blipFill>
                  <pic:spPr>
                    <a:xfrm>
                      <a:off x="0" y="0"/>
                      <a:ext cx="5269865" cy="4086860"/>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240" w:lineRule="auto"/>
        <w:ind w:firstLine="640"/>
        <w:rPr>
          <w:rFonts w:hint="eastAsia"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201.9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11.61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5.44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Times New Roman" w:hAnsi="Times New Roman" w:eastAsia="仿宋_GB2312" w:cs="仿宋_GB2312"/>
          <w:color w:val="auto"/>
          <w:sz w:val="32"/>
          <w:szCs w:val="32"/>
          <w:highlight w:val="none"/>
        </w:rPr>
        <w:t>是</w:t>
      </w:r>
      <w:r>
        <w:rPr>
          <w:rFonts w:hint="eastAsia" w:eastAsia="仿宋_GB2312" w:cs="仿宋_GB2312"/>
          <w:sz w:val="32"/>
          <w:szCs w:val="32"/>
          <w:lang w:eastAsia="zh-CN"/>
        </w:rPr>
        <w:t>人员经费政策变动，收入</w:t>
      </w:r>
      <w:r>
        <w:rPr>
          <w:rFonts w:hint="eastAsia" w:eastAsia="仿宋_GB2312" w:cs="仿宋_GB2312"/>
          <w:sz w:val="32"/>
          <w:szCs w:val="32"/>
          <w:lang w:val="en-US" w:eastAsia="zh-CN"/>
        </w:rPr>
        <w:t>减少</w:t>
      </w:r>
      <w:r>
        <w:rPr>
          <w:rFonts w:hint="eastAsia" w:eastAsia="仿宋_GB2312" w:cs="仿宋_GB2312"/>
          <w:sz w:val="32"/>
          <w:szCs w:val="32"/>
          <w:lang w:eastAsia="zh-CN"/>
        </w:rPr>
        <w:t>。</w:t>
      </w:r>
      <w:r>
        <w:rPr>
          <w:rFonts w:hint="eastAsia" w:eastAsia="仿宋_GB2312" w:cs="仿宋_GB2312"/>
          <w:sz w:val="32"/>
          <w:szCs w:val="32"/>
          <w:lang w:eastAsia="zh-CN"/>
        </w:rPr>
        <w:drawing>
          <wp:inline distT="0" distB="0" distL="114300" distR="114300">
            <wp:extent cx="5266690" cy="6626225"/>
            <wp:effectExtent l="0" t="0" r="10160" b="3175"/>
            <wp:docPr id="5" name="图片 5" descr="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444"/>
                    <pic:cNvPicPr>
                      <a:picLocks noChangeAspect="1"/>
                    </pic:cNvPicPr>
                  </pic:nvPicPr>
                  <pic:blipFill>
                    <a:blip r:embed="rId11"/>
                    <a:stretch>
                      <a:fillRect/>
                    </a:stretch>
                  </pic:blipFill>
                  <pic:spPr>
                    <a:xfrm>
                      <a:off x="0" y="0"/>
                      <a:ext cx="5266690" cy="6626225"/>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240" w:lineRule="auto"/>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201.9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一般公共服务支出147.22万元，占</w:t>
      </w:r>
      <w:r>
        <w:rPr>
          <w:rFonts w:hint="eastAsia" w:eastAsia="仿宋_GB2312" w:cs="仿宋_GB2312"/>
          <w:color w:val="auto"/>
          <w:kern w:val="2"/>
          <w:sz w:val="32"/>
          <w:szCs w:val="32"/>
          <w:highlight w:val="none"/>
          <w:lang w:val="en-US" w:eastAsia="zh-CN" w:bidi="ar-SA"/>
        </w:rPr>
        <w:t>72.92</w:t>
      </w:r>
      <w:r>
        <w:rPr>
          <w:rFonts w:hint="eastAsia" w:ascii="Times New Roman" w:hAnsi="Times New Roman" w:eastAsia="仿宋_GB2312" w:cs="仿宋_GB2312"/>
          <w:color w:val="auto"/>
          <w:kern w:val="2"/>
          <w:sz w:val="32"/>
          <w:szCs w:val="32"/>
          <w:highlight w:val="none"/>
          <w:lang w:val="en-US" w:eastAsia="zh-CN" w:bidi="ar-SA"/>
        </w:rPr>
        <w:t>%；社会保障和就业支出29.89万元，占</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%；卫生健康支出9.89万元，占</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%；住房保障支出14.9万元，占</w:t>
      </w:r>
      <w:r>
        <w:rPr>
          <w:rFonts w:hint="eastAsia" w:eastAsia="仿宋_GB2312" w:cs="仿宋_GB2312"/>
          <w:color w:val="auto"/>
          <w:kern w:val="2"/>
          <w:sz w:val="32"/>
          <w:szCs w:val="32"/>
          <w:highlight w:val="none"/>
          <w:lang w:val="en-US" w:eastAsia="zh-CN" w:bidi="ar-SA"/>
        </w:rPr>
        <w:t>7.38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5257800" cy="3277235"/>
            <wp:effectExtent l="0" t="0" r="0" b="18415"/>
            <wp:docPr id="7" name="图片 7" descr="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555"/>
                    <pic:cNvPicPr>
                      <a:picLocks noChangeAspect="1"/>
                    </pic:cNvPicPr>
                  </pic:nvPicPr>
                  <pic:blipFill>
                    <a:blip r:embed="rId12"/>
                    <a:stretch>
                      <a:fillRect/>
                    </a:stretch>
                  </pic:blipFill>
                  <pic:spPr>
                    <a:xfrm>
                      <a:off x="0" y="0"/>
                      <a:ext cx="5257800" cy="3277235"/>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 w:hAnsi="仿宋" w:eastAsia="仿宋"/>
          <w:color w:val="000000"/>
          <w:sz w:val="32"/>
          <w:szCs w:val="32"/>
          <w:lang w:val="en-US" w:eastAsia="zh-CN"/>
        </w:rPr>
        <w:t>201.9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snapToGrid w:val="0"/>
        <w:spacing w:line="520" w:lineRule="exact"/>
        <w:ind w:firstLine="642"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事业</w:t>
      </w:r>
      <w:r>
        <w:rPr>
          <w:rFonts w:hint="eastAsia" w:ascii="仿宋" w:hAnsi="仿宋" w:eastAsia="仿宋"/>
          <w:b/>
          <w:color w:val="000000"/>
          <w:sz w:val="32"/>
          <w:szCs w:val="32"/>
          <w:lang w:eastAsia="zh-CN"/>
        </w:rPr>
        <w:t>运行（</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147.22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72.92</w:t>
      </w:r>
      <w:r>
        <w:rPr>
          <w:rFonts w:ascii="仿宋" w:hAnsi="仿宋" w:eastAsia="仿宋"/>
          <w:color w:val="000000"/>
          <w:sz w:val="32"/>
          <w:szCs w:val="32"/>
        </w:rPr>
        <w:t>%</w:t>
      </w:r>
      <w:r>
        <w:rPr>
          <w:rFonts w:hint="eastAsia" w:ascii="仿宋" w:hAnsi="仿宋" w:eastAsia="仿宋"/>
          <w:color w:val="000000"/>
          <w:sz w:val="32"/>
          <w:szCs w:val="32"/>
          <w:lang w:eastAsia="zh-CN"/>
        </w:rPr>
        <w:t>；</w:t>
      </w:r>
    </w:p>
    <w:p>
      <w:pPr>
        <w:pStyle w:val="6"/>
        <w:ind w:firstLine="642"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）机关事业单位基本养老保险缴费支出（项）：</w:t>
      </w:r>
      <w:r>
        <w:rPr>
          <w:rFonts w:hint="eastAsia" w:ascii="仿宋" w:hAnsi="仿宋" w:eastAsia="仿宋" w:cs="Times New Roman"/>
          <w:color w:val="000000"/>
          <w:sz w:val="32"/>
          <w:szCs w:val="32"/>
          <w:lang w:val="en-US" w:eastAsia="zh-CN"/>
        </w:rPr>
        <w:t>19.92</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9.87</w:t>
      </w:r>
      <w:r>
        <w:rPr>
          <w:rFonts w:hint="eastAsia" w:ascii="仿宋" w:hAnsi="仿宋" w:eastAsia="仿宋" w:cs="Times New Roman"/>
          <w:color w:val="000000"/>
          <w:sz w:val="32"/>
          <w:szCs w:val="32"/>
          <w:lang w:eastAsia="zh-CN"/>
        </w:rPr>
        <w:t>%；</w:t>
      </w:r>
    </w:p>
    <w:p>
      <w:pPr>
        <w:pStyle w:val="6"/>
        <w:ind w:firstLine="642"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）机关事业单位职业年金缴费支出（项）：</w:t>
      </w:r>
      <w:r>
        <w:rPr>
          <w:rFonts w:hint="eastAsia" w:ascii="仿宋" w:hAnsi="仿宋" w:eastAsia="仿宋"/>
          <w:b w:val="0"/>
          <w:bCs/>
          <w:color w:val="000000"/>
          <w:sz w:val="32"/>
          <w:szCs w:val="32"/>
          <w:lang w:val="en-US" w:eastAsia="zh-CN"/>
        </w:rPr>
        <w:t>9.96</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4.93</w:t>
      </w:r>
      <w:r>
        <w:rPr>
          <w:rFonts w:hint="eastAsia" w:ascii="仿宋" w:hAnsi="仿宋" w:eastAsia="仿宋" w:cs="Times New Roman"/>
          <w:color w:val="000000"/>
          <w:sz w:val="32"/>
          <w:szCs w:val="32"/>
          <w:lang w:eastAsia="zh-CN"/>
        </w:rPr>
        <w:t>%。</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）行政单位医疗（</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olor w:val="000000"/>
          <w:sz w:val="32"/>
          <w:szCs w:val="32"/>
          <w:lang w:val="en-US" w:eastAsia="zh-CN"/>
        </w:rPr>
        <w:t>8.54万元，占4.23%；</w:t>
      </w:r>
    </w:p>
    <w:p>
      <w:pPr>
        <w:snapToGrid w:val="0"/>
        <w:spacing w:line="520" w:lineRule="exact"/>
        <w:ind w:firstLine="642"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）公务员医疗补助（</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 xml:space="preserve">1.35万元，占0.67%。 </w:t>
      </w:r>
    </w:p>
    <w:p>
      <w:pPr>
        <w:spacing w:line="600" w:lineRule="exact"/>
        <w:ind w:firstLine="64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住房保障支出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）住房改革支出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）住房公积金（</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14.9</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7.38</w:t>
      </w:r>
      <w:r>
        <w:rPr>
          <w:rFonts w:ascii="仿宋" w:hAnsi="仿宋" w:eastAsia="仿宋"/>
          <w:color w:val="000000"/>
          <w:sz w:val="32"/>
          <w:szCs w:val="32"/>
        </w:rPr>
        <w:t>%</w:t>
      </w:r>
      <w:r>
        <w:rPr>
          <w:rFonts w:hint="eastAsia" w:ascii="仿宋" w:hAnsi="仿宋" w:eastAsia="仿宋"/>
          <w:color w:val="000000"/>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201.9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186.43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15.48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_GB2312" w:hAnsi="仿宋" w:eastAsia="仿宋_GB2312" w:cs="仿宋"/>
          <w:color w:val="000000"/>
          <w:sz w:val="32"/>
          <w:szCs w:val="32"/>
        </w:rPr>
        <w:t>“三公”经费支出情况：本年度支出</w:t>
      </w:r>
      <w:r>
        <w:rPr>
          <w:rFonts w:hint="eastAsia" w:ascii="仿宋_GB2312" w:hAnsi="仿宋" w:eastAsia="仿宋_GB2312" w:cs="仿宋"/>
          <w:color w:val="000000"/>
          <w:sz w:val="32"/>
          <w:szCs w:val="32"/>
          <w:lang w:val="en-US" w:eastAsia="zh-CN"/>
        </w:rPr>
        <w:t>0</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_GB2312" w:hAnsi="仿宋" w:eastAsia="仿宋_GB2312" w:cs="仿宋"/>
          <w:color w:val="000000"/>
          <w:sz w:val="32"/>
          <w:szCs w:val="32"/>
          <w:lang w:val="en-US"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财政拨款“三公”经费支出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Style w:val="36"/>
          <w:rFonts w:hint="eastAsia" w:ascii="仿宋_GB2312" w:hAnsi="仿宋_GB2312" w:eastAsia="仿宋_GB2312" w:cs="Times New Roman"/>
          <w:b w:val="0"/>
          <w:i w:val="0"/>
          <w:caps w:val="0"/>
          <w:color w:val="000000"/>
          <w:spacing w:val="0"/>
          <w:w w:val="100"/>
          <w:sz w:val="32"/>
          <w:szCs w:val="32"/>
          <w:lang w:val="en-US" w:eastAsia="zh-CN"/>
        </w:rPr>
        <w:t>阿坝州壤塘县网络安全和信息化中心</w:t>
      </w:r>
      <w:r>
        <w:rPr>
          <w:rFonts w:hint="eastAsia" w:ascii="Times New Roman" w:hAnsi="Times New Roman" w:eastAsia="仿宋_GB2312" w:cs="仿宋_GB2312"/>
          <w:color w:val="auto"/>
          <w:kern w:val="2"/>
          <w:sz w:val="32"/>
          <w:szCs w:val="32"/>
          <w:highlight w:val="none"/>
          <w:lang w:val="en-US" w:eastAsia="zh-CN" w:bidi="ar-SA"/>
        </w:rPr>
        <w:t>机关运行经费支出147.22万元，比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5.89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3.85</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ascii="Times New Roman" w:hAnsi="Times New Roman" w:eastAsia="仿宋_GB2312" w:cs="仿宋_GB2312"/>
          <w:color w:val="auto"/>
          <w:sz w:val="32"/>
          <w:szCs w:val="32"/>
          <w:highlight w:val="none"/>
        </w:rPr>
        <w:t>是</w:t>
      </w:r>
      <w:r>
        <w:rPr>
          <w:rFonts w:hint="eastAsia" w:eastAsia="仿宋_GB2312" w:cs="仿宋_GB2312"/>
          <w:sz w:val="32"/>
          <w:szCs w:val="32"/>
          <w:lang w:eastAsia="zh-CN"/>
        </w:rPr>
        <w:t>人员经费政策变动，收入</w:t>
      </w:r>
      <w:r>
        <w:rPr>
          <w:rFonts w:hint="eastAsia" w:eastAsia="仿宋_GB2312" w:cs="仿宋_GB2312"/>
          <w:sz w:val="32"/>
          <w:szCs w:val="32"/>
          <w:lang w:val="en-US" w:eastAsia="zh-CN"/>
        </w:rPr>
        <w:t>减少</w:t>
      </w:r>
      <w:r>
        <w:rPr>
          <w:rFonts w:hint="eastAsia" w:eastAsia="仿宋_GB2312" w:cs="仿宋_GB2312"/>
          <w:sz w:val="32"/>
          <w:szCs w:val="32"/>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Style w:val="36"/>
          <w:rFonts w:hint="eastAsia" w:ascii="仿宋_GB2312" w:hAnsi="仿宋_GB2312" w:eastAsia="仿宋_GB2312" w:cs="Times New Roman"/>
          <w:b w:val="0"/>
          <w:i w:val="0"/>
          <w:caps w:val="0"/>
          <w:color w:val="000000"/>
          <w:spacing w:val="0"/>
          <w:w w:val="100"/>
          <w:sz w:val="32"/>
          <w:szCs w:val="32"/>
          <w:lang w:val="en-US" w:eastAsia="zh-CN"/>
        </w:rPr>
        <w:t>阿坝州壤塘县网络安全和信息化中心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000000"/>
          <w:sz w:val="32"/>
          <w:szCs w:val="32"/>
        </w:rPr>
        <w:t>单位进一步提高预算绩效管理认识，强化以“绩效为中心、对支出结果负责、对社会公众负责”的理念，在绩效目标编制方面，针对绩效目标设置指向不清、预算和目标匹配不足，数量目标和质量目标量化不细，效益目标编制不完整等方面加以了改善。加强预算绩效动态监控管理，及时跟踪项目进度，对项目实施中存在的具体问题采取纠偏措施。加强相关专业技术人员的业务培训，进一步提高预算绩效评价质量。目前单位绩效评价结果还停留在反映情况、找问题、提建议层面，评价结果和预算安排有机结合的机制尚未真正建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9.一般公共服务支出（类）宣传事务（款）行政运行（项）：指行政运行费。</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10.一般公共服务支出（类）宣传事务（款）一般行政管理事务（项）：指行政管理费。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11.一般公共服务支出（类）宣传事务（款）宣传管理（项）：指宣传管理费。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12.一般公共服务支出（类）宣传事务（款）其他宣传事务支出（项）：指其他宣传事务费。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13.文化旅游体育与传媒支出（类）其他文化旅游体育与传媒支出（款）其他文化旅游体育与传媒支出（项）：指文化旅游体育与传媒费。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14.社会保障和就业支出（类）行政事业单位养老支出（款）机关事业单位基本养老保险缴费支出（项）：指机关事业单位基本养老保险缴费。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15.社会保障和就业支出（类）行政事业单位养老支出（款）机关事业单位职业年金缴费支出（项）：指机关事业单位职业年金缴费。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16.社会保障和就业支出（类）抚恤（款）死亡抚恤（项）：指死亡抚恤费。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17.卫生健康支出（类）公共卫生（款）重大公共卫生服务（项）：指重大公共卫生服务费。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18.卫生健康支出（类）行政事业单位医疗（款）行政单位医疗（项）：指行政事业单位医疗费。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19.卫生健康支出（类）行政事业单位医疗（款）公务员医疗补助（项）：指行政事业单位公务员医疗补助。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20.住房保障支出（类）住房改革支出（款）住房公积金（项）：指行政事业单位住房公积金。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w:t>
      </w:r>
      <w:bookmarkStart w:id="45" w:name="_Toc15396618"/>
      <w:bookmarkStart w:id="46" w:name="_Toc153772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
          <w:b w:val="0"/>
          <w:color w:val="auto"/>
          <w:highlight w:val="none"/>
        </w:rPr>
      </w:pPr>
      <w:r>
        <w:rPr>
          <w:rStyle w:val="29"/>
          <w:rFonts w:hint="eastAsia" w:ascii="Times New Roman" w:hAnsi="Times New Roman" w:eastAsia="黑体"/>
          <w:b w:val="0"/>
          <w:color w:val="auto"/>
          <w:highlight w:val="none"/>
        </w:rPr>
        <w:t xml:space="preserve"> 附表</w:t>
      </w:r>
      <w:bookmarkEnd w:id="45"/>
      <w:bookmarkEnd w:id="46"/>
      <w:bookmarkStart w:id="47"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CBE443"/>
    <w:multiLevelType w:val="singleLevel"/>
    <w:tmpl w:val="32CBE44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CA2B6A"/>
    <w:rsid w:val="061E35DE"/>
    <w:rsid w:val="066E0107"/>
    <w:rsid w:val="06B37672"/>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BF680D"/>
    <w:rsid w:val="13D50BC4"/>
    <w:rsid w:val="14022904"/>
    <w:rsid w:val="152F2A07"/>
    <w:rsid w:val="165E0673"/>
    <w:rsid w:val="16BB723D"/>
    <w:rsid w:val="186504BB"/>
    <w:rsid w:val="1938089F"/>
    <w:rsid w:val="19A445FC"/>
    <w:rsid w:val="1A732F49"/>
    <w:rsid w:val="1A866138"/>
    <w:rsid w:val="1B7D550C"/>
    <w:rsid w:val="1BE8440E"/>
    <w:rsid w:val="1C0C5403"/>
    <w:rsid w:val="1D155CEE"/>
    <w:rsid w:val="1E0A1412"/>
    <w:rsid w:val="1E740ACF"/>
    <w:rsid w:val="1F9D54C9"/>
    <w:rsid w:val="1FF35744"/>
    <w:rsid w:val="1FF6BC77"/>
    <w:rsid w:val="21962A9E"/>
    <w:rsid w:val="21AE7C77"/>
    <w:rsid w:val="22BC3C41"/>
    <w:rsid w:val="23860B96"/>
    <w:rsid w:val="240371BF"/>
    <w:rsid w:val="2572277A"/>
    <w:rsid w:val="260F557C"/>
    <w:rsid w:val="279C656B"/>
    <w:rsid w:val="281408E2"/>
    <w:rsid w:val="29FD04D3"/>
    <w:rsid w:val="2BFF7BC6"/>
    <w:rsid w:val="2C8A61B5"/>
    <w:rsid w:val="2D2E01CF"/>
    <w:rsid w:val="2D621327"/>
    <w:rsid w:val="2DF04E50"/>
    <w:rsid w:val="2E9545B0"/>
    <w:rsid w:val="2F040D46"/>
    <w:rsid w:val="2FAE5751"/>
    <w:rsid w:val="2FB1A395"/>
    <w:rsid w:val="2FD9A7D8"/>
    <w:rsid w:val="319F7F4E"/>
    <w:rsid w:val="321B2544"/>
    <w:rsid w:val="3304709D"/>
    <w:rsid w:val="339064C2"/>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246EDE"/>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CEE5E83"/>
    <w:rsid w:val="5D1F11B5"/>
    <w:rsid w:val="5DAE1B18"/>
    <w:rsid w:val="5DE7D9E5"/>
    <w:rsid w:val="5ECEC941"/>
    <w:rsid w:val="5ED06728"/>
    <w:rsid w:val="5F493CB7"/>
    <w:rsid w:val="5FBC9A66"/>
    <w:rsid w:val="5FBF9FF3"/>
    <w:rsid w:val="5FCD4E2C"/>
    <w:rsid w:val="5FD15F49"/>
    <w:rsid w:val="5FEF394A"/>
    <w:rsid w:val="5FF67715"/>
    <w:rsid w:val="5FFE462F"/>
    <w:rsid w:val="61E15FB7"/>
    <w:rsid w:val="62BF3928"/>
    <w:rsid w:val="647F5392"/>
    <w:rsid w:val="664B1D71"/>
    <w:rsid w:val="67AA3209"/>
    <w:rsid w:val="681C4F0D"/>
    <w:rsid w:val="686B482C"/>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1F80"/>
    <w:rsid w:val="744731E5"/>
    <w:rsid w:val="74527205"/>
    <w:rsid w:val="74BBD01D"/>
    <w:rsid w:val="74ED5379"/>
    <w:rsid w:val="74FC2395"/>
    <w:rsid w:val="75DEEEC2"/>
    <w:rsid w:val="76E3355F"/>
    <w:rsid w:val="76FF5125"/>
    <w:rsid w:val="776F6FFA"/>
    <w:rsid w:val="778769C8"/>
    <w:rsid w:val="77DC22F5"/>
    <w:rsid w:val="78085CF8"/>
    <w:rsid w:val="79086DAD"/>
    <w:rsid w:val="79305402"/>
    <w:rsid w:val="79974F09"/>
    <w:rsid w:val="79D7FD79"/>
    <w:rsid w:val="79EE5BA4"/>
    <w:rsid w:val="7A894339"/>
    <w:rsid w:val="7AFF7572"/>
    <w:rsid w:val="7B6C7DFB"/>
    <w:rsid w:val="7BBFBED0"/>
    <w:rsid w:val="7BC3E394"/>
    <w:rsid w:val="7BDA78A7"/>
    <w:rsid w:val="7C1F3737"/>
    <w:rsid w:val="7CBFC87B"/>
    <w:rsid w:val="7CE0713F"/>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NormalCharacter"/>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4482</Words>
  <Characters>4767</Characters>
  <Lines>61</Lines>
  <Paragraphs>17</Paragraphs>
  <TotalTime>12</TotalTime>
  <ScaleCrop>false</ScaleCrop>
  <LinksUpToDate>false</LinksUpToDate>
  <CharactersWithSpaces>4792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2026-10-26T10:46:00Z</cp:lastPrinted>
  <dcterms:modified xsi:type="dcterms:W3CDTF">2026-10-26T11:28:10Z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eyJoZGlkIjoiZmI2MWE5OTEzOTUxYzhiMThkNmU4Y2JjOWU1NjhjN2IiLCJ1c2VySWQiOiIyMDg2NzkyNjgifQ==</vt:lpwstr>
  </property>
</Properties>
</file>