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8D0F4">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425"/>
      <w:bookmarkStart w:id="1" w:name="_Toc15306267"/>
      <w:bookmarkStart w:id="2" w:name="_Toc15377193"/>
      <w:bookmarkStart w:id="3" w:name="_Toc15396597"/>
      <w:bookmarkStart w:id="4" w:name="_Toc15378441"/>
      <w:bookmarkStart w:id="5" w:name="_Toc15396475"/>
      <w:r>
        <w:rPr>
          <w:rFonts w:hint="eastAsia" w:ascii="黑体" w:hAnsi="黑体" w:eastAsia="黑体" w:cs="黑体"/>
          <w:color w:val="auto"/>
          <w:kern w:val="2"/>
          <w:sz w:val="32"/>
          <w:szCs w:val="32"/>
          <w:highlight w:val="none"/>
          <w:lang w:val="en-US" w:eastAsia="zh-CN" w:bidi="ar-SA"/>
        </w:rPr>
        <w:t>附件2</w:t>
      </w:r>
    </w:p>
    <w:p w14:paraId="228867BD">
      <w:pPr>
        <w:pStyle w:val="6"/>
        <w:rPr>
          <w:rFonts w:hint="eastAsia" w:ascii="Times New Roman" w:hAnsi="Times New Roman" w:eastAsia="方正小标宋简体" w:cs="Times New Roman"/>
          <w:color w:val="auto"/>
          <w:kern w:val="2"/>
          <w:sz w:val="72"/>
          <w:szCs w:val="72"/>
          <w:highlight w:val="none"/>
          <w:lang w:val="en-US" w:eastAsia="zh-CN" w:bidi="ar-SA"/>
        </w:rPr>
      </w:pPr>
    </w:p>
    <w:p w14:paraId="4C79FE15">
      <w:pPr>
        <w:pStyle w:val="6"/>
        <w:rPr>
          <w:rFonts w:hint="eastAsia" w:ascii="Times New Roman" w:hAnsi="Times New Roman" w:eastAsia="方正小标宋简体" w:cs="Times New Roman"/>
          <w:color w:val="auto"/>
          <w:kern w:val="2"/>
          <w:sz w:val="72"/>
          <w:szCs w:val="72"/>
          <w:highlight w:val="none"/>
          <w:lang w:val="en-US" w:eastAsia="zh-CN" w:bidi="ar-SA"/>
        </w:rPr>
      </w:pPr>
    </w:p>
    <w:p w14:paraId="62425A80">
      <w:pPr>
        <w:pStyle w:val="6"/>
        <w:rPr>
          <w:rFonts w:hint="eastAsia" w:ascii="Times New Roman" w:hAnsi="Times New Roman" w:eastAsia="方正小标宋简体" w:cs="Times New Roman"/>
          <w:color w:val="auto"/>
          <w:kern w:val="2"/>
          <w:sz w:val="72"/>
          <w:szCs w:val="72"/>
          <w:highlight w:val="none"/>
          <w:lang w:val="en-US" w:eastAsia="zh-CN" w:bidi="ar-SA"/>
        </w:rPr>
      </w:pPr>
    </w:p>
    <w:p w14:paraId="5153B08E">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2025年度宣传部</w:t>
      </w:r>
    </w:p>
    <w:p w14:paraId="7E2FEB47">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14:paraId="4797F5F6">
      <w:pPr>
        <w:spacing w:line="600" w:lineRule="exact"/>
        <w:jc w:val="center"/>
        <w:outlineLvl w:val="0"/>
        <w:rPr>
          <w:rFonts w:ascii="Times New Roman" w:hAnsi="Times New Roman" w:eastAsia="方正小标宋简体"/>
          <w:color w:val="auto"/>
          <w:sz w:val="72"/>
          <w:szCs w:val="72"/>
          <w:highlight w:val="none"/>
        </w:rPr>
      </w:pPr>
    </w:p>
    <w:p w14:paraId="5771DEC6">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C7A2A2E">
      <w:pPr>
        <w:rPr>
          <w:rFonts w:ascii="Times New Roman" w:hAnsi="Times New Roman"/>
        </w:rPr>
      </w:pPr>
    </w:p>
    <w:bookmarkEnd w:id="0"/>
    <w:bookmarkEnd w:id="1"/>
    <w:bookmarkEnd w:id="2"/>
    <w:bookmarkEnd w:id="3"/>
    <w:bookmarkEnd w:id="4"/>
    <w:bookmarkEnd w:id="5"/>
    <w:p w14:paraId="46A950EF">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11246BB2">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7B74CD1">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宣传部</w:t>
      </w:r>
    </w:p>
    <w:p w14:paraId="3A0A8E9D">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部门决算公开</w:t>
      </w:r>
      <w:r>
        <w:rPr>
          <w:rFonts w:hint="eastAsia" w:ascii="Times New Roman" w:eastAsia="方正小标宋简体" w:cs="Times New Roman"/>
          <w:color w:val="auto"/>
          <w:kern w:val="2"/>
          <w:sz w:val="44"/>
          <w:szCs w:val="44"/>
          <w:highlight w:val="none"/>
          <w:lang w:val="en-US" w:eastAsia="zh-CN" w:bidi="ar-SA"/>
        </w:rPr>
        <w:t>（汇总）</w:t>
      </w:r>
    </w:p>
    <w:p w14:paraId="265B6004">
      <w:pPr>
        <w:widowControl/>
        <w:jc w:val="center"/>
        <w:rPr>
          <w:rFonts w:hint="eastAsia" w:ascii="Times New Roman" w:hAnsi="Times New Roman" w:eastAsia="黑体"/>
          <w:color w:val="auto"/>
          <w:sz w:val="48"/>
          <w:szCs w:val="48"/>
          <w:highlight w:val="none"/>
        </w:rPr>
      </w:pPr>
    </w:p>
    <w:p w14:paraId="5C91E53D">
      <w:pPr>
        <w:widowControl/>
        <w:jc w:val="center"/>
        <w:rPr>
          <w:rFonts w:hint="eastAsia" w:ascii="Times New Roman" w:hAnsi="Times New Roman" w:eastAsia="黑体"/>
          <w:color w:val="auto"/>
          <w:sz w:val="48"/>
          <w:szCs w:val="48"/>
          <w:highlight w:val="none"/>
        </w:rPr>
      </w:pPr>
    </w:p>
    <w:p w14:paraId="11FC05F9">
      <w:pPr>
        <w:widowControl/>
        <w:jc w:val="center"/>
        <w:rPr>
          <w:rFonts w:hint="eastAsia" w:ascii="Times New Roman" w:hAnsi="Times New Roman" w:eastAsia="黑体"/>
          <w:color w:val="auto"/>
          <w:sz w:val="48"/>
          <w:szCs w:val="48"/>
          <w:highlight w:val="none"/>
        </w:rPr>
      </w:pPr>
    </w:p>
    <w:p w14:paraId="07DE629D">
      <w:pPr>
        <w:widowControl/>
        <w:jc w:val="center"/>
        <w:rPr>
          <w:rFonts w:hint="eastAsia" w:ascii="Times New Roman" w:hAnsi="Times New Roman" w:eastAsia="黑体"/>
          <w:color w:val="auto"/>
          <w:sz w:val="48"/>
          <w:szCs w:val="48"/>
          <w:highlight w:val="none"/>
        </w:rPr>
      </w:pPr>
    </w:p>
    <w:p w14:paraId="771BB35B">
      <w:pPr>
        <w:widowControl/>
        <w:jc w:val="center"/>
        <w:rPr>
          <w:rFonts w:hint="eastAsia" w:ascii="Times New Roman" w:hAnsi="Times New Roman" w:eastAsia="黑体"/>
          <w:color w:val="auto"/>
          <w:sz w:val="48"/>
          <w:szCs w:val="48"/>
          <w:highlight w:val="none"/>
        </w:rPr>
      </w:pPr>
    </w:p>
    <w:p w14:paraId="04F1C3BB">
      <w:pPr>
        <w:widowControl/>
        <w:jc w:val="center"/>
        <w:rPr>
          <w:rFonts w:hint="eastAsia" w:ascii="Times New Roman" w:hAnsi="Times New Roman" w:eastAsia="黑体"/>
          <w:color w:val="auto"/>
          <w:sz w:val="48"/>
          <w:szCs w:val="48"/>
          <w:highlight w:val="none"/>
        </w:rPr>
      </w:pPr>
    </w:p>
    <w:p w14:paraId="3BB23696">
      <w:pPr>
        <w:widowControl/>
        <w:jc w:val="center"/>
        <w:rPr>
          <w:rFonts w:hint="eastAsia" w:ascii="Times New Roman" w:hAnsi="Times New Roman" w:eastAsia="黑体"/>
          <w:color w:val="auto"/>
          <w:sz w:val="48"/>
          <w:szCs w:val="48"/>
          <w:highlight w:val="none"/>
        </w:rPr>
      </w:pPr>
    </w:p>
    <w:p w14:paraId="6B2316B1">
      <w:pPr>
        <w:widowControl/>
        <w:jc w:val="center"/>
        <w:rPr>
          <w:rFonts w:hint="eastAsia" w:ascii="Times New Roman" w:hAnsi="Times New Roman" w:eastAsia="黑体"/>
          <w:color w:val="auto"/>
          <w:sz w:val="48"/>
          <w:szCs w:val="48"/>
          <w:highlight w:val="none"/>
        </w:rPr>
      </w:pPr>
    </w:p>
    <w:p w14:paraId="3B67FCA0">
      <w:pPr>
        <w:widowControl/>
        <w:jc w:val="center"/>
        <w:rPr>
          <w:rFonts w:hint="eastAsia" w:ascii="Times New Roman" w:hAnsi="Times New Roman" w:eastAsia="黑体"/>
          <w:color w:val="auto"/>
          <w:sz w:val="48"/>
          <w:szCs w:val="48"/>
          <w:highlight w:val="none"/>
        </w:rPr>
      </w:pPr>
    </w:p>
    <w:p w14:paraId="4812397F">
      <w:pPr>
        <w:widowControl/>
        <w:jc w:val="center"/>
        <w:rPr>
          <w:rFonts w:hint="eastAsia" w:ascii="Times New Roman" w:hAnsi="Times New Roman" w:eastAsia="黑体"/>
          <w:color w:val="auto"/>
          <w:sz w:val="48"/>
          <w:szCs w:val="48"/>
          <w:highlight w:val="none"/>
        </w:rPr>
      </w:pPr>
    </w:p>
    <w:p w14:paraId="5B4FCB4C">
      <w:pPr>
        <w:widowControl/>
        <w:jc w:val="center"/>
        <w:rPr>
          <w:rFonts w:hint="eastAsia" w:ascii="Times New Roman" w:hAnsi="Times New Roman" w:eastAsia="黑体"/>
          <w:color w:val="auto"/>
          <w:sz w:val="48"/>
          <w:szCs w:val="48"/>
          <w:highlight w:val="none"/>
        </w:rPr>
      </w:pPr>
    </w:p>
    <w:p w14:paraId="31CF341D">
      <w:pPr>
        <w:widowControl/>
        <w:jc w:val="center"/>
        <w:rPr>
          <w:rFonts w:hint="eastAsia" w:ascii="Times New Roman" w:hAnsi="Times New Roman" w:eastAsia="黑体"/>
          <w:color w:val="auto"/>
          <w:sz w:val="48"/>
          <w:szCs w:val="48"/>
          <w:highlight w:val="none"/>
        </w:rPr>
      </w:pPr>
    </w:p>
    <w:p w14:paraId="09926B98">
      <w:pPr>
        <w:widowControl/>
        <w:jc w:val="center"/>
        <w:rPr>
          <w:rFonts w:hint="eastAsia" w:ascii="Times New Roman" w:hAnsi="Times New Roman" w:eastAsia="黑体"/>
          <w:color w:val="auto"/>
          <w:sz w:val="48"/>
          <w:szCs w:val="48"/>
          <w:highlight w:val="none"/>
        </w:rPr>
      </w:pPr>
    </w:p>
    <w:p w14:paraId="65AA649F">
      <w:pPr>
        <w:widowControl/>
        <w:jc w:val="center"/>
        <w:rPr>
          <w:rFonts w:hint="eastAsia" w:ascii="Times New Roman" w:hAnsi="Times New Roman" w:eastAsia="黑体"/>
          <w:color w:val="auto"/>
          <w:sz w:val="48"/>
          <w:szCs w:val="48"/>
          <w:highlight w:val="none"/>
        </w:rPr>
      </w:pPr>
    </w:p>
    <w:p w14:paraId="6B4E700E">
      <w:pPr>
        <w:widowControl/>
        <w:jc w:val="center"/>
        <w:rPr>
          <w:rFonts w:hint="eastAsia" w:ascii="Times New Roman" w:hAnsi="Times New Roman" w:eastAsia="黑体"/>
          <w:color w:val="auto"/>
          <w:sz w:val="48"/>
          <w:szCs w:val="48"/>
          <w:highlight w:val="none"/>
        </w:rPr>
      </w:pPr>
    </w:p>
    <w:p w14:paraId="14C2BC08">
      <w:pPr>
        <w:widowControl/>
        <w:jc w:val="center"/>
        <w:rPr>
          <w:rFonts w:hint="eastAsia" w:ascii="Times New Roman" w:hAnsi="Times New Roman" w:eastAsia="黑体"/>
          <w:color w:val="auto"/>
          <w:sz w:val="48"/>
          <w:szCs w:val="48"/>
          <w:highlight w:val="none"/>
        </w:rPr>
      </w:pPr>
    </w:p>
    <w:p w14:paraId="6AC238B3">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7434600">
      <w:pPr>
        <w:widowControl/>
        <w:jc w:val="center"/>
        <w:rPr>
          <w:rFonts w:ascii="Times New Roman" w:hAnsi="Times New Roman" w:eastAsia="黑体" w:cstheme="minorBidi"/>
          <w:color w:val="auto"/>
          <w:sz w:val="28"/>
          <w:szCs w:val="28"/>
          <w:highlight w:val="none"/>
        </w:rPr>
      </w:pPr>
    </w:p>
    <w:p w14:paraId="348CF939">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20 </w:t>
      </w:r>
      <w:r>
        <w:rPr>
          <w:rFonts w:hint="eastAsia" w:ascii="Times New Roman" w:hAnsi="Times New Roman" w:eastAsia="仿宋_GB2312" w:cs="仿宋_GB2312"/>
          <w:color w:val="auto"/>
          <w:sz w:val="32"/>
          <w:szCs w:val="32"/>
          <w:highlight w:val="none"/>
        </w:rPr>
        <w:t>日</w:t>
      </w:r>
    </w:p>
    <w:p w14:paraId="141ABF9E">
      <w:pPr>
        <w:rPr>
          <w:rFonts w:ascii="Times New Roman" w:hAnsi="Times New Roman"/>
          <w:color w:val="auto"/>
          <w:highlight w:val="none"/>
        </w:rPr>
      </w:pPr>
    </w:p>
    <w:p w14:paraId="3C9B46D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33DE235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2EB1485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19A31CBC">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C47D60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11BE508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6DF9B20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0C98116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42E44A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5B56404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1F4CF14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345DEB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11C8453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17A0F02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7B60C3B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6F61176B">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6C4272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5DB1DA4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1CC4AD3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AF21D6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3D998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1D773C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27B689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324792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3157DE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11247F1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494157E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3D9B6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0BF4851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6774CCD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3520531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p>
    <w:p w14:paraId="5782F47A">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6DBC36E4">
      <w:pPr>
        <w:pStyle w:val="3"/>
        <w:jc w:val="center"/>
        <w:rPr>
          <w:rStyle w:val="29"/>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6FBE91BC">
      <w:pPr>
        <w:widowControl/>
        <w:jc w:val="left"/>
        <w:rPr>
          <w:rFonts w:ascii="Times New Roman" w:hAnsi="Times New Roman" w:eastAsia="黑体"/>
          <w:color w:val="auto"/>
          <w:sz w:val="32"/>
          <w:szCs w:val="32"/>
          <w:highlight w:val="none"/>
        </w:rPr>
      </w:pPr>
    </w:p>
    <w:p w14:paraId="3EDD99BF">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2A503D7B">
      <w:pPr>
        <w:pStyle w:val="6"/>
        <w:adjustRightInd w:val="0"/>
        <w:snapToGrid w:val="0"/>
        <w:spacing w:before="93" w:line="600" w:lineRule="exact"/>
        <w:ind w:firstLine="672" w:firstLineChars="210"/>
        <w:outlineLvl w:val="9"/>
        <w:rPr>
          <w:rFonts w:hint="eastAsia" w:ascii="仿宋" w:hAnsi="仿宋" w:eastAsia="仿宋" w:cs="Times New Roman"/>
          <w:bCs/>
          <w:color w:val="000000"/>
          <w:kern w:val="0"/>
          <w:sz w:val="32"/>
          <w:szCs w:val="32"/>
          <w:highlight w:val="none"/>
          <w:lang w:val="en-US" w:eastAsia="zh-CN" w:bidi="ar-SA"/>
        </w:rPr>
      </w:pPr>
      <w:r>
        <w:rPr>
          <w:rFonts w:hint="eastAsia" w:ascii="仿宋" w:hAnsi="仿宋" w:eastAsia="仿宋" w:cs="Times New Roman"/>
          <w:bCs/>
          <w:color w:val="000000"/>
          <w:kern w:val="0"/>
          <w:sz w:val="32"/>
          <w:szCs w:val="32"/>
          <w:highlight w:val="none"/>
          <w:lang w:val="en-US" w:eastAsia="zh-CN" w:bidi="ar-SA"/>
        </w:rPr>
        <w:t>1.履行政治领导责任，做好理论武装和思想政治工作，负责学习、宣传、贯彻执行党的理论和路线方针政策，贯彻落实党中央、省委、州委、县委的决策部署，发挥好把方向、管大局、保落实的重要作用。</w:t>
      </w:r>
    </w:p>
    <w:p w14:paraId="743911F5">
      <w:pPr>
        <w:pStyle w:val="6"/>
        <w:adjustRightInd w:val="0"/>
        <w:snapToGrid w:val="0"/>
        <w:spacing w:before="93" w:line="600" w:lineRule="exact"/>
        <w:ind w:firstLine="672" w:firstLineChars="210"/>
        <w:outlineLvl w:val="9"/>
        <w:rPr>
          <w:rFonts w:hint="eastAsia" w:ascii="仿宋" w:hAnsi="仿宋" w:eastAsia="仿宋" w:cs="Times New Roman"/>
          <w:bCs/>
          <w:color w:val="000000"/>
          <w:kern w:val="0"/>
          <w:sz w:val="32"/>
          <w:szCs w:val="32"/>
          <w:highlight w:val="none"/>
          <w:lang w:val="en-US" w:eastAsia="zh-CN" w:bidi="ar-SA"/>
        </w:rPr>
      </w:pPr>
      <w:r>
        <w:rPr>
          <w:rFonts w:hint="eastAsia" w:ascii="仿宋" w:hAnsi="仿宋" w:eastAsia="仿宋" w:cs="Times New Roman"/>
          <w:bCs/>
          <w:color w:val="000000"/>
          <w:kern w:val="0"/>
          <w:sz w:val="32"/>
          <w:szCs w:val="32"/>
          <w:highlight w:val="none"/>
          <w:lang w:val="en-US" w:eastAsia="zh-CN" w:bidi="ar-SA"/>
        </w:rPr>
        <w:t>2.讨论和决定本单位下列重大问题：党的路线方针政策、国家法律法规和上级党组织重要会议、重要文件、重大决策部署的贯彻落实事项；需要向上级党组织请示报告的重要事项；内部机构设置、职责、人员编制等事项；重大决策、重要人事任免、重大项目安排、大额资金使用等事项；基层党组织和党员队伍建设方面的重要事项；思想政治工作和精神文明建设方面的重要事项；党风廉政建设和反腐败工作方面的重要事项；其他应当由党组讨论和决定的重大问题。</w:t>
      </w:r>
    </w:p>
    <w:p w14:paraId="27322352">
      <w:pPr>
        <w:pStyle w:val="6"/>
        <w:adjustRightInd w:val="0"/>
        <w:snapToGrid w:val="0"/>
        <w:spacing w:before="93" w:line="600" w:lineRule="exact"/>
        <w:ind w:firstLine="672" w:firstLineChars="210"/>
        <w:outlineLvl w:val="9"/>
        <w:rPr>
          <w:rFonts w:hint="eastAsia" w:ascii="仿宋" w:hAnsi="仿宋" w:eastAsia="仿宋" w:cs="Times New Roman"/>
          <w:bCs/>
          <w:color w:val="000000"/>
          <w:kern w:val="0"/>
          <w:sz w:val="32"/>
          <w:szCs w:val="32"/>
          <w:highlight w:val="none"/>
          <w:lang w:val="en-US" w:eastAsia="zh-CN" w:bidi="ar-SA"/>
        </w:rPr>
      </w:pPr>
      <w:r>
        <w:rPr>
          <w:rFonts w:hint="eastAsia" w:ascii="仿宋" w:hAnsi="仿宋" w:eastAsia="仿宋" w:cs="Times New Roman"/>
          <w:bCs/>
          <w:color w:val="000000"/>
          <w:kern w:val="0"/>
          <w:sz w:val="32"/>
          <w:szCs w:val="32"/>
          <w:highlight w:val="none"/>
          <w:lang w:val="en-US" w:eastAsia="zh-CN" w:bidi="ar-SA"/>
        </w:rPr>
        <w:t>3.贯彻党管干部原则，加强干部队伍建设，完善干部培养选拔机制，加强干部教育管理监督。贯彻党管人才原则，加强人才队伍建设。加强对本单位工会、共青团、妇联等群团工作的领导。</w:t>
      </w:r>
    </w:p>
    <w:p w14:paraId="136144A7">
      <w:pPr>
        <w:pStyle w:val="6"/>
        <w:adjustRightInd w:val="0"/>
        <w:snapToGrid w:val="0"/>
        <w:spacing w:before="93" w:line="600" w:lineRule="exact"/>
        <w:ind w:firstLine="672" w:firstLineChars="210"/>
        <w:outlineLvl w:val="9"/>
        <w:rPr>
          <w:rFonts w:hint="default" w:ascii="仿宋_GB2312" w:hAnsi="仿宋" w:eastAsia="仿宋_GB2312"/>
          <w:sz w:val="32"/>
          <w:szCs w:val="32"/>
          <w:highlight w:val="yellow"/>
          <w:lang w:val="en-US"/>
        </w:rPr>
      </w:pPr>
      <w:r>
        <w:rPr>
          <w:rFonts w:hint="eastAsia" w:ascii="仿宋" w:hAnsi="仿宋" w:eastAsia="仿宋" w:cs="Times New Roman"/>
          <w:bCs/>
          <w:color w:val="000000"/>
          <w:kern w:val="0"/>
          <w:sz w:val="32"/>
          <w:szCs w:val="32"/>
          <w:highlight w:val="none"/>
          <w:lang w:val="en-US" w:eastAsia="zh-CN" w:bidi="ar-SA"/>
        </w:rPr>
        <w:t>4.履行党要管党、全面从严治党主体责任，加强对本单位党的建设的领导，落实党建工作责任制。认真履行党风廉政建设主体责任，支持纪检监察机构履行监督责任。</w:t>
      </w:r>
    </w:p>
    <w:p w14:paraId="053665DF">
      <w:pPr>
        <w:numPr>
          <w:ilvl w:val="0"/>
          <w:numId w:val="0"/>
        </w:numPr>
        <w:rPr>
          <w:rFonts w:hint="eastAsia"/>
          <w:lang w:eastAsia="zh-CN"/>
        </w:rPr>
      </w:pPr>
    </w:p>
    <w:p w14:paraId="31D03D92">
      <w:pPr>
        <w:pStyle w:val="4"/>
        <w:rPr>
          <w:rStyle w:val="30"/>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7B310807">
      <w:pPr>
        <w:ind w:firstLine="800" w:firstLineChars="250"/>
        <w:rPr>
          <w:rFonts w:hint="eastAsia" w:ascii="Times New Roman" w:hAnsi="Times New Roman" w:eastAsia="仿宋_GB2312" w:cs="仿宋_GB2312"/>
          <w:color w:val="auto"/>
          <w:sz w:val="32"/>
          <w:szCs w:val="32"/>
          <w:highlight w:val="none"/>
        </w:rPr>
      </w:pPr>
      <w:r>
        <w:rPr>
          <w:rStyle w:val="36"/>
          <w:rFonts w:hint="eastAsia" w:ascii="仿宋_GB2312" w:hAnsi="仿宋_GB2312" w:eastAsia="仿宋_GB2312" w:cs="Times New Roman"/>
          <w:b w:val="0"/>
          <w:i w:val="0"/>
          <w:caps w:val="0"/>
          <w:color w:val="000000"/>
          <w:spacing w:val="0"/>
          <w:w w:val="100"/>
          <w:sz w:val="32"/>
          <w:szCs w:val="32"/>
          <w:lang w:val="en-US" w:eastAsia="zh-CN"/>
        </w:rPr>
        <w:t>1.中共阿坝州壤塘县委宣传部无下属二级单位，基本性质为行政单位。</w:t>
      </w:r>
    </w:p>
    <w:p w14:paraId="3A0C1F94">
      <w:pPr>
        <w:ind w:firstLine="800" w:firstLineChars="250"/>
        <w:rPr>
          <w:rStyle w:val="36"/>
          <w:rFonts w:hint="default" w:ascii="仿宋_GB2312" w:hAnsi="仿宋_GB2312" w:eastAsia="仿宋_GB2312" w:cs="Times New Roman"/>
          <w:b w:val="0"/>
          <w:i w:val="0"/>
          <w:caps w:val="0"/>
          <w:color w:val="000000"/>
          <w:spacing w:val="0"/>
          <w:w w:val="100"/>
          <w:sz w:val="32"/>
          <w:szCs w:val="32"/>
          <w:lang w:val="en-US" w:eastAsia="zh-CN"/>
        </w:rPr>
      </w:pPr>
      <w:r>
        <w:rPr>
          <w:rStyle w:val="36"/>
          <w:rFonts w:hint="eastAsia" w:ascii="仿宋_GB2312" w:hAnsi="仿宋_GB2312" w:eastAsia="仿宋_GB2312" w:cs="Times New Roman"/>
          <w:b w:val="0"/>
          <w:i w:val="0"/>
          <w:caps w:val="0"/>
          <w:color w:val="000000"/>
          <w:spacing w:val="0"/>
          <w:w w:val="100"/>
          <w:sz w:val="32"/>
          <w:szCs w:val="32"/>
          <w:lang w:val="en-US" w:eastAsia="zh-CN"/>
        </w:rPr>
        <w:t>2.中共阿坝州壤塘县委宣传部独立编制机构数1个，独立核算机构数1个，在职人员8人，财政拨款退休人员2人。</w:t>
      </w:r>
    </w:p>
    <w:p w14:paraId="664F33E3">
      <w:pPr>
        <w:pStyle w:val="6"/>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p>
    <w:p w14:paraId="043C00E8">
      <w:pPr>
        <w:numPr>
          <w:ilvl w:val="0"/>
          <w:numId w:val="0"/>
        </w:numPr>
        <w:spacing w:line="600" w:lineRule="exact"/>
        <w:jc w:val="center"/>
        <w:outlineLvl w:val="0"/>
        <w:rPr>
          <w:rFonts w:hint="eastAsia" w:ascii="Times New Roman" w:hAnsi="Times New Roman" w:eastAsia="黑体" w:cs="Times New Roman"/>
          <w:color w:val="auto"/>
          <w:sz w:val="44"/>
          <w:szCs w:val="44"/>
          <w:highlight w:val="none"/>
        </w:rPr>
      </w:pPr>
      <w:bookmarkStart w:id="10" w:name="_Toc15396602"/>
      <w:bookmarkStart w:id="11" w:name="_Toc15377204"/>
      <w:r>
        <w:rPr>
          <w:rFonts w:hint="eastAsia" w:ascii="Times New Roman" w:hAnsi="Times New Roman" w:eastAsia="黑体" w:cs="Times New Roman"/>
          <w:color w:val="auto"/>
          <w:sz w:val="44"/>
          <w:szCs w:val="44"/>
          <w:highlight w:val="none"/>
        </w:rPr>
        <w:t>第二部分</w:t>
      </w:r>
      <w:r>
        <w:rPr>
          <w:rFonts w:hint="eastAsia" w:ascii="Times New Roman" w:hAnsi="Times New Roman" w:eastAsia="黑体" w:cs="Times New Roman"/>
          <w:color w:val="auto"/>
          <w:sz w:val="44"/>
          <w:szCs w:val="44"/>
          <w:highlight w:val="none"/>
          <w:lang w:val="en-US" w:eastAsia="zh-CN"/>
        </w:rPr>
        <w:t xml:space="preserve"> </w:t>
      </w:r>
      <w:r>
        <w:rPr>
          <w:rFonts w:hint="eastAsia" w:ascii="Times New Roman" w:hAnsi="Times New Roman" w:eastAsia="黑体" w:cs="Times New Roman"/>
          <w:color w:val="auto"/>
          <w:sz w:val="44"/>
          <w:szCs w:val="44"/>
          <w:highlight w:val="none"/>
        </w:rPr>
        <w:t xml:space="preserve"> </w:t>
      </w:r>
      <w:r>
        <w:rPr>
          <w:rFonts w:hint="eastAsia" w:ascii="Times New Roman" w:hAnsi="Times New Roman" w:eastAsia="黑体" w:cs="Times New Roman"/>
          <w:color w:val="auto"/>
          <w:sz w:val="44"/>
          <w:szCs w:val="44"/>
          <w:highlight w:val="none"/>
          <w:lang w:val="en-US" w:eastAsia="zh-CN"/>
        </w:rPr>
        <w:t>2025年度</w:t>
      </w:r>
      <w:r>
        <w:rPr>
          <w:rFonts w:hint="eastAsia" w:ascii="Times New Roman" w:hAnsi="Times New Roman" w:eastAsia="黑体" w:cs="Times New Roman"/>
          <w:color w:val="auto"/>
          <w:sz w:val="44"/>
          <w:szCs w:val="44"/>
          <w:highlight w:val="none"/>
        </w:rPr>
        <w:t>部门决算情况说明</w:t>
      </w:r>
      <w:bookmarkEnd w:id="10"/>
      <w:bookmarkEnd w:id="11"/>
    </w:p>
    <w:p w14:paraId="55E93DE5">
      <w:pPr>
        <w:rPr>
          <w:rFonts w:ascii="Times New Roman" w:hAnsi="Times New Roman"/>
          <w:color w:val="auto"/>
          <w:highlight w:val="none"/>
        </w:rPr>
      </w:pPr>
    </w:p>
    <w:p w14:paraId="295F972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44C1E6AD">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仿宋" w:hAnsi="仿宋" w:eastAsia="仿宋"/>
          <w:color w:val="000000"/>
          <w:sz w:val="32"/>
          <w:szCs w:val="32"/>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845.03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19.71</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2.28</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000000"/>
          <w:sz w:val="32"/>
          <w:szCs w:val="32"/>
          <w:lang w:val="en-US" w:eastAsia="zh-CN"/>
        </w:rPr>
        <w:t>本年项目减少，收入与支出随之减少</w:t>
      </w:r>
      <w:r>
        <w:rPr>
          <w:rFonts w:hint="eastAsia" w:ascii="仿宋" w:hAnsi="仿宋" w:eastAsia="仿宋"/>
          <w:color w:val="000000"/>
          <w:sz w:val="32"/>
          <w:szCs w:val="32"/>
          <w:lang w:eastAsia="zh-CN"/>
        </w:rPr>
        <w:t>。</w:t>
      </w:r>
      <w:r>
        <w:rPr>
          <w:rFonts w:hint="eastAsia" w:ascii="仿宋" w:hAnsi="仿宋" w:eastAsia="仿宋"/>
          <w:color w:val="000000"/>
          <w:sz w:val="32"/>
          <w:szCs w:val="32"/>
          <w:lang w:eastAsia="zh-CN"/>
        </w:rPr>
        <w:drawing>
          <wp:inline distT="0" distB="0" distL="114300" distR="114300">
            <wp:extent cx="5274310" cy="2901950"/>
            <wp:effectExtent l="0" t="0" r="2540" b="12700"/>
            <wp:docPr id="4" name="图片 4"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111"/>
                    <pic:cNvPicPr>
                      <a:picLocks noChangeAspect="1"/>
                    </pic:cNvPicPr>
                  </pic:nvPicPr>
                  <pic:blipFill>
                    <a:blip r:embed="rId8"/>
                    <a:stretch>
                      <a:fillRect/>
                    </a:stretch>
                  </pic:blipFill>
                  <pic:spPr>
                    <a:xfrm>
                      <a:off x="0" y="0"/>
                      <a:ext cx="5274310" cy="2901950"/>
                    </a:xfrm>
                    <a:prstGeom prst="rect">
                      <a:avLst/>
                    </a:prstGeom>
                  </pic:spPr>
                </pic:pic>
              </a:graphicData>
            </a:graphic>
          </wp:inline>
        </w:drawing>
      </w:r>
    </w:p>
    <w:p w14:paraId="1FA7773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20" w:firstLineChars="1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A157B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1596331D">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22076E62">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845.03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sz w:val="32"/>
          <w:szCs w:val="32"/>
          <w:lang w:val="en-US" w:eastAsia="zh-CN"/>
        </w:rPr>
        <w:t>844.59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99.95</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drawing>
          <wp:inline distT="0" distB="0" distL="114300" distR="114300">
            <wp:extent cx="3343275" cy="2570480"/>
            <wp:effectExtent l="0" t="0" r="9525" b="1270"/>
            <wp:docPr id="7" name="图片 7" descr="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222"/>
                    <pic:cNvPicPr>
                      <a:picLocks noChangeAspect="1"/>
                    </pic:cNvPicPr>
                  </pic:nvPicPr>
                  <pic:blipFill>
                    <a:blip r:embed="rId9"/>
                    <a:stretch>
                      <a:fillRect/>
                    </a:stretch>
                  </pic:blipFill>
                  <pic:spPr>
                    <a:xfrm>
                      <a:off x="0" y="0"/>
                      <a:ext cx="3343275" cy="2570480"/>
                    </a:xfrm>
                    <a:prstGeom prst="rect">
                      <a:avLst/>
                    </a:prstGeom>
                  </pic:spPr>
                </pic:pic>
              </a:graphicData>
            </a:graphic>
          </wp:inline>
        </w:drawing>
      </w:r>
    </w:p>
    <w:p w14:paraId="57FBFADA">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48396024">
      <w:pPr>
        <w:ind w:firstLine="800" w:firstLineChars="250"/>
        <w:rPr>
          <w:rFonts w:hint="eastAsia" w:ascii="Times New Roman" w:hAnsi="Times New Roman" w:eastAsia="仿宋_GB2312" w:cs="仿宋_GB2312"/>
          <w:color w:val="auto"/>
          <w:sz w:val="32"/>
          <w:szCs w:val="32"/>
          <w:highlight w:val="none"/>
          <w:lang w:eastAsia="zh-CN"/>
        </w:rPr>
      </w:pPr>
    </w:p>
    <w:p w14:paraId="67504AE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1FC5FFF0">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844.59</w:t>
      </w:r>
      <w:r>
        <w:rPr>
          <w:rFonts w:hint="eastAsia" w:ascii="Times New Roman" w:hAnsi="Times New Roman" w:eastAsia="仿宋_GB2312" w:cs="仿宋_GB2312"/>
          <w:color w:val="auto"/>
          <w:sz w:val="32"/>
          <w:szCs w:val="32"/>
          <w:highlight w:val="none"/>
          <w:lang w:eastAsia="zh-CN"/>
        </w:rPr>
        <w:t>万元，其中：基本支出457.07万元，占</w:t>
      </w:r>
      <w:r>
        <w:rPr>
          <w:rFonts w:hint="eastAsia" w:ascii="Times New Roman" w:hAnsi="Times New Roman" w:eastAsia="仿宋_GB2312" w:cs="仿宋_GB2312"/>
          <w:sz w:val="32"/>
          <w:szCs w:val="32"/>
          <w:lang w:val="en-US" w:eastAsia="zh-CN"/>
        </w:rPr>
        <w:t>54.12%</w:t>
      </w:r>
      <w:r>
        <w:rPr>
          <w:rFonts w:hint="eastAsia" w:ascii="Times New Roman" w:hAnsi="Times New Roman" w:eastAsia="仿宋_GB2312" w:cs="仿宋_GB2312"/>
          <w:color w:val="auto"/>
          <w:sz w:val="32"/>
          <w:szCs w:val="32"/>
          <w:highlight w:val="none"/>
          <w:lang w:eastAsia="zh-CN"/>
        </w:rPr>
        <w:t>；项目支出387.52万元，占</w:t>
      </w:r>
      <w:r>
        <w:rPr>
          <w:rFonts w:hint="eastAsia" w:ascii="Times New Roman" w:hAnsi="Times New Roman" w:eastAsia="仿宋_GB2312" w:cs="仿宋_GB2312"/>
          <w:sz w:val="32"/>
          <w:szCs w:val="32"/>
          <w:lang w:val="en-US" w:eastAsia="zh-CN"/>
        </w:rPr>
        <w:t>45.88%</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drawing>
          <wp:inline distT="0" distB="0" distL="114300" distR="114300">
            <wp:extent cx="5274310" cy="5574665"/>
            <wp:effectExtent l="0" t="0" r="2540" b="6985"/>
            <wp:docPr id="8" name="图片 8" descr="3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333"/>
                    <pic:cNvPicPr>
                      <a:picLocks noChangeAspect="1"/>
                    </pic:cNvPicPr>
                  </pic:nvPicPr>
                  <pic:blipFill>
                    <a:blip r:embed="rId10"/>
                    <a:stretch>
                      <a:fillRect/>
                    </a:stretch>
                  </pic:blipFill>
                  <pic:spPr>
                    <a:xfrm>
                      <a:off x="0" y="0"/>
                      <a:ext cx="5274310" cy="5574665"/>
                    </a:xfrm>
                    <a:prstGeom prst="rect">
                      <a:avLst/>
                    </a:prstGeom>
                  </pic:spPr>
                </pic:pic>
              </a:graphicData>
            </a:graphic>
          </wp:inline>
        </w:drawing>
      </w:r>
    </w:p>
    <w:p w14:paraId="59C7CAE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1858F7D">
      <w:pPr>
        <w:ind w:firstLine="800" w:firstLineChars="250"/>
        <w:rPr>
          <w:rFonts w:hint="eastAsia" w:ascii="Times New Roman" w:hAnsi="Times New Roman" w:eastAsia="仿宋_GB2312" w:cs="仿宋_GB2312"/>
          <w:color w:val="auto"/>
          <w:sz w:val="32"/>
          <w:szCs w:val="32"/>
          <w:highlight w:val="none"/>
          <w:lang w:eastAsia="zh-CN"/>
        </w:rPr>
      </w:pPr>
    </w:p>
    <w:p w14:paraId="5F9784E1">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0EC8116B">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845.03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19.71</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2.28</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000000"/>
          <w:sz w:val="32"/>
          <w:szCs w:val="32"/>
          <w:lang w:val="en-US" w:eastAsia="zh-CN"/>
        </w:rPr>
        <w:t>本年项目减少，收入与支出随之减少</w:t>
      </w:r>
      <w:r>
        <w:rPr>
          <w:rFonts w:hint="eastAsia" w:ascii="仿宋" w:hAnsi="仿宋" w:eastAsia="仿宋"/>
          <w:color w:val="000000"/>
          <w:sz w:val="32"/>
          <w:szCs w:val="32"/>
          <w:lang w:eastAsia="zh-CN"/>
        </w:rPr>
        <w:t>。</w:t>
      </w:r>
      <w:r>
        <w:rPr>
          <w:rFonts w:hint="eastAsia" w:ascii="Times New Roman" w:hAnsi="Times New Roman" w:eastAsia="仿宋_GB2312" w:cs="仿宋_GB2312"/>
          <w:color w:val="auto"/>
          <w:sz w:val="32"/>
          <w:szCs w:val="32"/>
          <w:highlight w:val="none"/>
        </w:rPr>
        <w:drawing>
          <wp:inline distT="0" distB="0" distL="114300" distR="114300">
            <wp:extent cx="5274310" cy="2901950"/>
            <wp:effectExtent l="0" t="0" r="2540" b="12700"/>
            <wp:docPr id="5" name="图片 5"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111"/>
                    <pic:cNvPicPr>
                      <a:picLocks noChangeAspect="1"/>
                    </pic:cNvPicPr>
                  </pic:nvPicPr>
                  <pic:blipFill>
                    <a:blip r:embed="rId8"/>
                    <a:stretch>
                      <a:fillRect/>
                    </a:stretch>
                  </pic:blipFill>
                  <pic:spPr>
                    <a:xfrm>
                      <a:off x="0" y="0"/>
                      <a:ext cx="5274310" cy="2901950"/>
                    </a:xfrm>
                    <a:prstGeom prst="rect">
                      <a:avLst/>
                    </a:prstGeom>
                  </pic:spPr>
                </pic:pic>
              </a:graphicData>
            </a:graphic>
          </wp:inline>
        </w:drawing>
      </w:r>
    </w:p>
    <w:p w14:paraId="096497E8">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729552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395D9F3">
      <w:pPr>
        <w:spacing w:line="600" w:lineRule="exact"/>
        <w:ind w:firstLine="640" w:firstLineChars="200"/>
        <w:outlineLvl w:val="1"/>
        <w:rPr>
          <w:rStyle w:val="30"/>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5D5790C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3F820C69">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一般公共预算财政拨款支出844.59万元，占本年支出合计的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20.71</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2.39</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 w:hAnsi="仿宋" w:eastAsia="仿宋"/>
          <w:color w:val="000000"/>
          <w:sz w:val="32"/>
          <w:szCs w:val="32"/>
          <w:lang w:val="en-US" w:eastAsia="zh-CN"/>
        </w:rPr>
        <w:t>本年项目减少，收入与支出随之减少</w:t>
      </w:r>
      <w:r>
        <w:rPr>
          <w:rFonts w:hint="eastAsia" w:ascii="仿宋" w:hAnsi="仿宋" w:eastAsia="仿宋"/>
          <w:color w:val="000000"/>
          <w:sz w:val="32"/>
          <w:szCs w:val="32"/>
          <w:lang w:eastAsia="zh-CN"/>
        </w:rPr>
        <w:t>。</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66690" cy="3662045"/>
            <wp:effectExtent l="0" t="0" r="10160" b="14605"/>
            <wp:docPr id="9" name="图片 9" descr="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4444"/>
                    <pic:cNvPicPr>
                      <a:picLocks noChangeAspect="1"/>
                    </pic:cNvPicPr>
                  </pic:nvPicPr>
                  <pic:blipFill>
                    <a:blip r:embed="rId11"/>
                    <a:stretch>
                      <a:fillRect/>
                    </a:stretch>
                  </pic:blipFill>
                  <pic:spPr>
                    <a:xfrm>
                      <a:off x="0" y="0"/>
                      <a:ext cx="5266690" cy="3662045"/>
                    </a:xfrm>
                    <a:prstGeom prst="rect">
                      <a:avLst/>
                    </a:prstGeom>
                  </pic:spPr>
                </pic:pic>
              </a:graphicData>
            </a:graphic>
          </wp:inline>
        </w:drawing>
      </w:r>
    </w:p>
    <w:p w14:paraId="5706A7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657C34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FB867E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2EA30440">
      <w:pPr>
        <w:spacing w:line="240" w:lineRule="auto"/>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844.59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一般公共服务支出557.77万元，占</w:t>
      </w:r>
      <w:r>
        <w:rPr>
          <w:rFonts w:hint="eastAsia" w:eastAsia="仿宋_GB2312" w:cs="仿宋_GB2312"/>
          <w:color w:val="auto"/>
          <w:kern w:val="2"/>
          <w:sz w:val="32"/>
          <w:szCs w:val="32"/>
          <w:highlight w:val="none"/>
          <w:lang w:val="en-US" w:eastAsia="zh-CN" w:bidi="ar-SA"/>
        </w:rPr>
        <w:t>66.04</w:t>
      </w:r>
      <w:r>
        <w:rPr>
          <w:rFonts w:hint="eastAsia" w:ascii="Times New Roman" w:hAnsi="Times New Roman" w:eastAsia="仿宋_GB2312" w:cs="仿宋_GB2312"/>
          <w:color w:val="auto"/>
          <w:kern w:val="2"/>
          <w:sz w:val="32"/>
          <w:szCs w:val="32"/>
          <w:highlight w:val="none"/>
          <w:lang w:val="en-US" w:eastAsia="zh-CN" w:bidi="ar-SA"/>
        </w:rPr>
        <w:t>%；文化旅游体育与传媒支出138.41万元，占</w:t>
      </w:r>
      <w:r>
        <w:rPr>
          <w:rFonts w:hint="eastAsia" w:eastAsia="仿宋_GB2312" w:cs="仿宋_GB2312"/>
          <w:color w:val="auto"/>
          <w:kern w:val="2"/>
          <w:sz w:val="32"/>
          <w:szCs w:val="32"/>
          <w:highlight w:val="none"/>
          <w:lang w:val="en-US" w:eastAsia="zh-CN" w:bidi="ar-SA"/>
        </w:rPr>
        <w:t>16.39</w:t>
      </w:r>
      <w:r>
        <w:rPr>
          <w:rFonts w:hint="eastAsia" w:ascii="Times New Roman" w:hAnsi="Times New Roman" w:eastAsia="仿宋_GB2312" w:cs="仿宋_GB2312"/>
          <w:color w:val="auto"/>
          <w:kern w:val="2"/>
          <w:sz w:val="32"/>
          <w:szCs w:val="32"/>
          <w:highlight w:val="none"/>
          <w:lang w:val="en-US" w:eastAsia="zh-CN" w:bidi="ar-SA"/>
        </w:rPr>
        <w:t>%；社会保障和就业支出88.4万元，占</w:t>
      </w:r>
      <w:r>
        <w:rPr>
          <w:rFonts w:hint="eastAsia" w:eastAsia="仿宋_GB2312" w:cs="仿宋_GB2312"/>
          <w:color w:val="auto"/>
          <w:kern w:val="2"/>
          <w:sz w:val="32"/>
          <w:szCs w:val="32"/>
          <w:highlight w:val="none"/>
          <w:lang w:val="en-US" w:eastAsia="zh-CN" w:bidi="ar-SA"/>
        </w:rPr>
        <w:t>10.47</w:t>
      </w:r>
      <w:r>
        <w:rPr>
          <w:rFonts w:hint="eastAsia" w:ascii="Times New Roman" w:hAnsi="Times New Roman" w:eastAsia="仿宋_GB2312" w:cs="仿宋_GB2312"/>
          <w:color w:val="auto"/>
          <w:kern w:val="2"/>
          <w:sz w:val="32"/>
          <w:szCs w:val="32"/>
          <w:highlight w:val="none"/>
          <w:lang w:val="en-US" w:eastAsia="zh-CN" w:bidi="ar-SA"/>
        </w:rPr>
        <w:t>%；卫生健康支出28.29万元，占</w:t>
      </w:r>
      <w:r>
        <w:rPr>
          <w:rFonts w:hint="eastAsia" w:eastAsia="仿宋_GB2312" w:cs="仿宋_GB2312"/>
          <w:color w:val="auto"/>
          <w:kern w:val="2"/>
          <w:sz w:val="32"/>
          <w:szCs w:val="32"/>
          <w:highlight w:val="none"/>
          <w:lang w:val="en-US" w:eastAsia="zh-CN" w:bidi="ar-SA"/>
        </w:rPr>
        <w:t>3.35</w:t>
      </w:r>
      <w:r>
        <w:rPr>
          <w:rFonts w:hint="eastAsia" w:ascii="Times New Roman" w:hAnsi="Times New Roman" w:eastAsia="仿宋_GB2312" w:cs="仿宋_GB2312"/>
          <w:color w:val="auto"/>
          <w:kern w:val="2"/>
          <w:sz w:val="32"/>
          <w:szCs w:val="32"/>
          <w:highlight w:val="none"/>
          <w:lang w:val="en-US" w:eastAsia="zh-CN" w:bidi="ar-SA"/>
        </w:rPr>
        <w:t>%；住房保障支出31.71万元，占</w:t>
      </w:r>
      <w:r>
        <w:rPr>
          <w:rFonts w:hint="eastAsia" w:eastAsia="仿宋_GB2312" w:cs="仿宋_GB2312"/>
          <w:color w:val="auto"/>
          <w:kern w:val="2"/>
          <w:sz w:val="32"/>
          <w:szCs w:val="32"/>
          <w:highlight w:val="none"/>
          <w:lang w:val="en-US" w:eastAsia="zh-CN" w:bidi="ar-SA"/>
        </w:rPr>
        <w:t>3.75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drawing>
          <wp:inline distT="0" distB="0" distL="114300" distR="114300">
            <wp:extent cx="5253990" cy="2630805"/>
            <wp:effectExtent l="0" t="0" r="3810" b="17145"/>
            <wp:docPr id="10" name="图片 10" descr="5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555"/>
                    <pic:cNvPicPr>
                      <a:picLocks noChangeAspect="1"/>
                    </pic:cNvPicPr>
                  </pic:nvPicPr>
                  <pic:blipFill>
                    <a:blip r:embed="rId12"/>
                    <a:stretch>
                      <a:fillRect/>
                    </a:stretch>
                  </pic:blipFill>
                  <pic:spPr>
                    <a:xfrm>
                      <a:off x="0" y="0"/>
                      <a:ext cx="5253990" cy="2630805"/>
                    </a:xfrm>
                    <a:prstGeom prst="rect">
                      <a:avLst/>
                    </a:prstGeom>
                  </pic:spPr>
                </pic:pic>
              </a:graphicData>
            </a:graphic>
          </wp:inline>
        </w:drawing>
      </w:r>
    </w:p>
    <w:p w14:paraId="633C10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D795C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50F2A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14:paraId="7AA721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8460"/>
      <w:bookmarkStart w:id="26" w:name="_Toc15377213"/>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 w:hAnsi="仿宋" w:eastAsia="仿宋"/>
          <w:color w:val="000000"/>
          <w:sz w:val="32"/>
          <w:szCs w:val="32"/>
          <w:lang w:val="en-US" w:eastAsia="zh-CN"/>
        </w:rPr>
        <w:t>844.59万元，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54FBCAE9">
      <w:pPr>
        <w:snapToGrid w:val="0"/>
        <w:spacing w:line="520" w:lineRule="exact"/>
        <w:ind w:firstLine="643"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一般公共服务支出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w:t>
      </w:r>
      <w:r>
        <w:rPr>
          <w:rFonts w:hint="eastAsia" w:ascii="仿宋" w:hAnsi="仿宋" w:eastAsia="仿宋"/>
          <w:b/>
          <w:color w:val="000000"/>
          <w:sz w:val="32"/>
          <w:szCs w:val="32"/>
        </w:rPr>
        <w:t>宣传事务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）行政运行（</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169.03</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20.01</w:t>
      </w:r>
      <w:r>
        <w:rPr>
          <w:rFonts w:ascii="仿宋" w:hAnsi="仿宋" w:eastAsia="仿宋"/>
          <w:color w:val="000000"/>
          <w:sz w:val="32"/>
          <w:szCs w:val="32"/>
        </w:rPr>
        <w:t>%</w:t>
      </w:r>
      <w:r>
        <w:rPr>
          <w:rFonts w:hint="eastAsia" w:ascii="仿宋" w:hAnsi="仿宋" w:eastAsia="仿宋"/>
          <w:color w:val="000000"/>
          <w:sz w:val="32"/>
          <w:szCs w:val="32"/>
          <w:lang w:eastAsia="zh-CN"/>
        </w:rPr>
        <w:t>；</w:t>
      </w:r>
    </w:p>
    <w:p w14:paraId="26BBDB0F">
      <w:pPr>
        <w:snapToGrid w:val="0"/>
        <w:spacing w:line="520" w:lineRule="exact"/>
        <w:ind w:firstLine="643"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一般公共服务支出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w:t>
      </w:r>
      <w:r>
        <w:rPr>
          <w:rFonts w:hint="eastAsia" w:ascii="仿宋" w:hAnsi="仿宋" w:eastAsia="仿宋"/>
          <w:b/>
          <w:color w:val="000000"/>
          <w:sz w:val="32"/>
          <w:szCs w:val="32"/>
        </w:rPr>
        <w:t>宣传事务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cs="宋体"/>
          <w:b/>
          <w:color w:val="000000"/>
          <w:sz w:val="32"/>
          <w:szCs w:val="32"/>
          <w:lang w:eastAsia="zh-CN"/>
        </w:rPr>
        <w:t>一般行政管理事务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21.04</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2.49</w:t>
      </w:r>
      <w:r>
        <w:rPr>
          <w:rFonts w:ascii="仿宋" w:hAnsi="仿宋" w:eastAsia="仿宋"/>
          <w:color w:val="000000"/>
          <w:sz w:val="32"/>
          <w:szCs w:val="32"/>
        </w:rPr>
        <w:t>%</w:t>
      </w:r>
      <w:r>
        <w:rPr>
          <w:rFonts w:hint="eastAsia" w:ascii="仿宋" w:hAnsi="仿宋" w:eastAsia="仿宋"/>
          <w:color w:val="000000"/>
          <w:sz w:val="32"/>
          <w:szCs w:val="32"/>
          <w:lang w:eastAsia="zh-CN"/>
        </w:rPr>
        <w:t>；</w:t>
      </w:r>
    </w:p>
    <w:p w14:paraId="5C5731C6">
      <w:pPr>
        <w:snapToGrid w:val="0"/>
        <w:spacing w:line="520" w:lineRule="exact"/>
        <w:ind w:firstLine="643"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一般公共服务支出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w:t>
      </w:r>
      <w:r>
        <w:rPr>
          <w:rFonts w:hint="eastAsia" w:ascii="仿宋" w:hAnsi="仿宋" w:eastAsia="仿宋"/>
          <w:b/>
          <w:color w:val="000000"/>
          <w:sz w:val="32"/>
          <w:szCs w:val="32"/>
        </w:rPr>
        <w:t>宣传事务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cs="宋体"/>
          <w:b/>
          <w:color w:val="000000"/>
          <w:sz w:val="32"/>
          <w:szCs w:val="32"/>
          <w:lang w:eastAsia="zh-CN"/>
        </w:rPr>
        <w:t>宣传管理</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19.41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2.29</w:t>
      </w:r>
      <w:r>
        <w:rPr>
          <w:rFonts w:ascii="仿宋" w:hAnsi="仿宋" w:eastAsia="仿宋"/>
          <w:color w:val="000000"/>
          <w:sz w:val="32"/>
          <w:szCs w:val="32"/>
        </w:rPr>
        <w:t>%</w:t>
      </w:r>
      <w:r>
        <w:rPr>
          <w:rFonts w:hint="eastAsia" w:ascii="仿宋" w:hAnsi="仿宋" w:eastAsia="仿宋"/>
          <w:color w:val="000000"/>
          <w:sz w:val="32"/>
          <w:szCs w:val="32"/>
          <w:lang w:eastAsia="zh-CN"/>
        </w:rPr>
        <w:t>；</w:t>
      </w:r>
    </w:p>
    <w:p w14:paraId="56BEEF23">
      <w:pPr>
        <w:snapToGrid w:val="0"/>
        <w:spacing w:line="520" w:lineRule="exact"/>
        <w:ind w:firstLine="643" w:firstLineChars="200"/>
        <w:rPr>
          <w:rFonts w:hint="eastAsia" w:ascii="仿宋" w:hAnsi="仿宋" w:eastAsia="仿宋" w:cs="Times New Roman"/>
          <w:color w:val="000000"/>
          <w:sz w:val="32"/>
          <w:szCs w:val="32"/>
        </w:rPr>
      </w:pPr>
      <w:r>
        <w:rPr>
          <w:rFonts w:hint="eastAsia" w:ascii="仿宋" w:hAnsi="仿宋" w:eastAsia="仿宋" w:cs="Times New Roman"/>
          <w:b/>
          <w:color w:val="000000"/>
          <w:sz w:val="32"/>
          <w:szCs w:val="32"/>
        </w:rPr>
        <w:t>一般公共服务支出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w:t>
      </w:r>
      <w:r>
        <w:rPr>
          <w:rFonts w:hint="eastAsia" w:ascii="仿宋" w:hAnsi="仿宋" w:eastAsia="仿宋"/>
          <w:b/>
          <w:color w:val="000000"/>
          <w:sz w:val="32"/>
          <w:szCs w:val="32"/>
        </w:rPr>
        <w:t>宣传事务</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w:t>
      </w:r>
      <w:r>
        <w:rPr>
          <w:rFonts w:hint="eastAsia" w:ascii="仿宋" w:hAnsi="仿宋" w:eastAsia="仿宋" w:cs="宋体"/>
          <w:b/>
          <w:color w:val="000000"/>
          <w:sz w:val="32"/>
          <w:szCs w:val="32"/>
          <w:lang w:eastAsia="zh-CN"/>
        </w:rPr>
        <w:t>其他宣传事务支出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201.06</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23.81</w:t>
      </w:r>
      <w:r>
        <w:rPr>
          <w:rFonts w:ascii="仿宋" w:hAnsi="仿宋" w:eastAsia="仿宋"/>
          <w:color w:val="000000"/>
          <w:sz w:val="32"/>
          <w:szCs w:val="32"/>
        </w:rPr>
        <w:t>%</w:t>
      </w:r>
      <w:r>
        <w:rPr>
          <w:rFonts w:hint="eastAsia" w:ascii="仿宋" w:hAnsi="仿宋" w:eastAsia="仿宋"/>
          <w:color w:val="000000"/>
          <w:sz w:val="32"/>
          <w:szCs w:val="32"/>
          <w:lang w:eastAsia="zh-CN"/>
        </w:rPr>
        <w:t>。</w:t>
      </w:r>
    </w:p>
    <w:p w14:paraId="1521E0B7">
      <w:pPr>
        <w:pStyle w:val="6"/>
        <w:ind w:firstLine="643" w:firstLineChars="200"/>
        <w:rPr>
          <w:rFonts w:hint="eastAsia" w:ascii="仿宋" w:hAnsi="仿宋" w:eastAsia="仿宋"/>
          <w:color w:val="000000"/>
          <w:sz w:val="32"/>
          <w:szCs w:val="32"/>
          <w:lang w:eastAsia="zh-CN"/>
        </w:rPr>
      </w:pPr>
      <w:r>
        <w:rPr>
          <w:rFonts w:hint="eastAsia" w:ascii="仿宋" w:hAnsi="仿宋" w:eastAsia="仿宋" w:cs="Times New Roman"/>
          <w:b/>
          <w:color w:val="000000"/>
          <w:sz w:val="32"/>
          <w:szCs w:val="32"/>
        </w:rPr>
        <w:t>文化旅游体育与传媒支出</w:t>
      </w:r>
      <w:r>
        <w:rPr>
          <w:rFonts w:hint="eastAsia" w:ascii="仿宋" w:hAnsi="仿宋" w:eastAsia="仿宋"/>
          <w:b/>
          <w:color w:val="000000"/>
          <w:sz w:val="32"/>
          <w:szCs w:val="32"/>
        </w:rPr>
        <w:t>（类</w:t>
      </w:r>
      <w:r>
        <w:rPr>
          <w:rFonts w:hint="eastAsia" w:ascii="仿宋" w:hAnsi="仿宋" w:eastAsia="仿宋" w:cs="Times New Roman"/>
          <w:b/>
          <w:color w:val="000000"/>
          <w:sz w:val="32"/>
          <w:szCs w:val="32"/>
        </w:rPr>
        <w:t>）其他文化旅游体育与传媒支出</w:t>
      </w:r>
      <w:r>
        <w:rPr>
          <w:rFonts w:hint="eastAsia" w:ascii="仿宋" w:hAnsi="仿宋" w:eastAsia="仿宋" w:cs="Times New Roman"/>
          <w:b/>
          <w:color w:val="000000"/>
          <w:sz w:val="32"/>
          <w:szCs w:val="32"/>
          <w:lang w:eastAsia="zh-CN"/>
        </w:rPr>
        <w:t>（</w:t>
      </w:r>
      <w:r>
        <w:rPr>
          <w:rFonts w:hint="eastAsia" w:ascii="仿宋" w:hAnsi="仿宋" w:eastAsia="仿宋" w:cs="Times New Roman"/>
          <w:b/>
          <w:color w:val="000000"/>
          <w:sz w:val="32"/>
          <w:szCs w:val="32"/>
          <w:lang w:val="en-US" w:eastAsia="zh-CN"/>
        </w:rPr>
        <w:t>款</w:t>
      </w:r>
      <w:r>
        <w:rPr>
          <w:rFonts w:hint="eastAsia" w:ascii="仿宋" w:hAnsi="仿宋" w:eastAsia="仿宋" w:cs="Times New Roman"/>
          <w:b/>
          <w:color w:val="000000"/>
          <w:sz w:val="32"/>
          <w:szCs w:val="32"/>
          <w:lang w:eastAsia="zh-CN"/>
        </w:rPr>
        <w:t>）</w:t>
      </w:r>
      <w:r>
        <w:rPr>
          <w:rFonts w:hint="eastAsia" w:ascii="仿宋" w:hAnsi="仿宋" w:eastAsia="仿宋" w:cs="Times New Roman"/>
          <w:b/>
          <w:color w:val="000000"/>
          <w:sz w:val="32"/>
          <w:szCs w:val="32"/>
        </w:rPr>
        <w:t>其他文化旅游体育与传媒支出</w:t>
      </w:r>
      <w:r>
        <w:rPr>
          <w:rFonts w:hint="eastAsia" w:ascii="仿宋" w:hAnsi="仿宋" w:eastAsia="仿宋"/>
          <w:b/>
          <w:color w:val="000000"/>
          <w:sz w:val="32"/>
          <w:szCs w:val="32"/>
          <w:lang w:eastAsia="zh-CN"/>
        </w:rPr>
        <w:t>（项）：</w:t>
      </w:r>
      <w:r>
        <w:rPr>
          <w:rFonts w:hint="eastAsia" w:ascii="仿宋" w:hAnsi="仿宋" w:eastAsia="仿宋" w:cs="Times New Roman"/>
          <w:color w:val="000000"/>
          <w:sz w:val="32"/>
          <w:szCs w:val="32"/>
          <w:lang w:val="en-US" w:eastAsia="zh-CN"/>
        </w:rPr>
        <w:t>138.41</w:t>
      </w:r>
      <w:r>
        <w:rPr>
          <w:rFonts w:hint="eastAsia" w:ascii="仿宋" w:hAnsi="仿宋" w:eastAsia="仿宋" w:cs="Times New Roman"/>
          <w:color w:val="000000"/>
          <w:sz w:val="32"/>
          <w:szCs w:val="32"/>
          <w:lang w:eastAsia="zh-CN"/>
        </w:rPr>
        <w:t>万元，占</w:t>
      </w:r>
      <w:r>
        <w:rPr>
          <w:rFonts w:hint="eastAsia" w:ascii="仿宋" w:hAnsi="仿宋" w:eastAsia="仿宋" w:cs="Times New Roman"/>
          <w:color w:val="000000"/>
          <w:sz w:val="32"/>
          <w:szCs w:val="32"/>
          <w:lang w:val="en-US" w:eastAsia="zh-CN"/>
        </w:rPr>
        <w:t>16.39</w:t>
      </w:r>
      <w:r>
        <w:rPr>
          <w:rFonts w:hint="eastAsia" w:ascii="仿宋" w:hAnsi="仿宋" w:eastAsia="仿宋" w:cs="Times New Roman"/>
          <w:color w:val="000000"/>
          <w:sz w:val="32"/>
          <w:szCs w:val="32"/>
          <w:lang w:eastAsia="zh-CN"/>
        </w:rPr>
        <w:t>%；</w:t>
      </w:r>
    </w:p>
    <w:p w14:paraId="7BBD59EC">
      <w:pPr>
        <w:pStyle w:val="6"/>
        <w:ind w:firstLine="643" w:firstLineChars="200"/>
        <w:rPr>
          <w:rFonts w:hint="eastAsia" w:ascii="仿宋" w:hAnsi="仿宋" w:eastAsia="仿宋" w:cs="Times New Roman"/>
          <w:color w:val="000000"/>
          <w:sz w:val="32"/>
          <w:szCs w:val="32"/>
          <w:lang w:eastAsia="zh-CN"/>
        </w:rPr>
      </w:pPr>
      <w:r>
        <w:rPr>
          <w:rFonts w:hint="eastAsia" w:ascii="仿宋" w:hAnsi="仿宋" w:eastAsia="仿宋" w:cs="Times New Roman"/>
          <w:b/>
          <w:color w:val="000000"/>
          <w:sz w:val="32"/>
          <w:szCs w:val="32"/>
        </w:rPr>
        <w:t>社会保障和就业支出</w:t>
      </w:r>
      <w:r>
        <w:rPr>
          <w:rFonts w:hint="eastAsia" w:ascii="仿宋" w:hAnsi="仿宋" w:eastAsia="仿宋"/>
          <w:b/>
          <w:color w:val="000000"/>
          <w:sz w:val="32"/>
          <w:szCs w:val="32"/>
        </w:rPr>
        <w:t>（类）行政事业单位养老支出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）机关事业单位基本养老保险缴费支出（项）：</w:t>
      </w:r>
      <w:r>
        <w:rPr>
          <w:rFonts w:hint="eastAsia" w:ascii="仿宋" w:hAnsi="仿宋" w:eastAsia="仿宋" w:cs="Times New Roman"/>
          <w:color w:val="000000"/>
          <w:sz w:val="32"/>
          <w:szCs w:val="32"/>
          <w:lang w:val="en-US" w:eastAsia="zh-CN"/>
        </w:rPr>
        <w:t>41.83</w:t>
      </w:r>
      <w:r>
        <w:rPr>
          <w:rFonts w:hint="eastAsia" w:ascii="仿宋" w:hAnsi="仿宋" w:eastAsia="仿宋" w:cs="Times New Roman"/>
          <w:color w:val="000000"/>
          <w:sz w:val="32"/>
          <w:szCs w:val="32"/>
          <w:lang w:eastAsia="zh-CN"/>
        </w:rPr>
        <w:t>万元，占</w:t>
      </w:r>
      <w:r>
        <w:rPr>
          <w:rFonts w:hint="eastAsia" w:ascii="仿宋" w:hAnsi="仿宋" w:eastAsia="仿宋" w:cs="Times New Roman"/>
          <w:color w:val="000000"/>
          <w:sz w:val="32"/>
          <w:szCs w:val="32"/>
          <w:lang w:val="en-US" w:eastAsia="zh-CN"/>
        </w:rPr>
        <w:t>4.95</w:t>
      </w:r>
      <w:r>
        <w:rPr>
          <w:rFonts w:hint="eastAsia" w:ascii="仿宋" w:hAnsi="仿宋" w:eastAsia="仿宋" w:cs="Times New Roman"/>
          <w:color w:val="000000"/>
          <w:sz w:val="32"/>
          <w:szCs w:val="32"/>
          <w:lang w:eastAsia="zh-CN"/>
        </w:rPr>
        <w:t>%；</w:t>
      </w:r>
    </w:p>
    <w:p w14:paraId="0777354D">
      <w:pPr>
        <w:pStyle w:val="6"/>
        <w:ind w:firstLine="643" w:firstLineChars="200"/>
        <w:rPr>
          <w:rFonts w:hint="eastAsia" w:ascii="仿宋" w:hAnsi="仿宋" w:eastAsia="仿宋" w:cs="Times New Roman"/>
          <w:color w:val="000000"/>
          <w:sz w:val="32"/>
          <w:szCs w:val="32"/>
          <w:lang w:eastAsia="zh-CN"/>
        </w:rPr>
      </w:pPr>
      <w:r>
        <w:rPr>
          <w:rFonts w:hint="eastAsia" w:ascii="仿宋" w:hAnsi="仿宋" w:eastAsia="仿宋" w:cs="Times New Roman"/>
          <w:b/>
          <w:color w:val="000000"/>
          <w:sz w:val="32"/>
          <w:szCs w:val="32"/>
        </w:rPr>
        <w:t>社会保障和就业支出</w:t>
      </w:r>
      <w:r>
        <w:rPr>
          <w:rFonts w:hint="eastAsia" w:ascii="仿宋" w:hAnsi="仿宋" w:eastAsia="仿宋"/>
          <w:b/>
          <w:color w:val="000000"/>
          <w:sz w:val="32"/>
          <w:szCs w:val="32"/>
        </w:rPr>
        <w:t>（类）行政事业单位养老支出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）机关事业单位职业年金缴费支出（项）：</w:t>
      </w:r>
      <w:r>
        <w:rPr>
          <w:rFonts w:hint="eastAsia" w:ascii="仿宋" w:hAnsi="仿宋" w:eastAsia="仿宋"/>
          <w:b w:val="0"/>
          <w:bCs/>
          <w:color w:val="000000"/>
          <w:sz w:val="32"/>
          <w:szCs w:val="32"/>
          <w:lang w:val="en-US" w:eastAsia="zh-CN"/>
        </w:rPr>
        <w:t>20.89</w:t>
      </w:r>
      <w:r>
        <w:rPr>
          <w:rFonts w:hint="eastAsia" w:ascii="仿宋" w:hAnsi="仿宋" w:eastAsia="仿宋" w:cs="Times New Roman"/>
          <w:color w:val="000000"/>
          <w:sz w:val="32"/>
          <w:szCs w:val="32"/>
          <w:lang w:eastAsia="zh-CN"/>
        </w:rPr>
        <w:t>万元，占</w:t>
      </w:r>
      <w:r>
        <w:rPr>
          <w:rFonts w:hint="eastAsia" w:ascii="仿宋" w:hAnsi="仿宋" w:eastAsia="仿宋" w:cs="Times New Roman"/>
          <w:color w:val="000000"/>
          <w:sz w:val="32"/>
          <w:szCs w:val="32"/>
          <w:lang w:val="en-US" w:eastAsia="zh-CN"/>
        </w:rPr>
        <w:t>2.47</w:t>
      </w:r>
      <w:r>
        <w:rPr>
          <w:rFonts w:hint="eastAsia" w:ascii="仿宋" w:hAnsi="仿宋" w:eastAsia="仿宋" w:cs="Times New Roman"/>
          <w:color w:val="000000"/>
          <w:sz w:val="32"/>
          <w:szCs w:val="32"/>
          <w:lang w:eastAsia="zh-CN"/>
        </w:rPr>
        <w:t>%。</w:t>
      </w:r>
    </w:p>
    <w:p w14:paraId="00C14EE8">
      <w:pPr>
        <w:pStyle w:val="6"/>
        <w:ind w:firstLine="643" w:firstLineChars="200"/>
        <w:rPr>
          <w:rFonts w:hint="eastAsia" w:ascii="仿宋" w:hAnsi="仿宋" w:eastAsia="仿宋" w:cs="Times New Roman"/>
          <w:b w:val="0"/>
          <w:bCs/>
          <w:color w:val="000000"/>
          <w:sz w:val="32"/>
          <w:szCs w:val="32"/>
          <w:lang w:val="en-US" w:eastAsia="zh-CN"/>
        </w:rPr>
      </w:pPr>
      <w:r>
        <w:rPr>
          <w:rFonts w:hint="eastAsia" w:ascii="仿宋" w:hAnsi="仿宋" w:eastAsia="仿宋" w:cs="Times New Roman"/>
          <w:b/>
          <w:color w:val="000000"/>
          <w:sz w:val="32"/>
          <w:szCs w:val="32"/>
        </w:rPr>
        <w:t>社会保障和就业支出</w:t>
      </w:r>
      <w:r>
        <w:rPr>
          <w:rFonts w:hint="eastAsia" w:ascii="仿宋" w:hAnsi="仿宋" w:eastAsia="仿宋"/>
          <w:b/>
          <w:color w:val="000000"/>
          <w:sz w:val="32"/>
          <w:szCs w:val="32"/>
        </w:rPr>
        <w:t>（类）</w:t>
      </w:r>
      <w:r>
        <w:rPr>
          <w:rFonts w:hint="eastAsia" w:ascii="仿宋" w:hAnsi="仿宋" w:eastAsia="仿宋"/>
          <w:b/>
          <w:color w:val="000000"/>
          <w:sz w:val="32"/>
          <w:szCs w:val="32"/>
          <w:lang w:val="en-US" w:eastAsia="zh-CN"/>
        </w:rPr>
        <w:t>抚恤（款）死亡抚恤（项）：</w:t>
      </w:r>
      <w:r>
        <w:rPr>
          <w:rFonts w:hint="eastAsia" w:ascii="仿宋" w:hAnsi="仿宋" w:eastAsia="仿宋"/>
          <w:b w:val="0"/>
          <w:bCs/>
          <w:color w:val="000000"/>
          <w:sz w:val="32"/>
          <w:szCs w:val="32"/>
          <w:lang w:val="en-US" w:eastAsia="zh-CN"/>
        </w:rPr>
        <w:t>25.69万元，占3.04%；</w:t>
      </w:r>
    </w:p>
    <w:p w14:paraId="08AF258A">
      <w:pPr>
        <w:snapToGrid w:val="0"/>
        <w:spacing w:line="520" w:lineRule="exact"/>
        <w:ind w:firstLine="643"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卫生健康支出（类）公共卫生</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）重大公共卫生服务（</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s="Times New Roman"/>
          <w:b w:val="0"/>
          <w:bCs/>
          <w:color w:val="000000"/>
          <w:sz w:val="32"/>
          <w:szCs w:val="32"/>
          <w:lang w:val="en-US" w:eastAsia="zh-CN"/>
        </w:rPr>
        <w:t>7.59</w:t>
      </w:r>
      <w:r>
        <w:rPr>
          <w:rFonts w:hint="eastAsia" w:ascii="仿宋" w:hAnsi="仿宋" w:eastAsia="仿宋"/>
          <w:color w:val="000000"/>
          <w:sz w:val="32"/>
          <w:szCs w:val="32"/>
          <w:lang w:val="en-US" w:eastAsia="zh-CN"/>
        </w:rPr>
        <w:t>万元，占0.9%；</w:t>
      </w:r>
    </w:p>
    <w:p w14:paraId="067441B7">
      <w:pPr>
        <w:snapToGrid w:val="0"/>
        <w:spacing w:line="520" w:lineRule="exact"/>
        <w:ind w:firstLine="643"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卫生健康支出（类）</w:t>
      </w:r>
      <w:r>
        <w:rPr>
          <w:rFonts w:hint="eastAsia" w:ascii="仿宋" w:hAnsi="仿宋" w:eastAsia="仿宋"/>
          <w:b/>
          <w:bCs/>
          <w:color w:val="000000"/>
          <w:sz w:val="32"/>
          <w:szCs w:val="32"/>
          <w:lang w:val="en-US" w:eastAsia="zh-CN"/>
        </w:rPr>
        <w:t>行政事业单位医疗</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lang w:val="en-US" w:eastAsia="zh-CN"/>
        </w:rPr>
        <w:t>款</w:t>
      </w:r>
      <w:r>
        <w:rPr>
          <w:rFonts w:hint="eastAsia" w:ascii="仿宋" w:hAnsi="仿宋" w:eastAsia="仿宋"/>
          <w:b/>
          <w:color w:val="000000"/>
          <w:sz w:val="32"/>
          <w:szCs w:val="32"/>
          <w:lang w:eastAsia="zh-CN"/>
        </w:rPr>
        <w:t>）行政单位医疗（</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olor w:val="000000"/>
          <w:sz w:val="32"/>
          <w:szCs w:val="32"/>
          <w:lang w:val="en-US" w:eastAsia="zh-CN"/>
        </w:rPr>
        <w:t>9.09万元，占1.08%；</w:t>
      </w:r>
    </w:p>
    <w:p w14:paraId="0196FBBC">
      <w:pPr>
        <w:snapToGrid w:val="0"/>
        <w:spacing w:line="520" w:lineRule="exact"/>
        <w:ind w:firstLine="643" w:firstLineChars="200"/>
        <w:rPr>
          <w:rFonts w:hint="eastAsia" w:ascii="仿宋" w:hAnsi="仿宋" w:eastAsia="仿宋"/>
          <w:color w:val="000000"/>
          <w:sz w:val="32"/>
          <w:szCs w:val="32"/>
          <w:lang w:val="en-US" w:eastAsia="zh-CN"/>
        </w:rPr>
      </w:pPr>
      <w:r>
        <w:rPr>
          <w:rFonts w:hint="eastAsia" w:ascii="仿宋" w:hAnsi="仿宋" w:eastAsia="仿宋"/>
          <w:b/>
          <w:color w:val="000000"/>
          <w:sz w:val="32"/>
          <w:szCs w:val="32"/>
        </w:rPr>
        <w:t>卫生健康支出（类）</w:t>
      </w:r>
      <w:r>
        <w:rPr>
          <w:rFonts w:hint="eastAsia" w:ascii="仿宋" w:hAnsi="仿宋" w:eastAsia="仿宋"/>
          <w:b/>
          <w:bCs/>
          <w:color w:val="000000"/>
          <w:sz w:val="32"/>
          <w:szCs w:val="32"/>
          <w:lang w:val="en-US" w:eastAsia="zh-CN"/>
        </w:rPr>
        <w:t>行政事业单位医疗</w:t>
      </w:r>
      <w:r>
        <w:rPr>
          <w:rFonts w:hint="eastAsia" w:ascii="仿宋" w:hAnsi="仿宋" w:eastAsia="仿宋"/>
          <w:b/>
          <w:bCs/>
          <w:color w:val="000000"/>
          <w:sz w:val="32"/>
          <w:szCs w:val="32"/>
          <w:lang w:eastAsia="zh-CN"/>
        </w:rPr>
        <w:t>（</w:t>
      </w:r>
      <w:r>
        <w:rPr>
          <w:rFonts w:hint="eastAsia" w:ascii="仿宋" w:hAnsi="仿宋" w:eastAsia="仿宋"/>
          <w:b/>
          <w:bCs/>
          <w:color w:val="000000"/>
          <w:sz w:val="32"/>
          <w:szCs w:val="32"/>
          <w:lang w:val="en-US" w:eastAsia="zh-CN"/>
        </w:rPr>
        <w:t>款</w:t>
      </w:r>
      <w:r>
        <w:rPr>
          <w:rFonts w:hint="eastAsia" w:ascii="仿宋" w:hAnsi="仿宋" w:eastAsia="仿宋"/>
          <w:b/>
          <w:color w:val="000000"/>
          <w:sz w:val="32"/>
          <w:szCs w:val="32"/>
          <w:lang w:eastAsia="zh-CN"/>
        </w:rPr>
        <w:t>）公务员医疗补助（</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 xml:space="preserve">1.72万元，占0.2%。 </w:t>
      </w:r>
    </w:p>
    <w:p w14:paraId="03462E48">
      <w:pPr>
        <w:spacing w:line="600" w:lineRule="exact"/>
        <w:ind w:firstLine="640"/>
        <w:rPr>
          <w:rFonts w:hint="eastAsia" w:ascii="仿宋" w:hAnsi="仿宋" w:eastAsia="仿宋"/>
          <w:color w:val="000000"/>
          <w:sz w:val="32"/>
          <w:szCs w:val="32"/>
          <w:lang w:eastAsia="zh-CN"/>
        </w:rPr>
      </w:pPr>
      <w:r>
        <w:rPr>
          <w:rFonts w:hint="eastAsia" w:ascii="仿宋" w:hAnsi="仿宋" w:eastAsia="仿宋" w:cs="Times New Roman"/>
          <w:b/>
          <w:bCs/>
          <w:color w:val="000000"/>
          <w:sz w:val="32"/>
          <w:szCs w:val="32"/>
        </w:rPr>
        <w:t>住房保障支出</w:t>
      </w:r>
      <w:r>
        <w:rPr>
          <w:rFonts w:hint="eastAsia" w:ascii="仿宋" w:hAnsi="仿宋" w:eastAsia="仿宋" w:cs="Times New Roman"/>
          <w:b/>
          <w:bCs/>
          <w:color w:val="000000"/>
          <w:sz w:val="32"/>
          <w:szCs w:val="32"/>
          <w:lang w:eastAsia="zh-CN"/>
        </w:rPr>
        <w:t>（</w:t>
      </w:r>
      <w:r>
        <w:rPr>
          <w:rFonts w:hint="eastAsia" w:ascii="仿宋" w:hAnsi="仿宋" w:eastAsia="仿宋" w:cs="Times New Roman"/>
          <w:b/>
          <w:bCs/>
          <w:color w:val="000000"/>
          <w:sz w:val="32"/>
          <w:szCs w:val="32"/>
          <w:lang w:val="en-US" w:eastAsia="zh-CN"/>
        </w:rPr>
        <w:t>类</w:t>
      </w:r>
      <w:r>
        <w:rPr>
          <w:rFonts w:hint="eastAsia" w:ascii="仿宋" w:hAnsi="仿宋" w:eastAsia="仿宋" w:cs="Times New Roman"/>
          <w:b/>
          <w:bCs/>
          <w:color w:val="000000"/>
          <w:sz w:val="32"/>
          <w:szCs w:val="32"/>
          <w:lang w:eastAsia="zh-CN"/>
        </w:rPr>
        <w:t>）住房改革支出</w:t>
      </w:r>
      <w:r>
        <w:rPr>
          <w:rFonts w:hint="eastAsia" w:ascii="仿宋" w:hAnsi="仿宋" w:eastAsia="仿宋"/>
          <w:b/>
          <w:color w:val="000000"/>
          <w:sz w:val="32"/>
          <w:szCs w:val="32"/>
          <w:lang w:eastAsia="zh-CN"/>
        </w:rPr>
        <w:t>（</w:t>
      </w:r>
      <w:r>
        <w:rPr>
          <w:rFonts w:hint="eastAsia" w:ascii="仿宋" w:hAnsi="仿宋" w:eastAsia="仿宋"/>
          <w:b/>
          <w:color w:val="000000"/>
          <w:sz w:val="32"/>
          <w:szCs w:val="32"/>
          <w:lang w:val="en-US" w:eastAsia="zh-CN"/>
        </w:rPr>
        <w:t>款</w:t>
      </w:r>
      <w:r>
        <w:rPr>
          <w:rFonts w:hint="eastAsia" w:ascii="仿宋" w:hAnsi="仿宋" w:eastAsia="仿宋"/>
          <w:b/>
          <w:color w:val="000000"/>
          <w:sz w:val="32"/>
          <w:szCs w:val="32"/>
          <w:lang w:eastAsia="zh-CN"/>
        </w:rPr>
        <w:t>）住房公积金（</w:t>
      </w:r>
      <w:r>
        <w:rPr>
          <w:rFonts w:hint="eastAsia" w:ascii="仿宋" w:hAnsi="仿宋" w:eastAsia="仿宋"/>
          <w:b/>
          <w:color w:val="000000"/>
          <w:sz w:val="32"/>
          <w:szCs w:val="32"/>
          <w:lang w:val="en-US" w:eastAsia="zh-CN"/>
        </w:rPr>
        <w:t>项</w:t>
      </w:r>
      <w:r>
        <w:rPr>
          <w:rFonts w:hint="eastAsia" w:ascii="仿宋" w:hAnsi="仿宋" w:eastAsia="仿宋"/>
          <w:b/>
          <w:color w:val="000000"/>
          <w:sz w:val="32"/>
          <w:szCs w:val="32"/>
          <w:lang w:eastAsia="zh-CN"/>
        </w:rPr>
        <w:t>）</w:t>
      </w:r>
      <w:r>
        <w:rPr>
          <w:rFonts w:hint="eastAsia" w:ascii="仿宋" w:hAnsi="仿宋" w:eastAsia="仿宋" w:cs="Times New Roman"/>
          <w:b/>
          <w:color w:val="000000"/>
          <w:sz w:val="32"/>
          <w:szCs w:val="32"/>
          <w:lang w:eastAsia="zh-CN"/>
        </w:rPr>
        <w:t>：</w:t>
      </w:r>
      <w:r>
        <w:rPr>
          <w:rFonts w:hint="eastAsia" w:ascii="仿宋" w:hAnsi="仿宋" w:eastAsia="仿宋"/>
          <w:color w:val="000000"/>
          <w:sz w:val="32"/>
          <w:szCs w:val="32"/>
          <w:lang w:val="en-US" w:eastAsia="zh-CN"/>
        </w:rPr>
        <w:t>31.71</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3.75</w:t>
      </w:r>
      <w:r>
        <w:rPr>
          <w:rFonts w:ascii="仿宋" w:hAnsi="仿宋" w:eastAsia="仿宋"/>
          <w:color w:val="000000"/>
          <w:sz w:val="32"/>
          <w:szCs w:val="32"/>
        </w:rPr>
        <w:t>%</w:t>
      </w:r>
      <w:r>
        <w:rPr>
          <w:rFonts w:hint="eastAsia" w:ascii="仿宋" w:hAnsi="仿宋" w:eastAsia="仿宋"/>
          <w:color w:val="000000"/>
          <w:sz w:val="32"/>
          <w:szCs w:val="32"/>
          <w:lang w:eastAsia="zh-CN"/>
        </w:rPr>
        <w:t>。</w:t>
      </w:r>
    </w:p>
    <w:p w14:paraId="10E125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EA6662">
      <w:pPr>
        <w:tabs>
          <w:tab w:val="right" w:pos="8306"/>
        </w:tabs>
        <w:spacing w:line="600" w:lineRule="exact"/>
        <w:ind w:firstLine="640"/>
        <w:outlineLvl w:val="1"/>
        <w:rPr>
          <w:rStyle w:val="30"/>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7C31C3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844.59</w:t>
      </w:r>
      <w:r>
        <w:rPr>
          <w:rFonts w:hint="eastAsia" w:ascii="Times New Roman" w:hAnsi="Times New Roman" w:eastAsia="仿宋_GB2312" w:cs="仿宋_GB2312"/>
          <w:color w:val="auto"/>
          <w:kern w:val="2"/>
          <w:sz w:val="32"/>
          <w:szCs w:val="32"/>
          <w:highlight w:val="none"/>
          <w:lang w:val="en-US" w:eastAsia="zh-CN" w:bidi="ar-SA"/>
        </w:rPr>
        <w:t>万元，其中：</w:t>
      </w:r>
    </w:p>
    <w:p w14:paraId="276D06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421.29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35.77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F4EDD3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384D46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F3B4F17">
      <w:pPr>
        <w:spacing w:line="600" w:lineRule="exact"/>
        <w:ind w:firstLine="640"/>
        <w:outlineLvl w:val="1"/>
        <w:rPr>
          <w:rStyle w:val="30"/>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2B56205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19CD832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仿宋_GB2312" w:hAnsi="仿宋" w:eastAsia="仿宋_GB2312" w:cs="仿宋"/>
          <w:color w:val="000000"/>
          <w:sz w:val="32"/>
          <w:szCs w:val="32"/>
        </w:rPr>
        <w:t>“三公”经费支出情况：本年度支出</w:t>
      </w:r>
      <w:r>
        <w:rPr>
          <w:rFonts w:hint="eastAsia" w:ascii="仿宋_GB2312" w:hAnsi="仿宋" w:eastAsia="仿宋_GB2312" w:cs="仿宋"/>
          <w:color w:val="000000"/>
          <w:sz w:val="32"/>
          <w:szCs w:val="32"/>
          <w:lang w:val="en-US" w:eastAsia="zh-CN"/>
        </w:rPr>
        <w:t>14.16</w:t>
      </w:r>
      <w:r>
        <w:rPr>
          <w:rFonts w:hint="eastAsia" w:ascii="仿宋" w:hAnsi="仿宋" w:eastAsia="仿宋" w:cs="Times New Roman"/>
          <w:sz w:val="32"/>
          <w:szCs w:val="32"/>
          <w:lang w:val="en-US" w:eastAsia="zh-CN"/>
        </w:rPr>
        <w:t>万</w:t>
      </w:r>
      <w:r>
        <w:rPr>
          <w:rFonts w:hint="eastAsia" w:ascii="仿宋_GB2312" w:hAnsi="仿宋" w:eastAsia="仿宋_GB2312" w:cs="仿宋"/>
          <w:color w:val="000000"/>
          <w:sz w:val="32"/>
          <w:szCs w:val="32"/>
        </w:rPr>
        <w:t>元</w:t>
      </w:r>
      <w:r>
        <w:rPr>
          <w:rFonts w:hint="eastAsia" w:ascii="仿宋_GB2312" w:hAnsi="仿宋" w:eastAsia="仿宋_GB2312" w:cs="仿宋"/>
          <w:color w:val="000000"/>
          <w:sz w:val="32"/>
          <w:szCs w:val="32"/>
          <w:lang w:eastAsia="zh-CN"/>
        </w:rPr>
        <w:t>，</w:t>
      </w:r>
      <w:r>
        <w:rPr>
          <w:rFonts w:hint="eastAsia" w:ascii="仿宋_GB2312" w:hAnsi="仿宋" w:eastAsia="仿宋_GB2312" w:cs="仿宋"/>
          <w:color w:val="000000"/>
          <w:sz w:val="32"/>
          <w:szCs w:val="32"/>
        </w:rPr>
        <w:t>其中</w:t>
      </w:r>
      <w:r>
        <w:rPr>
          <w:rFonts w:hint="eastAsia" w:ascii="仿宋_GB2312" w:hAnsi="仿宋" w:eastAsia="仿宋_GB2312" w:cs="仿宋"/>
          <w:color w:val="000000"/>
          <w:sz w:val="32"/>
          <w:szCs w:val="32"/>
          <w:lang w:eastAsia="zh-CN"/>
        </w:rPr>
        <w:t>：</w:t>
      </w:r>
      <w:r>
        <w:rPr>
          <w:rFonts w:hint="eastAsia" w:ascii="仿宋_GB2312" w:hAnsi="仿宋" w:eastAsia="仿宋_GB2312" w:cs="仿宋"/>
          <w:color w:val="000000"/>
          <w:sz w:val="32"/>
          <w:szCs w:val="32"/>
        </w:rPr>
        <w:t>公务用车购置及运行维护费为</w:t>
      </w:r>
      <w:r>
        <w:rPr>
          <w:rFonts w:hint="eastAsia" w:ascii="仿宋_GB2312" w:hAnsi="仿宋" w:eastAsia="仿宋_GB2312" w:cs="仿宋"/>
          <w:color w:val="000000"/>
          <w:sz w:val="32"/>
          <w:szCs w:val="32"/>
          <w:lang w:val="en-US" w:eastAsia="zh-CN"/>
        </w:rPr>
        <w:t>14.00</w:t>
      </w:r>
      <w:r>
        <w:rPr>
          <w:rFonts w:hint="eastAsia" w:ascii="仿宋" w:hAnsi="仿宋" w:eastAsia="仿宋" w:cs="Times New Roman"/>
          <w:sz w:val="32"/>
          <w:szCs w:val="32"/>
          <w:lang w:val="en-US" w:eastAsia="zh-CN"/>
        </w:rPr>
        <w:t>万</w:t>
      </w:r>
      <w:r>
        <w:rPr>
          <w:rFonts w:hint="eastAsia" w:ascii="仿宋_GB2312" w:hAnsi="仿宋" w:eastAsia="仿宋_GB2312" w:cs="仿宋"/>
          <w:color w:val="000000"/>
          <w:sz w:val="32"/>
          <w:szCs w:val="32"/>
        </w:rPr>
        <w:t>元，</w:t>
      </w:r>
      <w:r>
        <w:rPr>
          <w:rFonts w:hint="eastAsia" w:ascii="仿宋" w:hAnsi="仿宋" w:eastAsia="仿宋" w:cs="Times New Roman"/>
          <w:sz w:val="32"/>
          <w:szCs w:val="32"/>
          <w:lang w:val="en-US" w:eastAsia="zh-CN"/>
        </w:rPr>
        <w:t>比上年度增加0.01万元。原因是单位本年度下乡业务活动增加，费用增加。</w:t>
      </w:r>
      <w:r>
        <w:rPr>
          <w:rFonts w:hint="eastAsia" w:ascii="仿宋_GB2312" w:hAnsi="仿宋" w:eastAsia="仿宋_GB2312" w:cs="仿宋"/>
          <w:color w:val="000000"/>
          <w:sz w:val="32"/>
          <w:szCs w:val="32"/>
        </w:rPr>
        <w:t>公务用车购置费为</w:t>
      </w:r>
      <w:r>
        <w:rPr>
          <w:rFonts w:hint="eastAsia" w:ascii="仿宋_GB2312" w:hAnsi="仿宋" w:eastAsia="仿宋_GB2312" w:cs="仿宋"/>
          <w:color w:val="000000"/>
          <w:sz w:val="32"/>
          <w:szCs w:val="32"/>
          <w:lang w:val="en-US" w:eastAsia="zh-CN"/>
        </w:rPr>
        <w:t>0.00</w:t>
      </w:r>
      <w:r>
        <w:rPr>
          <w:rFonts w:hint="eastAsia" w:ascii="仿宋" w:hAnsi="仿宋" w:eastAsia="仿宋" w:cs="Times New Roman"/>
          <w:sz w:val="32"/>
          <w:szCs w:val="32"/>
          <w:lang w:val="en-US" w:eastAsia="zh-CN"/>
        </w:rPr>
        <w:t>万</w:t>
      </w:r>
      <w:r>
        <w:rPr>
          <w:rFonts w:hint="eastAsia" w:ascii="仿宋_GB2312" w:hAnsi="仿宋" w:eastAsia="仿宋_GB2312" w:cs="仿宋"/>
          <w:color w:val="000000"/>
          <w:sz w:val="32"/>
          <w:szCs w:val="32"/>
        </w:rPr>
        <w:t>元，</w:t>
      </w:r>
      <w:r>
        <w:rPr>
          <w:rFonts w:hint="eastAsia" w:ascii="仿宋" w:hAnsi="仿宋" w:eastAsia="仿宋" w:cs="Times New Roman"/>
          <w:sz w:val="32"/>
          <w:szCs w:val="32"/>
          <w:lang w:val="en-US" w:eastAsia="zh-CN"/>
        </w:rPr>
        <w:t>比上年度减少0.00万元。本年度公务接待费0.16万元，比上年度的0.1万元增加0.06万元，本年度接待次数增加，支出随之增加。</w:t>
      </w:r>
    </w:p>
    <w:p w14:paraId="743ED72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788F9B66">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eastAsia="仿宋_GB2312" w:cs="仿宋_GB2312"/>
          <w:color w:val="auto"/>
          <w:kern w:val="2"/>
          <w:sz w:val="32"/>
          <w:szCs w:val="32"/>
          <w:highlight w:val="none"/>
          <w:lang w:val="en-US" w:eastAsia="zh-CN" w:bidi="ar-SA"/>
        </w:rPr>
        <w:t>14.00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98.87</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1.13</w:t>
      </w:r>
      <w:r>
        <w:rPr>
          <w:rFonts w:hint="eastAsia" w:ascii="Times New Roman" w:hAnsi="Times New Roman" w:eastAsia="仿宋_GB2312" w:cs="仿宋_GB2312"/>
          <w:color w:val="auto"/>
          <w:kern w:val="2"/>
          <w:sz w:val="32"/>
          <w:szCs w:val="32"/>
          <w:highlight w:val="none"/>
          <w:lang w:val="en-US" w:eastAsia="zh-CN" w:bidi="ar-SA"/>
        </w:rPr>
        <w:t>%。具体情况如下：</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5274310" cy="2792095"/>
            <wp:effectExtent l="0" t="0" r="2540" b="8255"/>
            <wp:docPr id="11" name="图片 11" descr="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666"/>
                    <pic:cNvPicPr>
                      <a:picLocks noChangeAspect="1"/>
                    </pic:cNvPicPr>
                  </pic:nvPicPr>
                  <pic:blipFill>
                    <a:blip r:embed="rId13"/>
                    <a:stretch>
                      <a:fillRect/>
                    </a:stretch>
                  </pic:blipFill>
                  <pic:spPr>
                    <a:xfrm>
                      <a:off x="0" y="0"/>
                      <a:ext cx="5274310" cy="2792095"/>
                    </a:xfrm>
                    <a:prstGeom prst="rect">
                      <a:avLst/>
                    </a:prstGeom>
                  </pic:spPr>
                </pic:pic>
              </a:graphicData>
            </a:graphic>
          </wp:inline>
        </w:drawing>
      </w:r>
    </w:p>
    <w:p w14:paraId="33CEC71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1FE9E7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14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0.01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0.07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s="Times New Roman"/>
          <w:sz w:val="32"/>
          <w:szCs w:val="32"/>
          <w:lang w:val="en-US" w:eastAsia="zh-CN"/>
        </w:rPr>
        <w:t>单位本年度下乡业务活动增加，费用增加。</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p>
    <w:p w14:paraId="1CD8AD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eastAsia="仿宋_GB2312" w:cs="仿宋_GB2312"/>
          <w:b/>
          <w:bCs/>
          <w:color w:val="auto"/>
          <w:kern w:val="2"/>
          <w:sz w:val="32"/>
          <w:szCs w:val="32"/>
          <w:highlight w:val="none"/>
          <w:lang w:val="en-US" w:eastAsia="zh-CN" w:bidi="ar-SA"/>
        </w:rPr>
        <w:t>0.16</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s="Times New Roman"/>
          <w:sz w:val="32"/>
          <w:szCs w:val="32"/>
          <w:lang w:val="en-US" w:eastAsia="zh-CN"/>
        </w:rPr>
        <w:t>本年接待次数增加，支出随之增加。</w:t>
      </w:r>
    </w:p>
    <w:p w14:paraId="747F73F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4" w:name="_Toc15377218"/>
      <w:bookmarkStart w:id="35" w:name="_Toc15396610"/>
    </w:p>
    <w:p w14:paraId="7D67099C">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0A61D72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5C128C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C420E4F">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77219"/>
      <w:bookmarkStart w:id="37"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63C446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B4B286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8936F9C">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96612"/>
      <w:bookmarkStart w:id="39" w:name="_Toc15377221"/>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76FB81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06D846CB">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中共壤塘县委宣传部</w:t>
      </w:r>
      <w:r>
        <w:rPr>
          <w:rFonts w:hint="eastAsia" w:ascii="Times New Roman" w:hAnsi="Times New Roman" w:eastAsia="仿宋_GB2312" w:cs="仿宋_GB2312"/>
          <w:color w:val="auto"/>
          <w:kern w:val="2"/>
          <w:sz w:val="32"/>
          <w:szCs w:val="32"/>
          <w:highlight w:val="none"/>
          <w:lang w:val="en-US" w:eastAsia="zh-CN" w:bidi="ar-SA"/>
        </w:rPr>
        <w:t>机关运行经费支出169.03万元，比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6.39</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3.93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color w:val="000000"/>
          <w:sz w:val="32"/>
          <w:szCs w:val="32"/>
          <w:lang w:val="en-US" w:eastAsia="zh-CN"/>
        </w:rPr>
        <w:t>本年单位人员减少，收入与支出随之减少。</w:t>
      </w:r>
    </w:p>
    <w:p w14:paraId="3E7167F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7C9E55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4D1C9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797B6E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741944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中共壤塘县委宣传部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5E314CB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7AEED0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DE1BB5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000000"/>
          <w:sz w:val="32"/>
          <w:szCs w:val="32"/>
        </w:rPr>
        <w:t>单位进一步提高预算绩效管理认识，强化</w:t>
      </w:r>
      <w:r>
        <w:rPr>
          <w:rFonts w:hint="eastAsia" w:ascii="仿宋" w:hAnsi="仿宋" w:eastAsia="仿宋" w:cs="仿宋"/>
          <w:color w:val="000000"/>
          <w:sz w:val="32"/>
          <w:szCs w:val="32"/>
          <w:lang w:eastAsia="zh-CN"/>
        </w:rPr>
        <w:t>“以</w:t>
      </w:r>
      <w:r>
        <w:rPr>
          <w:rFonts w:hint="eastAsia" w:ascii="仿宋" w:hAnsi="仿宋" w:eastAsia="仿宋" w:cs="仿宋"/>
          <w:color w:val="000000"/>
          <w:sz w:val="32"/>
          <w:szCs w:val="32"/>
        </w:rPr>
        <w:t>绩效为中心、对支出结果负责、对社会公众负责”的理念，在绩效目标编制方面，针对绩效目标设置指向不清、预算和目标匹配不足</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数量目标和质量目标量化不细</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效益目标编制不完整等</w:t>
      </w:r>
      <w:r>
        <w:rPr>
          <w:rFonts w:hint="eastAsia" w:ascii="仿宋" w:hAnsi="仿宋" w:eastAsia="仿宋" w:cs="仿宋"/>
          <w:color w:val="000000"/>
          <w:sz w:val="32"/>
          <w:szCs w:val="32"/>
          <w:lang w:eastAsia="zh-CN"/>
        </w:rPr>
        <w:t>问题</w:t>
      </w:r>
      <w:r>
        <w:rPr>
          <w:rFonts w:hint="eastAsia" w:ascii="仿宋" w:hAnsi="仿宋" w:eastAsia="仿宋" w:cs="仿宋"/>
          <w:color w:val="000000"/>
          <w:sz w:val="32"/>
          <w:szCs w:val="32"/>
        </w:rPr>
        <w:t>加以了改善。加强预算绩效动态监控管理，及时跟踪项目进度，对项目实施中存在的具体问题采取纠偏措施。加强相关专业技术人员的业务培训，进一步提高预算绩效评价质量。目前单位绩效评价结果还停留在反映情况、找问题、提建议层面，评价结果和预算安排有机结合的机制尚未真正建立。</w:t>
      </w:r>
    </w:p>
    <w:p w14:paraId="04204CDB">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2B993A5C">
      <w:pPr>
        <w:spacing w:line="600" w:lineRule="exact"/>
        <w:jc w:val="left"/>
        <w:rPr>
          <w:rFonts w:ascii="Times New Roman" w:hAnsi="Times New Roman"/>
          <w:b/>
          <w:color w:val="auto"/>
          <w:sz w:val="44"/>
          <w:szCs w:val="44"/>
          <w:highlight w:val="none"/>
        </w:rPr>
      </w:pPr>
    </w:p>
    <w:p w14:paraId="7A73C1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77E8CA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0B8649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080AF5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14:paraId="69944C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5AF43C2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5AFD00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26FBD0B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2CD0F887">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9.一般公共服务支出（类）宣传事务（款）行政运行（项）：指行政运行费。</w:t>
      </w:r>
    </w:p>
    <w:p w14:paraId="629B69AC">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10.一般公共服务支出（类）宣传事务（款）一般行政管理事务（项）：指行政管理费。</w:t>
      </w:r>
    </w:p>
    <w:p w14:paraId="0A7B33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11.一般公共服务支出（类）宣传事务（款）宣传管理（项）：指宣传管理费。</w:t>
      </w:r>
    </w:p>
    <w:p w14:paraId="023068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12.一般公共服务支出（类）宣传事务（款）其他宣传事务支出（项）：指其他宣传事务费。</w:t>
      </w:r>
    </w:p>
    <w:p w14:paraId="750AF3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13.文化旅游体育与传媒支出（类）其他文化旅游体育与传媒支出（款）其他文化旅游体育与传媒支出（项）：指文化旅游体育与传媒费。</w:t>
      </w:r>
    </w:p>
    <w:p w14:paraId="583F1C5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14.社会保障和就业支出（类）行政事业单位养老支出（款）机关事业单位基本养老保险缴费支出（项）：指机关事业单位基本养老保险缴费。</w:t>
      </w:r>
    </w:p>
    <w:p w14:paraId="369027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15.社会保障和就业支出（类）行政事业单位养老支出（款）机关事业单位职业年金缴费支出（项）：指机关事业单位职业年金缴费。</w:t>
      </w:r>
    </w:p>
    <w:p w14:paraId="698EE6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16.社会保障和就业支出（类）抚恤（款）死亡抚恤（项）：指死亡抚恤费。</w:t>
      </w:r>
    </w:p>
    <w:p w14:paraId="3B476B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17.卫生健康支出（类）公共卫生（款）重大公共卫生服务（项）：指重大公共卫生服务费。</w:t>
      </w:r>
    </w:p>
    <w:p w14:paraId="72B47B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18.卫生健康支出（类）行政事业单位医疗（款）行政单位医疗（项）：指行政事业单位医疗费。</w:t>
      </w:r>
    </w:p>
    <w:p w14:paraId="7E88D63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19.卫生健康支出（类）行政事业单位医疗（款）公务员医疗补助（项）：指行政事业单位公务员医疗补助。 </w:t>
      </w:r>
    </w:p>
    <w:p w14:paraId="32DD03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20.住房保障支出（类）住房改革支出（款）住房公积金（项）：指行政事业单位住房公积金。</w:t>
      </w:r>
    </w:p>
    <w:p w14:paraId="0E8F9E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5E4CE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3C7785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576F44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C1049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06C556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4694FF0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8"/>
    </w:p>
    <w:p w14:paraId="30824C2D">
      <w:pPr>
        <w:widowControl/>
        <w:jc w:val="both"/>
        <w:rPr>
          <w:rFonts w:hint="eastAsia" w:ascii="Times New Roman" w:hAnsi="Times New Roman" w:eastAsia="仿宋"/>
          <w:b w:val="0"/>
          <w:color w:val="auto"/>
          <w:highlight w:val="none"/>
        </w:rPr>
      </w:pPr>
      <w:bookmarkStart w:id="60" w:name="_GoBack"/>
      <w:bookmarkEnd w:id="60"/>
      <w:r>
        <w:rPr>
          <w:rStyle w:val="29"/>
          <w:rFonts w:hint="eastAsia" w:ascii="Times New Roman" w:hAnsi="Times New Roman" w:eastAsia="黑体"/>
          <w:b w:val="0"/>
          <w:color w:val="auto"/>
          <w:highlight w:val="none"/>
        </w:rPr>
        <w:t xml:space="preserve"> 附表</w:t>
      </w:r>
      <w:bookmarkEnd w:id="45"/>
      <w:bookmarkEnd w:id="46"/>
      <w:bookmarkStart w:id="47" w:name="_Toc15396619"/>
    </w:p>
    <w:p w14:paraId="7EECF6E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AEBAF4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7"/>
    </w:p>
    <w:p w14:paraId="61C5C22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0"/>
      <w:r>
        <w:rPr>
          <w:rFonts w:hint="eastAsia" w:ascii="Times New Roman" w:hAnsi="Times New Roman" w:eastAsia="仿宋_GB2312" w:cs="仿宋_GB2312"/>
          <w:color w:val="auto"/>
          <w:sz w:val="32"/>
          <w:szCs w:val="32"/>
          <w:highlight w:val="none"/>
        </w:rPr>
        <w:t>二、收入决算表</w:t>
      </w:r>
      <w:bookmarkEnd w:id="48"/>
    </w:p>
    <w:p w14:paraId="4B9C635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1"/>
      <w:r>
        <w:rPr>
          <w:rFonts w:hint="eastAsia" w:ascii="Times New Roman" w:hAnsi="Times New Roman" w:eastAsia="仿宋_GB2312" w:cs="仿宋_GB2312"/>
          <w:color w:val="auto"/>
          <w:sz w:val="32"/>
          <w:szCs w:val="32"/>
          <w:highlight w:val="none"/>
        </w:rPr>
        <w:t>三、支出决算表</w:t>
      </w:r>
      <w:bookmarkEnd w:id="49"/>
    </w:p>
    <w:p w14:paraId="0F03CD7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2"/>
      <w:r>
        <w:rPr>
          <w:rFonts w:hint="eastAsia" w:ascii="Times New Roman" w:hAnsi="Times New Roman" w:eastAsia="仿宋_GB2312" w:cs="仿宋_GB2312"/>
          <w:color w:val="auto"/>
          <w:sz w:val="32"/>
          <w:szCs w:val="32"/>
          <w:highlight w:val="none"/>
        </w:rPr>
        <w:t>四、财政拨款收入支出决算总表</w:t>
      </w:r>
      <w:bookmarkEnd w:id="50"/>
    </w:p>
    <w:p w14:paraId="4D287B2A">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3"/>
      <w:r>
        <w:rPr>
          <w:rFonts w:hint="eastAsia" w:ascii="Times New Roman" w:hAnsi="Times New Roman" w:eastAsia="仿宋_GB2312" w:cs="仿宋_GB2312"/>
          <w:color w:val="auto"/>
          <w:sz w:val="32"/>
          <w:szCs w:val="32"/>
          <w:highlight w:val="none"/>
        </w:rPr>
        <w:t>五、财政拨款支出决算明细表</w:t>
      </w:r>
      <w:bookmarkEnd w:id="51"/>
      <w:bookmarkStart w:id="52" w:name="_Toc15396624"/>
    </w:p>
    <w:p w14:paraId="568B71A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2"/>
    </w:p>
    <w:p w14:paraId="118A16E2">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5"/>
      <w:r>
        <w:rPr>
          <w:rFonts w:hint="eastAsia" w:ascii="Times New Roman" w:hAnsi="Times New Roman" w:eastAsia="仿宋_GB2312" w:cs="仿宋_GB2312"/>
          <w:color w:val="auto"/>
          <w:sz w:val="32"/>
          <w:szCs w:val="32"/>
          <w:highlight w:val="none"/>
        </w:rPr>
        <w:t>七、一般公共预算财政拨款支出决算明细表</w:t>
      </w:r>
      <w:bookmarkEnd w:id="53"/>
    </w:p>
    <w:p w14:paraId="63FB5E1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6"/>
      <w:r>
        <w:rPr>
          <w:rFonts w:hint="eastAsia" w:ascii="Times New Roman" w:hAnsi="Times New Roman" w:eastAsia="仿宋_GB2312" w:cs="仿宋_GB2312"/>
          <w:color w:val="auto"/>
          <w:sz w:val="32"/>
          <w:szCs w:val="32"/>
          <w:highlight w:val="none"/>
        </w:rPr>
        <w:t>八、一般公共预算财政拨款基本支出决算表</w:t>
      </w:r>
      <w:bookmarkEnd w:id="54"/>
    </w:p>
    <w:p w14:paraId="43F1FF3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7"/>
      <w:r>
        <w:rPr>
          <w:rFonts w:hint="eastAsia" w:ascii="Times New Roman" w:hAnsi="Times New Roman" w:eastAsia="仿宋_GB2312" w:cs="仿宋_GB2312"/>
          <w:color w:val="auto"/>
          <w:sz w:val="32"/>
          <w:szCs w:val="32"/>
          <w:highlight w:val="none"/>
        </w:rPr>
        <w:t>九、一般公共预算财政拨款项目支出决算表</w:t>
      </w:r>
      <w:bookmarkEnd w:id="55"/>
    </w:p>
    <w:p w14:paraId="4E95538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8"/>
      <w:r>
        <w:rPr>
          <w:rFonts w:hint="eastAsia" w:ascii="Times New Roman" w:hAnsi="Times New Roman" w:eastAsia="仿宋_GB2312" w:cs="仿宋_GB2312"/>
          <w:color w:val="auto"/>
          <w:sz w:val="32"/>
          <w:szCs w:val="32"/>
          <w:highlight w:val="none"/>
        </w:rPr>
        <w:t>十、</w:t>
      </w:r>
      <w:bookmarkEnd w:id="56"/>
      <w:r>
        <w:rPr>
          <w:rFonts w:hint="eastAsia" w:ascii="Times New Roman" w:hAnsi="Times New Roman" w:eastAsia="仿宋_GB2312" w:cs="仿宋_GB2312"/>
          <w:color w:val="auto"/>
          <w:sz w:val="32"/>
          <w:szCs w:val="32"/>
          <w:highlight w:val="none"/>
        </w:rPr>
        <w:t>政府性基金预算财政拨款收入支出决算表</w:t>
      </w:r>
    </w:p>
    <w:p w14:paraId="3708DCA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9"/>
      <w:r>
        <w:rPr>
          <w:rFonts w:hint="eastAsia" w:ascii="Times New Roman" w:hAnsi="Times New Roman" w:eastAsia="仿宋_GB2312" w:cs="仿宋_GB2312"/>
          <w:color w:val="auto"/>
          <w:sz w:val="32"/>
          <w:szCs w:val="32"/>
          <w:highlight w:val="none"/>
        </w:rPr>
        <w:t>十一、</w:t>
      </w:r>
      <w:bookmarkEnd w:id="57"/>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99CF11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30"/>
      <w:r>
        <w:rPr>
          <w:rFonts w:hint="eastAsia" w:ascii="Times New Roman" w:hAnsi="Times New Roman" w:eastAsia="仿宋_GB2312" w:cs="仿宋_GB2312"/>
          <w:color w:val="auto"/>
          <w:sz w:val="32"/>
          <w:szCs w:val="32"/>
          <w:highlight w:val="none"/>
        </w:rPr>
        <w:t>十二、</w:t>
      </w:r>
      <w:bookmarkEnd w:id="58"/>
      <w:r>
        <w:rPr>
          <w:rFonts w:hint="eastAsia" w:ascii="Times New Roman" w:hAnsi="Times New Roman" w:eastAsia="仿宋_GB2312" w:cs="仿宋_GB2312"/>
          <w:color w:val="auto"/>
          <w:sz w:val="32"/>
          <w:szCs w:val="32"/>
          <w:highlight w:val="none"/>
          <w:lang w:eastAsia="zh-CN"/>
        </w:rPr>
        <w:t>国有资本经营预算财政拨款支出决算表</w:t>
      </w:r>
    </w:p>
    <w:p w14:paraId="37F0E49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9" w:name="_Toc15396631"/>
      <w:r>
        <w:rPr>
          <w:rFonts w:hint="eastAsia" w:ascii="Times New Roman" w:hAnsi="Times New Roman" w:eastAsia="仿宋_GB2312" w:cs="仿宋_GB2312"/>
          <w:color w:val="auto"/>
          <w:sz w:val="32"/>
          <w:szCs w:val="32"/>
          <w:highlight w:val="none"/>
        </w:rPr>
        <w:t>十三、</w:t>
      </w:r>
      <w:bookmarkEnd w:id="59"/>
      <w:r>
        <w:rPr>
          <w:rFonts w:hint="eastAsia" w:ascii="Times New Roman" w:hAnsi="Times New Roman" w:eastAsia="仿宋_GB2312" w:cs="仿宋_GB2312"/>
          <w:color w:val="auto"/>
          <w:sz w:val="32"/>
          <w:szCs w:val="32"/>
          <w:highlight w:val="none"/>
          <w:lang w:eastAsia="zh-CN"/>
        </w:rPr>
        <w:t>财政拨款“三公”经费支出决算表</w:t>
      </w:r>
    </w:p>
    <w:p w14:paraId="0B5220CF">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213BE">
    <w:pPr>
      <w:pStyle w:val="11"/>
      <w:jc w:val="center"/>
    </w:pPr>
  </w:p>
  <w:p w14:paraId="2B9D44B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34293">
    <w:pPr>
      <w:pStyle w:val="11"/>
      <w:jc w:val="center"/>
    </w:pPr>
  </w:p>
  <w:p w14:paraId="4C7D2B5C">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D72B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34CA9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934CA9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4E8A0">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CBE443"/>
    <w:multiLevelType w:val="singleLevel"/>
    <w:tmpl w:val="32CBE44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AE6343"/>
    <w:rsid w:val="08DB07E4"/>
    <w:rsid w:val="09867E8F"/>
    <w:rsid w:val="0A2032A3"/>
    <w:rsid w:val="0ABC7388"/>
    <w:rsid w:val="0C6C4794"/>
    <w:rsid w:val="0CA8290A"/>
    <w:rsid w:val="0D35B1ED"/>
    <w:rsid w:val="0DE07E2B"/>
    <w:rsid w:val="0F98263C"/>
    <w:rsid w:val="101860EC"/>
    <w:rsid w:val="10C055FF"/>
    <w:rsid w:val="11772AA4"/>
    <w:rsid w:val="118107EC"/>
    <w:rsid w:val="11F36B75"/>
    <w:rsid w:val="12070D49"/>
    <w:rsid w:val="13D50BC4"/>
    <w:rsid w:val="14022904"/>
    <w:rsid w:val="152F2A07"/>
    <w:rsid w:val="165E0673"/>
    <w:rsid w:val="16BB723D"/>
    <w:rsid w:val="186504BB"/>
    <w:rsid w:val="1938089F"/>
    <w:rsid w:val="19A445FC"/>
    <w:rsid w:val="1B7D550C"/>
    <w:rsid w:val="1BE8440E"/>
    <w:rsid w:val="1D155CEE"/>
    <w:rsid w:val="1E740ACF"/>
    <w:rsid w:val="1F9D54C9"/>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024E86"/>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780EEC"/>
    <w:rsid w:val="3D98207C"/>
    <w:rsid w:val="3D9B0D99"/>
    <w:rsid w:val="3DEE7CF3"/>
    <w:rsid w:val="3DF02244"/>
    <w:rsid w:val="3DF97B88"/>
    <w:rsid w:val="3E78745D"/>
    <w:rsid w:val="3FF4CAE0"/>
    <w:rsid w:val="3FF7B227"/>
    <w:rsid w:val="40E54C45"/>
    <w:rsid w:val="42DF267A"/>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717F8B"/>
    <w:rsid w:val="56E47B74"/>
    <w:rsid w:val="57BD3DD4"/>
    <w:rsid w:val="592105A7"/>
    <w:rsid w:val="5AF92295"/>
    <w:rsid w:val="5BDD79E6"/>
    <w:rsid w:val="5BF561CA"/>
    <w:rsid w:val="5BFF5DFC"/>
    <w:rsid w:val="5CD71FC4"/>
    <w:rsid w:val="5D1F11B5"/>
    <w:rsid w:val="5DAE1B18"/>
    <w:rsid w:val="5DE7D9E5"/>
    <w:rsid w:val="5E59680F"/>
    <w:rsid w:val="5ECEC941"/>
    <w:rsid w:val="5F493CB7"/>
    <w:rsid w:val="5FBF9FF3"/>
    <w:rsid w:val="5FCD4E2C"/>
    <w:rsid w:val="5FD15F49"/>
    <w:rsid w:val="5FEF394A"/>
    <w:rsid w:val="5FF67715"/>
    <w:rsid w:val="62BF3928"/>
    <w:rsid w:val="647F5392"/>
    <w:rsid w:val="664B1D71"/>
    <w:rsid w:val="67AA3209"/>
    <w:rsid w:val="681C4F0D"/>
    <w:rsid w:val="69046D0F"/>
    <w:rsid w:val="698D0931"/>
    <w:rsid w:val="69FC6BBC"/>
    <w:rsid w:val="6A993CED"/>
    <w:rsid w:val="6B053271"/>
    <w:rsid w:val="6BCE6674"/>
    <w:rsid w:val="6C4A05C8"/>
    <w:rsid w:val="6C8742B8"/>
    <w:rsid w:val="6C8A170F"/>
    <w:rsid w:val="6CB54609"/>
    <w:rsid w:val="6D3A657B"/>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NormalCharacter"/>
    <w:semiHidden/>
    <w:qFormat/>
    <w:uiPriority w:val="0"/>
    <w:rPr>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20</Pages>
  <Words>7426</Words>
  <Characters>7968</Characters>
  <Lines>61</Lines>
  <Paragraphs>17</Paragraphs>
  <TotalTime>32</TotalTime>
  <ScaleCrop>false</ScaleCrop>
  <LinksUpToDate>false</LinksUpToDate>
  <CharactersWithSpaces>7996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星月</cp:lastModifiedBy>
  <cp:lastPrinted>2026-08-03T09:27:00Z</cp:lastPrinted>
  <dcterms:modified xsi:type="dcterms:W3CDTF">2026-10-26T03:06:58Z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9C20405CF3C44461A8C3AE6B975882EC_13</vt:lpwstr>
  </property>
  <property fmtid="{D5CDD505-2E9C-101B-9397-08002B2CF9AE}" pid="4" name="KSOTemplateDocerSaveRecord">
    <vt:lpwstr>eyJoZGlkIjoiZmI2MWE5OTEzOTUxYzhiMThkNmU4Y2JjOWU1NjhjN2IiLCJ1c2VySWQiOiIyMDg2NzkyNjgifQ==</vt:lpwstr>
  </property>
</Properties>
</file>