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Override PartName="/word/theme/themeOverride5.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77EF3">
      <w:pPr>
        <w:spacing w:line="600" w:lineRule="exact"/>
        <w:jc w:val="center"/>
        <w:rPr>
          <w:rFonts w:ascii="方正小标宋简体" w:hAnsi="宋体" w:eastAsia="方正小标宋简体"/>
          <w:sz w:val="72"/>
          <w:szCs w:val="72"/>
        </w:rPr>
      </w:pPr>
      <w:bookmarkStart w:id="0" w:name="_Toc15378441"/>
      <w:bookmarkStart w:id="1" w:name="_Toc15396475"/>
      <w:bookmarkStart w:id="2" w:name="_Toc15377425"/>
      <w:bookmarkStart w:id="3" w:name="_Toc15377193"/>
      <w:bookmarkStart w:id="4" w:name="_Toc15396597"/>
      <w:bookmarkStart w:id="5" w:name="_Toc15306267"/>
    </w:p>
    <w:p w14:paraId="5B38829F">
      <w:pPr>
        <w:spacing w:line="600" w:lineRule="exact"/>
        <w:jc w:val="center"/>
        <w:rPr>
          <w:rFonts w:eastAsia="方正小标宋简体"/>
          <w:sz w:val="72"/>
          <w:szCs w:val="72"/>
        </w:rPr>
      </w:pPr>
    </w:p>
    <w:p w14:paraId="18E32AE5">
      <w:pPr>
        <w:spacing w:line="600" w:lineRule="exact"/>
        <w:jc w:val="center"/>
        <w:rPr>
          <w:rFonts w:eastAsia="方正小标宋简体"/>
          <w:sz w:val="72"/>
          <w:szCs w:val="72"/>
        </w:rPr>
      </w:pPr>
    </w:p>
    <w:p w14:paraId="744F01A7">
      <w:pPr>
        <w:spacing w:line="600" w:lineRule="exact"/>
        <w:jc w:val="center"/>
        <w:rPr>
          <w:rFonts w:eastAsia="方正小标宋简体"/>
          <w:sz w:val="72"/>
          <w:szCs w:val="72"/>
        </w:rPr>
      </w:pPr>
    </w:p>
    <w:bookmarkEnd w:id="0"/>
    <w:bookmarkEnd w:id="1"/>
    <w:bookmarkEnd w:id="2"/>
    <w:bookmarkEnd w:id="3"/>
    <w:bookmarkEnd w:id="4"/>
    <w:p w14:paraId="4A2F3186">
      <w:pPr>
        <w:adjustRightInd w:val="0"/>
        <w:snapToGrid w:val="0"/>
        <w:spacing w:line="360" w:lineRule="auto"/>
        <w:jc w:val="center"/>
        <w:rPr>
          <w:rFonts w:eastAsia="方正小标宋_GBK"/>
          <w:b/>
          <w:bCs/>
          <w:sz w:val="52"/>
          <w:szCs w:val="52"/>
        </w:rPr>
      </w:pPr>
      <w:r>
        <w:rPr>
          <w:rFonts w:hint="eastAsia" w:eastAsia="方正小标宋_GBK"/>
          <w:b/>
          <w:bCs/>
          <w:sz w:val="52"/>
          <w:szCs w:val="52"/>
        </w:rPr>
        <w:t>2025</w:t>
      </w:r>
      <w:r>
        <w:rPr>
          <w:rFonts w:eastAsia="方正小标宋_GBK"/>
          <w:b/>
          <w:bCs/>
          <w:sz w:val="52"/>
          <w:szCs w:val="52"/>
        </w:rPr>
        <w:t>年度</w:t>
      </w:r>
    </w:p>
    <w:bookmarkEnd w:id="5"/>
    <w:p w14:paraId="469B5790">
      <w:pPr>
        <w:adjustRightInd w:val="0"/>
        <w:snapToGrid w:val="0"/>
        <w:spacing w:line="360" w:lineRule="auto"/>
        <w:jc w:val="center"/>
        <w:outlineLvl w:val="0"/>
        <w:rPr>
          <w:rFonts w:eastAsia="方正小标宋_GBK"/>
          <w:b/>
          <w:bCs/>
          <w:sz w:val="52"/>
          <w:szCs w:val="52"/>
        </w:rPr>
      </w:pPr>
      <w:bookmarkStart w:id="6" w:name="_Toc10976"/>
      <w:bookmarkStart w:id="7" w:name="_Toc31164"/>
      <w:bookmarkStart w:id="8" w:name="_Toc15396598"/>
      <w:bookmarkStart w:id="9" w:name="_Toc15377426"/>
      <w:bookmarkStart w:id="10" w:name="_Toc15377194"/>
      <w:bookmarkStart w:id="11" w:name="_Toc15396476"/>
      <w:bookmarkStart w:id="12" w:name="_Toc15378442"/>
      <w:bookmarkStart w:id="13" w:name="_Toc15306268"/>
      <w:r>
        <w:rPr>
          <w:rFonts w:eastAsia="方正小标宋_GBK"/>
          <w:b/>
          <w:bCs/>
          <w:sz w:val="52"/>
          <w:szCs w:val="52"/>
        </w:rPr>
        <w:t>中共阿坝州壤塘县委员会组织部</w:t>
      </w:r>
      <w:bookmarkEnd w:id="6"/>
      <w:bookmarkEnd w:id="7"/>
    </w:p>
    <w:p w14:paraId="71827F15">
      <w:pPr>
        <w:adjustRightInd w:val="0"/>
        <w:snapToGrid w:val="0"/>
        <w:spacing w:line="360" w:lineRule="auto"/>
        <w:jc w:val="center"/>
        <w:rPr>
          <w:rFonts w:eastAsia="方正小标宋_GBK"/>
          <w:b/>
          <w:bCs/>
          <w:sz w:val="52"/>
          <w:szCs w:val="52"/>
        </w:rPr>
      </w:pPr>
      <w:r>
        <w:rPr>
          <w:rFonts w:eastAsia="方正小标宋_GBK"/>
          <w:b/>
          <w:bCs/>
          <w:sz w:val="52"/>
          <w:szCs w:val="52"/>
        </w:rPr>
        <w:t>部门决算</w:t>
      </w:r>
      <w:bookmarkEnd w:id="8"/>
      <w:bookmarkEnd w:id="9"/>
      <w:bookmarkEnd w:id="10"/>
      <w:bookmarkEnd w:id="11"/>
      <w:bookmarkEnd w:id="12"/>
      <w:bookmarkEnd w:id="13"/>
    </w:p>
    <w:p w14:paraId="6C4CD22C">
      <w:pPr>
        <w:pStyle w:val="15"/>
        <w:rPr>
          <w:rFonts w:ascii="Times New Roman" w:hAnsi="Times New Roman" w:eastAsia="方正小标宋简体"/>
          <w:sz w:val="36"/>
          <w:szCs w:val="36"/>
        </w:rPr>
      </w:pPr>
      <w:r>
        <w:rPr>
          <w:rFonts w:ascii="Times New Roman" w:hAnsi="Times New Roman" w:eastAsia="方正小标宋简体"/>
          <w:sz w:val="36"/>
          <w:szCs w:val="36"/>
        </w:rPr>
        <w:br w:type="page"/>
      </w:r>
    </w:p>
    <w:p w14:paraId="4A450764">
      <w:pPr>
        <w:jc w:val="left"/>
      </w:pPr>
    </w:p>
    <w:sdt>
      <w:sdtPr>
        <w:rPr>
          <w:rFonts w:ascii="宋体" w:hAnsi="宋体"/>
          <w:sz w:val="44"/>
          <w:szCs w:val="52"/>
        </w:rPr>
        <w:id w:val="147460818"/>
        <w:docPartObj>
          <w:docPartGallery w:val="Table of Contents"/>
          <w:docPartUnique/>
        </w:docPartObj>
      </w:sdtPr>
      <w:sdtEndPr>
        <w:rPr>
          <w:rFonts w:ascii="宋体" w:hAnsi="宋体"/>
          <w:b/>
          <w:sz w:val="44"/>
          <w:szCs w:val="52"/>
        </w:rPr>
      </w:sdtEndPr>
      <w:sdtContent>
        <w:p w14:paraId="51C37AF3">
          <w:pPr>
            <w:jc w:val="center"/>
            <w:rPr>
              <w:sz w:val="44"/>
              <w:szCs w:val="52"/>
            </w:rPr>
          </w:pPr>
          <w:bookmarkStart w:id="14" w:name="_Toc31844"/>
          <w:r>
            <w:rPr>
              <w:rFonts w:ascii="宋体" w:hAnsi="宋体"/>
              <w:sz w:val="44"/>
              <w:szCs w:val="52"/>
            </w:rPr>
            <w:t>目录</w:t>
          </w:r>
        </w:p>
        <w:p w14:paraId="05877617">
          <w:pPr>
            <w:pStyle w:val="45"/>
            <w:tabs>
              <w:tab w:val="right" w:leader="dot" w:pos="8306"/>
            </w:tabs>
            <w:jc w:val="center"/>
            <w:rPr>
              <w:color w:val="000000" w:themeColor="text1"/>
            </w:rPr>
          </w:pPr>
          <w:r>
            <w:rPr>
              <w:rFonts w:hint="eastAsia"/>
              <w:color w:val="000000" w:themeColor="text1"/>
              <w:sz w:val="24"/>
              <w:szCs w:val="24"/>
            </w:rPr>
            <w:t>公开时间： 2026年10月26日</w:t>
          </w:r>
          <w:r>
            <w:rPr>
              <w:color w:val="000000" w:themeColor="text1"/>
            </w:rPr>
            <w:fldChar w:fldCharType="begin"/>
          </w:r>
          <w:r>
            <w:rPr>
              <w:color w:val="000000" w:themeColor="text1"/>
            </w:rPr>
            <w:instrText xml:space="preserve">TOC \o "1-2" \h \u </w:instrText>
          </w:r>
          <w:r>
            <w:rPr>
              <w:color w:val="000000" w:themeColor="text1"/>
            </w:rPr>
            <w:fldChar w:fldCharType="separate"/>
          </w:r>
        </w:p>
        <w:p w14:paraId="154FFACA">
          <w:pPr>
            <w:pStyle w:val="15"/>
            <w:tabs>
              <w:tab w:val="right" w:leader="dot" w:pos="8306"/>
              <w:tab w:val="clear" w:pos="8296"/>
            </w:tabs>
            <w:rPr>
              <w:color w:val="000000" w:themeColor="text1"/>
            </w:rPr>
          </w:pPr>
          <w:r>
            <w:fldChar w:fldCharType="begin"/>
          </w:r>
          <w:r>
            <w:instrText xml:space="preserve"> HYPERLINK \l "_Toc9546" </w:instrText>
          </w:r>
          <w:r>
            <w:fldChar w:fldCharType="separate"/>
          </w:r>
          <w:r>
            <w:rPr>
              <w:rFonts w:hint="eastAsia" w:ascii="黑体" w:hAnsi="黑体" w:eastAsia="黑体" w:cs="黑体"/>
              <w:color w:val="000000" w:themeColor="text1"/>
              <w:szCs w:val="32"/>
            </w:rPr>
            <w:t>第一部分 部门概况</w:t>
          </w:r>
          <w:r>
            <w:rPr>
              <w:color w:val="000000" w:themeColor="text1"/>
            </w:rPr>
            <w:tab/>
          </w:r>
          <w:r>
            <w:rPr>
              <w:color w:val="000000" w:themeColor="text1"/>
            </w:rPr>
            <w:fldChar w:fldCharType="begin"/>
          </w:r>
          <w:r>
            <w:rPr>
              <w:color w:val="000000" w:themeColor="text1"/>
            </w:rPr>
            <w:instrText xml:space="preserve"> PAGEREF _Toc9546 \h </w:instrText>
          </w:r>
          <w:r>
            <w:rPr>
              <w:color w:val="000000" w:themeColor="text1"/>
            </w:rPr>
            <w:fldChar w:fldCharType="separate"/>
          </w:r>
          <w:r>
            <w:rPr>
              <w:color w:val="000000" w:themeColor="text1"/>
            </w:rPr>
            <w:t>1</w:t>
          </w:r>
          <w:r>
            <w:rPr>
              <w:color w:val="000000" w:themeColor="text1"/>
            </w:rPr>
            <w:fldChar w:fldCharType="end"/>
          </w:r>
          <w:r>
            <w:rPr>
              <w:color w:val="000000" w:themeColor="text1"/>
            </w:rPr>
            <w:fldChar w:fldCharType="end"/>
          </w:r>
        </w:p>
        <w:p w14:paraId="38128529">
          <w:pPr>
            <w:pStyle w:val="18"/>
            <w:tabs>
              <w:tab w:val="right" w:leader="dot" w:pos="8306"/>
              <w:tab w:val="clear" w:pos="8296"/>
            </w:tabs>
            <w:rPr>
              <w:rFonts w:ascii="仿宋" w:hAnsi="仿宋" w:eastAsia="仿宋" w:cs="仿宋"/>
              <w:color w:val="000000" w:themeColor="text1"/>
              <w:sz w:val="28"/>
              <w:szCs w:val="28"/>
            </w:rPr>
          </w:pPr>
          <w:r>
            <w:fldChar w:fldCharType="begin"/>
          </w:r>
          <w:r>
            <w:instrText xml:space="preserve"> HYPERLINK \l "_Toc24494" </w:instrText>
          </w:r>
          <w:r>
            <w:fldChar w:fldCharType="separate"/>
          </w:r>
          <w:r>
            <w:rPr>
              <w:rFonts w:hint="eastAsia" w:ascii="仿宋" w:hAnsi="仿宋" w:eastAsia="仿宋" w:cs="仿宋"/>
              <w:bCs/>
              <w:color w:val="000000" w:themeColor="text1"/>
              <w:sz w:val="28"/>
              <w:szCs w:val="28"/>
            </w:rPr>
            <w:t>一、</w:t>
          </w:r>
          <w:r>
            <w:rPr>
              <w:rFonts w:hint="eastAsia" w:ascii="仿宋" w:hAnsi="仿宋" w:eastAsia="仿宋" w:cs="仿宋"/>
              <w:color w:val="000000" w:themeColor="text1"/>
              <w:sz w:val="28"/>
              <w:szCs w:val="28"/>
            </w:rPr>
            <w:t>部门职责</w:t>
          </w:r>
          <w:r>
            <w:rPr>
              <w:rFonts w:hint="eastAsia" w:ascii="仿宋" w:hAnsi="仿宋" w:eastAsia="仿宋" w:cs="仿宋"/>
              <w:color w:val="000000" w:themeColor="text1"/>
              <w:sz w:val="28"/>
              <w:szCs w:val="28"/>
            </w:rPr>
            <w:tab/>
          </w:r>
          <w:r>
            <w:rPr>
              <w:rFonts w:hint="eastAsia" w:ascii="仿宋" w:hAnsi="仿宋" w:eastAsia="仿宋" w:cs="仿宋"/>
              <w:color w:val="000000" w:themeColor="text1"/>
              <w:sz w:val="28"/>
              <w:szCs w:val="28"/>
            </w:rPr>
            <w:fldChar w:fldCharType="begin"/>
          </w:r>
          <w:r>
            <w:rPr>
              <w:rFonts w:hint="eastAsia" w:ascii="仿宋" w:hAnsi="仿宋" w:eastAsia="仿宋" w:cs="仿宋"/>
              <w:color w:val="000000" w:themeColor="text1"/>
              <w:sz w:val="28"/>
              <w:szCs w:val="28"/>
            </w:rPr>
            <w:instrText xml:space="preserve"> PAGEREF _Toc24494 \h </w:instrText>
          </w:r>
          <w:r>
            <w:rPr>
              <w:rFonts w:hint="eastAsia" w:ascii="仿宋" w:hAnsi="仿宋" w:eastAsia="仿宋" w:cs="仿宋"/>
              <w:color w:val="000000" w:themeColor="text1"/>
              <w:sz w:val="28"/>
              <w:szCs w:val="28"/>
            </w:rPr>
            <w:fldChar w:fldCharType="separate"/>
          </w:r>
          <w:r>
            <w:rPr>
              <w:rFonts w:hint="eastAsia" w:ascii="仿宋" w:hAnsi="仿宋" w:eastAsia="仿宋" w:cs="仿宋"/>
              <w:color w:val="000000" w:themeColor="text1"/>
              <w:sz w:val="28"/>
              <w:szCs w:val="28"/>
            </w:rPr>
            <w:t>1</w:t>
          </w:r>
          <w:r>
            <w:rPr>
              <w:rFonts w:hint="eastAsia" w:ascii="仿宋" w:hAnsi="仿宋" w:eastAsia="仿宋" w:cs="仿宋"/>
              <w:color w:val="000000" w:themeColor="text1"/>
              <w:sz w:val="28"/>
              <w:szCs w:val="28"/>
            </w:rPr>
            <w:fldChar w:fldCharType="end"/>
          </w:r>
          <w:r>
            <w:rPr>
              <w:rFonts w:hint="eastAsia" w:ascii="仿宋" w:hAnsi="仿宋" w:eastAsia="仿宋" w:cs="仿宋"/>
              <w:color w:val="000000" w:themeColor="text1"/>
              <w:sz w:val="28"/>
              <w:szCs w:val="28"/>
            </w:rPr>
            <w:fldChar w:fldCharType="end"/>
          </w:r>
        </w:p>
        <w:p w14:paraId="1F441613">
          <w:pPr>
            <w:pStyle w:val="18"/>
            <w:tabs>
              <w:tab w:val="right" w:leader="dot" w:pos="8306"/>
              <w:tab w:val="clear" w:pos="8296"/>
            </w:tabs>
            <w:rPr>
              <w:color w:val="000000" w:themeColor="text1"/>
            </w:rPr>
          </w:pPr>
          <w:r>
            <w:fldChar w:fldCharType="begin"/>
          </w:r>
          <w:r>
            <w:instrText xml:space="preserve"> HYPERLINK \l "_Toc17290" </w:instrText>
          </w:r>
          <w:r>
            <w:fldChar w:fldCharType="separate"/>
          </w:r>
          <w:r>
            <w:rPr>
              <w:rFonts w:hint="eastAsia" w:ascii="仿宋" w:hAnsi="仿宋" w:eastAsia="仿宋" w:cs="仿宋"/>
              <w:bCs/>
              <w:color w:val="000000" w:themeColor="text1"/>
              <w:sz w:val="28"/>
              <w:szCs w:val="28"/>
            </w:rPr>
            <w:t>二、机构设置</w:t>
          </w:r>
          <w:r>
            <w:rPr>
              <w:rFonts w:hint="eastAsia" w:ascii="仿宋" w:hAnsi="仿宋" w:eastAsia="仿宋" w:cs="仿宋"/>
              <w:color w:val="000000" w:themeColor="text1"/>
              <w:sz w:val="28"/>
              <w:szCs w:val="28"/>
            </w:rPr>
            <w:tab/>
          </w:r>
          <w:r>
            <w:rPr>
              <w:rFonts w:hint="eastAsia" w:ascii="仿宋" w:hAnsi="仿宋" w:eastAsia="仿宋" w:cs="仿宋"/>
              <w:color w:val="000000" w:themeColor="text1"/>
              <w:sz w:val="28"/>
              <w:szCs w:val="28"/>
            </w:rPr>
            <w:fldChar w:fldCharType="begin"/>
          </w:r>
          <w:r>
            <w:rPr>
              <w:rFonts w:hint="eastAsia" w:ascii="仿宋" w:hAnsi="仿宋" w:eastAsia="仿宋" w:cs="仿宋"/>
              <w:color w:val="000000" w:themeColor="text1"/>
              <w:sz w:val="28"/>
              <w:szCs w:val="28"/>
            </w:rPr>
            <w:instrText xml:space="preserve"> PAGEREF _Toc17290 \h </w:instrText>
          </w:r>
          <w:r>
            <w:rPr>
              <w:rFonts w:hint="eastAsia" w:ascii="仿宋" w:hAnsi="仿宋" w:eastAsia="仿宋" w:cs="仿宋"/>
              <w:color w:val="000000" w:themeColor="text1"/>
              <w:sz w:val="28"/>
              <w:szCs w:val="28"/>
            </w:rPr>
            <w:fldChar w:fldCharType="separate"/>
          </w:r>
          <w:r>
            <w:rPr>
              <w:rFonts w:hint="eastAsia" w:ascii="仿宋" w:hAnsi="仿宋" w:eastAsia="仿宋" w:cs="仿宋"/>
              <w:color w:val="000000" w:themeColor="text1"/>
              <w:sz w:val="28"/>
              <w:szCs w:val="28"/>
            </w:rPr>
            <w:t>1</w:t>
          </w:r>
          <w:r>
            <w:rPr>
              <w:rFonts w:hint="eastAsia" w:ascii="仿宋" w:hAnsi="仿宋" w:eastAsia="仿宋" w:cs="仿宋"/>
              <w:color w:val="000000" w:themeColor="text1"/>
              <w:sz w:val="28"/>
              <w:szCs w:val="28"/>
            </w:rPr>
            <w:fldChar w:fldCharType="end"/>
          </w:r>
          <w:r>
            <w:rPr>
              <w:rFonts w:hint="eastAsia" w:ascii="仿宋" w:hAnsi="仿宋" w:eastAsia="仿宋" w:cs="仿宋"/>
              <w:color w:val="000000" w:themeColor="text1"/>
              <w:sz w:val="28"/>
              <w:szCs w:val="28"/>
            </w:rPr>
            <w:fldChar w:fldCharType="end"/>
          </w:r>
        </w:p>
        <w:p w14:paraId="75D030D1">
          <w:pPr>
            <w:pStyle w:val="15"/>
            <w:tabs>
              <w:tab w:val="right" w:leader="dot" w:pos="8306"/>
              <w:tab w:val="clear" w:pos="8296"/>
            </w:tabs>
            <w:rPr>
              <w:color w:val="000000" w:themeColor="text1"/>
            </w:rPr>
          </w:pPr>
          <w:r>
            <w:fldChar w:fldCharType="begin"/>
          </w:r>
          <w:r>
            <w:instrText xml:space="preserve"> HYPERLINK \l "_Toc16458" </w:instrText>
          </w:r>
          <w:r>
            <w:fldChar w:fldCharType="separate"/>
          </w:r>
          <w:r>
            <w:rPr>
              <w:rFonts w:hint="eastAsia" w:ascii="黑体" w:hAnsi="黑体" w:eastAsia="黑体" w:cs="黑体"/>
              <w:color w:val="000000" w:themeColor="text1"/>
              <w:szCs w:val="32"/>
            </w:rPr>
            <w:t>第二部分 2025年度部门决算情况说明</w:t>
          </w:r>
          <w:r>
            <w:rPr>
              <w:color w:val="000000" w:themeColor="text1"/>
            </w:rPr>
            <w:tab/>
          </w:r>
          <w:r>
            <w:rPr>
              <w:color w:val="000000" w:themeColor="text1"/>
            </w:rPr>
            <w:fldChar w:fldCharType="begin"/>
          </w:r>
          <w:r>
            <w:rPr>
              <w:color w:val="000000" w:themeColor="text1"/>
            </w:rPr>
            <w:instrText xml:space="preserve"> PAGEREF _Toc16458 \h </w:instrText>
          </w:r>
          <w:r>
            <w:rPr>
              <w:color w:val="000000" w:themeColor="text1"/>
            </w:rPr>
            <w:fldChar w:fldCharType="separate"/>
          </w:r>
          <w:r>
            <w:rPr>
              <w:color w:val="000000" w:themeColor="text1"/>
            </w:rPr>
            <w:t>2</w:t>
          </w:r>
          <w:r>
            <w:rPr>
              <w:color w:val="000000" w:themeColor="text1"/>
            </w:rPr>
            <w:fldChar w:fldCharType="end"/>
          </w:r>
          <w:r>
            <w:rPr>
              <w:color w:val="000000" w:themeColor="text1"/>
            </w:rPr>
            <w:fldChar w:fldCharType="end"/>
          </w:r>
        </w:p>
        <w:p w14:paraId="7B452194">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"_Toc27841" </w:instrText>
          </w:r>
          <w:r>
            <w:fldChar w:fldCharType="separate"/>
          </w:r>
          <w:r>
            <w:rPr>
              <w:rFonts w:ascii="仿宋" w:hAnsi="仿宋" w:eastAsia="仿宋" w:cs="仿宋"/>
              <w:bCs/>
              <w:color w:val="000000" w:themeColor="text1"/>
              <w:sz w:val="28"/>
              <w:szCs w:val="28"/>
            </w:rPr>
            <w:t>一、收入支出决算总体情况说明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_Toc27841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2</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40323BE0">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"_Toc27689" </w:instrText>
          </w:r>
          <w:r>
            <w:fldChar w:fldCharType="separate"/>
          </w:r>
          <w:r>
            <w:rPr>
              <w:rFonts w:ascii="仿宋" w:hAnsi="仿宋" w:eastAsia="仿宋" w:cs="仿宋"/>
              <w:bCs/>
              <w:color w:val="000000" w:themeColor="text1"/>
              <w:sz w:val="28"/>
              <w:szCs w:val="28"/>
            </w:rPr>
            <w:t>二、收入决算情况说明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_Toc27689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3</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4D4F7794">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"_Toc22715" </w:instrText>
          </w:r>
          <w:r>
            <w:fldChar w:fldCharType="separate"/>
          </w:r>
          <w:r>
            <w:rPr>
              <w:rFonts w:ascii="仿宋" w:hAnsi="仿宋" w:eastAsia="仿宋" w:cs="仿宋"/>
              <w:bCs/>
              <w:color w:val="000000" w:themeColor="text1"/>
              <w:sz w:val="28"/>
              <w:szCs w:val="28"/>
            </w:rPr>
            <w:t>三、支出决算情况说明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_Toc22715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3</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041182DA">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"_Toc10006" </w:instrText>
          </w:r>
          <w:r>
            <w:fldChar w:fldCharType="separate"/>
          </w:r>
          <w:r>
            <w:rPr>
              <w:rFonts w:ascii="仿宋" w:hAnsi="仿宋" w:eastAsia="仿宋" w:cs="仿宋"/>
              <w:bCs/>
              <w:color w:val="000000" w:themeColor="text1"/>
              <w:sz w:val="28"/>
              <w:szCs w:val="28"/>
            </w:rPr>
            <w:t>四、财政拨款收入支出决算总体情况说明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_Toc10006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79D47DF3">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"_Toc17027" </w:instrText>
          </w:r>
          <w:r>
            <w:fldChar w:fldCharType="separate"/>
          </w:r>
          <w:r>
            <w:rPr>
              <w:rFonts w:ascii="仿宋" w:hAnsi="仿宋" w:eastAsia="仿宋" w:cs="仿宋"/>
              <w:bCs/>
              <w:color w:val="000000" w:themeColor="text1"/>
              <w:sz w:val="28"/>
              <w:szCs w:val="28"/>
            </w:rPr>
            <w:t>五、一般公共预算财政拨款支出决算情况说明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_Toc17027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5</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4933E186">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"_Toc21683" </w:instrText>
          </w:r>
          <w:r>
            <w:fldChar w:fldCharType="separate"/>
          </w:r>
          <w:r>
            <w:rPr>
              <w:rFonts w:ascii="仿宋" w:hAnsi="仿宋" w:eastAsia="仿宋" w:cs="仿宋"/>
              <w:bCs/>
              <w:color w:val="000000" w:themeColor="text1"/>
              <w:sz w:val="28"/>
              <w:szCs w:val="28"/>
            </w:rPr>
            <w:t>六、一般公共预算财政拨款基本支出决算情况说明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_Toc21683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8</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492A9ED6">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"_Toc18665" </w:instrText>
          </w:r>
          <w:r>
            <w:fldChar w:fldCharType="separate"/>
          </w:r>
          <w:r>
            <w:rPr>
              <w:rFonts w:ascii="仿宋" w:hAnsi="仿宋" w:eastAsia="仿宋" w:cs="仿宋"/>
              <w:bCs/>
              <w:color w:val="000000" w:themeColor="text1"/>
              <w:sz w:val="28"/>
              <w:szCs w:val="28"/>
            </w:rPr>
            <w:t>七、“三公”经费财政拨款支出决算情况说明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_Toc18665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9</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4041DB3E">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"_Toc9058" </w:instrText>
          </w:r>
          <w:r>
            <w:fldChar w:fldCharType="separate"/>
          </w:r>
          <w:r>
            <w:rPr>
              <w:rFonts w:ascii="仿宋" w:hAnsi="仿宋" w:eastAsia="仿宋" w:cs="仿宋"/>
              <w:bCs/>
              <w:color w:val="000000" w:themeColor="text1"/>
              <w:sz w:val="28"/>
              <w:szCs w:val="28"/>
            </w:rPr>
            <w:t>八、政府性基金预算支出决算情况说明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_Toc9058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11</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5E1E92D1">
          <w:pPr>
            <w:pStyle w:val="18"/>
            <w:tabs>
              <w:tab w:val="right" w:leader="dot" w:pos="8306"/>
              <w:tab w:val="clear" w:pos="8296"/>
            </w:tabs>
            <w:rPr>
              <w:rFonts w:ascii="仿宋" w:hAnsi="仿宋" w:eastAsia="仿宋" w:cs="仿宋"/>
              <w:bCs/>
              <w:color w:val="000000" w:themeColor="text1"/>
              <w:sz w:val="28"/>
              <w:szCs w:val="28"/>
            </w:rPr>
          </w:pPr>
          <w:r>
            <w:fldChar w:fldCharType="begin"/>
          </w:r>
          <w:r>
            <w:instrText xml:space="preserve"> HYPERLINK \l "_Toc2135" </w:instrText>
          </w:r>
          <w:r>
            <w:fldChar w:fldCharType="separate"/>
          </w:r>
          <w:r>
            <w:rPr>
              <w:rFonts w:hint="eastAsia" w:ascii="仿宋" w:hAnsi="仿宋" w:eastAsia="仿宋" w:cs="仿宋"/>
              <w:bCs/>
              <w:color w:val="000000" w:themeColor="text1"/>
              <w:sz w:val="28"/>
              <w:szCs w:val="28"/>
            </w:rPr>
            <w:t xml:space="preserve">九、 </w:t>
          </w:r>
          <w:r>
            <w:rPr>
              <w:rFonts w:ascii="仿宋" w:hAnsi="仿宋" w:eastAsia="仿宋" w:cs="仿宋"/>
              <w:bCs/>
              <w:color w:val="000000" w:themeColor="text1"/>
              <w:sz w:val="28"/>
              <w:szCs w:val="28"/>
            </w:rPr>
            <w:t>国有资本经营预算支出决算情况说明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_Toc2135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11</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616CCF5F">
          <w:pPr>
            <w:pStyle w:val="18"/>
            <w:tabs>
              <w:tab w:val="right" w:leader="dot" w:pos="8306"/>
              <w:tab w:val="clear" w:pos="8296"/>
            </w:tabs>
            <w:rPr>
              <w:color w:val="000000" w:themeColor="text1"/>
            </w:rPr>
          </w:pPr>
          <w:r>
            <w:fldChar w:fldCharType="begin"/>
          </w:r>
          <w:r>
            <w:instrText xml:space="preserve"> HYPERLINK \l "_Toc28490" </w:instrText>
          </w:r>
          <w:r>
            <w:fldChar w:fldCharType="separate"/>
          </w:r>
          <w:r>
            <w:rPr>
              <w:rFonts w:hint="eastAsia" w:ascii="仿宋" w:hAnsi="仿宋" w:eastAsia="仿宋" w:cs="仿宋"/>
              <w:bCs/>
              <w:color w:val="000000" w:themeColor="text1"/>
              <w:sz w:val="28"/>
              <w:szCs w:val="28"/>
            </w:rPr>
            <w:t>十、</w:t>
          </w:r>
          <w:r>
            <w:rPr>
              <w:rFonts w:ascii="仿宋" w:hAnsi="仿宋" w:eastAsia="仿宋" w:cs="仿宋"/>
              <w:bCs/>
              <w:color w:val="000000" w:themeColor="text1"/>
              <w:sz w:val="28"/>
              <w:szCs w:val="28"/>
            </w:rPr>
            <w:t>其他重要事项的情况说明</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rPr>
            <w:fldChar w:fldCharType="begin"/>
          </w:r>
          <w:r>
            <w:rPr>
              <w:rFonts w:hint="eastAsia" w:ascii="仿宋" w:hAnsi="仿宋" w:eastAsia="仿宋" w:cs="仿宋"/>
              <w:bCs/>
              <w:color w:val="000000" w:themeColor="text1"/>
              <w:sz w:val="28"/>
              <w:szCs w:val="28"/>
            </w:rPr>
            <w:instrText xml:space="preserve"> PAGEREF _Toc28490 \h </w:instrText>
          </w:r>
          <w:r>
            <w:rPr>
              <w:rFonts w:hint="eastAsia" w:ascii="仿宋" w:hAnsi="仿宋" w:eastAsia="仿宋" w:cs="仿宋"/>
              <w:bCs/>
              <w:color w:val="000000" w:themeColor="text1"/>
              <w:sz w:val="28"/>
              <w:szCs w:val="28"/>
            </w:rPr>
            <w:fldChar w:fldCharType="separate"/>
          </w:r>
          <w:r>
            <w:rPr>
              <w:rFonts w:hint="eastAsia" w:ascii="仿宋" w:hAnsi="仿宋" w:eastAsia="仿宋" w:cs="仿宋"/>
              <w:bCs/>
              <w:color w:val="000000" w:themeColor="text1"/>
              <w:sz w:val="28"/>
              <w:szCs w:val="28"/>
            </w:rPr>
            <w:t>11</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rPr>
            <w:fldChar w:fldCharType="end"/>
          </w:r>
        </w:p>
        <w:p w14:paraId="413D03A6">
          <w:pPr>
            <w:pStyle w:val="15"/>
            <w:tabs>
              <w:tab w:val="right" w:leader="dot" w:pos="8306"/>
              <w:tab w:val="clear" w:pos="8296"/>
            </w:tabs>
            <w:rPr>
              <w:color w:val="000000" w:themeColor="text1"/>
            </w:rPr>
          </w:pPr>
          <w:r>
            <w:fldChar w:fldCharType="begin"/>
          </w:r>
          <w:r>
            <w:instrText xml:space="preserve"> HYPERLINK \l "_Toc24624" </w:instrText>
          </w:r>
          <w:r>
            <w:fldChar w:fldCharType="separate"/>
          </w:r>
          <w:r>
            <w:rPr>
              <w:rFonts w:hint="eastAsia" w:ascii="黑体" w:hAnsi="黑体" w:eastAsia="黑体" w:cs="黑体"/>
              <w:color w:val="000000" w:themeColor="text1"/>
              <w:szCs w:val="32"/>
            </w:rPr>
            <w:t>第四部分 附件</w:t>
          </w:r>
          <w:r>
            <w:rPr>
              <w:color w:val="000000" w:themeColor="text1"/>
            </w:rPr>
            <w:tab/>
          </w:r>
          <w:r>
            <w:rPr>
              <w:color w:val="000000" w:themeColor="text1"/>
            </w:rPr>
            <w:fldChar w:fldCharType="begin"/>
          </w:r>
          <w:r>
            <w:rPr>
              <w:color w:val="000000" w:themeColor="text1"/>
            </w:rPr>
            <w:instrText xml:space="preserve"> PAGEREF _Toc24624 \h </w:instrText>
          </w:r>
          <w:r>
            <w:rPr>
              <w:color w:val="000000" w:themeColor="text1"/>
            </w:rPr>
            <w:fldChar w:fldCharType="separate"/>
          </w:r>
          <w:r>
            <w:rPr>
              <w:color w:val="000000" w:themeColor="text1"/>
            </w:rPr>
            <w:t>16</w:t>
          </w:r>
          <w:r>
            <w:rPr>
              <w:color w:val="000000" w:themeColor="text1"/>
            </w:rPr>
            <w:fldChar w:fldCharType="end"/>
          </w:r>
          <w:r>
            <w:rPr>
              <w:color w:val="000000" w:themeColor="text1"/>
            </w:rPr>
            <w:fldChar w:fldCharType="end"/>
          </w:r>
        </w:p>
        <w:p w14:paraId="43DD1E17">
          <w:pPr>
            <w:pStyle w:val="15"/>
            <w:tabs>
              <w:tab w:val="right" w:leader="dot" w:pos="8306"/>
              <w:tab w:val="clear" w:pos="8296"/>
            </w:tabs>
            <w:rPr>
              <w:rFonts w:hint="eastAsia" w:eastAsia="仿宋"/>
              <w:color w:val="000000" w:themeColor="text1"/>
              <w:lang w:val="en-US" w:eastAsia="zh-CN"/>
            </w:rPr>
          </w:pPr>
          <w:r>
            <w:fldChar w:fldCharType="begin"/>
          </w:r>
          <w:r>
            <w:instrText xml:space="preserve"> HYPERLINK \l "_Toc9903" </w:instrText>
          </w:r>
          <w:r>
            <w:fldChar w:fldCharType="separate"/>
          </w:r>
          <w:r>
            <w:rPr>
              <w:rFonts w:hint="eastAsia" w:ascii="黑体" w:hAnsi="黑体" w:eastAsia="黑体" w:cs="黑体"/>
              <w:color w:val="000000" w:themeColor="text1"/>
              <w:szCs w:val="44"/>
            </w:rPr>
            <w:t>第五部分 附表</w:t>
          </w:r>
          <w:r>
            <w:rPr>
              <w:color w:val="000000" w:themeColor="text1"/>
            </w:rPr>
            <w:tab/>
          </w:r>
          <w:r>
            <w:rPr>
              <w:rFonts w:hint="eastAsia"/>
              <w:color w:val="000000" w:themeColor="text1"/>
              <w:lang w:val="en-US" w:eastAsia="zh-CN"/>
            </w:rPr>
            <w:t>4</w:t>
          </w:r>
          <w:r>
            <w:rPr>
              <w:color w:val="000000" w:themeColor="text1"/>
            </w:rPr>
            <w:fldChar w:fldCharType="end"/>
          </w:r>
          <w:r>
            <w:rPr>
              <w:rFonts w:hint="eastAsia"/>
              <w:color w:val="000000" w:themeColor="text1"/>
              <w:lang w:val="en-US" w:eastAsia="zh-CN"/>
            </w:rPr>
            <w:t>1</w:t>
          </w:r>
        </w:p>
        <w:p w14:paraId="50BEAB80">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"_Toc10321" </w:instrText>
          </w:r>
          <w:r>
            <w:fldChar w:fldCharType="separate"/>
          </w:r>
          <w:r>
            <w:rPr>
              <w:rFonts w:hint="eastAsia" w:ascii="仿宋" w:hAnsi="仿宋" w:eastAsia="仿宋" w:cs="仿宋"/>
              <w:bCs/>
              <w:color w:val="000000" w:themeColor="text1"/>
              <w:sz w:val="28"/>
              <w:szCs w:val="28"/>
            </w:rPr>
            <w:t>一、收入支出决算总表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795B7150">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"_Toc510" </w:instrText>
          </w:r>
          <w:r>
            <w:fldChar w:fldCharType="separate"/>
          </w:r>
          <w:r>
            <w:rPr>
              <w:rFonts w:hint="eastAsia" w:ascii="仿宋" w:hAnsi="仿宋" w:eastAsia="仿宋" w:cs="仿宋"/>
              <w:bCs/>
              <w:color w:val="000000" w:themeColor="text1"/>
              <w:sz w:val="28"/>
              <w:szCs w:val="28"/>
            </w:rPr>
            <w:t>二、收入决算表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0C22FB05">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"_Toc32618" </w:instrText>
          </w:r>
          <w:r>
            <w:fldChar w:fldCharType="separate"/>
          </w:r>
          <w:r>
            <w:rPr>
              <w:rFonts w:hint="eastAsia" w:ascii="仿宋" w:hAnsi="仿宋" w:eastAsia="仿宋" w:cs="仿宋"/>
              <w:bCs/>
              <w:color w:val="000000" w:themeColor="text1"/>
              <w:sz w:val="28"/>
              <w:szCs w:val="28"/>
            </w:rPr>
            <w:t>三、支出决算表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7B573D0A">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"_Toc13624" </w:instrText>
          </w:r>
          <w:r>
            <w:fldChar w:fldCharType="separate"/>
          </w:r>
          <w:r>
            <w:rPr>
              <w:rFonts w:hint="eastAsia" w:ascii="仿宋" w:hAnsi="仿宋" w:eastAsia="仿宋" w:cs="仿宋"/>
              <w:bCs/>
              <w:color w:val="000000" w:themeColor="text1"/>
              <w:sz w:val="28"/>
              <w:szCs w:val="28"/>
            </w:rPr>
            <w:t>四、财政拨款收入支出决算总表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006D7769">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"_Toc24904" </w:instrText>
          </w:r>
          <w:r>
            <w:fldChar w:fldCharType="separate"/>
          </w:r>
          <w:r>
            <w:rPr>
              <w:rFonts w:hint="eastAsia" w:ascii="仿宋" w:hAnsi="仿宋" w:eastAsia="仿宋" w:cs="仿宋"/>
              <w:bCs/>
              <w:color w:val="000000" w:themeColor="text1"/>
              <w:sz w:val="28"/>
              <w:szCs w:val="28"/>
            </w:rPr>
            <w:t>五、财政拨款支出决算明细表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07BD2142">
          <w:pPr>
            <w:pStyle w:val="18"/>
            <w:tabs>
              <w:tab w:val="right" w:leader="dot" w:pos="8306"/>
              <w:tab w:val="clear" w:pos="8296"/>
            </w:tabs>
            <w:rPr>
              <w:rFonts w:hint="eastAsia" w:eastAsia="仿宋"/>
              <w:color w:val="000000" w:themeColor="text1"/>
              <w:lang w:val="en-US" w:eastAsia="zh-CN"/>
            </w:rPr>
          </w:pPr>
          <w:r>
            <w:fldChar w:fldCharType="begin"/>
          </w:r>
          <w:r>
            <w:instrText xml:space="preserve"> HYPERLINK \l "_Toc11675" </w:instrText>
          </w:r>
          <w:r>
            <w:fldChar w:fldCharType="separate"/>
          </w:r>
          <w:r>
            <w:rPr>
              <w:rFonts w:hint="eastAsia" w:ascii="仿宋" w:hAnsi="仿宋" w:eastAsia="仿宋" w:cs="仿宋"/>
              <w:bCs/>
              <w:color w:val="000000" w:themeColor="text1"/>
              <w:sz w:val="28"/>
              <w:szCs w:val="28"/>
            </w:rPr>
            <w:t>六、一般公共预算财政拨款支出决算表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3624F190">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"_Toc27721" </w:instrText>
          </w:r>
          <w:r>
            <w:fldChar w:fldCharType="separate"/>
          </w:r>
          <w:r>
            <w:rPr>
              <w:rFonts w:hint="eastAsia" w:ascii="仿宋" w:hAnsi="仿宋" w:eastAsia="仿宋" w:cs="仿宋"/>
              <w:bCs/>
              <w:color w:val="000000" w:themeColor="text1"/>
              <w:sz w:val="28"/>
              <w:szCs w:val="28"/>
            </w:rPr>
            <w:t>七、一般公共预算财政拨款支出决算明细表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4A5FDE2B">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"_Toc17856" </w:instrText>
          </w:r>
          <w:r>
            <w:fldChar w:fldCharType="separate"/>
          </w:r>
          <w:r>
            <w:rPr>
              <w:rFonts w:hint="eastAsia" w:ascii="仿宋" w:hAnsi="仿宋" w:eastAsia="仿宋" w:cs="仿宋"/>
              <w:bCs/>
              <w:color w:val="000000" w:themeColor="text1"/>
              <w:sz w:val="28"/>
              <w:szCs w:val="28"/>
            </w:rPr>
            <w:t>八、一般公共预算财政拨款基本支出决算表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1512664F">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"_Toc14219" </w:instrText>
          </w:r>
          <w:r>
            <w:fldChar w:fldCharType="separate"/>
          </w:r>
          <w:r>
            <w:rPr>
              <w:rFonts w:hint="eastAsia" w:ascii="仿宋" w:hAnsi="仿宋" w:eastAsia="仿宋" w:cs="仿宋"/>
              <w:bCs/>
              <w:color w:val="000000" w:themeColor="text1"/>
              <w:sz w:val="28"/>
              <w:szCs w:val="28"/>
            </w:rPr>
            <w:t>九、一般公共预算财政拨款项目支出决算表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0C8DCEFC">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"_Toc27528" </w:instrText>
          </w:r>
          <w:r>
            <w:fldChar w:fldCharType="separate"/>
          </w:r>
          <w:r>
            <w:rPr>
              <w:rFonts w:hint="eastAsia" w:ascii="仿宋" w:hAnsi="仿宋" w:eastAsia="仿宋" w:cs="仿宋"/>
              <w:bCs/>
              <w:color w:val="000000" w:themeColor="text1"/>
              <w:sz w:val="28"/>
              <w:szCs w:val="28"/>
            </w:rPr>
            <w:t>十、一般公共预算财政拨款“三公”经费支出决算表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67945508">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"_Toc26531" </w:instrText>
          </w:r>
          <w:r>
            <w:fldChar w:fldCharType="separate"/>
          </w:r>
          <w:r>
            <w:rPr>
              <w:rFonts w:hint="eastAsia" w:ascii="仿宋" w:hAnsi="仿宋" w:eastAsia="仿宋" w:cs="仿宋"/>
              <w:bCs/>
              <w:color w:val="000000" w:themeColor="text1"/>
              <w:sz w:val="28"/>
              <w:szCs w:val="28"/>
            </w:rPr>
            <w:t>十一、政府性基金预算财政拨款收入支出决算表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6640889A">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"_Toc20109" </w:instrText>
          </w:r>
          <w:r>
            <w:fldChar w:fldCharType="separate"/>
          </w:r>
          <w:r>
            <w:rPr>
              <w:rFonts w:hint="eastAsia" w:ascii="仿宋" w:hAnsi="仿宋" w:eastAsia="仿宋" w:cs="仿宋"/>
              <w:bCs/>
              <w:color w:val="000000" w:themeColor="text1"/>
              <w:sz w:val="28"/>
              <w:szCs w:val="28"/>
            </w:rPr>
            <w:t>十二、政府性基金预算财政拨款“三公”经费支出决算表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5B26B816">
          <w:pPr>
            <w:pStyle w:val="18"/>
            <w:tabs>
              <w:tab w:val="right" w:leader="dot" w:pos="8306"/>
              <w:tab w:val="clear" w:pos="8296"/>
            </w:tabs>
            <w:rPr>
              <w:rFonts w:hint="eastAsia" w:ascii="仿宋" w:hAnsi="仿宋" w:eastAsia="仿宋" w:cs="仿宋"/>
              <w:bCs/>
              <w:color w:val="000000" w:themeColor="text1"/>
              <w:sz w:val="28"/>
              <w:szCs w:val="28"/>
              <w:lang w:val="en-US" w:eastAsia="zh-CN"/>
            </w:rPr>
          </w:pPr>
          <w:r>
            <w:fldChar w:fldCharType="begin"/>
          </w:r>
          <w:r>
            <w:instrText xml:space="preserve"> HYPERLINK \l "_Toc24016" </w:instrText>
          </w:r>
          <w:r>
            <w:fldChar w:fldCharType="separate"/>
          </w:r>
          <w:r>
            <w:rPr>
              <w:rFonts w:hint="eastAsia" w:ascii="仿宋" w:hAnsi="仿宋" w:eastAsia="仿宋" w:cs="仿宋"/>
              <w:bCs/>
              <w:color w:val="000000" w:themeColor="text1"/>
              <w:sz w:val="28"/>
              <w:szCs w:val="28"/>
            </w:rPr>
            <w:t>十三、国有资本经营预算财政拨款收入支出决算表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6BE5B749">
          <w:pPr>
            <w:pStyle w:val="18"/>
            <w:tabs>
              <w:tab w:val="right" w:leader="dot" w:pos="8306"/>
              <w:tab w:val="clear" w:pos="8296"/>
            </w:tabs>
            <w:rPr>
              <w:rFonts w:hint="eastAsia" w:eastAsia="仿宋"/>
              <w:color w:val="000000" w:themeColor="text1"/>
              <w:lang w:val="en-US" w:eastAsia="zh-CN"/>
            </w:rPr>
          </w:pPr>
          <w:r>
            <w:fldChar w:fldCharType="begin"/>
          </w:r>
          <w:r>
            <w:instrText xml:space="preserve"> HYPERLINK \l "_Toc8943" </w:instrText>
          </w:r>
          <w:r>
            <w:fldChar w:fldCharType="separate"/>
          </w:r>
          <w:r>
            <w:rPr>
              <w:rFonts w:hint="eastAsia" w:ascii="仿宋" w:hAnsi="仿宋" w:eastAsia="仿宋" w:cs="仿宋"/>
              <w:bCs/>
              <w:color w:val="000000" w:themeColor="text1"/>
              <w:sz w:val="28"/>
              <w:szCs w:val="28"/>
            </w:rPr>
            <w:t>十四、国有资本经营预算财政拨款支出决算表</w:t>
          </w:r>
          <w:r>
            <w:rPr>
              <w:rFonts w:hint="eastAsia" w:ascii="仿宋" w:hAnsi="仿宋" w:eastAsia="仿宋" w:cs="仿宋"/>
              <w:bCs/>
              <w:color w:val="000000" w:themeColor="text1"/>
              <w:sz w:val="28"/>
              <w:szCs w:val="28"/>
            </w:rPr>
            <w:tab/>
          </w:r>
          <w:r>
            <w:rPr>
              <w:rFonts w:hint="eastAsia" w:ascii="仿宋" w:hAnsi="仿宋" w:eastAsia="仿宋" w:cs="仿宋"/>
              <w:bCs/>
              <w:color w:val="000000" w:themeColor="text1"/>
              <w:sz w:val="28"/>
              <w:szCs w:val="28"/>
              <w:lang w:val="en-US" w:eastAsia="zh-CN"/>
            </w:rPr>
            <w:t>4</w:t>
          </w:r>
          <w:r>
            <w:rPr>
              <w:rFonts w:hint="eastAsia" w:ascii="仿宋" w:hAnsi="仿宋" w:eastAsia="仿宋" w:cs="仿宋"/>
              <w:bCs/>
              <w:color w:val="000000" w:themeColor="text1"/>
              <w:sz w:val="28"/>
              <w:szCs w:val="28"/>
            </w:rPr>
            <w:fldChar w:fldCharType="end"/>
          </w:r>
          <w:r>
            <w:rPr>
              <w:rFonts w:hint="eastAsia" w:ascii="仿宋" w:hAnsi="仿宋" w:eastAsia="仿宋" w:cs="仿宋"/>
              <w:bCs/>
              <w:color w:val="000000" w:themeColor="text1"/>
              <w:sz w:val="28"/>
              <w:szCs w:val="28"/>
              <w:lang w:val="en-US" w:eastAsia="zh-CN"/>
            </w:rPr>
            <w:t>1</w:t>
          </w:r>
        </w:p>
        <w:p w14:paraId="314CA692">
          <w:pPr>
            <w:rPr>
              <w:b/>
            </w:rPr>
          </w:pPr>
          <w:r>
            <w:rPr>
              <w:color w:val="000000" w:themeColor="text1"/>
            </w:rPr>
            <w:fldChar w:fldCharType="end"/>
          </w:r>
        </w:p>
      </w:sdtContent>
    </w:sdt>
    <w:p w14:paraId="72E6DA18">
      <w:pPr>
        <w:rPr>
          <w:b/>
        </w:rPr>
      </w:pPr>
    </w:p>
    <w:p w14:paraId="2C7EE1D1">
      <w:pPr>
        <w:rPr>
          <w:b/>
        </w:rPr>
      </w:pPr>
    </w:p>
    <w:p w14:paraId="247A1BE6">
      <w:pPr>
        <w:rPr>
          <w:b/>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5F6F8E72">
      <w:pPr>
        <w:rPr>
          <w:b/>
        </w:rPr>
      </w:pPr>
    </w:p>
    <w:p w14:paraId="4CE2132D">
      <w:pPr>
        <w:spacing w:line="700" w:lineRule="exact"/>
        <w:jc w:val="center"/>
        <w:outlineLvl w:val="0"/>
        <w:rPr>
          <w:rFonts w:ascii="楷体_GB2312" w:hAnsi="楷体_GB2312" w:eastAsia="楷体_GB2312" w:cs="楷体_GB2312"/>
          <w:b/>
          <w:bCs/>
          <w:sz w:val="32"/>
          <w:szCs w:val="32"/>
        </w:rPr>
      </w:pPr>
      <w:bookmarkStart w:id="15" w:name="_Toc9546"/>
      <w:r>
        <w:rPr>
          <w:rFonts w:hint="eastAsia" w:ascii="黑体" w:hAnsi="黑体" w:eastAsia="黑体" w:cs="黑体"/>
          <w:sz w:val="32"/>
          <w:szCs w:val="32"/>
        </w:rPr>
        <w:t>第一部分 部门概况</w:t>
      </w:r>
      <w:bookmarkEnd w:id="14"/>
      <w:bookmarkEnd w:id="15"/>
      <w:bookmarkStart w:id="16" w:name="_Toc15396600"/>
      <w:bookmarkStart w:id="17" w:name="_Toc22300"/>
      <w:bookmarkStart w:id="18" w:name="_Toc15377197"/>
    </w:p>
    <w:p w14:paraId="22897C28">
      <w:pPr>
        <w:spacing w:line="560" w:lineRule="exact"/>
        <w:outlineLvl w:val="1"/>
        <w:rPr>
          <w:rFonts w:ascii="楷体_GB2312" w:hAnsi="楷体_GB2312" w:eastAsia="楷体_GB2312" w:cs="楷体_GB2312"/>
          <w:b/>
          <w:bCs/>
          <w:sz w:val="32"/>
          <w:szCs w:val="32"/>
        </w:rPr>
      </w:pPr>
      <w:bookmarkStart w:id="19" w:name="_Toc24494"/>
      <w:r>
        <w:rPr>
          <w:rFonts w:hint="eastAsia" w:ascii="楷体_GB2312" w:hAnsi="楷体_GB2312" w:eastAsia="楷体_GB2312" w:cs="楷体_GB2312"/>
          <w:b/>
          <w:bCs/>
          <w:sz w:val="32"/>
          <w:szCs w:val="32"/>
        </w:rPr>
        <w:t>一、</w:t>
      </w:r>
      <w:bookmarkEnd w:id="16"/>
      <w:bookmarkEnd w:id="17"/>
      <w:bookmarkEnd w:id="18"/>
      <w:r>
        <w:rPr>
          <w:rFonts w:hint="eastAsia" w:ascii="楷体_GB2312" w:hAnsi="楷体_GB2312" w:eastAsia="楷体_GB2312" w:cs="楷体_GB2312"/>
          <w:b/>
          <w:bCs/>
          <w:sz w:val="32"/>
          <w:szCs w:val="32"/>
        </w:rPr>
        <w:t>部门职责</w:t>
      </w:r>
      <w:bookmarkEnd w:id="19"/>
    </w:p>
    <w:p w14:paraId="2598A61D">
      <w:pPr>
        <w:spacing w:line="560" w:lineRule="exact"/>
        <w:ind w:firstLine="640" w:firstLineChars="200"/>
        <w:outlineLvl w:val="1"/>
        <w:rPr>
          <w:rFonts w:ascii="楷体_GB2312" w:hAnsi="楷体_GB2312" w:eastAsia="楷体_GB2312" w:cs="楷体_GB2312"/>
          <w:b/>
          <w:bCs/>
          <w:sz w:val="32"/>
          <w:szCs w:val="32"/>
        </w:rPr>
      </w:pPr>
      <w:bookmarkStart w:id="20" w:name="_Toc15396601"/>
      <w:bookmarkStart w:id="21" w:name="_Toc17290"/>
      <w:bookmarkStart w:id="22" w:name="_Toc15377200"/>
      <w:bookmarkStart w:id="23" w:name="_Toc32346"/>
      <w:r>
        <w:rPr>
          <w:rFonts w:eastAsia="仿宋_GB2312"/>
          <w:sz w:val="32"/>
          <w:szCs w:val="32"/>
        </w:rPr>
        <w:t>负责全县各级党组织建设；负责全县的干部管理工作；负责全县公务员工作；负责全县人才工作的宏观指导、组织协调和督促检查；负责全县干部教育培训工作的宏观指导、政策规划、组织协调和督促检查；负责全县干部监督工作的宏观指导和综合协调、制定和落实干部监督工作制度；负责全县老干部工作；承担县委党建领导小组、县</w:t>
      </w:r>
      <w:r>
        <w:rPr>
          <w:rFonts w:hint="eastAsia" w:eastAsia="仿宋_GB2312"/>
          <w:sz w:val="32"/>
          <w:szCs w:val="32"/>
          <w:lang w:eastAsia="zh-CN"/>
        </w:rPr>
        <w:t>委</w:t>
      </w:r>
      <w:r>
        <w:rPr>
          <w:rFonts w:eastAsia="仿宋_GB2312"/>
          <w:sz w:val="32"/>
          <w:szCs w:val="32"/>
        </w:rPr>
        <w:t>人才工作领导小组日常工作；承办州委</w:t>
      </w:r>
      <w:r>
        <w:rPr>
          <w:rFonts w:hint="eastAsia" w:eastAsia="仿宋_GB2312"/>
          <w:sz w:val="32"/>
          <w:szCs w:val="32"/>
        </w:rPr>
        <w:t>、</w:t>
      </w:r>
      <w:r>
        <w:rPr>
          <w:rFonts w:eastAsia="仿宋_GB2312"/>
          <w:sz w:val="32"/>
          <w:szCs w:val="32"/>
        </w:rPr>
        <w:t>县委组织部交办的其他工作事项。</w:t>
      </w:r>
      <w:r>
        <w:rPr>
          <w:rFonts w:ascii="楷体_GB2312" w:hAnsi="楷体_GB2312" w:eastAsia="楷体_GB2312" w:cs="楷体_GB2312"/>
          <w:b/>
          <w:bCs/>
          <w:sz w:val="32"/>
          <w:szCs w:val="32"/>
        </w:rPr>
        <w:t>二、机构设置</w:t>
      </w:r>
      <w:bookmarkEnd w:id="20"/>
      <w:bookmarkEnd w:id="21"/>
      <w:bookmarkEnd w:id="22"/>
      <w:bookmarkEnd w:id="23"/>
    </w:p>
    <w:p w14:paraId="773DBB33">
      <w:pPr>
        <w:ind w:firstLine="800" w:firstLineChars="250"/>
        <w:rPr>
          <w:rFonts w:eastAsia="仿宋_GB2312" w:cs="仿宋_GB2312"/>
          <w:sz w:val="32"/>
          <w:szCs w:val="32"/>
        </w:rPr>
      </w:pPr>
      <w:r>
        <w:rPr>
          <w:rFonts w:eastAsia="仿宋_GB2312"/>
          <w:sz w:val="32"/>
          <w:szCs w:val="32"/>
        </w:rPr>
        <w:t>中共阿坝州壤塘县委组织部</w:t>
      </w:r>
      <w:r>
        <w:rPr>
          <w:rFonts w:hint="eastAsia" w:eastAsia="仿宋_GB2312" w:cs="仿宋_GB2312"/>
          <w:sz w:val="32"/>
          <w:szCs w:val="32"/>
        </w:rPr>
        <w:t>下属二级预算单位2个，其中行政单位1个，其他事业单位1个。</w:t>
      </w:r>
    </w:p>
    <w:p w14:paraId="494EBE8B">
      <w:pPr>
        <w:pStyle w:val="8"/>
        <w:adjustRightInd w:val="0"/>
        <w:snapToGrid w:val="0"/>
        <w:spacing w:before="93" w:line="600" w:lineRule="exact"/>
        <w:ind w:firstLine="672" w:firstLineChars="210"/>
        <w:rPr>
          <w:rFonts w:ascii="Times New Roman" w:eastAsia="仿宋_GB2312" w:cs="仿宋_GB2312"/>
          <w:sz w:val="32"/>
          <w:szCs w:val="32"/>
        </w:rPr>
      </w:pPr>
      <w:r>
        <w:rPr>
          <w:rFonts w:hint="eastAsia" w:ascii="Times New Roman" w:eastAsia="仿宋_GB2312" w:cs="仿宋_GB2312"/>
          <w:sz w:val="32"/>
          <w:szCs w:val="32"/>
        </w:rPr>
        <w:t>纳入</w:t>
      </w:r>
      <w:r>
        <w:rPr>
          <w:rFonts w:eastAsia="仿宋_GB2312"/>
          <w:sz w:val="32"/>
          <w:szCs w:val="32"/>
        </w:rPr>
        <w:t>中共阿坝州壤塘县委组织部</w:t>
      </w:r>
      <w:r>
        <w:rPr>
          <w:rFonts w:hint="eastAsia" w:ascii="Times New Roman" w:cs="仿宋_GB2312"/>
          <w:sz w:val="32"/>
          <w:szCs w:val="32"/>
        </w:rPr>
        <w:t>2025年度</w:t>
      </w:r>
      <w:r>
        <w:rPr>
          <w:rFonts w:hint="eastAsia" w:ascii="Times New Roman" w:eastAsia="仿宋_GB2312" w:cs="仿宋_GB2312"/>
          <w:sz w:val="32"/>
          <w:szCs w:val="32"/>
        </w:rPr>
        <w:t>部门决算编制范围的二级预算单位包括：</w:t>
      </w:r>
    </w:p>
    <w:p w14:paraId="4D38390F">
      <w:pPr>
        <w:pStyle w:val="8"/>
        <w:numPr>
          <w:ilvl w:val="0"/>
          <w:numId w:val="2"/>
        </w:numPr>
        <w:adjustRightInd w:val="0"/>
        <w:snapToGrid w:val="0"/>
        <w:spacing w:before="93" w:line="600" w:lineRule="exact"/>
        <w:outlineLvl w:val="2"/>
        <w:rPr>
          <w:rFonts w:ascii="Times New Roman" w:eastAsia="仿宋_GB2312" w:cs="仿宋_GB2312"/>
          <w:sz w:val="32"/>
          <w:szCs w:val="32"/>
        </w:rPr>
      </w:pPr>
      <w:bookmarkStart w:id="24" w:name="_Toc15306276"/>
      <w:bookmarkStart w:id="25" w:name="_Toc15377433"/>
      <w:bookmarkStart w:id="26" w:name="_Toc15377202"/>
      <w:bookmarkStart w:id="27" w:name="_Toc15378449"/>
      <w:r>
        <w:rPr>
          <w:rFonts w:eastAsia="仿宋_GB2312"/>
          <w:sz w:val="32"/>
          <w:szCs w:val="32"/>
        </w:rPr>
        <w:t>中共阿坝州壤塘县委组织部</w:t>
      </w:r>
      <w:bookmarkEnd w:id="24"/>
      <w:bookmarkEnd w:id="25"/>
      <w:bookmarkEnd w:id="26"/>
      <w:bookmarkEnd w:id="27"/>
    </w:p>
    <w:p w14:paraId="3B82F073">
      <w:pPr>
        <w:pStyle w:val="8"/>
        <w:numPr>
          <w:ilvl w:val="0"/>
          <w:numId w:val="2"/>
        </w:numPr>
        <w:adjustRightInd w:val="0"/>
        <w:snapToGrid w:val="0"/>
        <w:spacing w:before="93" w:line="600" w:lineRule="exact"/>
        <w:outlineLvl w:val="2"/>
        <w:rPr>
          <w:rFonts w:ascii="Times New Roman" w:eastAsia="仿宋_GB2312" w:cs="仿宋_GB2312"/>
          <w:sz w:val="32"/>
          <w:szCs w:val="32"/>
        </w:rPr>
      </w:pPr>
      <w:bookmarkStart w:id="28" w:name="_Toc15377434"/>
      <w:bookmarkStart w:id="29" w:name="_Toc15306277"/>
      <w:bookmarkStart w:id="30" w:name="_Toc15377203"/>
      <w:bookmarkStart w:id="31" w:name="_Toc15378450"/>
      <w:r>
        <w:rPr>
          <w:rFonts w:hint="eastAsia" w:eastAsia="仿宋_GB2312"/>
          <w:sz w:val="32"/>
          <w:szCs w:val="32"/>
        </w:rPr>
        <w:t>中共阿坝州壤塘县委组织部干部档案管理中心</w:t>
      </w:r>
      <w:bookmarkEnd w:id="28"/>
      <w:bookmarkEnd w:id="29"/>
      <w:bookmarkEnd w:id="30"/>
      <w:bookmarkEnd w:id="31"/>
    </w:p>
    <w:p w14:paraId="24A55E38">
      <w:pPr>
        <w:spacing w:line="560" w:lineRule="exact"/>
        <w:jc w:val="center"/>
        <w:outlineLvl w:val="0"/>
        <w:rPr>
          <w:rFonts w:ascii="仿宋" w:hAnsi="仿宋" w:eastAsia="仿宋" w:cs="仿宋"/>
          <w:b/>
          <w:bCs/>
          <w:sz w:val="32"/>
          <w:szCs w:val="32"/>
        </w:rPr>
      </w:pPr>
      <w:r>
        <w:rPr>
          <w:rFonts w:hint="eastAsia" w:ascii="仿宋_GB2312" w:hAnsi="仿宋_GB2312" w:eastAsia="仿宋_GB2312" w:cs="仿宋_GB2312"/>
          <w:sz w:val="32"/>
          <w:szCs w:val="32"/>
        </w:rPr>
        <w:br w:type="page"/>
      </w:r>
      <w:bookmarkStart w:id="32" w:name="_Toc16458"/>
      <w:bookmarkStart w:id="33" w:name="_Toc9893"/>
      <w:bookmarkStart w:id="34" w:name="_Toc15396602"/>
      <w:bookmarkStart w:id="35" w:name="_Toc15377204"/>
      <w:r>
        <w:rPr>
          <w:rFonts w:hint="eastAsia" w:ascii="黑体" w:hAnsi="黑体" w:eastAsia="黑体" w:cs="黑体"/>
          <w:sz w:val="32"/>
          <w:szCs w:val="32"/>
        </w:rPr>
        <w:t>第二部分 2025年度部门决算情况说明</w:t>
      </w:r>
      <w:bookmarkEnd w:id="32"/>
      <w:bookmarkEnd w:id="33"/>
      <w:bookmarkEnd w:id="34"/>
      <w:bookmarkEnd w:id="35"/>
    </w:p>
    <w:p w14:paraId="77201E70">
      <w:pPr>
        <w:pStyle w:val="34"/>
        <w:spacing w:line="560" w:lineRule="exact"/>
        <w:ind w:left="1360" w:hanging="720" w:firstLineChars="0"/>
        <w:rPr>
          <w:rFonts w:ascii="楷体_GB2312" w:hAnsi="楷体_GB2312" w:eastAsia="楷体_GB2312" w:cs="楷体_GB2312"/>
          <w:b/>
          <w:bCs/>
          <w:sz w:val="32"/>
          <w:szCs w:val="32"/>
        </w:rPr>
      </w:pPr>
      <w:bookmarkStart w:id="36" w:name="_Toc15377205"/>
      <w:bookmarkStart w:id="37" w:name="_Toc18208"/>
      <w:bookmarkStart w:id="38" w:name="_Toc15396603"/>
    </w:p>
    <w:p w14:paraId="6C86FBAA">
      <w:pPr>
        <w:pStyle w:val="34"/>
        <w:spacing w:line="560" w:lineRule="exact"/>
        <w:ind w:left="1360" w:hanging="720" w:firstLineChars="0"/>
        <w:outlineLvl w:val="1"/>
        <w:rPr>
          <w:rFonts w:ascii="楷体_GB2312" w:hAnsi="楷体_GB2312" w:eastAsia="楷体_GB2312" w:cs="楷体_GB2312"/>
          <w:b/>
          <w:bCs/>
          <w:sz w:val="32"/>
          <w:szCs w:val="32"/>
        </w:rPr>
      </w:pPr>
      <w:bookmarkStart w:id="39" w:name="_Toc27841"/>
      <w:r>
        <w:rPr>
          <w:rFonts w:ascii="楷体_GB2312" w:hAnsi="楷体_GB2312" w:eastAsia="楷体_GB2312" w:cs="楷体_GB2312"/>
          <w:b/>
          <w:bCs/>
          <w:sz w:val="32"/>
          <w:szCs w:val="32"/>
        </w:rPr>
        <w:t>一、收入支出决算总体情况说明</w:t>
      </w:r>
      <w:bookmarkEnd w:id="36"/>
      <w:bookmarkEnd w:id="37"/>
      <w:bookmarkEnd w:id="38"/>
      <w:bookmarkEnd w:id="39"/>
    </w:p>
    <w:p w14:paraId="6AEBB80E">
      <w:pPr>
        <w:spacing w:line="560" w:lineRule="exact"/>
        <w:ind w:firstLine="640" w:firstLineChars="200"/>
        <w:rPr>
          <w:rFonts w:ascii="仿宋" w:hAnsi="仿宋" w:eastAsia="仿宋" w:cs="仿宋"/>
          <w:color w:val="000000"/>
          <w:sz w:val="32"/>
          <w:szCs w:val="32"/>
        </w:rPr>
      </w:pPr>
      <w:r>
        <w:rPr>
          <w:rFonts w:hint="eastAsia" w:eastAsia="仿宋_GB2312" w:cs="仿宋_GB2312"/>
          <w:sz w:val="32"/>
          <w:szCs w:val="32"/>
        </w:rPr>
        <w:t>2025年度收入为1711.34万元。与上年度相比，收入、总计减少179.13万元，下降10.47%。主要变动原因是项目减少，所以收入减少</w:t>
      </w:r>
      <w:r>
        <w:rPr>
          <w:rFonts w:hint="eastAsia" w:ascii="仿宋" w:hAnsi="仿宋" w:eastAsia="仿宋" w:cs="仿宋"/>
          <w:color w:val="000000"/>
          <w:sz w:val="32"/>
          <w:szCs w:val="32"/>
        </w:rPr>
        <w:t>。</w:t>
      </w:r>
    </w:p>
    <w:p w14:paraId="543C4958">
      <w:pPr>
        <w:spacing w:line="560" w:lineRule="exact"/>
        <w:ind w:firstLine="640" w:firstLineChars="200"/>
        <w:rPr>
          <w:rFonts w:ascii="仿宋" w:hAnsi="仿宋" w:eastAsia="仿宋" w:cs="仿宋"/>
          <w:color w:val="000000"/>
          <w:sz w:val="32"/>
          <w:szCs w:val="32"/>
        </w:rPr>
      </w:pPr>
      <w:r>
        <w:rPr>
          <w:rFonts w:hint="eastAsia" w:eastAsia="仿宋_GB2312" w:cs="仿宋_GB2312"/>
          <w:sz w:val="32"/>
          <w:szCs w:val="32"/>
        </w:rPr>
        <w:t>2025年度支出为1686.22万元。与上年度相比，收入、总计减少189.24万元，下降11.22%。主要变动原因是项目减少，所以支出减少</w:t>
      </w:r>
      <w:r>
        <w:rPr>
          <w:rFonts w:hint="eastAsia" w:ascii="仿宋" w:hAnsi="仿宋" w:eastAsia="仿宋" w:cs="仿宋"/>
          <w:color w:val="000000"/>
          <w:sz w:val="32"/>
          <w:szCs w:val="32"/>
        </w:rPr>
        <w:t>。</w:t>
      </w:r>
    </w:p>
    <w:p w14:paraId="0E175EF4">
      <w:pPr>
        <w:pStyle w:val="27"/>
        <w:jc w:val="center"/>
        <w:rPr>
          <w:rFonts w:ascii="Times New Roman" w:hAnsi="Times New Roman" w:eastAsia="仿宋_GB2312" w:cs="Times New Roman"/>
          <w:sz w:val="32"/>
          <w:szCs w:val="32"/>
        </w:rPr>
      </w:pPr>
      <w:r>
        <w:drawing>
          <wp:inline distT="0" distB="0" distL="114300" distR="114300">
            <wp:extent cx="4705350" cy="2675255"/>
            <wp:effectExtent l="4445" t="4445" r="14605" b="17780"/>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drawing>
          <wp:inline distT="0" distB="0" distL="114300" distR="114300">
            <wp:extent cx="4617085" cy="2497455"/>
            <wp:effectExtent l="4445" t="4445" r="11430" b="12700"/>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84F085">
      <w:pPr>
        <w:spacing w:line="560" w:lineRule="exact"/>
        <w:ind w:firstLine="640" w:firstLineChars="200"/>
        <w:rPr>
          <w:rStyle w:val="47"/>
          <w:rFonts w:ascii="Times New Roman" w:hAnsi="Times New Roman" w:eastAsia="仿宋_GB2312"/>
          <w:sz w:val="32"/>
          <w:szCs w:val="32"/>
        </w:rPr>
      </w:pPr>
      <w:r>
        <w:rPr>
          <w:rStyle w:val="47"/>
          <w:rFonts w:ascii="Times New Roman" w:hAnsi="Times New Roman" w:eastAsia="仿宋_GB2312"/>
          <w:sz w:val="32"/>
          <w:szCs w:val="32"/>
        </w:rPr>
        <w:t>（图1：收、支决算总计变动情况图）（柱状图）</w:t>
      </w:r>
    </w:p>
    <w:p w14:paraId="60748661">
      <w:pPr>
        <w:pStyle w:val="34"/>
        <w:spacing w:line="560" w:lineRule="exact"/>
        <w:ind w:left="1360" w:hanging="720" w:firstLineChars="0"/>
        <w:outlineLvl w:val="1"/>
        <w:rPr>
          <w:rFonts w:ascii="楷体_GB2312" w:hAnsi="楷体_GB2312" w:eastAsia="楷体_GB2312" w:cs="楷体_GB2312"/>
          <w:b/>
          <w:bCs/>
          <w:sz w:val="32"/>
          <w:szCs w:val="32"/>
        </w:rPr>
      </w:pPr>
      <w:bookmarkStart w:id="40" w:name="_Toc15377206"/>
      <w:bookmarkStart w:id="41" w:name="_Toc32582"/>
      <w:bookmarkStart w:id="42" w:name="_Toc27689"/>
      <w:bookmarkStart w:id="43" w:name="_Toc15396604"/>
      <w:r>
        <w:rPr>
          <w:rFonts w:ascii="楷体_GB2312" w:hAnsi="楷体_GB2312" w:eastAsia="楷体_GB2312" w:cs="楷体_GB2312"/>
          <w:b/>
          <w:bCs/>
          <w:sz w:val="32"/>
          <w:szCs w:val="32"/>
        </w:rPr>
        <w:t>二、收入决算情况说明</w:t>
      </w:r>
      <w:bookmarkEnd w:id="40"/>
      <w:bookmarkEnd w:id="41"/>
      <w:bookmarkEnd w:id="42"/>
      <w:bookmarkEnd w:id="43"/>
    </w:p>
    <w:p w14:paraId="65FB90EB">
      <w:pPr>
        <w:spacing w:line="560" w:lineRule="exact"/>
        <w:ind w:firstLine="640" w:firstLineChars="200"/>
        <w:rPr>
          <w:rStyle w:val="47"/>
          <w:rFonts w:ascii="Times New Roman" w:hAnsi="Times New Roman" w:eastAsia="仿宋_GB2312"/>
          <w:sz w:val="32"/>
          <w:szCs w:val="32"/>
        </w:rPr>
      </w:pPr>
      <w:bookmarkStart w:id="44" w:name="_Toc13887"/>
      <w:bookmarkStart w:id="45" w:name="_Toc5986"/>
      <w:r>
        <w:rPr>
          <w:rFonts w:hint="eastAsia" w:eastAsia="仿宋_GB2312" w:cs="仿宋_GB2312"/>
          <w:sz w:val="32"/>
          <w:szCs w:val="32"/>
        </w:rPr>
        <w:t>2025年度本年收入合计1711.34万元，其中：一般公共预算财政拨款收入1682.85万元，占98.34%；其他收入28.49万元，占1.66%。</w:t>
      </w:r>
      <w:bookmarkEnd w:id="44"/>
      <w:bookmarkEnd w:id="45"/>
    </w:p>
    <w:p w14:paraId="662B51B8">
      <w:pPr>
        <w:pStyle w:val="27"/>
        <w:jc w:val="both"/>
        <w:rPr>
          <w:rFonts w:ascii="Times New Roman" w:hAnsi="Times New Roman" w:cs="Times New Roman"/>
          <w:sz w:val="32"/>
          <w:szCs w:val="32"/>
        </w:rPr>
      </w:pPr>
      <w:r>
        <w:rPr>
          <w:rFonts w:hint="eastAsia" w:ascii="Times New Roman" w:hAnsi="Times New Roman" w:cs="Times New Roman"/>
          <w:sz w:val="32"/>
          <w:szCs w:val="32"/>
        </w:rPr>
        <w:drawing>
          <wp:inline distT="0" distB="0" distL="114300" distR="114300">
            <wp:extent cx="5256530" cy="2988310"/>
            <wp:effectExtent l="5080" t="4445" r="11430" b="95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DF149AB">
      <w:pPr>
        <w:spacing w:line="560" w:lineRule="exact"/>
        <w:ind w:firstLine="643" w:firstLineChars="200"/>
        <w:rPr>
          <w:rFonts w:eastAsia="仿宋_GB2312"/>
          <w:b/>
          <w:bCs/>
          <w:sz w:val="32"/>
          <w:szCs w:val="32"/>
        </w:rPr>
      </w:pPr>
      <w:r>
        <w:rPr>
          <w:rFonts w:eastAsia="仿宋_GB2312"/>
          <w:b/>
          <w:bCs/>
          <w:sz w:val="32"/>
          <w:szCs w:val="32"/>
        </w:rPr>
        <w:t>（图2：收入决算结构图）（饼状图）</w:t>
      </w:r>
    </w:p>
    <w:p w14:paraId="69D8C5BF">
      <w:pPr>
        <w:pStyle w:val="34"/>
        <w:spacing w:line="560" w:lineRule="exact"/>
        <w:ind w:left="1360" w:hanging="720" w:firstLineChars="0"/>
        <w:outlineLvl w:val="1"/>
        <w:rPr>
          <w:rFonts w:ascii="楷体_GB2312" w:hAnsi="楷体_GB2312" w:eastAsia="楷体_GB2312" w:cs="楷体_GB2312"/>
          <w:b/>
          <w:bCs/>
          <w:sz w:val="32"/>
          <w:szCs w:val="32"/>
        </w:rPr>
      </w:pPr>
      <w:bookmarkStart w:id="46" w:name="_Toc6400"/>
      <w:bookmarkStart w:id="47" w:name="_Toc22715"/>
      <w:bookmarkStart w:id="48" w:name="_Toc15396605"/>
      <w:bookmarkStart w:id="49" w:name="_Toc15377207"/>
      <w:r>
        <w:rPr>
          <w:rFonts w:ascii="楷体_GB2312" w:hAnsi="楷体_GB2312" w:eastAsia="楷体_GB2312" w:cs="楷体_GB2312"/>
          <w:b/>
          <w:bCs/>
          <w:sz w:val="32"/>
          <w:szCs w:val="32"/>
        </w:rPr>
        <w:t>三、支出决算情况说明</w:t>
      </w:r>
      <w:bookmarkEnd w:id="46"/>
      <w:bookmarkEnd w:id="47"/>
      <w:bookmarkEnd w:id="48"/>
      <w:bookmarkEnd w:id="49"/>
    </w:p>
    <w:p w14:paraId="2B32F968">
      <w:pPr>
        <w:spacing w:line="560" w:lineRule="exact"/>
        <w:ind w:firstLine="640" w:firstLineChars="200"/>
        <w:rPr>
          <w:rFonts w:eastAsia="仿宋_GB2312"/>
          <w:sz w:val="32"/>
          <w:szCs w:val="32"/>
        </w:rPr>
      </w:pPr>
      <w:bookmarkStart w:id="50" w:name="_Toc20789"/>
      <w:bookmarkStart w:id="51" w:name="_Toc25808"/>
      <w:r>
        <w:rPr>
          <w:rFonts w:hint="eastAsia" w:eastAsia="仿宋_GB2312" w:cs="仿宋_GB2312"/>
          <w:sz w:val="32"/>
          <w:szCs w:val="32"/>
        </w:rPr>
        <w:t>2025年度本年支出合计1686.22万元，其中：基本支出823.57万元，占48.84%；项目支出862.65万元，占51.16%；</w:t>
      </w:r>
      <w:bookmarkEnd w:id="50"/>
      <w:bookmarkEnd w:id="51"/>
    </w:p>
    <w:p w14:paraId="5C51FE27">
      <w:pPr>
        <w:pStyle w:val="27"/>
        <w:jc w:val="center"/>
        <w:rPr>
          <w:rFonts w:ascii="Times New Roman" w:hAnsi="Times New Roman" w:eastAsia="仿宋_GB2312" w:cs="Times New Roman"/>
          <w:sz w:val="32"/>
          <w:szCs w:val="32"/>
          <w:shd w:val="pct10" w:color="auto" w:fill="FFFFFF"/>
        </w:rPr>
      </w:pPr>
      <w:r>
        <w:rPr>
          <w:rFonts w:hint="eastAsia" w:ascii="Times New Roman" w:hAnsi="Times New Roman" w:cs="Times New Roman"/>
          <w:sz w:val="32"/>
          <w:szCs w:val="32"/>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3B7290">
      <w:pPr>
        <w:spacing w:line="560" w:lineRule="exact"/>
        <w:ind w:firstLine="643" w:firstLineChars="200"/>
        <w:rPr>
          <w:rFonts w:eastAsia="仿宋_GB2312"/>
          <w:sz w:val="32"/>
          <w:szCs w:val="32"/>
        </w:rPr>
      </w:pPr>
      <w:r>
        <w:rPr>
          <w:rFonts w:eastAsia="仿宋_GB2312"/>
          <w:b/>
          <w:bCs/>
          <w:sz w:val="32"/>
          <w:szCs w:val="32"/>
        </w:rPr>
        <w:t>（图3：支出决算结构图）（饼状图）</w:t>
      </w:r>
    </w:p>
    <w:p w14:paraId="590AD04C">
      <w:pPr>
        <w:spacing w:line="560" w:lineRule="exact"/>
        <w:ind w:firstLine="643" w:firstLineChars="200"/>
        <w:outlineLvl w:val="1"/>
        <w:rPr>
          <w:rFonts w:ascii="楷体_GB2312" w:hAnsi="楷体_GB2312" w:eastAsia="楷体_GB2312" w:cs="楷体_GB2312"/>
          <w:b/>
          <w:bCs/>
          <w:sz w:val="32"/>
          <w:szCs w:val="32"/>
        </w:rPr>
      </w:pPr>
      <w:bookmarkStart w:id="52" w:name="_Toc15377208"/>
      <w:bookmarkStart w:id="53" w:name="_Toc10006"/>
      <w:bookmarkStart w:id="54" w:name="_Toc6272"/>
      <w:bookmarkStart w:id="55" w:name="_Toc15396606"/>
      <w:r>
        <w:rPr>
          <w:rFonts w:ascii="楷体_GB2312" w:hAnsi="楷体_GB2312" w:eastAsia="楷体_GB2312" w:cs="楷体_GB2312"/>
          <w:b/>
          <w:bCs/>
          <w:sz w:val="32"/>
          <w:szCs w:val="32"/>
        </w:rPr>
        <w:t>四、财政拨款收入支出决算总体情况说明</w:t>
      </w:r>
      <w:bookmarkEnd w:id="52"/>
      <w:bookmarkEnd w:id="53"/>
      <w:bookmarkEnd w:id="54"/>
      <w:bookmarkEnd w:id="55"/>
    </w:p>
    <w:p w14:paraId="1713DE04">
      <w:pPr>
        <w:spacing w:line="600" w:lineRule="exact"/>
        <w:ind w:firstLine="640"/>
        <w:rPr>
          <w:rFonts w:eastAsia="仿宋_GB2312" w:cs="仿宋_GB2312"/>
          <w:sz w:val="32"/>
          <w:szCs w:val="32"/>
        </w:rPr>
      </w:pPr>
      <w:r>
        <w:rPr>
          <w:rFonts w:hint="eastAsia" w:eastAsia="仿宋_GB2312" w:cs="仿宋_GB2312"/>
          <w:sz w:val="32"/>
          <w:szCs w:val="32"/>
        </w:rPr>
        <w:t>2025年度财政拨款收入、支出总计均为1682.85万元。与上年度相比，财政拨款收入、支出总计各减少192.61万元，下降11.45%。主要变动原因是项目减少。</w:t>
      </w:r>
    </w:p>
    <w:p w14:paraId="78FF50DA">
      <w:pPr>
        <w:pStyle w:val="27"/>
        <w:jc w:val="center"/>
      </w:pPr>
      <w:r>
        <w:drawing>
          <wp:inline distT="0" distB="0" distL="114300" distR="114300">
            <wp:extent cx="4705350" cy="2675255"/>
            <wp:effectExtent l="4445" t="4445" r="14605" b="635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616550">
      <w:pPr>
        <w:pStyle w:val="27"/>
        <w:jc w:val="center"/>
      </w:pPr>
      <w:r>
        <w:drawing>
          <wp:inline distT="0" distB="0" distL="114300" distR="114300">
            <wp:extent cx="4705350" cy="2675255"/>
            <wp:effectExtent l="4445" t="4445" r="14605" b="6350"/>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10CDCE">
      <w:pPr>
        <w:spacing w:line="560" w:lineRule="exact"/>
        <w:ind w:firstLine="643" w:firstLineChars="200"/>
        <w:rPr>
          <w:rFonts w:eastAsia="仿宋_GB2312"/>
          <w:b/>
          <w:sz w:val="32"/>
          <w:szCs w:val="32"/>
        </w:rPr>
      </w:pPr>
      <w:r>
        <w:rPr>
          <w:rFonts w:eastAsia="仿宋_GB2312"/>
          <w:b/>
          <w:bCs/>
          <w:sz w:val="32"/>
          <w:szCs w:val="32"/>
        </w:rPr>
        <w:t>（图4：财政拨款收、支决算总计变动情况）（柱状图）</w:t>
      </w:r>
    </w:p>
    <w:p w14:paraId="4D7B8576">
      <w:pPr>
        <w:spacing w:line="560" w:lineRule="exact"/>
        <w:ind w:firstLine="643" w:firstLineChars="200"/>
        <w:outlineLvl w:val="1"/>
        <w:rPr>
          <w:rFonts w:ascii="楷体_GB2312" w:hAnsi="楷体_GB2312" w:eastAsia="楷体_GB2312" w:cs="楷体_GB2312"/>
          <w:b/>
          <w:bCs/>
          <w:sz w:val="32"/>
          <w:szCs w:val="32"/>
        </w:rPr>
      </w:pPr>
      <w:bookmarkStart w:id="56" w:name="_Toc15377209"/>
      <w:bookmarkStart w:id="57" w:name="_Toc14948"/>
      <w:bookmarkStart w:id="58" w:name="_Toc15396607"/>
      <w:bookmarkStart w:id="59" w:name="_Toc17027"/>
      <w:r>
        <w:rPr>
          <w:rFonts w:ascii="楷体_GB2312" w:hAnsi="楷体_GB2312" w:eastAsia="楷体_GB2312" w:cs="楷体_GB2312"/>
          <w:b/>
          <w:bCs/>
          <w:sz w:val="32"/>
          <w:szCs w:val="32"/>
        </w:rPr>
        <w:t>五、一般公共预算财政拨款支出决算情况说明</w:t>
      </w:r>
      <w:bookmarkEnd w:id="56"/>
      <w:bookmarkEnd w:id="57"/>
      <w:bookmarkEnd w:id="58"/>
      <w:bookmarkEnd w:id="59"/>
    </w:p>
    <w:p w14:paraId="7B7807B4">
      <w:pPr>
        <w:spacing w:line="560" w:lineRule="exact"/>
        <w:ind w:firstLine="643" w:firstLineChars="200"/>
        <w:outlineLvl w:val="2"/>
        <w:rPr>
          <w:rFonts w:eastAsia="仿宋_GB2312"/>
          <w:b/>
          <w:bCs/>
          <w:sz w:val="32"/>
          <w:szCs w:val="32"/>
        </w:rPr>
      </w:pPr>
      <w:bookmarkStart w:id="60" w:name="_Toc15377210"/>
      <w:r>
        <w:rPr>
          <w:rFonts w:eastAsia="仿宋_GB2312"/>
          <w:b/>
          <w:bCs/>
          <w:sz w:val="32"/>
          <w:szCs w:val="32"/>
        </w:rPr>
        <w:t>（一）一般公共预算财政拨款支出决算总体情况</w:t>
      </w:r>
      <w:bookmarkEnd w:id="60"/>
    </w:p>
    <w:p w14:paraId="50A1CA5D">
      <w:pPr>
        <w:spacing w:line="600" w:lineRule="exact"/>
        <w:ind w:firstLine="640"/>
        <w:rPr>
          <w:rFonts w:eastAsia="仿宋_GB2312"/>
          <w:sz w:val="32"/>
          <w:szCs w:val="32"/>
        </w:rPr>
      </w:pPr>
      <w:r>
        <w:rPr>
          <w:rFonts w:hint="eastAsia" w:eastAsia="仿宋_GB2312" w:cs="仿宋_GB2312"/>
          <w:sz w:val="32"/>
          <w:szCs w:val="32"/>
        </w:rPr>
        <w:t>2025年度一般公共预算财政拨款支出1682.85万元，占本年支出合计的99.80%。与上年度相比，一般公共预算财政拨款支出减少192.61万元，下降11.45%。主要变动原因是项目减少。</w:t>
      </w:r>
    </w:p>
    <w:p w14:paraId="4F8F82B6">
      <w:pPr>
        <w:jc w:val="center"/>
        <w:rPr>
          <w:rFonts w:ascii="仿宋" w:hAnsi="仿宋" w:eastAsia="仿宋" w:cs="仿宋"/>
          <w:bCs/>
          <w:sz w:val="28"/>
          <w:szCs w:val="28"/>
        </w:rPr>
      </w:pPr>
      <w:r>
        <w:drawing>
          <wp:inline distT="0" distB="0" distL="114300" distR="114300">
            <wp:extent cx="4705350" cy="2675255"/>
            <wp:effectExtent l="4445" t="4445" r="14605" b="6350"/>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2DD1E59">
      <w:pPr>
        <w:spacing w:line="560" w:lineRule="exact"/>
        <w:rPr>
          <w:rFonts w:eastAsia="仿宋_GB2312"/>
          <w:sz w:val="32"/>
          <w:szCs w:val="32"/>
        </w:rPr>
      </w:pPr>
      <w:r>
        <w:rPr>
          <w:rFonts w:eastAsia="仿宋_GB2312"/>
          <w:b/>
          <w:bCs/>
          <w:sz w:val="32"/>
          <w:szCs w:val="32"/>
        </w:rPr>
        <w:t>（图5：一般公共预算财政拨款支出决算变动情况）（柱状图）</w:t>
      </w:r>
    </w:p>
    <w:p w14:paraId="0D8C20AF">
      <w:pPr>
        <w:spacing w:line="560" w:lineRule="exact"/>
        <w:ind w:firstLine="643" w:firstLineChars="200"/>
        <w:outlineLvl w:val="2"/>
        <w:rPr>
          <w:rFonts w:eastAsia="仿宋_GB2312"/>
          <w:b/>
          <w:bCs/>
          <w:sz w:val="32"/>
          <w:szCs w:val="32"/>
        </w:rPr>
      </w:pPr>
      <w:bookmarkStart w:id="61" w:name="_Toc15377211"/>
      <w:r>
        <w:rPr>
          <w:rFonts w:eastAsia="仿宋_GB2312"/>
          <w:b/>
          <w:bCs/>
          <w:sz w:val="32"/>
          <w:szCs w:val="32"/>
        </w:rPr>
        <w:t>（二）一般公共预算财政拨款支出决算结构情况</w:t>
      </w:r>
      <w:bookmarkEnd w:id="61"/>
    </w:p>
    <w:p w14:paraId="0F7561DB">
      <w:pPr>
        <w:spacing w:line="360" w:lineRule="auto"/>
        <w:ind w:firstLine="641"/>
        <w:rPr>
          <w:rFonts w:eastAsia="仿宋_GB2312"/>
          <w:b/>
          <w:sz w:val="32"/>
          <w:szCs w:val="32"/>
        </w:rPr>
      </w:pPr>
      <w:r>
        <w:rPr>
          <w:rFonts w:hint="eastAsia" w:eastAsia="仿宋_GB2312" w:cs="仿宋_GB2312"/>
          <w:sz w:val="32"/>
          <w:szCs w:val="32"/>
        </w:rPr>
        <w:t>2025年度一般公共预算财政拨款支出1682.85万元，主要用于以下方面：一般公共服务支出1454.81万元，占86.45%；社会保障和就业支出101.58万元，占6.04%；卫生健康支出36.39万元，占2.16%；农林水支出39.30万元，占2.34%</w:t>
      </w:r>
      <w:r>
        <w:rPr>
          <w:rFonts w:hint="eastAsia" w:eastAsia="仿宋_GB2312"/>
          <w:sz w:val="32"/>
          <w:szCs w:val="32"/>
        </w:rPr>
        <w:t>;</w:t>
      </w:r>
      <w:r>
        <w:rPr>
          <w:rFonts w:hint="eastAsia" w:eastAsia="仿宋_GB2312" w:cs="仿宋_GB2312"/>
          <w:sz w:val="32"/>
          <w:szCs w:val="32"/>
        </w:rPr>
        <w:t>住房保障支出50.78万元，占3.01%。</w:t>
      </w:r>
      <w:r>
        <w:rPr>
          <w:rFonts w:hint="eastAsia" w:eastAsia="仿宋"/>
          <w:sz w:val="32"/>
          <w:szCs w:val="32"/>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7E28B9">
      <w:pPr>
        <w:pStyle w:val="27"/>
        <w:jc w:val="center"/>
        <w:rPr>
          <w:rFonts w:ascii="Times New Roman" w:hAnsi="Times New Roman" w:eastAsia="仿宋_GB2312" w:cs="Times New Roman"/>
          <w:sz w:val="32"/>
          <w:szCs w:val="32"/>
        </w:rPr>
      </w:pPr>
    </w:p>
    <w:p w14:paraId="3AD356C0">
      <w:pPr>
        <w:spacing w:line="560" w:lineRule="exact"/>
        <w:ind w:firstLine="643" w:firstLineChars="200"/>
        <w:rPr>
          <w:rFonts w:eastAsia="仿宋_GB2312"/>
          <w:sz w:val="32"/>
          <w:szCs w:val="32"/>
        </w:rPr>
      </w:pPr>
      <w:r>
        <w:rPr>
          <w:rFonts w:eastAsia="仿宋_GB2312"/>
          <w:b/>
          <w:bCs/>
          <w:sz w:val="32"/>
          <w:szCs w:val="32"/>
        </w:rPr>
        <w:t>（图6：一般公共预算财政拨款支出决算结构）（饼状图）</w:t>
      </w:r>
    </w:p>
    <w:p w14:paraId="24172F4C">
      <w:pPr>
        <w:spacing w:line="560" w:lineRule="exact"/>
        <w:ind w:firstLine="643" w:firstLineChars="200"/>
        <w:outlineLvl w:val="2"/>
        <w:rPr>
          <w:rFonts w:eastAsia="仿宋_GB2312"/>
          <w:b/>
          <w:bCs/>
          <w:sz w:val="32"/>
          <w:szCs w:val="32"/>
        </w:rPr>
      </w:pPr>
      <w:bookmarkStart w:id="62" w:name="_Toc15377212"/>
      <w:r>
        <w:rPr>
          <w:rFonts w:eastAsia="仿宋_GB2312"/>
          <w:b/>
          <w:bCs/>
          <w:sz w:val="32"/>
          <w:szCs w:val="32"/>
        </w:rPr>
        <w:t>（三）一般公共预算财政拨款支出决算具体情况</w:t>
      </w:r>
      <w:bookmarkEnd w:id="62"/>
    </w:p>
    <w:p w14:paraId="41AF619F">
      <w:pPr>
        <w:spacing w:line="600" w:lineRule="exact"/>
        <w:ind w:firstLine="640"/>
        <w:rPr>
          <w:rFonts w:eastAsia="仿宋_GB2312" w:cs="仿宋_GB2312"/>
          <w:sz w:val="32"/>
          <w:szCs w:val="32"/>
        </w:rPr>
      </w:pPr>
      <w:bookmarkStart w:id="63" w:name="_Toc15377213"/>
      <w:bookmarkStart w:id="64" w:name="_Toc25701"/>
      <w:bookmarkStart w:id="65" w:name="_Toc20654"/>
      <w:bookmarkStart w:id="66" w:name="_Toc15378460"/>
      <w:bookmarkStart w:id="67" w:name="_Toc15377444"/>
      <w:r>
        <w:rPr>
          <w:rFonts w:hint="eastAsia" w:eastAsia="仿宋_GB2312" w:cs="仿宋_GB2312"/>
          <w:sz w:val="32"/>
          <w:szCs w:val="32"/>
        </w:rPr>
        <w:t>2025年度一般公共预算支出决算数为1682.85，完成预算100%。其中：</w:t>
      </w:r>
    </w:p>
    <w:p w14:paraId="3B21EC6F">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1、一般公共服务支出（类）组织事务（款）行政运行（项）：支出决算为585.67万元，完成预算100%，决算数等于预算数。</w:t>
      </w:r>
    </w:p>
    <w:p w14:paraId="5BC19CF1">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2、一般公共服务支出（类）组织事务（款）一般行政管理事务（项）：支出决算为713.19万元，完成预算100%，决算数等于预算数。</w:t>
      </w:r>
    </w:p>
    <w:p w14:paraId="7BBA8F31">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3、一般公共服务支出（类）组织事务（款）事业运行（项）：支出决算为49.15万元，完成预算100%，决算数等于预算数。</w:t>
      </w:r>
    </w:p>
    <w:p w14:paraId="17D7D0DE">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4、一般公共服务支出（类）组织事务（款）其他组织事务支出（项）：支出决算为106.8万元，完成预算100%，决算数等于预算数。</w:t>
      </w:r>
    </w:p>
    <w:p w14:paraId="24531BE1">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5、社会保障和就业支出（类）行政事业单位养老支出（款）机关事业单位基本养老保险缴费支出（项）：支出决算为67.66万元，完成预算100%，决算数等于预算数。</w:t>
      </w:r>
    </w:p>
    <w:p w14:paraId="3792FF74">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6、社会保障和就业支出（类）行政事业单位养老支出（款）机关事业单位职业年金缴费支出（项）：支出决算为33.92万元，完成预算100%，决算数等于预算数。</w:t>
      </w:r>
    </w:p>
    <w:p w14:paraId="2F661826">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7、卫生健康支出（类）行政事业单位医疗（款）行政单位医疗（项）：支出决算为26.71万元，完成预算100%，决算数等于预算数。</w:t>
      </w:r>
    </w:p>
    <w:p w14:paraId="3EB1A9DF">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8、卫生健康支出（类）行政事业单位医疗（款）事业单位医疗（项）：支出决算为2.79万元，完成预算100%，决算数等于预算数。</w:t>
      </w:r>
    </w:p>
    <w:p w14:paraId="228BBB8D">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9、卫生健康支出（类）行政事业单位医疗（款）公务员医疗补助（项）：支出决算为6.44万元，完成预算100%，决算数等于预算数。</w:t>
      </w:r>
    </w:p>
    <w:p w14:paraId="54288213">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10、卫生健康支出（类）行政事业单位医疗（款）其他行政事业单位医疗支出（项）：支出决算为0.45万元，完成预算100%，决算数等于预算数。</w:t>
      </w:r>
    </w:p>
    <w:p w14:paraId="1D7089D6">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11、农林水支出（类）巩固拓展脱贫攻坚成果衔接乡村振兴（款）农村基础设施建设（项）：支出决算为309.39万元，完成预算100%，决算数等于预算数。</w:t>
      </w:r>
    </w:p>
    <w:p w14:paraId="19B13C3F">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12、13、农林水支出（类）巩固拓展脱贫攻坚成果衔接乡村振兴（款）其他巩固拓展脱贫攻坚成果衔接乡村振兴支出（项）：支出决算为34.93万元，完成预算100%，决算数等于预算数。</w:t>
      </w:r>
    </w:p>
    <w:p w14:paraId="43FF5DFC">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14、农林水支出（类）农村综合改革（款）对村民委员会和村党支部的补助（项）：支出决算为4.37万元，完成预算100%，决算数等于预算数。</w:t>
      </w:r>
    </w:p>
    <w:p w14:paraId="593033CF">
      <w:pPr>
        <w:pStyle w:val="27"/>
        <w:spacing w:line="560" w:lineRule="exact"/>
        <w:ind w:firstLine="640" w:firstLineChars="200"/>
        <w:rPr>
          <w:rFonts w:ascii="Times New Roman" w:hAnsi="Times New Roman" w:eastAsia="仿宋_GB2312" w:cs="仿宋_GB2312"/>
          <w:color w:val="auto"/>
          <w:kern w:val="2"/>
          <w:sz w:val="32"/>
          <w:szCs w:val="32"/>
        </w:rPr>
      </w:pPr>
      <w:r>
        <w:rPr>
          <w:rFonts w:hint="eastAsia" w:ascii="Times New Roman" w:hAnsi="Times New Roman" w:eastAsia="仿宋_GB2312" w:cs="仿宋_GB2312"/>
          <w:color w:val="auto"/>
          <w:kern w:val="2"/>
          <w:sz w:val="32"/>
          <w:szCs w:val="32"/>
        </w:rPr>
        <w:t>15、住房保障支出（类）住房改革支出（款）住房公积金（项）：支出决算为50.78万元，完成预算100%，决算数等于预算数。</w:t>
      </w:r>
    </w:p>
    <w:bookmarkEnd w:id="63"/>
    <w:bookmarkEnd w:id="64"/>
    <w:bookmarkEnd w:id="65"/>
    <w:bookmarkEnd w:id="66"/>
    <w:bookmarkEnd w:id="67"/>
    <w:p w14:paraId="652E15B6">
      <w:pPr>
        <w:spacing w:line="560" w:lineRule="exact"/>
        <w:ind w:firstLine="643" w:firstLineChars="200"/>
        <w:outlineLvl w:val="1"/>
        <w:rPr>
          <w:rFonts w:ascii="楷体_GB2312" w:hAnsi="楷体_GB2312" w:eastAsia="楷体_GB2312" w:cs="楷体_GB2312"/>
          <w:b/>
          <w:bCs/>
          <w:sz w:val="32"/>
          <w:szCs w:val="32"/>
        </w:rPr>
      </w:pPr>
      <w:bookmarkStart w:id="68" w:name="_Toc15396608"/>
      <w:bookmarkStart w:id="69" w:name="_Toc21683"/>
      <w:bookmarkStart w:id="70" w:name="_Toc8255"/>
      <w:bookmarkStart w:id="71" w:name="_Toc15377214"/>
      <w:r>
        <w:rPr>
          <w:rFonts w:ascii="楷体_GB2312" w:hAnsi="楷体_GB2312" w:eastAsia="楷体_GB2312" w:cs="楷体_GB2312"/>
          <w:b/>
          <w:bCs/>
          <w:sz w:val="32"/>
          <w:szCs w:val="32"/>
        </w:rPr>
        <w:t>六、一般公共预算财政拨款基本支出决算情况说明</w:t>
      </w:r>
      <w:bookmarkEnd w:id="68"/>
      <w:bookmarkEnd w:id="69"/>
      <w:bookmarkEnd w:id="70"/>
      <w:bookmarkEnd w:id="71"/>
      <w:r>
        <w:rPr>
          <w:rFonts w:ascii="楷体_GB2312" w:hAnsi="楷体_GB2312" w:eastAsia="楷体_GB2312" w:cs="楷体_GB2312"/>
          <w:b/>
          <w:bCs/>
          <w:sz w:val="32"/>
          <w:szCs w:val="32"/>
        </w:rPr>
        <w:tab/>
      </w:r>
    </w:p>
    <w:p w14:paraId="3C568A2F">
      <w:pPr>
        <w:spacing w:line="560" w:lineRule="exact"/>
        <w:ind w:firstLine="645"/>
        <w:rPr>
          <w:rFonts w:eastAsia="仿宋_GB2312"/>
          <w:sz w:val="32"/>
          <w:szCs w:val="32"/>
        </w:rPr>
      </w:pPr>
      <w:r>
        <w:rPr>
          <w:rFonts w:hint="eastAsia" w:eastAsia="仿宋_GB2312" w:cs="仿宋_GB2312"/>
          <w:sz w:val="32"/>
          <w:szCs w:val="32"/>
        </w:rPr>
        <w:t>2025年度</w:t>
      </w:r>
      <w:r>
        <w:rPr>
          <w:rFonts w:eastAsia="仿宋_GB2312"/>
          <w:sz w:val="32"/>
          <w:szCs w:val="32"/>
        </w:rPr>
        <w:t>一般公共预算财政拨款基本支出</w:t>
      </w:r>
      <w:r>
        <w:rPr>
          <w:rFonts w:hint="eastAsia" w:eastAsia="仿宋_GB2312"/>
          <w:sz w:val="32"/>
          <w:szCs w:val="32"/>
        </w:rPr>
        <w:t>823.28</w:t>
      </w:r>
      <w:r>
        <w:rPr>
          <w:rFonts w:eastAsia="仿宋_GB2312"/>
          <w:sz w:val="32"/>
          <w:szCs w:val="32"/>
        </w:rPr>
        <w:t>万元，其中：</w:t>
      </w:r>
    </w:p>
    <w:p w14:paraId="17E7B526">
      <w:pPr>
        <w:spacing w:line="560" w:lineRule="exact"/>
        <w:ind w:firstLine="645"/>
        <w:rPr>
          <w:rFonts w:eastAsia="仿宋_GB2312"/>
          <w:sz w:val="32"/>
          <w:szCs w:val="32"/>
        </w:rPr>
      </w:pPr>
      <w:r>
        <w:rPr>
          <w:rFonts w:eastAsia="仿宋_GB2312"/>
          <w:sz w:val="32"/>
          <w:szCs w:val="32"/>
        </w:rPr>
        <w:t>人员经费</w:t>
      </w:r>
      <w:r>
        <w:rPr>
          <w:rFonts w:hint="eastAsia" w:eastAsia="仿宋_GB2312"/>
          <w:sz w:val="32"/>
          <w:szCs w:val="32"/>
        </w:rPr>
        <w:t>770.16</w:t>
      </w:r>
      <w:r>
        <w:rPr>
          <w:rFonts w:eastAsia="仿宋_GB2312"/>
          <w:sz w:val="32"/>
          <w:szCs w:val="32"/>
        </w:rPr>
        <w:t>万元，主要包括：基本工资、津贴补贴、奖金、绩效工资、机关事业单位基本养老保险缴费、职业年金缴费、</w:t>
      </w:r>
      <w:r>
        <w:rPr>
          <w:rFonts w:hint="eastAsia" w:eastAsia="仿宋_GB2312"/>
          <w:sz w:val="32"/>
          <w:szCs w:val="32"/>
        </w:rPr>
        <w:t>职工基本医疗保险缴费、公务员医疗补助缴费、</w:t>
      </w:r>
      <w:r>
        <w:rPr>
          <w:rFonts w:eastAsia="仿宋_GB2312"/>
          <w:sz w:val="32"/>
          <w:szCs w:val="32"/>
        </w:rPr>
        <w:t>其他社会保障缴费、</w:t>
      </w:r>
      <w:r>
        <w:rPr>
          <w:rFonts w:hint="eastAsia" w:eastAsia="仿宋_GB2312"/>
          <w:sz w:val="32"/>
          <w:szCs w:val="32"/>
        </w:rPr>
        <w:t>住房公积金、</w:t>
      </w:r>
      <w:r>
        <w:rPr>
          <w:rFonts w:eastAsia="仿宋_GB2312"/>
          <w:sz w:val="32"/>
          <w:szCs w:val="32"/>
        </w:rPr>
        <w:t>生活补助、医疗费补助</w:t>
      </w:r>
      <w:r>
        <w:rPr>
          <w:rFonts w:hint="eastAsia" w:eastAsia="仿宋_GB2312"/>
          <w:sz w:val="32"/>
          <w:szCs w:val="32"/>
        </w:rPr>
        <w:t>、奖励金</w:t>
      </w:r>
      <w:r>
        <w:rPr>
          <w:rFonts w:eastAsia="仿宋_GB2312"/>
          <w:sz w:val="32"/>
          <w:szCs w:val="32"/>
        </w:rPr>
        <w:t>。</w:t>
      </w:r>
    </w:p>
    <w:p w14:paraId="2284E009">
      <w:pPr>
        <w:spacing w:line="560" w:lineRule="exact"/>
        <w:ind w:firstLine="645"/>
        <w:rPr>
          <w:rFonts w:eastAsia="仿宋_GB2312"/>
          <w:b/>
          <w:sz w:val="32"/>
          <w:szCs w:val="32"/>
        </w:rPr>
      </w:pPr>
      <w:r>
        <w:rPr>
          <w:rFonts w:eastAsia="仿宋_GB2312"/>
          <w:sz w:val="32"/>
          <w:szCs w:val="32"/>
        </w:rPr>
        <w:t>公用经费</w:t>
      </w:r>
      <w:r>
        <w:rPr>
          <w:rFonts w:hint="eastAsia" w:eastAsia="仿宋_GB2312"/>
          <w:sz w:val="32"/>
          <w:szCs w:val="32"/>
        </w:rPr>
        <w:t>53.41</w:t>
      </w:r>
      <w:r>
        <w:rPr>
          <w:rFonts w:eastAsia="仿宋_GB2312"/>
          <w:sz w:val="32"/>
          <w:szCs w:val="32"/>
        </w:rPr>
        <w:t>万元，主要包括：办公费、</w:t>
      </w:r>
      <w:r>
        <w:rPr>
          <w:rFonts w:hint="eastAsia" w:eastAsia="仿宋_GB2312"/>
          <w:sz w:val="32"/>
          <w:szCs w:val="32"/>
        </w:rPr>
        <w:t>印刷费、手续费、水费、</w:t>
      </w:r>
      <w:r>
        <w:rPr>
          <w:rFonts w:eastAsia="仿宋_GB2312"/>
          <w:sz w:val="32"/>
          <w:szCs w:val="32"/>
        </w:rPr>
        <w:t>电费、邮电费、差旅费、</w:t>
      </w:r>
      <w:r>
        <w:rPr>
          <w:rFonts w:hint="eastAsia" w:eastAsia="仿宋_GB2312" w:cs="仿宋_GB2312"/>
          <w:sz w:val="32"/>
          <w:szCs w:val="32"/>
        </w:rPr>
        <w:t>维修（护）费、</w:t>
      </w:r>
      <w:r>
        <w:rPr>
          <w:rFonts w:hint="eastAsia" w:eastAsia="仿宋_GB2312"/>
          <w:sz w:val="32"/>
          <w:szCs w:val="32"/>
        </w:rPr>
        <w:t>公务接待费、</w:t>
      </w:r>
      <w:r>
        <w:rPr>
          <w:rFonts w:eastAsia="仿宋_GB2312"/>
          <w:sz w:val="32"/>
          <w:szCs w:val="32"/>
        </w:rPr>
        <w:t>公务用车运行维护费</w:t>
      </w:r>
      <w:r>
        <w:rPr>
          <w:rFonts w:hint="eastAsia" w:eastAsia="仿宋_GB2312"/>
          <w:sz w:val="32"/>
          <w:szCs w:val="32"/>
        </w:rPr>
        <w:t>、其它商品和服务支出。</w:t>
      </w:r>
    </w:p>
    <w:p w14:paraId="661CAE06">
      <w:pPr>
        <w:spacing w:line="560" w:lineRule="exact"/>
        <w:ind w:firstLine="643" w:firstLineChars="200"/>
        <w:outlineLvl w:val="1"/>
        <w:rPr>
          <w:rFonts w:ascii="楷体_GB2312" w:hAnsi="楷体_GB2312" w:eastAsia="楷体_GB2312" w:cs="楷体_GB2312"/>
          <w:b/>
          <w:bCs/>
          <w:sz w:val="32"/>
          <w:szCs w:val="32"/>
        </w:rPr>
      </w:pPr>
      <w:bookmarkStart w:id="72" w:name="_Toc15396609"/>
      <w:bookmarkStart w:id="73" w:name="_Toc17931"/>
      <w:bookmarkStart w:id="74" w:name="_Toc18665"/>
      <w:bookmarkStart w:id="75" w:name="_Toc15377215"/>
      <w:r>
        <w:rPr>
          <w:rFonts w:ascii="楷体_GB2312" w:hAnsi="楷体_GB2312" w:eastAsia="楷体_GB2312" w:cs="楷体_GB2312"/>
          <w:b/>
          <w:bCs/>
          <w:sz w:val="32"/>
          <w:szCs w:val="32"/>
        </w:rPr>
        <w:t>七、“三公”经费财政拨款支出决算情况说明</w:t>
      </w:r>
      <w:bookmarkEnd w:id="72"/>
      <w:bookmarkEnd w:id="73"/>
      <w:bookmarkEnd w:id="74"/>
      <w:bookmarkEnd w:id="75"/>
    </w:p>
    <w:p w14:paraId="36DC3219">
      <w:pPr>
        <w:spacing w:line="600" w:lineRule="exact"/>
        <w:ind w:firstLine="643" w:firstLineChars="200"/>
        <w:outlineLvl w:val="2"/>
        <w:rPr>
          <w:rFonts w:eastAsia="楷体_GB2312" w:cs="楷体_GB2312"/>
          <w:b/>
          <w:sz w:val="32"/>
          <w:szCs w:val="32"/>
        </w:rPr>
      </w:pPr>
      <w:bookmarkStart w:id="76" w:name="_Toc15377216"/>
      <w:r>
        <w:rPr>
          <w:rFonts w:hint="eastAsia" w:eastAsia="楷体_GB2312" w:cs="楷体_GB2312"/>
          <w:b/>
          <w:sz w:val="32"/>
          <w:szCs w:val="32"/>
        </w:rPr>
        <w:t>（一）财政拨款“三公”经费支出决算总体情况说明</w:t>
      </w:r>
      <w:bookmarkEnd w:id="76"/>
    </w:p>
    <w:p w14:paraId="3DF83D33">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2025年度财政拨款“三公”经费支出决算为19.21万元，完成预算100%，较上年度减少0.84万元，下降4.19%。决算数与预算数持平。</w:t>
      </w:r>
    </w:p>
    <w:p w14:paraId="72A8DAFE">
      <w:pPr>
        <w:spacing w:line="600" w:lineRule="exact"/>
        <w:ind w:firstLine="643" w:firstLineChars="200"/>
        <w:outlineLvl w:val="2"/>
        <w:rPr>
          <w:rFonts w:eastAsia="楷体_GB2312" w:cs="楷体_GB2312"/>
          <w:b/>
          <w:sz w:val="32"/>
          <w:szCs w:val="32"/>
        </w:rPr>
      </w:pPr>
      <w:bookmarkStart w:id="77" w:name="_Toc15377217"/>
      <w:r>
        <w:rPr>
          <w:rFonts w:hint="eastAsia" w:eastAsia="楷体_GB2312" w:cs="楷体_GB2312"/>
          <w:b/>
          <w:sz w:val="32"/>
          <w:szCs w:val="32"/>
        </w:rPr>
        <w:t>（二）财政拨款“三公”经费支出决算具体情况说明</w:t>
      </w:r>
      <w:bookmarkEnd w:id="77"/>
    </w:p>
    <w:p w14:paraId="2C5C06AA">
      <w:pPr>
        <w:spacing w:line="560" w:lineRule="exact"/>
        <w:ind w:firstLine="640"/>
        <w:rPr>
          <w:rFonts w:eastAsia="仿宋_GB2312"/>
          <w:sz w:val="32"/>
          <w:szCs w:val="32"/>
        </w:rPr>
      </w:pPr>
      <w:r>
        <w:rPr>
          <w:rFonts w:hint="eastAsia" w:eastAsia="仿宋_GB2312" w:cs="仿宋_GB2312"/>
          <w:sz w:val="32"/>
          <w:szCs w:val="32"/>
        </w:rPr>
        <w:t>2025年度财政拨款“三公”经费支出决算中，因公出国（境）费支出决算0万元，占0%；公务用车购置及运行维护费支出决算18.85万元，占98.13%；公务接待费支出决算0.36万元，占1.87%。具体情况如下：</w:t>
      </w:r>
    </w:p>
    <w:p w14:paraId="3DEF7C44">
      <w:pPr>
        <w:pStyle w:val="27"/>
        <w:jc w:val="center"/>
        <w:rPr>
          <w:rFonts w:ascii="Times New Roman" w:hAnsi="Times New Roman" w:eastAsia="仿宋_GB2312" w:cs="Times New Roman"/>
          <w:sz w:val="32"/>
          <w:szCs w:val="32"/>
        </w:rPr>
      </w:pPr>
      <w:r>
        <w:rPr>
          <w:rFonts w:hint="eastAsia" w:ascii="Times New Roman" w:hAnsi="Times New Roman" w:cs="Times New Roman"/>
          <w:sz w:val="32"/>
          <w:szCs w:val="32"/>
        </w:rPr>
        <w:drawing>
          <wp:inline distT="0" distB="0" distL="114300" distR="114300">
            <wp:extent cx="5256530" cy="2988310"/>
            <wp:effectExtent l="5080" t="4445" r="15240" b="17145"/>
            <wp:docPr id="35"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6C9162">
      <w:pPr>
        <w:spacing w:line="56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02424E98">
      <w:pPr>
        <w:spacing w:line="560" w:lineRule="exact"/>
        <w:ind w:firstLine="640"/>
        <w:rPr>
          <w:rFonts w:eastAsia="仿宋_GB2312"/>
          <w:b/>
          <w:sz w:val="32"/>
          <w:szCs w:val="32"/>
        </w:rPr>
      </w:pPr>
      <w:r>
        <w:rPr>
          <w:rFonts w:eastAsia="仿宋_GB2312"/>
          <w:b/>
          <w:sz w:val="32"/>
          <w:szCs w:val="32"/>
        </w:rPr>
        <w:t>1、因公出国（境）经费支出</w:t>
      </w:r>
      <w:r>
        <w:rPr>
          <w:rFonts w:eastAsia="仿宋_GB2312"/>
          <w:sz w:val="32"/>
          <w:szCs w:val="32"/>
        </w:rPr>
        <w:t>0万元，</w:t>
      </w:r>
      <w:r>
        <w:rPr>
          <w:rStyle w:val="22"/>
          <w:rFonts w:eastAsia="仿宋_GB2312"/>
          <w:b w:val="0"/>
          <w:bCs/>
          <w:sz w:val="32"/>
          <w:szCs w:val="32"/>
        </w:rPr>
        <w:t>完成预算0%。</w:t>
      </w:r>
      <w:r>
        <w:rPr>
          <w:rFonts w:eastAsia="仿宋_GB2312"/>
          <w:sz w:val="32"/>
          <w:szCs w:val="32"/>
        </w:rPr>
        <w:t>全年安排因公出国（境）团组0次，出国（境）0人。主要原因是</w:t>
      </w:r>
      <w:r>
        <w:rPr>
          <w:rFonts w:hint="eastAsia" w:eastAsia="仿宋_GB2312"/>
          <w:sz w:val="32"/>
          <w:szCs w:val="32"/>
        </w:rPr>
        <w:t>本单位</w:t>
      </w:r>
      <w:r>
        <w:rPr>
          <w:rFonts w:eastAsia="仿宋_GB2312"/>
          <w:sz w:val="32"/>
          <w:szCs w:val="32"/>
        </w:rPr>
        <w:t>未安排因公出国（境）。</w:t>
      </w:r>
    </w:p>
    <w:p w14:paraId="58E709B4">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2.公务用车购置及运行维护费支出18.85万元，完成预算100%。</w:t>
      </w:r>
      <w:r>
        <w:rPr>
          <w:rFonts w:hint="eastAsia" w:eastAsia="仿宋_GB2312" w:cs="仿宋_GB2312"/>
          <w:sz w:val="32"/>
          <w:szCs w:val="32"/>
        </w:rPr>
        <w:t>公务用车购置及运行维护费支出决算比上年度减少0.55万元，下降2.84%。主要原因是出差、下乡次数减少。</w:t>
      </w:r>
    </w:p>
    <w:p w14:paraId="6F41694D">
      <w:pPr>
        <w:spacing w:line="600" w:lineRule="exact"/>
        <w:ind w:firstLine="640"/>
        <w:rPr>
          <w:rFonts w:eastAsia="仿宋_GB2312" w:cs="仿宋_GB2312"/>
          <w:sz w:val="32"/>
          <w:szCs w:val="32"/>
        </w:rPr>
      </w:pPr>
      <w:r>
        <w:rPr>
          <w:rFonts w:hint="eastAsia" w:eastAsia="仿宋_GB2312" w:cs="仿宋_GB2312"/>
          <w:sz w:val="32"/>
          <w:szCs w:val="32"/>
        </w:rPr>
        <w:t>其中：公务用车购置支出0万元。全年按规定更新购置公务用车0辆，其中：轿车0辆、金额0万元，越野车0辆、金额0万元，载客汽车0辆、金额0万元。截至2025年12月31日，单位共有公务用车2辆，其中：轿车0辆、越野车2辆、载客汽车0辆。</w:t>
      </w:r>
    </w:p>
    <w:p w14:paraId="07CA146D">
      <w:pPr>
        <w:spacing w:line="600" w:lineRule="exact"/>
        <w:ind w:firstLine="640"/>
        <w:rPr>
          <w:rFonts w:eastAsia="仿宋_GB2312" w:cs="仿宋_GB2312"/>
          <w:sz w:val="32"/>
          <w:szCs w:val="32"/>
        </w:rPr>
      </w:pPr>
      <w:r>
        <w:rPr>
          <w:rFonts w:hint="eastAsia" w:eastAsia="仿宋_GB2312" w:cs="仿宋_GB2312"/>
          <w:sz w:val="32"/>
          <w:szCs w:val="32"/>
        </w:rPr>
        <w:t>公务用车运行维护费支出18.85万元。主要用于组织部公务工作所需的公务用车燃料费、维修费、过路过桥费、保险费等支出。</w:t>
      </w:r>
    </w:p>
    <w:p w14:paraId="72B47E90">
      <w:pPr>
        <w:spacing w:line="600" w:lineRule="exact"/>
        <w:ind w:firstLine="640"/>
        <w:rPr>
          <w:rFonts w:eastAsia="仿宋_GB2312" w:cs="仿宋_GB2312"/>
          <w:sz w:val="32"/>
          <w:szCs w:val="32"/>
        </w:rPr>
      </w:pPr>
      <w:r>
        <w:rPr>
          <w:rFonts w:hint="eastAsia" w:eastAsia="仿宋_GB2312" w:cs="仿宋_GB2312"/>
          <w:b/>
          <w:bCs/>
          <w:sz w:val="32"/>
          <w:szCs w:val="32"/>
        </w:rPr>
        <w:t>3.公务接待费支出0.36万元，完成预算100%。</w:t>
      </w:r>
      <w:r>
        <w:rPr>
          <w:rFonts w:hint="eastAsia" w:eastAsia="仿宋_GB2312" w:cs="仿宋_GB2312"/>
          <w:sz w:val="32"/>
          <w:szCs w:val="32"/>
        </w:rPr>
        <w:t>公务接待费支出决算比上年度减少0.29万元，下降44.62%。主要原因是接待次数减少。其中：</w:t>
      </w:r>
    </w:p>
    <w:p w14:paraId="71CA029C">
      <w:pPr>
        <w:spacing w:line="600" w:lineRule="exact"/>
        <w:ind w:firstLine="640"/>
        <w:rPr>
          <w:rFonts w:eastAsia="仿宋_GB2312" w:cs="仿宋_GB2312"/>
          <w:sz w:val="32"/>
          <w:szCs w:val="32"/>
        </w:rPr>
      </w:pPr>
      <w:r>
        <w:rPr>
          <w:rFonts w:hint="eastAsia" w:eastAsia="仿宋_GB2312" w:cs="仿宋_GB2312"/>
          <w:sz w:val="32"/>
          <w:szCs w:val="32"/>
        </w:rPr>
        <w:t>国内公务接待支出0.36万元，主要用于执行公务的用餐费。国内公务接待3批次，22人次（不包括陪同人员），共计支出0.36万元，具体内容包括：接待读书班老师0.03万元、接待挂职工作考核组0.03万元、北川县工作组0.1万元，州关工委调研组0.19万元。</w:t>
      </w:r>
    </w:p>
    <w:p w14:paraId="496FA190">
      <w:pPr>
        <w:spacing w:line="600" w:lineRule="exact"/>
        <w:ind w:firstLine="640"/>
        <w:rPr>
          <w:rFonts w:eastAsia="仿宋_GB2312" w:cs="仿宋_GB2312"/>
          <w:sz w:val="32"/>
          <w:szCs w:val="32"/>
        </w:rPr>
      </w:pPr>
      <w:r>
        <w:rPr>
          <w:rFonts w:hint="eastAsia" w:eastAsia="仿宋_GB2312" w:cs="仿宋_GB2312"/>
          <w:sz w:val="32"/>
          <w:szCs w:val="32"/>
        </w:rPr>
        <w:t>外事接待支出0万元。外事接待0批次，0人次（不包括陪同人员），共计支出0万元。</w:t>
      </w:r>
    </w:p>
    <w:p w14:paraId="411A69DD">
      <w:pPr>
        <w:spacing w:line="560" w:lineRule="exact"/>
        <w:ind w:firstLine="643" w:firstLineChars="200"/>
        <w:outlineLvl w:val="1"/>
        <w:rPr>
          <w:rFonts w:ascii="楷体_GB2312" w:hAnsi="楷体_GB2312" w:eastAsia="楷体_GB2312" w:cs="楷体_GB2312"/>
          <w:b/>
          <w:bCs/>
          <w:sz w:val="32"/>
          <w:szCs w:val="32"/>
        </w:rPr>
      </w:pPr>
      <w:bookmarkStart w:id="78" w:name="_Toc9058"/>
      <w:bookmarkStart w:id="79" w:name="_Toc15396610"/>
      <w:bookmarkStart w:id="80" w:name="_Toc24764"/>
      <w:bookmarkStart w:id="81" w:name="_Toc15377218"/>
      <w:r>
        <w:rPr>
          <w:rFonts w:ascii="楷体_GB2312" w:hAnsi="楷体_GB2312" w:eastAsia="楷体_GB2312" w:cs="楷体_GB2312"/>
          <w:b/>
          <w:bCs/>
          <w:sz w:val="32"/>
          <w:szCs w:val="32"/>
        </w:rPr>
        <w:t>八、政府性基金预算支出决算情况说明</w:t>
      </w:r>
      <w:bookmarkEnd w:id="78"/>
      <w:bookmarkEnd w:id="79"/>
      <w:bookmarkEnd w:id="80"/>
      <w:bookmarkEnd w:id="81"/>
    </w:p>
    <w:p w14:paraId="711088F2">
      <w:pPr>
        <w:spacing w:line="560" w:lineRule="exact"/>
        <w:ind w:firstLine="640"/>
        <w:rPr>
          <w:rFonts w:eastAsia="仿宋_GB2312"/>
          <w:bCs/>
          <w:sz w:val="32"/>
          <w:szCs w:val="32"/>
        </w:rPr>
      </w:pPr>
      <w:r>
        <w:rPr>
          <w:rFonts w:hint="eastAsia" w:eastAsia="仿宋_GB2312" w:cs="仿宋_GB2312"/>
          <w:sz w:val="32"/>
          <w:szCs w:val="32"/>
        </w:rPr>
        <w:t>2025年度政府性基金预算财政拨款支出0万元，占本年支出合计的0%。</w:t>
      </w:r>
    </w:p>
    <w:p w14:paraId="2D11A689">
      <w:pPr>
        <w:numPr>
          <w:ilvl w:val="0"/>
          <w:numId w:val="3"/>
        </w:numPr>
        <w:spacing w:line="560" w:lineRule="exact"/>
        <w:ind w:firstLine="643" w:firstLineChars="200"/>
        <w:outlineLvl w:val="1"/>
        <w:rPr>
          <w:rFonts w:ascii="楷体_GB2312" w:hAnsi="楷体_GB2312" w:eastAsia="楷体_GB2312" w:cs="楷体_GB2312"/>
          <w:b/>
          <w:bCs/>
          <w:sz w:val="32"/>
          <w:szCs w:val="32"/>
        </w:rPr>
      </w:pPr>
      <w:bookmarkStart w:id="82" w:name="_Toc15377219"/>
      <w:bookmarkStart w:id="83" w:name="_Toc30173"/>
      <w:bookmarkStart w:id="84" w:name="_Toc15396611"/>
      <w:bookmarkStart w:id="85" w:name="_Toc2135"/>
      <w:r>
        <w:rPr>
          <w:rFonts w:ascii="楷体_GB2312" w:hAnsi="楷体_GB2312" w:eastAsia="楷体_GB2312" w:cs="楷体_GB2312"/>
          <w:b/>
          <w:bCs/>
          <w:sz w:val="32"/>
          <w:szCs w:val="32"/>
        </w:rPr>
        <w:t>国有资本经营预算支出决算情况说明</w:t>
      </w:r>
      <w:bookmarkEnd w:id="82"/>
      <w:bookmarkEnd w:id="83"/>
      <w:bookmarkEnd w:id="84"/>
      <w:bookmarkEnd w:id="85"/>
    </w:p>
    <w:p w14:paraId="129EC352">
      <w:pPr>
        <w:spacing w:line="560" w:lineRule="exact"/>
        <w:ind w:firstLine="640" w:firstLineChars="200"/>
        <w:outlineLvl w:val="1"/>
        <w:rPr>
          <w:rFonts w:eastAsia="仿宋_GB2312" w:cs="仿宋_GB2312"/>
          <w:sz w:val="32"/>
          <w:szCs w:val="32"/>
        </w:rPr>
      </w:pPr>
      <w:bookmarkStart w:id="86" w:name="_Toc28490"/>
      <w:bookmarkStart w:id="87" w:name="_Toc15396612"/>
      <w:bookmarkStart w:id="88" w:name="_Toc10892"/>
      <w:bookmarkStart w:id="89" w:name="_Toc15377221"/>
      <w:r>
        <w:rPr>
          <w:rFonts w:hint="eastAsia" w:eastAsia="仿宋_GB2312" w:cs="仿宋_GB2312"/>
          <w:sz w:val="32"/>
          <w:szCs w:val="32"/>
        </w:rPr>
        <w:t>2025年度国有资本经营预算财政拨款支出0万元，占本年支出合计的0%。</w:t>
      </w:r>
    </w:p>
    <w:p w14:paraId="1C3BBAFE">
      <w:pPr>
        <w:spacing w:line="560" w:lineRule="exact"/>
        <w:ind w:firstLine="643" w:firstLineChars="200"/>
        <w:outlineLvl w:val="1"/>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十、</w:t>
      </w:r>
      <w:r>
        <w:rPr>
          <w:rFonts w:ascii="楷体_GB2312" w:hAnsi="楷体_GB2312" w:eastAsia="楷体_GB2312" w:cs="楷体_GB2312"/>
          <w:b/>
          <w:bCs/>
          <w:sz w:val="32"/>
          <w:szCs w:val="32"/>
        </w:rPr>
        <w:t>其他重要事项的情况说明</w:t>
      </w:r>
      <w:bookmarkEnd w:id="86"/>
      <w:bookmarkEnd w:id="87"/>
      <w:bookmarkEnd w:id="88"/>
      <w:bookmarkEnd w:id="89"/>
    </w:p>
    <w:p w14:paraId="7CB6D858">
      <w:pPr>
        <w:spacing w:line="560" w:lineRule="exact"/>
        <w:ind w:firstLine="643" w:firstLineChars="200"/>
        <w:outlineLvl w:val="2"/>
        <w:rPr>
          <w:rFonts w:eastAsia="仿宋_GB2312"/>
          <w:b/>
          <w:sz w:val="32"/>
          <w:szCs w:val="32"/>
        </w:rPr>
      </w:pPr>
      <w:bookmarkStart w:id="90" w:name="_Toc15377222"/>
      <w:r>
        <w:rPr>
          <w:rFonts w:eastAsia="仿宋_GB2312"/>
          <w:b/>
          <w:sz w:val="32"/>
          <w:szCs w:val="32"/>
        </w:rPr>
        <w:t>（一）机关运行经费支出情况</w:t>
      </w:r>
      <w:bookmarkEnd w:id="90"/>
    </w:p>
    <w:p w14:paraId="52DEDD8B">
      <w:pPr>
        <w:spacing w:line="560" w:lineRule="exact"/>
        <w:ind w:firstLine="640" w:firstLineChars="200"/>
        <w:rPr>
          <w:rFonts w:eastAsia="仿宋_GB2312"/>
          <w:sz w:val="32"/>
          <w:szCs w:val="32"/>
        </w:rPr>
      </w:pPr>
      <w:r>
        <w:rPr>
          <w:rFonts w:hint="eastAsia" w:eastAsia="仿宋_GB2312" w:cs="仿宋_GB2312"/>
          <w:sz w:val="32"/>
          <w:szCs w:val="32"/>
        </w:rPr>
        <w:t>2025年度，机关运行经费支出53.41万元，比上年度增加3.47万元，增长6.95%（或与上年度决算数持平）。主要原因是</w:t>
      </w:r>
      <w:r>
        <w:rPr>
          <w:rFonts w:hint="eastAsia" w:eastAsia="仿宋_GB2312"/>
          <w:sz w:val="32"/>
          <w:szCs w:val="32"/>
        </w:rPr>
        <w:t>当年业务活动增加，机关运行经费增加</w:t>
      </w:r>
      <w:r>
        <w:rPr>
          <w:rFonts w:eastAsia="仿宋_GB2312"/>
          <w:sz w:val="32"/>
          <w:szCs w:val="32"/>
        </w:rPr>
        <w:t>。</w:t>
      </w:r>
    </w:p>
    <w:p w14:paraId="62C35334">
      <w:pPr>
        <w:autoSpaceDE w:val="0"/>
        <w:autoSpaceDN w:val="0"/>
        <w:adjustRightInd w:val="0"/>
        <w:spacing w:line="560" w:lineRule="exact"/>
        <w:ind w:firstLine="643" w:firstLineChars="200"/>
        <w:jc w:val="left"/>
        <w:outlineLvl w:val="2"/>
        <w:rPr>
          <w:rFonts w:eastAsia="仿宋_GB2312"/>
          <w:b/>
          <w:sz w:val="32"/>
          <w:szCs w:val="32"/>
        </w:rPr>
      </w:pPr>
      <w:bookmarkStart w:id="91" w:name="_Toc15377223"/>
      <w:r>
        <w:rPr>
          <w:rFonts w:eastAsia="仿宋_GB2312"/>
          <w:b/>
          <w:sz w:val="32"/>
          <w:szCs w:val="32"/>
        </w:rPr>
        <w:t>（二）政府采购支出情况</w:t>
      </w:r>
      <w:bookmarkEnd w:id="91"/>
    </w:p>
    <w:p w14:paraId="172BA6CA">
      <w:pPr>
        <w:spacing w:line="600" w:lineRule="exact"/>
        <w:ind w:firstLine="640"/>
        <w:rPr>
          <w:rFonts w:eastAsia="仿宋_GB2312"/>
          <w:sz w:val="32"/>
          <w:szCs w:val="32"/>
        </w:rPr>
      </w:pPr>
      <w:r>
        <w:rPr>
          <w:rFonts w:hint="eastAsia" w:eastAsia="仿宋_GB2312" w:cs="仿宋_GB2312"/>
          <w:sz w:val="32"/>
          <w:szCs w:val="32"/>
        </w:rPr>
        <w:t>2025年度，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26D0DE1D">
      <w:pPr>
        <w:autoSpaceDE w:val="0"/>
        <w:autoSpaceDN w:val="0"/>
        <w:adjustRightInd w:val="0"/>
        <w:spacing w:line="560" w:lineRule="exact"/>
        <w:ind w:firstLine="643" w:firstLineChars="200"/>
        <w:jc w:val="left"/>
        <w:outlineLvl w:val="2"/>
        <w:rPr>
          <w:rFonts w:eastAsia="仿宋_GB2312"/>
          <w:b/>
          <w:sz w:val="32"/>
          <w:szCs w:val="32"/>
        </w:rPr>
      </w:pPr>
      <w:bookmarkStart w:id="92" w:name="_Toc15377224"/>
      <w:r>
        <w:rPr>
          <w:rFonts w:eastAsia="仿宋_GB2312"/>
          <w:b/>
          <w:sz w:val="32"/>
          <w:szCs w:val="32"/>
        </w:rPr>
        <w:t>（三）国有资产占有使用情况</w:t>
      </w:r>
      <w:bookmarkEnd w:id="92"/>
    </w:p>
    <w:p w14:paraId="5A7F73E8">
      <w:pPr>
        <w:spacing w:line="600" w:lineRule="exact"/>
        <w:ind w:firstLine="640"/>
        <w:rPr>
          <w:rFonts w:eastAsia="仿宋_GB2312" w:cs="仿宋_GB2312"/>
          <w:sz w:val="32"/>
          <w:szCs w:val="32"/>
        </w:rPr>
      </w:pPr>
      <w:r>
        <w:rPr>
          <w:rFonts w:hint="eastAsia" w:eastAsia="仿宋_GB2312" w:cs="仿宋_GB2312"/>
          <w:sz w:val="32"/>
          <w:szCs w:val="32"/>
          <w:lang w:eastAsia="zh-CN"/>
        </w:rPr>
        <w:t>截至</w:t>
      </w:r>
      <w:r>
        <w:rPr>
          <w:rFonts w:hint="eastAsia" w:eastAsia="仿宋_GB2312" w:cs="仿宋_GB2312"/>
          <w:sz w:val="32"/>
          <w:szCs w:val="32"/>
        </w:rPr>
        <w:t>2025年12月31日，共有车辆2辆，其中：副部（省）级及以上领导用车0辆、主要负责人用车0辆、机要通信用车0辆、应急保障用车0辆、执法执勤用车0辆、特种专业技术用车0辆、离退休干部服务用车0辆、其他用车2辆，其他用车主要是用于日常公务活动。单价100万元（含）以上设备（不含车辆）0台（套）。</w:t>
      </w:r>
    </w:p>
    <w:p w14:paraId="21985CFD">
      <w:pPr>
        <w:autoSpaceDE w:val="0"/>
        <w:autoSpaceDN w:val="0"/>
        <w:adjustRightInd w:val="0"/>
        <w:spacing w:line="560" w:lineRule="exact"/>
        <w:ind w:firstLine="643" w:firstLineChars="200"/>
        <w:jc w:val="left"/>
        <w:outlineLvl w:val="2"/>
        <w:rPr>
          <w:rFonts w:eastAsia="仿宋_GB2312"/>
          <w:b/>
          <w:sz w:val="32"/>
          <w:szCs w:val="32"/>
        </w:rPr>
      </w:pPr>
      <w:r>
        <w:rPr>
          <w:rFonts w:eastAsia="仿宋_GB2312"/>
          <w:b/>
          <w:sz w:val="32"/>
          <w:szCs w:val="32"/>
        </w:rPr>
        <w:t>（四）预算绩效管理情况</w:t>
      </w:r>
    </w:p>
    <w:p w14:paraId="7E79DA3A">
      <w:pPr>
        <w:spacing w:line="600" w:lineRule="exact"/>
        <w:ind w:firstLine="640"/>
        <w:rPr>
          <w:rFonts w:eastAsia="仿宋_GB2312" w:cs="仿宋_GB2312"/>
          <w:sz w:val="32"/>
          <w:szCs w:val="32"/>
        </w:rPr>
      </w:pPr>
      <w:r>
        <w:rPr>
          <w:rFonts w:hint="eastAsia" w:eastAsia="仿宋_GB2312" w:cs="仿宋_GB2312"/>
          <w:sz w:val="32"/>
          <w:szCs w:val="32"/>
        </w:rPr>
        <w:t>根据预算绩效管理要求，本部门在2025年度，组织对全县村干部意外伤害保险、村组干部学历提升费用等31个项目涉及金额926万元开展了事前绩效评估，对31个项目编制了绩效目标，预算执行过程中，选取15个项目开展绩效监控。</w:t>
      </w:r>
    </w:p>
    <w:p w14:paraId="5B905DA9">
      <w:pPr>
        <w:spacing w:line="600" w:lineRule="exact"/>
        <w:ind w:firstLine="640"/>
        <w:rPr>
          <w:rFonts w:eastAsia="仿宋_GB2312" w:cs="仿宋_GB2312"/>
          <w:sz w:val="32"/>
          <w:szCs w:val="32"/>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部门预算绩效自评报告等专项预算项目绩效自评报告，其中，部门预算绩效自评得分为87分，绩效自评综述</w:t>
      </w:r>
      <w:r>
        <w:rPr>
          <w:rFonts w:hint="eastAsia" w:ascii="仿宋_GB2312" w:hAnsi="仿宋_GB2312" w:eastAsia="仿宋_GB2312" w:cs="仿宋_GB2312"/>
          <w:sz w:val="32"/>
          <w:szCs w:val="32"/>
        </w:rPr>
        <w:t>本次部门整体支出绩效自评得分为87分总体表现良好主要问题为预算执行情况不理想</w:t>
      </w:r>
      <w:r>
        <w:rPr>
          <w:rFonts w:hint="eastAsia" w:eastAsia="仿宋_GB2312" w:cs="仿宋_GB2312"/>
          <w:sz w:val="32"/>
          <w:szCs w:val="32"/>
        </w:rPr>
        <w:t>；绩效自评报告详见附件。</w:t>
      </w:r>
    </w:p>
    <w:p w14:paraId="2BE3E652">
      <w:pPr>
        <w:spacing w:line="560" w:lineRule="exact"/>
        <w:jc w:val="left"/>
        <w:rPr>
          <w:rFonts w:ascii="黑体" w:hAnsi="黑体" w:eastAsia="黑体" w:cs="黑体"/>
          <w:sz w:val="32"/>
          <w:szCs w:val="32"/>
        </w:rPr>
      </w:pPr>
      <w:bookmarkStart w:id="93" w:name="_Toc15377225"/>
      <w:bookmarkStart w:id="94" w:name="_Toc15396613"/>
      <w:bookmarkStart w:id="95" w:name="_Toc1341"/>
    </w:p>
    <w:p w14:paraId="69DDA508">
      <w:pPr>
        <w:rPr>
          <w:rFonts w:ascii="黑体" w:hAnsi="黑体" w:eastAsia="黑体" w:cs="黑体"/>
          <w:sz w:val="32"/>
          <w:szCs w:val="32"/>
        </w:rPr>
      </w:pPr>
    </w:p>
    <w:p w14:paraId="4A5897FE">
      <w:pPr>
        <w:jc w:val="center"/>
        <w:rPr>
          <w:rFonts w:ascii="黑体" w:hAnsi="黑体" w:eastAsia="黑体" w:cs="黑体"/>
          <w:sz w:val="32"/>
          <w:szCs w:val="32"/>
        </w:rPr>
      </w:pPr>
    </w:p>
    <w:p w14:paraId="7A3F8F8B">
      <w:pPr>
        <w:jc w:val="center"/>
        <w:rPr>
          <w:rFonts w:ascii="黑体" w:hAnsi="黑体" w:eastAsia="黑体" w:cs="黑体"/>
          <w:sz w:val="32"/>
          <w:szCs w:val="32"/>
        </w:rPr>
      </w:pPr>
    </w:p>
    <w:p w14:paraId="7DDADDD3">
      <w:pPr>
        <w:jc w:val="center"/>
        <w:rPr>
          <w:rFonts w:ascii="黑体" w:hAnsi="黑体" w:eastAsia="黑体" w:cs="黑体"/>
          <w:sz w:val="32"/>
          <w:szCs w:val="32"/>
        </w:rPr>
      </w:pPr>
    </w:p>
    <w:p w14:paraId="54A4C76E">
      <w:pPr>
        <w:jc w:val="center"/>
        <w:rPr>
          <w:rFonts w:ascii="黑体" w:hAnsi="黑体" w:eastAsia="黑体" w:cs="黑体"/>
          <w:sz w:val="32"/>
          <w:szCs w:val="32"/>
        </w:rPr>
      </w:pPr>
    </w:p>
    <w:p w14:paraId="5A357BE1">
      <w:pPr>
        <w:jc w:val="center"/>
        <w:rPr>
          <w:rFonts w:ascii="黑体" w:hAnsi="黑体" w:eastAsia="黑体" w:cs="黑体"/>
          <w:sz w:val="32"/>
          <w:szCs w:val="32"/>
        </w:rPr>
      </w:pPr>
    </w:p>
    <w:p w14:paraId="76DE16FE">
      <w:pPr>
        <w:jc w:val="center"/>
        <w:rPr>
          <w:rFonts w:ascii="黑体" w:hAnsi="黑体" w:eastAsia="黑体" w:cs="黑体"/>
          <w:sz w:val="32"/>
          <w:szCs w:val="32"/>
        </w:rPr>
      </w:pPr>
    </w:p>
    <w:p w14:paraId="79318CA3">
      <w:pPr>
        <w:jc w:val="center"/>
        <w:rPr>
          <w:rFonts w:ascii="黑体" w:hAnsi="黑体" w:eastAsia="黑体" w:cs="黑体"/>
          <w:sz w:val="32"/>
          <w:szCs w:val="32"/>
        </w:rPr>
      </w:pPr>
    </w:p>
    <w:p w14:paraId="711FF963">
      <w:pPr>
        <w:jc w:val="center"/>
        <w:rPr>
          <w:rFonts w:ascii="黑体" w:hAnsi="黑体" w:eastAsia="黑体" w:cs="黑体"/>
          <w:sz w:val="32"/>
          <w:szCs w:val="32"/>
        </w:rPr>
      </w:pPr>
    </w:p>
    <w:p w14:paraId="01C22277">
      <w:pPr>
        <w:jc w:val="center"/>
        <w:rPr>
          <w:rFonts w:ascii="黑体" w:hAnsi="黑体" w:eastAsia="黑体" w:cs="黑体"/>
          <w:sz w:val="32"/>
          <w:szCs w:val="32"/>
        </w:rPr>
      </w:pPr>
    </w:p>
    <w:p w14:paraId="50DCD011">
      <w:pPr>
        <w:jc w:val="center"/>
        <w:rPr>
          <w:rFonts w:eastAsia="仿宋_GB2312"/>
          <w:sz w:val="32"/>
          <w:szCs w:val="32"/>
        </w:rPr>
      </w:pPr>
      <w:r>
        <w:rPr>
          <w:rFonts w:hint="eastAsia" w:ascii="黑体" w:hAnsi="黑体" w:eastAsia="黑体" w:cs="黑体"/>
          <w:sz w:val="32"/>
          <w:szCs w:val="32"/>
        </w:rPr>
        <w:t>第三部分名词解释</w:t>
      </w:r>
      <w:bookmarkEnd w:id="93"/>
      <w:bookmarkEnd w:id="94"/>
      <w:bookmarkEnd w:id="95"/>
    </w:p>
    <w:p w14:paraId="72045EC5">
      <w:pPr>
        <w:spacing w:line="560" w:lineRule="exact"/>
        <w:ind w:firstLine="640" w:firstLineChars="200"/>
        <w:rPr>
          <w:rFonts w:eastAsia="仿宋_GB2312"/>
          <w:sz w:val="32"/>
          <w:szCs w:val="32"/>
        </w:rPr>
      </w:pPr>
    </w:p>
    <w:p w14:paraId="1B33D9D4">
      <w:pPr>
        <w:spacing w:line="560" w:lineRule="exact"/>
        <w:ind w:firstLine="640" w:firstLineChars="200"/>
        <w:rPr>
          <w:rFonts w:eastAsia="仿宋_GB2312"/>
          <w:sz w:val="32"/>
          <w:szCs w:val="32"/>
        </w:rPr>
      </w:pPr>
      <w:r>
        <w:rPr>
          <w:rFonts w:eastAsia="仿宋_GB2312"/>
          <w:sz w:val="32"/>
          <w:szCs w:val="32"/>
        </w:rPr>
        <w:t>1、财政拨款收入：指单位从同级财政部门取得的财政预算资金。</w:t>
      </w:r>
    </w:p>
    <w:p w14:paraId="1E4494A2">
      <w:pPr>
        <w:spacing w:line="560" w:lineRule="exact"/>
        <w:ind w:firstLine="640" w:firstLineChars="200"/>
        <w:rPr>
          <w:rFonts w:eastAsia="仿宋_GB2312"/>
          <w:sz w:val="32"/>
          <w:szCs w:val="32"/>
        </w:rPr>
      </w:pPr>
      <w:r>
        <w:rPr>
          <w:rFonts w:eastAsia="仿宋_GB2312"/>
          <w:sz w:val="32"/>
          <w:szCs w:val="32"/>
        </w:rPr>
        <w:t>2、事业收入：指事业单位开展专业业务活动及辅助活动取得的收入。</w:t>
      </w:r>
    </w:p>
    <w:p w14:paraId="786214CB">
      <w:pPr>
        <w:spacing w:line="560" w:lineRule="exact"/>
        <w:ind w:firstLine="640" w:firstLineChars="200"/>
        <w:rPr>
          <w:rFonts w:eastAsia="仿宋_GB2312"/>
          <w:sz w:val="32"/>
          <w:szCs w:val="32"/>
        </w:rPr>
      </w:pPr>
      <w:r>
        <w:rPr>
          <w:rFonts w:eastAsia="仿宋_GB2312"/>
          <w:sz w:val="32"/>
          <w:szCs w:val="32"/>
        </w:rPr>
        <w:t>3、经营收入：指事业单位在专业业务活动及其辅助活动之外开展非独立核算经营活动取得的收入。</w:t>
      </w:r>
    </w:p>
    <w:p w14:paraId="369C6569">
      <w:pPr>
        <w:spacing w:line="560" w:lineRule="exact"/>
        <w:ind w:firstLine="640" w:firstLineChars="200"/>
        <w:rPr>
          <w:rFonts w:eastAsia="仿宋_GB2312"/>
          <w:sz w:val="32"/>
          <w:szCs w:val="32"/>
        </w:rPr>
      </w:pPr>
      <w:r>
        <w:rPr>
          <w:rFonts w:eastAsia="仿宋_GB2312"/>
          <w:sz w:val="32"/>
          <w:szCs w:val="32"/>
        </w:rPr>
        <w:t>4、其他收入：指单位取得的除上述收入以外的各项收入。主要是援建资金。</w:t>
      </w:r>
    </w:p>
    <w:p w14:paraId="4998D995">
      <w:pPr>
        <w:spacing w:line="560" w:lineRule="exact"/>
        <w:ind w:firstLine="640" w:firstLineChars="200"/>
        <w:rPr>
          <w:rFonts w:eastAsia="仿宋_GB2312"/>
          <w:sz w:val="32"/>
          <w:szCs w:val="32"/>
        </w:rPr>
      </w:pPr>
      <w:r>
        <w:rPr>
          <w:rFonts w:eastAsia="仿宋_GB2312"/>
          <w:sz w:val="32"/>
          <w:szCs w:val="32"/>
        </w:rPr>
        <w:t>5、年初结转和结余：指以前年度尚未完成、结转到本年按有关规定继续使用的资金。</w:t>
      </w:r>
    </w:p>
    <w:p w14:paraId="6EAF25C6">
      <w:pPr>
        <w:spacing w:line="560" w:lineRule="exact"/>
        <w:ind w:firstLine="640" w:firstLineChars="200"/>
        <w:rPr>
          <w:rFonts w:eastAsia="仿宋_GB2312"/>
          <w:sz w:val="32"/>
          <w:szCs w:val="32"/>
        </w:rPr>
      </w:pPr>
      <w:r>
        <w:rPr>
          <w:rFonts w:eastAsia="仿宋_GB2312"/>
          <w:sz w:val="32"/>
          <w:szCs w:val="32"/>
        </w:rPr>
        <w:t>6、年末结转和结余：指单位按有关规定结转到下年或以后年度继续使用的资金。</w:t>
      </w:r>
    </w:p>
    <w:p w14:paraId="13154231">
      <w:pPr>
        <w:ind w:firstLine="640" w:firstLineChars="200"/>
        <w:rPr>
          <w:rFonts w:ascii="仿宋_GB2312" w:eastAsia="仿宋_GB2312"/>
          <w:color w:val="000000"/>
          <w:sz w:val="32"/>
          <w:szCs w:val="32"/>
        </w:rPr>
      </w:pPr>
      <w:r>
        <w:rPr>
          <w:rFonts w:hint="eastAsia" w:eastAsia="仿宋_GB2312"/>
          <w:sz w:val="32"/>
          <w:szCs w:val="32"/>
        </w:rPr>
        <w:t>7、</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（款）机关事业单位基本养老保险缴费支出（项）：指由单位缴纳的基本养老保险费支出。</w:t>
      </w:r>
    </w:p>
    <w:p w14:paraId="2F234491">
      <w:pPr>
        <w:ind w:firstLine="640" w:firstLineChars="200"/>
        <w:rPr>
          <w:rFonts w:ascii="仿宋_GB2312" w:eastAsia="仿宋_GB2312"/>
          <w:color w:val="000000"/>
          <w:sz w:val="32"/>
          <w:szCs w:val="32"/>
        </w:rPr>
      </w:pPr>
      <w:r>
        <w:rPr>
          <w:rFonts w:hint="eastAsia" w:eastAsia="仿宋_GB2312"/>
          <w:sz w:val="32"/>
          <w:szCs w:val="32"/>
        </w:rPr>
        <w:t>8、</w:t>
      </w:r>
      <w:r>
        <w:rPr>
          <w:rFonts w:hint="eastAsia" w:ascii="仿宋_GB2312" w:eastAsia="仿宋_GB2312"/>
          <w:color w:val="000000"/>
          <w:sz w:val="32"/>
          <w:szCs w:val="32"/>
        </w:rPr>
        <w:t>社会保障和就业（类）</w:t>
      </w:r>
      <w:r>
        <w:rPr>
          <w:rFonts w:hint="eastAsia" w:ascii="仿宋" w:eastAsia="仿宋" w:cs="仿宋"/>
          <w:color w:val="000000"/>
          <w:sz w:val="32"/>
          <w:szCs w:val="32"/>
        </w:rPr>
        <w:t>行政事业单位养老支出</w:t>
      </w:r>
      <w:r>
        <w:rPr>
          <w:rFonts w:hint="eastAsia" w:ascii="仿宋_GB2312" w:eastAsia="仿宋_GB2312"/>
          <w:color w:val="000000"/>
          <w:sz w:val="32"/>
          <w:szCs w:val="32"/>
        </w:rPr>
        <w:t>（款）机关事业单位职业年金缴费支出（项）：指机关事业单位实施养老保险制度由单位实际缴纳的职业年金。</w:t>
      </w:r>
    </w:p>
    <w:p w14:paraId="7B11ABB1">
      <w:pPr>
        <w:ind w:firstLine="640" w:firstLineChars="200"/>
        <w:rPr>
          <w:rFonts w:ascii="仿宋_GB2312" w:eastAsia="仿宋_GB2312"/>
          <w:sz w:val="32"/>
          <w:szCs w:val="32"/>
        </w:rPr>
      </w:pPr>
      <w:r>
        <w:rPr>
          <w:rFonts w:hint="eastAsia" w:eastAsia="仿宋_GB2312"/>
          <w:sz w:val="32"/>
          <w:szCs w:val="32"/>
        </w:rPr>
        <w:t>9、</w:t>
      </w:r>
      <w:r>
        <w:rPr>
          <w:rFonts w:hint="eastAsia" w:ascii="仿宋_GB2312" w:eastAsia="仿宋_GB2312"/>
          <w:sz w:val="32"/>
          <w:szCs w:val="32"/>
        </w:rPr>
        <w:t>卫生健康（类）行政事业单位医疗（款）行政单位医疗（项）：指反映财政部门安排的行政单位（包括实行公务员管理的事业单位，下同）基本医疗保险缴费经费，未参加医疗保险的行政单位的公费医疗经费，按国家规定享受</w:t>
      </w:r>
      <w:r>
        <w:rPr>
          <w:rFonts w:hint="eastAsia" w:ascii="仿宋_GB2312" w:eastAsia="仿宋_GB2312"/>
          <w:sz w:val="32"/>
          <w:szCs w:val="32"/>
          <w:lang w:eastAsia="zh-CN"/>
        </w:rPr>
        <w:t>离退休</w:t>
      </w:r>
      <w:r>
        <w:rPr>
          <w:rFonts w:hint="eastAsia" w:ascii="仿宋_GB2312" w:eastAsia="仿宋_GB2312"/>
          <w:sz w:val="32"/>
          <w:szCs w:val="32"/>
        </w:rPr>
        <w:t>人员，红军老战士待遇的医疗经费。</w:t>
      </w:r>
    </w:p>
    <w:p w14:paraId="64CEA61B">
      <w:pPr>
        <w:ind w:firstLine="640" w:firstLineChars="200"/>
        <w:rPr>
          <w:rFonts w:ascii="仿宋_GB2312" w:eastAsia="仿宋_GB2312"/>
          <w:sz w:val="32"/>
          <w:szCs w:val="32"/>
        </w:rPr>
      </w:pPr>
      <w:r>
        <w:rPr>
          <w:rFonts w:hint="eastAsia" w:eastAsia="仿宋_GB2312"/>
          <w:sz w:val="32"/>
          <w:szCs w:val="32"/>
        </w:rPr>
        <w:t>10、</w:t>
      </w:r>
      <w:r>
        <w:rPr>
          <w:rFonts w:hint="eastAsia" w:ascii="仿宋_GB2312" w:eastAsia="仿宋_GB2312"/>
          <w:sz w:val="32"/>
          <w:szCs w:val="32"/>
        </w:rPr>
        <w:t>卫生健康（类）行政事业单位医疗（款）事业单位医疗（项）：指反映财政部门安排的事业单位基本医疗保险缴费经费，未参加医疗保险的事业单位的公费 医疗经费，按国家规定享受离休人员待遇的医疗经费。</w:t>
      </w:r>
    </w:p>
    <w:p w14:paraId="40175291">
      <w:pPr>
        <w:ind w:firstLine="640" w:firstLineChars="200"/>
        <w:rPr>
          <w:rFonts w:ascii="仿宋_GB2312" w:eastAsia="仿宋_GB2312"/>
          <w:sz w:val="32"/>
          <w:szCs w:val="32"/>
        </w:rPr>
      </w:pPr>
      <w:r>
        <w:rPr>
          <w:rFonts w:hint="eastAsia" w:eastAsia="仿宋_GB2312"/>
          <w:sz w:val="32"/>
          <w:szCs w:val="32"/>
        </w:rPr>
        <w:t>11、</w:t>
      </w:r>
      <w:r>
        <w:rPr>
          <w:rFonts w:hint="eastAsia" w:ascii="仿宋_GB2312" w:eastAsia="仿宋_GB2312"/>
          <w:sz w:val="32"/>
          <w:szCs w:val="32"/>
        </w:rPr>
        <w:t>卫生健康（类）行政事业单位医疗（款）公务员医疗补助（项）：指反映财政部门安排的公务员医疗补助经费。</w:t>
      </w:r>
    </w:p>
    <w:p w14:paraId="4B86E4EB">
      <w:pPr>
        <w:ind w:firstLine="640" w:firstLineChars="200"/>
        <w:rPr>
          <w:rFonts w:ascii="仿宋_GB2312" w:eastAsia="仿宋_GB2312"/>
          <w:sz w:val="32"/>
          <w:szCs w:val="32"/>
        </w:rPr>
      </w:pPr>
      <w:r>
        <w:rPr>
          <w:rFonts w:hint="eastAsia" w:eastAsia="仿宋_GB2312"/>
          <w:sz w:val="32"/>
          <w:szCs w:val="32"/>
        </w:rPr>
        <w:t>12、</w:t>
      </w:r>
      <w:r>
        <w:rPr>
          <w:rFonts w:hint="eastAsia" w:ascii="仿宋_GB2312" w:eastAsia="仿宋_GB2312"/>
          <w:sz w:val="32"/>
          <w:szCs w:val="32"/>
        </w:rPr>
        <w:t>卫生健康（类）行政事业单位医疗（款）其他行政事业单位医疗（项）：指反映除上述项目以外的其他用于行政事业单位医疗方面的支出。</w:t>
      </w:r>
    </w:p>
    <w:p w14:paraId="33559AA3">
      <w:pPr>
        <w:pStyle w:val="17"/>
        <w:ind w:left="0" w:leftChars="0" w:firstLine="640" w:firstLineChars="200"/>
      </w:pPr>
      <w:r>
        <w:rPr>
          <w:rFonts w:hint="eastAsia" w:ascii="Times New Roman" w:hAnsi="Times New Roman" w:eastAsia="仿宋_GB2312"/>
          <w:sz w:val="32"/>
          <w:szCs w:val="32"/>
        </w:rPr>
        <w:t>13、</w:t>
      </w:r>
      <w:r>
        <w:rPr>
          <w:rFonts w:hint="eastAsia" w:ascii="仿宋_GB2312" w:eastAsia="仿宋_GB2312"/>
          <w:color w:val="000000"/>
          <w:sz w:val="32"/>
          <w:szCs w:val="32"/>
        </w:rPr>
        <w:t>农林水支出（类）巩固拓展脱贫攻坚成果衔接乡村振兴（款）其他巩固拓展脱贫攻坚成果衔接乡村振兴（项）：指反映除上述项目以外其他用于巩固拓展脱贫攻坚成果同乡村振兴有效衔接方面的支出。</w:t>
      </w:r>
    </w:p>
    <w:p w14:paraId="433ADB38">
      <w:pPr>
        <w:ind w:firstLine="640" w:firstLineChars="200"/>
        <w:rPr>
          <w:rFonts w:ascii="仿宋_GB2312" w:eastAsia="仿宋_GB2312"/>
          <w:color w:val="000000"/>
          <w:sz w:val="32"/>
          <w:szCs w:val="32"/>
        </w:rPr>
      </w:pPr>
      <w:r>
        <w:rPr>
          <w:rFonts w:hint="eastAsia" w:eastAsia="仿宋_GB2312"/>
          <w:sz w:val="32"/>
          <w:szCs w:val="32"/>
        </w:rPr>
        <w:t>14、</w:t>
      </w:r>
      <w:r>
        <w:rPr>
          <w:rFonts w:hint="eastAsia" w:ascii="仿宋_GB2312" w:eastAsia="仿宋_GB2312"/>
          <w:color w:val="000000"/>
          <w:sz w:val="32"/>
          <w:szCs w:val="32"/>
        </w:rPr>
        <w:t>住房保障支出（类）住房改革支出（款）住房公积金（项）：指行政事业单位</w:t>
      </w:r>
      <w:r>
        <w:rPr>
          <w:rFonts w:hint="eastAsia" w:ascii="仿宋_GB2312" w:eastAsia="仿宋_GB2312"/>
          <w:color w:val="000000"/>
          <w:sz w:val="32"/>
          <w:szCs w:val="32"/>
          <w:lang w:eastAsia="zh-CN"/>
        </w:rPr>
        <w:t>按</w:t>
      </w:r>
      <w:r>
        <w:rPr>
          <w:rFonts w:hint="eastAsia" w:ascii="仿宋_GB2312" w:eastAsia="仿宋_GB2312"/>
          <w:color w:val="000000"/>
          <w:sz w:val="32"/>
          <w:szCs w:val="32"/>
        </w:rPr>
        <w:t>工资比例为职工缴纳的住房公积金。</w:t>
      </w:r>
    </w:p>
    <w:p w14:paraId="2999E9D9">
      <w:pPr>
        <w:spacing w:line="560" w:lineRule="exact"/>
        <w:ind w:firstLine="640" w:firstLineChars="200"/>
        <w:rPr>
          <w:rFonts w:eastAsia="仿宋_GB2312"/>
          <w:sz w:val="32"/>
          <w:szCs w:val="32"/>
        </w:rPr>
      </w:pPr>
      <w:r>
        <w:rPr>
          <w:rFonts w:hint="eastAsia" w:eastAsia="仿宋_GB2312"/>
          <w:sz w:val="32"/>
          <w:szCs w:val="32"/>
        </w:rPr>
        <w:t>15</w:t>
      </w:r>
      <w:r>
        <w:rPr>
          <w:rFonts w:eastAsia="仿宋_GB2312"/>
          <w:sz w:val="32"/>
          <w:szCs w:val="32"/>
        </w:rPr>
        <w:t>、基本支出：指为保障机构正常运转、完成日常工作任务而发生的人员支出和公用支出。</w:t>
      </w:r>
    </w:p>
    <w:p w14:paraId="658AFAD9">
      <w:pPr>
        <w:spacing w:line="560" w:lineRule="exact"/>
        <w:ind w:firstLine="640" w:firstLineChars="200"/>
        <w:rPr>
          <w:rFonts w:eastAsia="仿宋_GB2312"/>
          <w:sz w:val="32"/>
          <w:szCs w:val="32"/>
        </w:rPr>
      </w:pPr>
      <w:r>
        <w:rPr>
          <w:rFonts w:hint="eastAsia" w:eastAsia="仿宋_GB2312"/>
          <w:sz w:val="32"/>
          <w:szCs w:val="32"/>
        </w:rPr>
        <w:t>16</w:t>
      </w:r>
      <w:r>
        <w:rPr>
          <w:rFonts w:eastAsia="仿宋_GB2312"/>
          <w:sz w:val="32"/>
          <w:szCs w:val="32"/>
        </w:rPr>
        <w:t>、项目支出：指在基本支出之外为完成特定行政任务和事业发展目标所发生的支出。</w:t>
      </w:r>
    </w:p>
    <w:p w14:paraId="492FDDC5">
      <w:pPr>
        <w:spacing w:line="560" w:lineRule="exact"/>
        <w:ind w:firstLine="640" w:firstLineChars="200"/>
        <w:rPr>
          <w:rFonts w:eastAsia="仿宋_GB2312"/>
          <w:sz w:val="32"/>
          <w:szCs w:val="32"/>
        </w:rPr>
      </w:pPr>
      <w:r>
        <w:rPr>
          <w:rFonts w:hint="eastAsia" w:eastAsia="仿宋_GB2312"/>
          <w:sz w:val="32"/>
          <w:szCs w:val="32"/>
        </w:rPr>
        <w:t>17</w:t>
      </w:r>
      <w:r>
        <w:rPr>
          <w:rFonts w:eastAsia="仿宋_GB2312"/>
          <w:sz w:val="32"/>
          <w:szCs w:val="32"/>
        </w:rPr>
        <w:t>、经营支出：指事业单位在专业业务活动及其辅助活动之外开展非独立核算经营活动发生的支出。</w:t>
      </w:r>
    </w:p>
    <w:p w14:paraId="156BBA44">
      <w:pPr>
        <w:spacing w:line="560" w:lineRule="exact"/>
        <w:ind w:firstLine="640" w:firstLineChars="200"/>
        <w:rPr>
          <w:rFonts w:eastAsia="仿宋_GB2312"/>
          <w:sz w:val="32"/>
          <w:szCs w:val="32"/>
        </w:rPr>
      </w:pPr>
      <w:r>
        <w:rPr>
          <w:rFonts w:hint="eastAsia" w:eastAsia="仿宋_GB2312"/>
          <w:sz w:val="32"/>
          <w:szCs w:val="32"/>
        </w:rPr>
        <w:t>18</w:t>
      </w:r>
      <w:r>
        <w:rPr>
          <w:rFonts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9E1374">
      <w:pPr>
        <w:spacing w:line="560" w:lineRule="exact"/>
        <w:ind w:firstLine="640" w:firstLineChars="200"/>
        <w:rPr>
          <w:rFonts w:eastAsia="仿宋_GB2312"/>
          <w:sz w:val="32"/>
          <w:szCs w:val="32"/>
        </w:rPr>
      </w:pPr>
      <w:r>
        <w:rPr>
          <w:rFonts w:hint="eastAsia" w:eastAsia="仿宋_GB2312"/>
          <w:sz w:val="32"/>
          <w:szCs w:val="32"/>
        </w:rPr>
        <w:t>19</w:t>
      </w:r>
      <w:r>
        <w:rPr>
          <w:rFonts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eastAsia="仿宋_GB2312"/>
          <w:sz w:val="32"/>
          <w:szCs w:val="32"/>
        </w:rPr>
        <w:t>。</w:t>
      </w:r>
    </w:p>
    <w:p w14:paraId="2F76F611">
      <w:pPr>
        <w:pStyle w:val="27"/>
        <w:spacing w:line="560" w:lineRule="exact"/>
        <w:ind w:firstLine="560" w:firstLineChars="200"/>
        <w:rPr>
          <w:rFonts w:hAnsi="仿宋"/>
          <w:color w:val="auto"/>
          <w:sz w:val="28"/>
          <w:szCs w:val="28"/>
        </w:rPr>
      </w:pPr>
    </w:p>
    <w:p w14:paraId="403CD494">
      <w:pPr>
        <w:spacing w:line="600" w:lineRule="exact"/>
        <w:jc w:val="center"/>
        <w:outlineLvl w:val="0"/>
        <w:rPr>
          <w:rStyle w:val="35"/>
          <w:rFonts w:ascii="黑体" w:hAnsi="黑体" w:eastAsia="黑体"/>
          <w:b w:val="0"/>
        </w:rPr>
      </w:pPr>
      <w:bookmarkStart w:id="96" w:name="_Toc15377226"/>
      <w:r>
        <w:rPr>
          <w:rFonts w:hint="eastAsia" w:ascii="仿宋" w:hAnsi="仿宋" w:eastAsia="仿宋" w:cs="仿宋"/>
          <w:b/>
          <w:sz w:val="28"/>
          <w:szCs w:val="28"/>
        </w:rPr>
        <w:br w:type="page"/>
      </w:r>
      <w:bookmarkStart w:id="97" w:name="_Toc24624"/>
      <w:bookmarkStart w:id="98" w:name="_Toc15396614"/>
      <w:bookmarkStart w:id="99" w:name="_Toc19486"/>
      <w:r>
        <w:rPr>
          <w:rFonts w:hint="eastAsia" w:ascii="黑体" w:hAnsi="黑体" w:eastAsia="黑体" w:cs="黑体"/>
          <w:sz w:val="32"/>
          <w:szCs w:val="32"/>
        </w:rPr>
        <w:t>第四部分 附件</w:t>
      </w:r>
      <w:bookmarkEnd w:id="97"/>
      <w:bookmarkEnd w:id="98"/>
      <w:bookmarkEnd w:id="99"/>
    </w:p>
    <w:p w14:paraId="7D55D5A4">
      <w:pPr>
        <w:spacing w:line="600" w:lineRule="exact"/>
        <w:jc w:val="left"/>
        <w:rPr>
          <w:rFonts w:ascii="黑体" w:hAnsi="黑体" w:eastAsia="黑体" w:cs="黑体"/>
          <w:sz w:val="32"/>
          <w:szCs w:val="32"/>
        </w:rPr>
      </w:pPr>
      <w:bookmarkStart w:id="100" w:name="_Toc30849"/>
      <w:bookmarkStart w:id="101" w:name="_Toc14416"/>
      <w:bookmarkStart w:id="102" w:name="_Toc28430"/>
      <w:r>
        <w:rPr>
          <w:rFonts w:hint="eastAsia" w:ascii="黑体" w:hAnsi="黑体" w:eastAsia="黑体" w:cs="黑体"/>
          <w:sz w:val="32"/>
          <w:szCs w:val="32"/>
        </w:rPr>
        <w:t>附件</w:t>
      </w:r>
      <w:bookmarkEnd w:id="100"/>
      <w:bookmarkEnd w:id="101"/>
      <w:bookmarkEnd w:id="102"/>
      <w:r>
        <w:rPr>
          <w:rFonts w:hint="eastAsia" w:ascii="黑体" w:hAnsi="黑体" w:eastAsia="黑体" w:cs="黑体"/>
          <w:sz w:val="32"/>
          <w:szCs w:val="32"/>
        </w:rPr>
        <w:t>1</w:t>
      </w:r>
    </w:p>
    <w:p w14:paraId="110F3435">
      <w:pPr>
        <w:spacing w:line="700" w:lineRule="exact"/>
        <w:jc w:val="center"/>
        <w:outlineLvl w:val="0"/>
        <w:rPr>
          <w:rFonts w:ascii="方正小标宋_GBK" w:hAnsi="方正小标宋_GBK" w:eastAsia="方正小标宋_GBK" w:cs="方正小标宋_GBK"/>
          <w:kern w:val="0"/>
          <w:sz w:val="44"/>
          <w:szCs w:val="44"/>
        </w:rPr>
      </w:pPr>
      <w:bookmarkStart w:id="103" w:name="_Toc27025"/>
      <w:bookmarkStart w:id="104" w:name="_Toc15396618"/>
      <w:r>
        <w:rPr>
          <w:rFonts w:hint="eastAsia" w:ascii="方正小标宋_GBK" w:hAnsi="方正小标宋_GBK" w:eastAsia="方正小标宋_GBK" w:cs="方正小标宋_GBK"/>
          <w:kern w:val="0"/>
          <w:sz w:val="44"/>
          <w:szCs w:val="44"/>
        </w:rPr>
        <w:t>中共壤塘县委组织部</w:t>
      </w:r>
    </w:p>
    <w:p w14:paraId="53C71C09">
      <w:pPr>
        <w:spacing w:line="700" w:lineRule="exact"/>
        <w:jc w:val="center"/>
        <w:outlineLvl w:val="0"/>
        <w:rPr>
          <w:rFonts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2025年度部门整体支出绩效评价自评报告</w:t>
      </w:r>
    </w:p>
    <w:p w14:paraId="35EA057A">
      <w:pPr>
        <w:spacing w:line="360" w:lineRule="auto"/>
        <w:jc w:val="center"/>
        <w:rPr>
          <w:kern w:val="0"/>
          <w:szCs w:val="21"/>
        </w:rPr>
      </w:pPr>
    </w:p>
    <w:p w14:paraId="34CD9968">
      <w:pPr>
        <w:spacing w:line="560" w:lineRule="exact"/>
        <w:outlineLvl w:val="0"/>
        <w:rPr>
          <w:rFonts w:eastAsia="黑体"/>
          <w:sz w:val="32"/>
          <w:szCs w:val="32"/>
        </w:rPr>
      </w:pPr>
      <w:r>
        <w:rPr>
          <w:rFonts w:eastAsia="黑体"/>
          <w:kern w:val="0"/>
          <w:sz w:val="32"/>
          <w:szCs w:val="32"/>
        </w:rPr>
        <w:t>一、部门（单位）概况</w:t>
      </w:r>
    </w:p>
    <w:p w14:paraId="6002F20F">
      <w:pPr>
        <w:spacing w:line="560" w:lineRule="exact"/>
        <w:ind w:firstLine="640" w:firstLineChars="200"/>
        <w:rPr>
          <w:rFonts w:eastAsia="仿宋_GB2312"/>
          <w:sz w:val="32"/>
          <w:szCs w:val="32"/>
        </w:rPr>
      </w:pPr>
      <w:r>
        <w:rPr>
          <w:rFonts w:eastAsia="仿宋_GB2312"/>
          <w:sz w:val="32"/>
          <w:szCs w:val="32"/>
        </w:rPr>
        <w:t>中共壤塘县</w:t>
      </w:r>
      <w:r>
        <w:rPr>
          <w:rFonts w:hint="eastAsia" w:eastAsia="仿宋_GB2312"/>
          <w:sz w:val="32"/>
          <w:szCs w:val="32"/>
        </w:rPr>
        <w:t>委</w:t>
      </w:r>
      <w:r>
        <w:rPr>
          <w:rFonts w:eastAsia="仿宋_GB2312"/>
          <w:sz w:val="32"/>
          <w:szCs w:val="32"/>
        </w:rPr>
        <w:t>组织部：行政，机构地址：四川省阿坝藏族羌族自治州壤塘县岗木达镇罗吾塘</w:t>
      </w:r>
      <w:r>
        <w:rPr>
          <w:rFonts w:hint="eastAsia" w:eastAsia="仿宋_GB2312"/>
          <w:sz w:val="32"/>
          <w:szCs w:val="32"/>
        </w:rPr>
        <w:t>中</w:t>
      </w:r>
      <w:r>
        <w:rPr>
          <w:rFonts w:eastAsia="仿宋_GB2312"/>
          <w:sz w:val="32"/>
          <w:szCs w:val="32"/>
        </w:rPr>
        <w:t>街</w:t>
      </w:r>
      <w:r>
        <w:rPr>
          <w:rFonts w:hint="eastAsia" w:eastAsia="仿宋_GB2312"/>
          <w:sz w:val="32"/>
          <w:szCs w:val="32"/>
        </w:rPr>
        <w:t>51</w:t>
      </w:r>
      <w:r>
        <w:rPr>
          <w:rFonts w:eastAsia="仿宋_GB2312"/>
          <w:sz w:val="32"/>
          <w:szCs w:val="32"/>
        </w:rPr>
        <w:t>号，单位负责人：</w:t>
      </w:r>
      <w:r>
        <w:rPr>
          <w:rFonts w:hint="eastAsia" w:eastAsia="仿宋_GB2312"/>
          <w:color w:val="000000"/>
          <w:sz w:val="32"/>
          <w:szCs w:val="32"/>
        </w:rPr>
        <w:t>吕勇</w:t>
      </w:r>
      <w:r>
        <w:rPr>
          <w:rFonts w:eastAsia="仿宋_GB2312"/>
          <w:sz w:val="32"/>
          <w:szCs w:val="32"/>
        </w:rPr>
        <w:t>。</w:t>
      </w:r>
    </w:p>
    <w:p w14:paraId="7DFE1BDF">
      <w:pPr>
        <w:widowControl/>
        <w:adjustRightInd w:val="0"/>
        <w:snapToGrid w:val="0"/>
        <w:spacing w:line="560" w:lineRule="exact"/>
        <w:ind w:firstLine="643" w:firstLineChars="200"/>
        <w:contextualSpacing/>
        <w:jc w:val="left"/>
        <w:outlineLvl w:val="1"/>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（一）机构组成</w:t>
      </w:r>
    </w:p>
    <w:p w14:paraId="62A6BB65">
      <w:pPr>
        <w:spacing w:line="560" w:lineRule="exact"/>
        <w:ind w:firstLine="640" w:firstLineChars="200"/>
        <w:rPr>
          <w:rFonts w:eastAsia="仿宋_GB2312"/>
          <w:sz w:val="32"/>
          <w:szCs w:val="32"/>
        </w:rPr>
      </w:pPr>
      <w:r>
        <w:rPr>
          <w:rFonts w:eastAsia="仿宋_GB2312"/>
          <w:sz w:val="32"/>
          <w:szCs w:val="32"/>
        </w:rPr>
        <w:t>中共壤塘县委员会组织部为中共壤塘县委工作部门，下设3个股室（办公室、组织科、干部科），所属事业单位4个（县委党员干部远程教育中心、壤塘县都江堰干休所、信息中心、干部档案管理中心）。</w:t>
      </w:r>
    </w:p>
    <w:p w14:paraId="2B49DCB4">
      <w:pPr>
        <w:widowControl/>
        <w:adjustRightInd w:val="0"/>
        <w:snapToGrid w:val="0"/>
        <w:spacing w:line="560" w:lineRule="exact"/>
        <w:ind w:firstLine="643" w:firstLineChars="200"/>
        <w:contextualSpacing/>
        <w:jc w:val="left"/>
        <w:outlineLvl w:val="1"/>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（二）机构职能</w:t>
      </w:r>
    </w:p>
    <w:p w14:paraId="130917AF">
      <w:pPr>
        <w:widowControl/>
        <w:adjustRightInd w:val="0"/>
        <w:snapToGrid w:val="0"/>
        <w:spacing w:line="560" w:lineRule="exact"/>
        <w:ind w:firstLine="640" w:firstLineChars="200"/>
        <w:contextualSpacing/>
        <w:jc w:val="left"/>
        <w:rPr>
          <w:rFonts w:eastAsia="仿宋"/>
          <w:bCs/>
          <w:sz w:val="32"/>
          <w:szCs w:val="32"/>
        </w:rPr>
      </w:pPr>
      <w:r>
        <w:rPr>
          <w:rFonts w:eastAsia="仿宋"/>
          <w:bCs/>
          <w:sz w:val="32"/>
          <w:szCs w:val="32"/>
        </w:rPr>
        <w:t>1.</w:t>
      </w:r>
      <w:r>
        <w:rPr>
          <w:rFonts w:eastAsia="仿宋_GB2312"/>
          <w:sz w:val="32"/>
          <w:szCs w:val="32"/>
        </w:rPr>
        <w:t>认真贯彻执行党的路线、方针、政策和县委的指示、决议，按照新形势下党的建设组织工作的总体部署和目标任务，调查研究有关党建和干部人事工作方面的新情况、新问题，提出实施党的政治路线、组织路线和干部路线的具体措施，并认真贯彻落实。</w:t>
      </w:r>
    </w:p>
    <w:p w14:paraId="25AFD3F4">
      <w:pPr>
        <w:widowControl/>
        <w:adjustRightInd w:val="0"/>
        <w:snapToGrid w:val="0"/>
        <w:spacing w:line="560" w:lineRule="exact"/>
        <w:ind w:firstLine="640" w:firstLineChars="200"/>
        <w:contextualSpacing/>
        <w:jc w:val="left"/>
        <w:rPr>
          <w:rFonts w:eastAsia="仿宋"/>
          <w:bCs/>
          <w:sz w:val="32"/>
          <w:szCs w:val="32"/>
        </w:rPr>
      </w:pPr>
      <w:r>
        <w:rPr>
          <w:rFonts w:eastAsia="仿宋"/>
          <w:bCs/>
          <w:sz w:val="32"/>
          <w:szCs w:val="32"/>
        </w:rPr>
        <w:t>2.</w:t>
      </w:r>
      <w:r>
        <w:rPr>
          <w:rFonts w:eastAsia="仿宋_GB2312"/>
          <w:sz w:val="32"/>
          <w:szCs w:val="32"/>
        </w:rPr>
        <w:t>督促指导全县基层党组织建设工作，特别是农村、机关、企业和新兴领域党的工作，认真贯彻执行党的基层组织工作条例，研究指导基层党组织的设置，党代会的召开，以及县属企事业单位的党建工作；检查督促乡（镇）党委、县级机关各部门党组织、县属企事业党支部贯彻民主集中制，坚持集体领导，健全党内政治生活和党员领导干部坚持过双重组织生活的情况，总结介绍经验，提出改进措施，并向县委作出报告；搞好党员管理和发展党员工作的指导，配合有关部门抓好党员教育和党风廉政建设。</w:t>
      </w:r>
    </w:p>
    <w:p w14:paraId="01F52E79">
      <w:pPr>
        <w:widowControl/>
        <w:adjustRightInd w:val="0"/>
        <w:snapToGrid w:val="0"/>
        <w:spacing w:line="560" w:lineRule="exact"/>
        <w:ind w:firstLine="640" w:firstLineChars="200"/>
        <w:contextualSpacing/>
        <w:jc w:val="left"/>
        <w:rPr>
          <w:rFonts w:eastAsia="仿宋"/>
          <w:bCs/>
          <w:sz w:val="32"/>
          <w:szCs w:val="32"/>
        </w:rPr>
      </w:pPr>
      <w:r>
        <w:rPr>
          <w:rFonts w:eastAsia="仿宋"/>
          <w:bCs/>
          <w:sz w:val="32"/>
          <w:szCs w:val="32"/>
        </w:rPr>
        <w:t>3.</w:t>
      </w:r>
      <w:r>
        <w:rPr>
          <w:rFonts w:eastAsia="仿宋_GB2312"/>
          <w:sz w:val="32"/>
          <w:szCs w:val="32"/>
        </w:rPr>
        <w:t>认真贯彻执行《党政领导干部选拔任用工作条例》以及党的干部路线和干部政策，坚持党管干部的原则，做好干部的年度、任期和日常考察，做好各级领导班子的人事安排、调整，配备好基层领导班子，按照德才兼备的标准积极培养选拔优秀年轻干部，搞好后备干部队伍建设。</w:t>
      </w:r>
    </w:p>
    <w:p w14:paraId="587CA535">
      <w:pPr>
        <w:widowControl/>
        <w:adjustRightInd w:val="0"/>
        <w:snapToGrid w:val="0"/>
        <w:spacing w:line="560" w:lineRule="exact"/>
        <w:ind w:firstLine="640" w:firstLineChars="200"/>
        <w:contextualSpacing/>
        <w:jc w:val="left"/>
        <w:rPr>
          <w:rFonts w:eastAsia="仿宋_GB2312"/>
          <w:sz w:val="32"/>
          <w:szCs w:val="32"/>
        </w:rPr>
      </w:pPr>
      <w:r>
        <w:rPr>
          <w:rFonts w:eastAsia="仿宋"/>
          <w:bCs/>
          <w:sz w:val="32"/>
          <w:szCs w:val="32"/>
        </w:rPr>
        <w:t>4.</w:t>
      </w:r>
      <w:r>
        <w:rPr>
          <w:rFonts w:eastAsia="仿宋_GB2312"/>
          <w:sz w:val="32"/>
          <w:szCs w:val="32"/>
        </w:rPr>
        <w:t>有计划、有步骤地开展全县干部培训，做好全县干部培训的指导和综合协调工作，积极完成上级分配的干部培训、调训任务，积极推荐州拔尖人才，管理县管拔尖人才，督促、指导和做好知识分子工作。</w:t>
      </w:r>
    </w:p>
    <w:p w14:paraId="225410CC">
      <w:pPr>
        <w:widowControl/>
        <w:adjustRightInd w:val="0"/>
        <w:snapToGrid w:val="0"/>
        <w:spacing w:line="560" w:lineRule="exact"/>
        <w:ind w:firstLine="640" w:firstLineChars="200"/>
        <w:contextualSpacing/>
        <w:jc w:val="left"/>
        <w:rPr>
          <w:rFonts w:eastAsia="仿宋_GB2312"/>
          <w:sz w:val="32"/>
          <w:szCs w:val="32"/>
        </w:rPr>
      </w:pPr>
      <w:r>
        <w:rPr>
          <w:rFonts w:eastAsia="仿宋_GB2312"/>
          <w:sz w:val="32"/>
          <w:szCs w:val="32"/>
        </w:rPr>
        <w:t>5.积极探索和推进党的建设，干部人事制度改革，加强组织人事工作的宏观管理。</w:t>
      </w:r>
    </w:p>
    <w:p w14:paraId="74AED038">
      <w:pPr>
        <w:widowControl/>
        <w:adjustRightInd w:val="0"/>
        <w:snapToGrid w:val="0"/>
        <w:spacing w:line="560" w:lineRule="exact"/>
        <w:ind w:firstLine="640" w:firstLineChars="200"/>
        <w:contextualSpacing/>
        <w:jc w:val="left"/>
        <w:rPr>
          <w:rFonts w:eastAsia="仿宋_GB2312"/>
          <w:sz w:val="32"/>
          <w:szCs w:val="32"/>
        </w:rPr>
      </w:pPr>
      <w:r>
        <w:rPr>
          <w:rFonts w:eastAsia="仿宋_GB2312"/>
          <w:sz w:val="32"/>
          <w:szCs w:val="32"/>
        </w:rPr>
        <w:t>6.加强对老干部工作的领导、督促和指导协调，认真做好老干部工作，发挥“五老”在关心下一代的优势作用。</w:t>
      </w:r>
    </w:p>
    <w:p w14:paraId="1723B90B">
      <w:pPr>
        <w:widowControl/>
        <w:adjustRightInd w:val="0"/>
        <w:snapToGrid w:val="0"/>
        <w:spacing w:line="560" w:lineRule="exact"/>
        <w:ind w:firstLine="640" w:firstLineChars="200"/>
        <w:contextualSpacing/>
        <w:jc w:val="left"/>
        <w:rPr>
          <w:rFonts w:eastAsia="仿宋_GB2312"/>
          <w:sz w:val="32"/>
          <w:szCs w:val="32"/>
        </w:rPr>
      </w:pPr>
      <w:r>
        <w:rPr>
          <w:rFonts w:eastAsia="仿宋_GB2312"/>
          <w:sz w:val="32"/>
          <w:szCs w:val="32"/>
        </w:rPr>
        <w:t>7.负责全县党员和党组织的统计，党费的收缴、管理、使用；负责全县干部统计，管好干部档案和本部</w:t>
      </w:r>
      <w:r>
        <w:rPr>
          <w:rFonts w:hint="eastAsia" w:eastAsia="仿宋_GB2312"/>
          <w:sz w:val="32"/>
          <w:szCs w:val="32"/>
          <w:lang w:eastAsia="zh-CN"/>
        </w:rPr>
        <w:t>门</w:t>
      </w:r>
      <w:r>
        <w:rPr>
          <w:rFonts w:eastAsia="仿宋_GB2312"/>
          <w:sz w:val="32"/>
          <w:szCs w:val="32"/>
        </w:rPr>
        <w:t>的文书档案。</w:t>
      </w:r>
    </w:p>
    <w:p w14:paraId="23BF3CFD">
      <w:pPr>
        <w:widowControl/>
        <w:adjustRightInd w:val="0"/>
        <w:snapToGrid w:val="0"/>
        <w:spacing w:line="560" w:lineRule="exact"/>
        <w:ind w:firstLine="640" w:firstLineChars="200"/>
        <w:contextualSpacing/>
        <w:jc w:val="left"/>
        <w:rPr>
          <w:rFonts w:eastAsia="仿宋_GB2312"/>
          <w:sz w:val="32"/>
          <w:szCs w:val="32"/>
        </w:rPr>
      </w:pPr>
      <w:r>
        <w:rPr>
          <w:rFonts w:eastAsia="仿宋_GB2312"/>
          <w:sz w:val="32"/>
          <w:szCs w:val="32"/>
        </w:rPr>
        <w:t>8.做好党员、干部、群众来信来访的接待工作，做好接转党组织关系、外调介绍信的有关工作。</w:t>
      </w:r>
    </w:p>
    <w:p w14:paraId="273312C3">
      <w:pPr>
        <w:widowControl/>
        <w:adjustRightInd w:val="0"/>
        <w:snapToGrid w:val="0"/>
        <w:spacing w:line="560" w:lineRule="exact"/>
        <w:ind w:firstLine="640" w:firstLineChars="200"/>
        <w:contextualSpacing/>
        <w:jc w:val="left"/>
        <w:rPr>
          <w:rFonts w:eastAsia="仿宋_GB2312"/>
          <w:sz w:val="32"/>
          <w:szCs w:val="32"/>
        </w:rPr>
      </w:pPr>
      <w:r>
        <w:rPr>
          <w:rFonts w:eastAsia="仿宋_GB2312"/>
          <w:sz w:val="32"/>
          <w:szCs w:val="32"/>
        </w:rPr>
        <w:t>9.搞好本部的思想、作风、组织和业务建设；认真贯彻执行党的组织路线和干部政策。</w:t>
      </w:r>
    </w:p>
    <w:p w14:paraId="60A520A7">
      <w:pPr>
        <w:widowControl/>
        <w:adjustRightInd w:val="0"/>
        <w:snapToGrid w:val="0"/>
        <w:spacing w:line="560" w:lineRule="exact"/>
        <w:ind w:firstLine="640" w:firstLineChars="200"/>
        <w:contextualSpacing/>
        <w:jc w:val="left"/>
        <w:rPr>
          <w:rFonts w:eastAsia="仿宋_GB2312"/>
          <w:sz w:val="32"/>
          <w:szCs w:val="32"/>
        </w:rPr>
      </w:pPr>
      <w:r>
        <w:rPr>
          <w:rFonts w:eastAsia="仿宋_GB2312"/>
          <w:sz w:val="32"/>
          <w:szCs w:val="32"/>
        </w:rPr>
        <w:t>10.负责全县干部工作监督职责。</w:t>
      </w:r>
    </w:p>
    <w:p w14:paraId="6B06B327">
      <w:pPr>
        <w:widowControl/>
        <w:adjustRightInd w:val="0"/>
        <w:snapToGrid w:val="0"/>
        <w:spacing w:line="560" w:lineRule="exact"/>
        <w:ind w:firstLine="640" w:firstLineChars="200"/>
        <w:contextualSpacing/>
        <w:jc w:val="left"/>
        <w:rPr>
          <w:rFonts w:eastAsia="仿宋_GB2312"/>
          <w:sz w:val="32"/>
          <w:szCs w:val="32"/>
        </w:rPr>
      </w:pPr>
      <w:r>
        <w:rPr>
          <w:rFonts w:eastAsia="仿宋_GB2312"/>
          <w:sz w:val="32"/>
          <w:szCs w:val="32"/>
        </w:rPr>
        <w:t>11.完成州委组织部及县委交办的其他任务。</w:t>
      </w:r>
    </w:p>
    <w:p w14:paraId="0341CE6A">
      <w:pPr>
        <w:widowControl/>
        <w:adjustRightInd w:val="0"/>
        <w:snapToGrid w:val="0"/>
        <w:spacing w:line="560" w:lineRule="exact"/>
        <w:ind w:firstLine="643" w:firstLineChars="200"/>
        <w:contextualSpacing/>
        <w:jc w:val="left"/>
        <w:outlineLvl w:val="1"/>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（三）人员概况</w:t>
      </w:r>
    </w:p>
    <w:p w14:paraId="6D98C21E">
      <w:pPr>
        <w:spacing w:line="560" w:lineRule="exact"/>
        <w:ind w:firstLine="640" w:firstLineChars="200"/>
        <w:rPr>
          <w:rFonts w:eastAsia="仿宋_GB2312"/>
          <w:sz w:val="32"/>
          <w:szCs w:val="32"/>
        </w:rPr>
      </w:pPr>
      <w:r>
        <w:rPr>
          <w:rFonts w:eastAsia="仿宋_GB2312"/>
          <w:sz w:val="32"/>
          <w:szCs w:val="32"/>
        </w:rPr>
        <w:t>中共壤塘县委员会组织部，</w:t>
      </w:r>
      <w:r>
        <w:rPr>
          <w:rFonts w:hint="eastAsia" w:eastAsia="仿宋_GB2312"/>
          <w:sz w:val="32"/>
          <w:szCs w:val="32"/>
        </w:rPr>
        <w:t>2025年12月31日在职人数25人</w:t>
      </w:r>
      <w:r>
        <w:rPr>
          <w:rFonts w:eastAsia="仿宋_GB2312"/>
          <w:sz w:val="32"/>
          <w:szCs w:val="32"/>
        </w:rPr>
        <w:t>，其中：行政编制1</w:t>
      </w:r>
      <w:r>
        <w:rPr>
          <w:rFonts w:hint="eastAsia" w:eastAsia="仿宋_GB2312"/>
          <w:sz w:val="32"/>
          <w:szCs w:val="32"/>
        </w:rPr>
        <w:t>0</w:t>
      </w:r>
      <w:r>
        <w:rPr>
          <w:rFonts w:eastAsia="仿宋_GB2312"/>
          <w:sz w:val="32"/>
          <w:szCs w:val="32"/>
        </w:rPr>
        <w:t>人、行政工勤2人、参照公务员法管理事业人员</w:t>
      </w:r>
      <w:r>
        <w:rPr>
          <w:rFonts w:hint="eastAsia" w:eastAsia="仿宋_GB2312"/>
          <w:sz w:val="32"/>
          <w:szCs w:val="32"/>
        </w:rPr>
        <w:t>11</w:t>
      </w:r>
      <w:r>
        <w:rPr>
          <w:rFonts w:eastAsia="仿宋_GB2312"/>
          <w:sz w:val="32"/>
          <w:szCs w:val="32"/>
        </w:rPr>
        <w:t>人、事业管理人员</w:t>
      </w:r>
      <w:r>
        <w:rPr>
          <w:rFonts w:hint="eastAsia" w:eastAsia="仿宋_GB2312"/>
          <w:sz w:val="32"/>
          <w:szCs w:val="32"/>
        </w:rPr>
        <w:t>2</w:t>
      </w:r>
      <w:r>
        <w:rPr>
          <w:rFonts w:eastAsia="仿宋_GB2312"/>
          <w:sz w:val="32"/>
          <w:szCs w:val="32"/>
        </w:rPr>
        <w:t>人。</w:t>
      </w:r>
    </w:p>
    <w:p w14:paraId="4C828E8B">
      <w:pPr>
        <w:widowControl/>
        <w:adjustRightInd w:val="0"/>
        <w:snapToGrid w:val="0"/>
        <w:spacing w:line="560" w:lineRule="exact"/>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二、部门财政资金收支情况</w:t>
      </w:r>
    </w:p>
    <w:p w14:paraId="0260A698">
      <w:pPr>
        <w:widowControl/>
        <w:adjustRightInd w:val="0"/>
        <w:snapToGrid w:val="0"/>
        <w:spacing w:line="560" w:lineRule="exact"/>
        <w:ind w:firstLine="643" w:firstLineChars="200"/>
        <w:contextualSpacing/>
        <w:jc w:val="left"/>
        <w:outlineLvl w:val="1"/>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（一）部门财政资金收入情况</w:t>
      </w:r>
    </w:p>
    <w:p w14:paraId="183A1F7F">
      <w:pPr>
        <w:pStyle w:val="50"/>
        <w:spacing w:line="560" w:lineRule="exact"/>
        <w:ind w:firstLine="640"/>
        <w:rPr>
          <w:rFonts w:ascii="Times New Roman" w:hAnsi="Times New Roman" w:eastAsia="仿宋_GB2312"/>
          <w:sz w:val="32"/>
          <w:szCs w:val="32"/>
        </w:rPr>
      </w:pPr>
      <w:r>
        <w:rPr>
          <w:rFonts w:hint="eastAsia" w:ascii="Times New Roman" w:hAnsi="Times New Roman" w:eastAsia="仿宋_GB2312"/>
          <w:sz w:val="32"/>
          <w:szCs w:val="32"/>
        </w:rPr>
        <w:t>2025</w:t>
      </w:r>
      <w:r>
        <w:rPr>
          <w:rFonts w:ascii="Times New Roman" w:hAnsi="Times New Roman" w:eastAsia="仿宋_GB2312"/>
          <w:sz w:val="32"/>
          <w:szCs w:val="32"/>
        </w:rPr>
        <w:t>年财政下达</w:t>
      </w:r>
      <w:r>
        <w:rPr>
          <w:rFonts w:hint="eastAsia" w:ascii="Times New Roman" w:hAnsi="Times New Roman" w:eastAsia="仿宋_GB2312"/>
          <w:sz w:val="32"/>
          <w:szCs w:val="32"/>
        </w:rPr>
        <w:t>中共</w:t>
      </w:r>
      <w:r>
        <w:rPr>
          <w:rFonts w:ascii="Times New Roman" w:hAnsi="Times New Roman" w:eastAsia="仿宋_GB2312"/>
          <w:sz w:val="32"/>
          <w:szCs w:val="32"/>
        </w:rPr>
        <w:t>壤塘县委组织部年初预算收入</w:t>
      </w:r>
      <w:r>
        <w:rPr>
          <w:rFonts w:hint="eastAsia" w:ascii="Times New Roman" w:hAnsi="Times New Roman" w:eastAsia="仿宋_GB2312"/>
          <w:sz w:val="32"/>
          <w:szCs w:val="32"/>
        </w:rPr>
        <w:t>989.87</w:t>
      </w:r>
      <w:r>
        <w:rPr>
          <w:rFonts w:ascii="Times New Roman" w:hAnsi="Times New Roman" w:eastAsia="仿宋_GB2312"/>
          <w:sz w:val="32"/>
          <w:szCs w:val="32"/>
        </w:rPr>
        <w:t>万元，执行期中追加收入</w:t>
      </w:r>
      <w:r>
        <w:rPr>
          <w:rFonts w:hint="eastAsia" w:ascii="Times New Roman" w:hAnsi="Times New Roman" w:eastAsia="仿宋_GB2312"/>
          <w:sz w:val="32"/>
          <w:szCs w:val="32"/>
        </w:rPr>
        <w:t>692.98</w:t>
      </w:r>
      <w:r>
        <w:rPr>
          <w:rFonts w:ascii="Times New Roman" w:hAnsi="Times New Roman" w:eastAsia="仿宋_GB2312"/>
          <w:sz w:val="32"/>
          <w:szCs w:val="32"/>
        </w:rPr>
        <w:t>万元</w:t>
      </w:r>
      <w:r>
        <w:rPr>
          <w:rFonts w:hint="eastAsia" w:ascii="Times New Roman" w:hAnsi="Times New Roman" w:eastAsia="仿宋_GB2312"/>
          <w:sz w:val="32"/>
          <w:szCs w:val="32"/>
        </w:rPr>
        <w:t>，</w:t>
      </w:r>
      <w:r>
        <w:rPr>
          <w:rFonts w:ascii="Times New Roman" w:hAnsi="Times New Roman" w:eastAsia="仿宋_GB2312"/>
          <w:sz w:val="32"/>
          <w:szCs w:val="32"/>
        </w:rPr>
        <w:t>本年度收入合计</w:t>
      </w:r>
      <w:r>
        <w:rPr>
          <w:rFonts w:hint="eastAsia" w:ascii="Times New Roman" w:hAnsi="Times New Roman" w:eastAsia="仿宋_GB2312"/>
          <w:sz w:val="32"/>
          <w:szCs w:val="32"/>
        </w:rPr>
        <w:t>1682.85</w:t>
      </w:r>
      <w:r>
        <w:rPr>
          <w:rFonts w:ascii="Times New Roman" w:hAnsi="Times New Roman" w:eastAsia="仿宋_GB2312"/>
          <w:sz w:val="32"/>
          <w:szCs w:val="32"/>
        </w:rPr>
        <w:t>万。</w:t>
      </w:r>
    </w:p>
    <w:p w14:paraId="4BD27204">
      <w:pPr>
        <w:widowControl/>
        <w:adjustRightInd w:val="0"/>
        <w:snapToGrid w:val="0"/>
        <w:spacing w:line="560" w:lineRule="exact"/>
        <w:ind w:firstLine="643" w:firstLineChars="200"/>
        <w:contextualSpacing/>
        <w:jc w:val="left"/>
        <w:outlineLvl w:val="1"/>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（二）部门财政资金支出情况</w:t>
      </w:r>
    </w:p>
    <w:p w14:paraId="1A05058D">
      <w:pPr>
        <w:widowControl/>
        <w:adjustRightInd w:val="0"/>
        <w:snapToGrid w:val="0"/>
        <w:spacing w:line="560" w:lineRule="exact"/>
        <w:contextualSpacing/>
        <w:jc w:val="left"/>
        <w:rPr>
          <w:rFonts w:eastAsia="仿宋_GB2312"/>
          <w:sz w:val="32"/>
          <w:szCs w:val="32"/>
        </w:rPr>
      </w:pPr>
      <w:r>
        <w:rPr>
          <w:rFonts w:hint="eastAsia" w:eastAsia="仿宋_GB2312"/>
          <w:sz w:val="32"/>
          <w:szCs w:val="32"/>
        </w:rPr>
        <w:t xml:space="preserve">    2025</w:t>
      </w:r>
      <w:r>
        <w:rPr>
          <w:rFonts w:eastAsia="仿宋_GB2312"/>
          <w:sz w:val="32"/>
          <w:szCs w:val="32"/>
        </w:rPr>
        <w:t>年</w:t>
      </w:r>
      <w:r>
        <w:rPr>
          <w:rFonts w:hint="eastAsia" w:eastAsia="仿宋_GB2312"/>
          <w:sz w:val="32"/>
          <w:szCs w:val="32"/>
        </w:rPr>
        <w:t>中共</w:t>
      </w:r>
      <w:r>
        <w:rPr>
          <w:rFonts w:eastAsia="仿宋_GB2312"/>
          <w:sz w:val="32"/>
          <w:szCs w:val="32"/>
        </w:rPr>
        <w:t>壤塘县委组织部共计预算支出</w:t>
      </w:r>
      <w:r>
        <w:rPr>
          <w:rFonts w:hint="eastAsia" w:eastAsia="仿宋_GB2312"/>
          <w:sz w:val="32"/>
          <w:szCs w:val="32"/>
        </w:rPr>
        <w:t>1682.85</w:t>
      </w:r>
      <w:r>
        <w:rPr>
          <w:rFonts w:eastAsia="仿宋_GB2312"/>
          <w:sz w:val="32"/>
          <w:szCs w:val="32"/>
        </w:rPr>
        <w:t>万元，基本支出</w:t>
      </w:r>
      <w:r>
        <w:rPr>
          <w:rFonts w:hint="eastAsia" w:eastAsia="仿宋_GB2312"/>
          <w:sz w:val="32"/>
          <w:szCs w:val="32"/>
        </w:rPr>
        <w:t>823.57</w:t>
      </w:r>
      <w:r>
        <w:rPr>
          <w:rFonts w:eastAsia="仿宋_GB2312"/>
          <w:sz w:val="32"/>
          <w:szCs w:val="32"/>
        </w:rPr>
        <w:t>万元，项目支出</w:t>
      </w:r>
      <w:r>
        <w:rPr>
          <w:rFonts w:hint="eastAsia" w:eastAsia="仿宋_GB2312"/>
          <w:sz w:val="32"/>
          <w:szCs w:val="32"/>
        </w:rPr>
        <w:t>859.28</w:t>
      </w:r>
      <w:r>
        <w:rPr>
          <w:rFonts w:eastAsia="仿宋_GB2312"/>
          <w:sz w:val="32"/>
          <w:szCs w:val="32"/>
        </w:rPr>
        <w:t>万元。</w:t>
      </w:r>
    </w:p>
    <w:p w14:paraId="5E085D9C">
      <w:pPr>
        <w:widowControl/>
        <w:numPr>
          <w:ilvl w:val="0"/>
          <w:numId w:val="4"/>
        </w:numPr>
        <w:adjustRightInd w:val="0"/>
        <w:snapToGrid w:val="0"/>
        <w:spacing w:line="560" w:lineRule="exact"/>
        <w:ind w:firstLine="643" w:firstLineChars="200"/>
        <w:contextualSpacing/>
        <w:jc w:val="left"/>
        <w:outlineLvl w:val="1"/>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结余分配和结转结余情况</w:t>
      </w:r>
    </w:p>
    <w:p w14:paraId="51D1B067">
      <w:pPr>
        <w:widowControl/>
        <w:adjustRightInd w:val="0"/>
        <w:snapToGrid w:val="0"/>
        <w:spacing w:line="560" w:lineRule="exact"/>
        <w:ind w:firstLine="640" w:firstLineChars="200"/>
        <w:contextualSpacing/>
        <w:jc w:val="left"/>
        <w:outlineLvl w:val="1"/>
        <w:rPr>
          <w:rFonts w:eastAsia="仿宋_GB2312"/>
          <w:sz w:val="32"/>
          <w:szCs w:val="32"/>
        </w:rPr>
      </w:pPr>
      <w:r>
        <w:rPr>
          <w:rFonts w:hint="eastAsia" w:eastAsia="仿宋_GB2312"/>
          <w:sz w:val="32"/>
          <w:szCs w:val="32"/>
        </w:rPr>
        <w:t>2025年中共</w:t>
      </w:r>
      <w:r>
        <w:rPr>
          <w:rFonts w:eastAsia="仿宋_GB2312"/>
          <w:sz w:val="32"/>
          <w:szCs w:val="32"/>
        </w:rPr>
        <w:t>壤塘县委组织部</w:t>
      </w:r>
      <w:r>
        <w:rPr>
          <w:rFonts w:eastAsia="仿宋_GB2312"/>
          <w:color w:val="000000"/>
          <w:kern w:val="0"/>
          <w:sz w:val="32"/>
          <w:szCs w:val="32"/>
          <w:shd w:val="clear" w:color="auto" w:fill="FFFFFF"/>
        </w:rPr>
        <w:t>年末结转结余</w:t>
      </w:r>
      <w:r>
        <w:rPr>
          <w:rFonts w:hint="eastAsia" w:eastAsia="仿宋_GB2312"/>
          <w:color w:val="000000"/>
          <w:kern w:val="0"/>
          <w:sz w:val="32"/>
          <w:szCs w:val="32"/>
          <w:shd w:val="clear" w:color="auto" w:fill="FFFFFF"/>
        </w:rPr>
        <w:t>45.13万元。</w:t>
      </w:r>
    </w:p>
    <w:p w14:paraId="000722EA">
      <w:pPr>
        <w:widowControl/>
        <w:adjustRightInd w:val="0"/>
        <w:snapToGrid w:val="0"/>
        <w:spacing w:line="560" w:lineRule="exact"/>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三、部门整体预算绩效管理情况</w:t>
      </w:r>
    </w:p>
    <w:p w14:paraId="45835A7A">
      <w:pPr>
        <w:adjustRightInd w:val="0"/>
        <w:snapToGrid w:val="0"/>
        <w:spacing w:line="578" w:lineRule="exact"/>
        <w:ind w:firstLine="643" w:firstLineChars="200"/>
        <w:contextualSpacing/>
        <w:jc w:val="left"/>
        <w:rPr>
          <w:rFonts w:eastAsia="仿宋_GB2312"/>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（一）部门预算总体绩效分析。</w:t>
      </w:r>
    </w:p>
    <w:p w14:paraId="6C018798">
      <w:pPr>
        <w:widowControl/>
        <w:spacing w:line="560" w:lineRule="exact"/>
        <w:ind w:firstLine="640" w:firstLineChars="200"/>
        <w:jc w:val="left"/>
        <w:rPr>
          <w:rFonts w:eastAsia="仿宋_GB2312"/>
          <w:sz w:val="32"/>
          <w:szCs w:val="32"/>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履职效能（15分，自评得分1</w:t>
      </w:r>
      <w:r>
        <w:rPr>
          <w:rFonts w:hint="eastAsia" w:eastAsia="仿宋_GB2312"/>
          <w:color w:val="000000"/>
          <w:kern w:val="0"/>
          <w:sz w:val="32"/>
          <w:szCs w:val="32"/>
          <w:shd w:val="clear" w:color="auto" w:fill="FFFFFF"/>
        </w:rPr>
        <w:t>5</w:t>
      </w:r>
      <w:r>
        <w:rPr>
          <w:rFonts w:eastAsia="仿宋_GB2312"/>
          <w:color w:val="000000"/>
          <w:kern w:val="0"/>
          <w:sz w:val="32"/>
          <w:szCs w:val="32"/>
          <w:shd w:val="clear" w:color="auto" w:fill="FFFFFF"/>
          <w:lang w:val="zh-CN"/>
        </w:rPr>
        <w:t>分）。</w:t>
      </w:r>
      <w:r>
        <w:rPr>
          <w:rFonts w:hint="eastAsia" w:eastAsia="仿宋_GB2312"/>
          <w:sz w:val="32"/>
          <w:szCs w:val="32"/>
        </w:rPr>
        <w:t>我部</w:t>
      </w:r>
      <w:r>
        <w:rPr>
          <w:rFonts w:eastAsia="仿宋_GB2312"/>
          <w:sz w:val="32"/>
          <w:szCs w:val="32"/>
        </w:rPr>
        <w:t>选取党建工作、干部选育用、人才工作</w:t>
      </w:r>
      <w:r>
        <w:rPr>
          <w:rFonts w:hint="eastAsia" w:eastAsia="仿宋_GB2312"/>
          <w:sz w:val="32"/>
          <w:szCs w:val="32"/>
        </w:rPr>
        <w:t>三</w:t>
      </w:r>
      <w:r>
        <w:rPr>
          <w:rFonts w:eastAsia="仿宋_GB2312"/>
          <w:sz w:val="32"/>
          <w:szCs w:val="32"/>
        </w:rPr>
        <w:t>项核心职能目标开展评价。党建工作全面完成年度组织建设、廉政建设、理论学习等任务；干部选拔任用程序规范、管理有序；人才引育、培养、激励等目标全部达成。</w:t>
      </w:r>
      <w:r>
        <w:rPr>
          <w:rFonts w:hint="eastAsia" w:eastAsia="仿宋_GB2312"/>
          <w:sz w:val="32"/>
          <w:szCs w:val="32"/>
        </w:rPr>
        <w:t>三</w:t>
      </w:r>
      <w:r>
        <w:rPr>
          <w:rFonts w:eastAsia="仿宋_GB2312"/>
          <w:sz w:val="32"/>
          <w:szCs w:val="32"/>
        </w:rPr>
        <w:t>项核心职能目标100% 完成，履职成效显著。</w:t>
      </w:r>
      <w:r>
        <w:rPr>
          <w:rFonts w:hint="eastAsia" w:eastAsia="仿宋_GB2312"/>
          <w:sz w:val="32"/>
          <w:szCs w:val="32"/>
        </w:rPr>
        <w:t>一是党建引领强根基，基层治理提质效。</w:t>
      </w:r>
      <w:r>
        <w:rPr>
          <w:rFonts w:eastAsia="仿宋_GB2312"/>
          <w:sz w:val="32"/>
          <w:szCs w:val="32"/>
        </w:rPr>
        <w:t>严格落实“第一议题”制度，创新“线上+线下”融合学习模式，开展集中学习610次、专题研讨105次，发放辅助读本300余册，县委书记带头讲授党课，累计开展专题党课312次，覆盖党员干部4700余名；组织警示教育144场次，惠及2000余人次</w:t>
      </w:r>
      <w:r>
        <w:rPr>
          <w:rFonts w:hint="eastAsia" w:eastAsia="仿宋_GB2312"/>
          <w:sz w:val="32"/>
          <w:szCs w:val="32"/>
        </w:rPr>
        <w:t>。</w:t>
      </w:r>
      <w:r>
        <w:rPr>
          <w:rFonts w:eastAsia="仿宋_GB2312"/>
          <w:sz w:val="32"/>
          <w:szCs w:val="32"/>
        </w:rPr>
        <w:t>构建“党建+乡村振兴”工作体系，成功申报中</w:t>
      </w:r>
      <w:r>
        <w:rPr>
          <w:rFonts w:hint="eastAsia" w:eastAsia="仿宋_GB2312"/>
          <w:sz w:val="32"/>
          <w:szCs w:val="32"/>
          <w:lang w:eastAsia="zh-CN"/>
        </w:rPr>
        <w:t>央、省委</w:t>
      </w:r>
      <w:r>
        <w:rPr>
          <w:rFonts w:eastAsia="仿宋_GB2312"/>
          <w:sz w:val="32"/>
          <w:szCs w:val="32"/>
        </w:rPr>
        <w:t>扶持项目5个，统筹整合项目资金750余万元，紧扣“一城三副”城乡融合高质量发展布局，立足特色农牧、文化旅游、清洁能源等优势资源，推动党建与产业发展深度融合、同频共振</w:t>
      </w:r>
      <w:r>
        <w:rPr>
          <w:rFonts w:hint="eastAsia" w:eastAsia="仿宋_GB2312"/>
          <w:sz w:val="32"/>
          <w:szCs w:val="32"/>
        </w:rPr>
        <w:t>。</w:t>
      </w:r>
      <w:r>
        <w:rPr>
          <w:rFonts w:eastAsia="仿宋_GB2312"/>
          <w:sz w:val="32"/>
          <w:szCs w:val="32"/>
        </w:rPr>
        <w:t>深入开展基层党建“提质增效”行动，打造“千里党建走廊”示范带8个村；发展党员140名，建立“领导包联、分级负责”责任机制，常态化开展党员“政治体检”；统筹推进农村、机关、学校、医院、国企等各领域党建工作，实现组织覆盖与工作覆盖无死角</w:t>
      </w:r>
      <w:r>
        <w:rPr>
          <w:rFonts w:hint="eastAsia" w:eastAsia="仿宋_GB2312"/>
          <w:sz w:val="32"/>
          <w:szCs w:val="32"/>
        </w:rPr>
        <w:t>。“石榴籽”工程为载体</w:t>
      </w:r>
      <w:r>
        <w:rPr>
          <w:rFonts w:eastAsia="仿宋_GB2312"/>
          <w:sz w:val="32"/>
          <w:szCs w:val="32"/>
        </w:rPr>
        <w:t>创新构建“4＋11＋7＋N”责任体系，组织2500余名党员干部全覆盖联系9000余户农牧民群众。精准识别388户1971人重点帮扶对象，整合帮扶资金820余万元，制定靶向帮扶措施1818条，推动385户退出重点帮扶序列；培育“四好家庭”180户，有效激发群众内生发展动力。成立县级</w:t>
      </w:r>
      <w:r>
        <w:rPr>
          <w:rFonts w:hint="eastAsia" w:eastAsia="仿宋_GB2312"/>
          <w:sz w:val="32"/>
          <w:szCs w:val="32"/>
        </w:rPr>
        <w:t>换届</w:t>
      </w:r>
      <w:r>
        <w:rPr>
          <w:rFonts w:eastAsia="仿宋_GB2312"/>
          <w:sz w:val="32"/>
          <w:szCs w:val="32"/>
        </w:rPr>
        <w:t>工作专班，全覆盖联合审查53个村（社区）班子、427名村组干部、327名后备力量，调整不适宜后备干部20人，储备“两委”初步人选282人，建立“一月一体检”动态管理机制，茸木达乡顺利完成村党组织试点换届工作。</w:t>
      </w:r>
      <w:r>
        <w:rPr>
          <w:rFonts w:hint="eastAsia" w:eastAsia="仿宋_GB2312"/>
          <w:sz w:val="32"/>
          <w:szCs w:val="32"/>
        </w:rPr>
        <w:t>二是干部队伍强建设，干事活力激出来。</w:t>
      </w:r>
      <w:r>
        <w:rPr>
          <w:rFonts w:eastAsia="仿宋_GB2312"/>
          <w:sz w:val="32"/>
          <w:szCs w:val="32"/>
        </w:rPr>
        <w:t>选人用人导向鲜明</w:t>
      </w:r>
      <w:r>
        <w:rPr>
          <w:rFonts w:hint="eastAsia" w:eastAsia="仿宋_GB2312"/>
          <w:sz w:val="32"/>
          <w:szCs w:val="32"/>
        </w:rPr>
        <w:t>，</w:t>
      </w:r>
      <w:r>
        <w:rPr>
          <w:rFonts w:eastAsia="仿宋_GB2312"/>
          <w:sz w:val="32"/>
          <w:szCs w:val="32"/>
        </w:rPr>
        <w:t>坚持“重实干、重实绩、重基层”选人用人标准，2025年累计调整干部10批288人次，其中提拔重用118人、进一步使用27人。优先从基层一线选拔干部，补配乡镇党政正职8人，推动乡镇间干部交流6人、县直与乡镇干部交流22人。储备优秀年轻干部60余名，构建梯次培养体系</w:t>
      </w:r>
      <w:r>
        <w:rPr>
          <w:rFonts w:hint="eastAsia" w:eastAsia="仿宋_GB2312"/>
          <w:sz w:val="32"/>
          <w:szCs w:val="32"/>
        </w:rPr>
        <w:t>。</w:t>
      </w:r>
      <w:r>
        <w:rPr>
          <w:rFonts w:eastAsia="仿宋_GB2312"/>
          <w:sz w:val="32"/>
          <w:szCs w:val="32"/>
        </w:rPr>
        <w:t>创新差异化考核机制，将429名科级干部分为6个序列实施精准考核，98名乡镇正职和部门“一把手”参与差异化考核，24人评定为优秀等次。严格执行“凡提四必”等制度，畅通“12380四位一体”监督平台，清理护照735本（集中管理711本、注销8本、未集中管理16本），2025年共19人因私出国（境）。开展公职人员违规经商办企业专项整治，收集领导干部正负面信息3条</w:t>
      </w:r>
      <w:r>
        <w:rPr>
          <w:rFonts w:hint="eastAsia" w:eastAsia="仿宋_GB2312"/>
          <w:sz w:val="32"/>
          <w:szCs w:val="32"/>
        </w:rPr>
        <w:t>。</w:t>
      </w:r>
      <w:r>
        <w:rPr>
          <w:rFonts w:eastAsia="仿宋_GB2312"/>
          <w:sz w:val="32"/>
          <w:szCs w:val="32"/>
        </w:rPr>
        <w:t>保障11个乡镇食堂每年补贴不少于8万元，将3个基层机关补贴提高至5万元；常态化组织干部健康体检，2025年选派6名优秀基层干部赴三亚疗休养；严格落实谈心谈话、带薪休假等制度，全力营造拴心留人良好环境</w:t>
      </w:r>
      <w:r>
        <w:rPr>
          <w:rFonts w:hint="eastAsia" w:eastAsia="仿宋_GB2312"/>
          <w:sz w:val="32"/>
          <w:szCs w:val="32"/>
        </w:rPr>
        <w:t>。三是人才工作强支撑，保障发展添动能。</w:t>
      </w:r>
      <w:r>
        <w:rPr>
          <w:rFonts w:eastAsia="仿宋_GB2312"/>
          <w:sz w:val="32"/>
          <w:szCs w:val="32"/>
        </w:rPr>
        <w:t>引才渠道持续拓宽：持续实施“硕博进阿坝”“雪莲花”头雁行动、“格桑花”光明工程等专项引才计划，新招录公务员110人、事业人员73人，引进硕博人才2人，签订定向培养协议4人</w:t>
      </w:r>
      <w:r>
        <w:rPr>
          <w:rFonts w:hint="eastAsia" w:eastAsia="仿宋_GB2312"/>
          <w:sz w:val="32"/>
          <w:szCs w:val="32"/>
        </w:rPr>
        <w:t>。</w:t>
      </w:r>
      <w:r>
        <w:rPr>
          <w:rFonts w:eastAsia="仿宋_GB2312"/>
          <w:sz w:val="32"/>
          <w:szCs w:val="32"/>
        </w:rPr>
        <w:t>选送1名川渝青年人才交流学习，组织143名援助人才与202名本土人才结对帮带，完成帮扶团队轮换交接</w:t>
      </w:r>
      <w:r>
        <w:rPr>
          <w:rFonts w:hint="eastAsia" w:eastAsia="仿宋_GB2312"/>
          <w:sz w:val="32"/>
          <w:szCs w:val="32"/>
        </w:rPr>
        <w:t>。</w:t>
      </w:r>
      <w:r>
        <w:rPr>
          <w:rFonts w:eastAsia="仿宋_GB2312"/>
          <w:sz w:val="32"/>
          <w:szCs w:val="32"/>
        </w:rPr>
        <w:t>编制《2025年干部人才培训实施方案》，投入援建资金210万元，计划培训3000余人次；选派23人赴绵阳挂职锻炼，申报“西部之光访问学者”1名；开展“新农人”试点申报工作，收集领导干部培训需求86条</w:t>
      </w:r>
      <w:r>
        <w:rPr>
          <w:rFonts w:hint="eastAsia" w:eastAsia="仿宋_GB2312"/>
          <w:sz w:val="32"/>
          <w:szCs w:val="32"/>
        </w:rPr>
        <w:t>。</w:t>
      </w:r>
      <w:r>
        <w:rPr>
          <w:rFonts w:eastAsia="仿宋_GB2312"/>
          <w:sz w:val="32"/>
          <w:szCs w:val="32"/>
        </w:rPr>
        <w:t>全覆盖慰问援建干部人才257人次，发放慰问品价值8.5972万元；申报人才发展专项资金300万元，发放艰边补助12.74万元；投入2.15万元装修1间人才公寓，保障东辰教育集团管理团队入住需求</w:t>
      </w:r>
      <w:r>
        <w:rPr>
          <w:rFonts w:hint="eastAsia" w:eastAsia="仿宋_GB2312"/>
          <w:sz w:val="32"/>
          <w:szCs w:val="32"/>
        </w:rPr>
        <w:t>。</w:t>
      </w:r>
      <w:r>
        <w:rPr>
          <w:rFonts w:eastAsia="仿宋_GB2312"/>
          <w:sz w:val="32"/>
          <w:szCs w:val="32"/>
        </w:rPr>
        <w:t>建立农业畜牧人才库97人、旅游人才库192人、高层次人才库198人；组织县处级、乡科级领导干部理论考试2次，88人参与；协助完成30名挂职干部考核，召开科技“组团式”帮扶启动会，22名医疗帮扶干部全部到岗履职。</w:t>
      </w:r>
    </w:p>
    <w:p w14:paraId="0B7A83D7">
      <w:pPr>
        <w:widowControl/>
        <w:spacing w:line="360" w:lineRule="atLeast"/>
        <w:ind w:firstLine="640" w:firstLineChars="200"/>
        <w:jc w:val="left"/>
        <w:rPr>
          <w:rFonts w:eastAsia="仿宋_GB2312"/>
          <w:sz w:val="32"/>
          <w:szCs w:val="32"/>
        </w:rPr>
      </w:pPr>
      <w:r>
        <w:rPr>
          <w:rFonts w:eastAsia="仿宋_GB2312"/>
          <w:color w:val="000000"/>
          <w:kern w:val="0"/>
          <w:sz w:val="32"/>
          <w:szCs w:val="32"/>
          <w:shd w:val="clear" w:color="auto" w:fill="FFFFFF"/>
        </w:rPr>
        <w:t>2.</w:t>
      </w:r>
      <w:r>
        <w:rPr>
          <w:rFonts w:eastAsia="仿宋_GB2312"/>
          <w:sz w:val="32"/>
          <w:szCs w:val="32"/>
        </w:rPr>
        <w:t>预算管理（25分，自评得分</w:t>
      </w:r>
      <w:r>
        <w:rPr>
          <w:rFonts w:hint="eastAsia" w:eastAsia="仿宋_GB2312"/>
          <w:sz w:val="32"/>
          <w:szCs w:val="32"/>
        </w:rPr>
        <w:t>16.3</w:t>
      </w:r>
      <w:r>
        <w:rPr>
          <w:rFonts w:eastAsia="仿宋_GB2312"/>
          <w:sz w:val="32"/>
          <w:szCs w:val="32"/>
        </w:rPr>
        <w:t>分）。年初预算收入 989.87万元，执行期中追加收入692.98万元，全年预算支出 1682.85万元，其中基本支出823.57万元、项目支出859.28万元，年末结转结余45.13万元。</w:t>
      </w:r>
      <w:r>
        <w:rPr>
          <w:rFonts w:hint="eastAsia" w:eastAsia="仿宋_GB2312"/>
          <w:sz w:val="32"/>
          <w:szCs w:val="32"/>
        </w:rPr>
        <w:t>一是</w:t>
      </w:r>
      <w:r>
        <w:rPr>
          <w:rFonts w:eastAsia="仿宋_GB2312"/>
          <w:sz w:val="32"/>
          <w:szCs w:val="32"/>
        </w:rPr>
        <w:t>预算编制质量：严格按照财政管理要求，结合单位职能职责、年度重点工作统筹编制预算，收支测算贴合实际，项目支出依据充分，预算编制的科学性、完整性、规范性较好，能够有效保障单位履职运转和重点工作开展。因年度工作任务调整产生追加预算，财政拨款预算偏离度约70%存在一定偏离度，编制精准度有待提升。</w:t>
      </w:r>
      <w:r>
        <w:rPr>
          <w:rFonts w:hint="eastAsia" w:eastAsia="仿宋_GB2312"/>
          <w:sz w:val="32"/>
          <w:szCs w:val="32"/>
        </w:rPr>
        <w:t>二是</w:t>
      </w:r>
      <w:r>
        <w:rPr>
          <w:rFonts w:eastAsia="仿宋_GB2312"/>
          <w:sz w:val="32"/>
          <w:szCs w:val="32"/>
        </w:rPr>
        <w:t>单位收入统筹：</w:t>
      </w:r>
      <w:r>
        <w:rPr>
          <w:rFonts w:hint="eastAsia" w:eastAsia="仿宋_GB2312"/>
          <w:sz w:val="32"/>
          <w:szCs w:val="32"/>
        </w:rPr>
        <w:t>本年非财政拨款收入28.49万元，年初未计划</w:t>
      </w:r>
      <w:r>
        <w:rPr>
          <w:rFonts w:eastAsia="仿宋_GB2312"/>
          <w:sz w:val="32"/>
          <w:szCs w:val="32"/>
        </w:rPr>
        <w:t>自有收入，收入</w:t>
      </w:r>
      <w:r>
        <w:rPr>
          <w:rFonts w:hint="eastAsia" w:eastAsia="仿宋_GB2312"/>
          <w:sz w:val="32"/>
          <w:szCs w:val="32"/>
        </w:rPr>
        <w:t>均为非财政拨款收入，全额上缴财政代管户</w:t>
      </w:r>
      <w:r>
        <w:rPr>
          <w:rFonts w:eastAsia="仿宋_GB2312"/>
          <w:sz w:val="32"/>
          <w:szCs w:val="32"/>
        </w:rPr>
        <w:t>。</w:t>
      </w:r>
      <w:r>
        <w:rPr>
          <w:rFonts w:hint="eastAsia" w:eastAsia="仿宋_GB2312"/>
          <w:sz w:val="32"/>
          <w:szCs w:val="32"/>
        </w:rPr>
        <w:t>三是支出执行进度：我部全年预算支出1682.85万元，1-6月累计支出1347.63万元，达到序时进度目标的160.16%；1-10 月累计支出1620.93万元，达到序时进度目标的115.58%。上半年、全年关键节点支出进度均快于序时、执行顺畅，无支出预警、无违规支出情况，资金拨付及时、执行平稳有序。四是预算年终结余：年末结转结余45.13万元，结余率9.07%，结余率控制在合理区间，资金使用效率较高。五是严控一般性支出：一般性支出财政拨款年初预算2024年672.79万元，2025年736.47万元，较上年增加63.68万元，一般性支出财政拨款预算执行2024年800.06万元，2025年896.48万元，较上年增加96.42万元，未完成压减目标，未达到加分标准。</w:t>
      </w:r>
    </w:p>
    <w:p w14:paraId="0E8D8B26">
      <w:pPr>
        <w:widowControl/>
        <w:adjustRightInd w:val="0"/>
        <w:snapToGrid w:val="0"/>
        <w:spacing w:line="560" w:lineRule="exact"/>
        <w:ind w:firstLine="640" w:firstLineChars="200"/>
        <w:contextualSpacing/>
        <w:jc w:val="left"/>
        <w:outlineLvl w:val="1"/>
        <w:rPr>
          <w:rFonts w:eastAsia="仿宋_GB2312"/>
          <w:sz w:val="32"/>
          <w:szCs w:val="32"/>
        </w:rPr>
      </w:pPr>
      <w:r>
        <w:rPr>
          <w:rFonts w:eastAsia="仿宋_GB2312"/>
          <w:sz w:val="32"/>
          <w:szCs w:val="32"/>
        </w:rPr>
        <w:t>3.财务管理（</w:t>
      </w:r>
      <w:r>
        <w:rPr>
          <w:rFonts w:hint="eastAsia" w:eastAsia="仿宋_GB2312"/>
          <w:sz w:val="32"/>
          <w:szCs w:val="32"/>
        </w:rPr>
        <w:t>10分，自评得分8分</w:t>
      </w:r>
      <w:r>
        <w:rPr>
          <w:rFonts w:eastAsia="仿宋_GB2312"/>
          <w:sz w:val="32"/>
          <w:szCs w:val="32"/>
        </w:rPr>
        <w:t>）</w:t>
      </w:r>
    </w:p>
    <w:p w14:paraId="5D8E5EC1">
      <w:pPr>
        <w:widowControl/>
        <w:adjustRightInd w:val="0"/>
        <w:snapToGrid w:val="0"/>
        <w:spacing w:line="560" w:lineRule="exact"/>
        <w:ind w:firstLine="640" w:firstLineChars="200"/>
        <w:contextualSpacing/>
        <w:jc w:val="left"/>
        <w:outlineLvl w:val="1"/>
        <w:rPr>
          <w:rFonts w:eastAsia="仿宋_GB2312"/>
          <w:sz w:val="32"/>
          <w:szCs w:val="32"/>
        </w:rPr>
      </w:pPr>
      <w:r>
        <w:rPr>
          <w:rFonts w:hint="eastAsia" w:eastAsia="仿宋_GB2312"/>
          <w:sz w:val="32"/>
          <w:szCs w:val="32"/>
        </w:rPr>
        <w:t>我部</w:t>
      </w:r>
      <w:r>
        <w:rPr>
          <w:rFonts w:eastAsia="仿宋_GB2312"/>
          <w:sz w:val="32"/>
          <w:szCs w:val="32"/>
        </w:rPr>
        <w:t>严格执行国家财经法律法规及内部财务管理制度，健全完善预算管理、收支管理、内控管理等制度体系，构建权责清晰、流程闭环的财务运行机制。科学设置会计、出纳、稽核等财务岗位，严格落实不相容岗位分离制度，岗位职责分工明确、相互制衡、监督到位。资金使用严格遵循预算约束、专款专用原则，规范经费审批、报销审核、资金拨付等全流程管理，严格把控支出合规性，杜绝违规支出、挤占挪用、超标准开支等问题，财政资金使用安全规范。整体财务内控机制健全，经费保障运行平稳，资金使用效益稳步提升。但在资金统筹调度、预算精细化管控、存量资金盘活利用等方面仍存在短板，资金使用精准性和绩效性有待进一步提升。</w:t>
      </w:r>
    </w:p>
    <w:p w14:paraId="2BD751BD">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rPr>
      </w:pPr>
      <w:r>
        <w:rPr>
          <w:rFonts w:eastAsia="仿宋_GB2312"/>
          <w:color w:val="000000"/>
          <w:kern w:val="0"/>
          <w:sz w:val="32"/>
          <w:szCs w:val="32"/>
          <w:shd w:val="clear" w:color="auto" w:fill="FFFFFF"/>
        </w:rPr>
        <w:t>4.资产管理（</w:t>
      </w:r>
      <w:r>
        <w:rPr>
          <w:rFonts w:hint="eastAsia" w:eastAsia="仿宋_GB2312"/>
          <w:color w:val="000000"/>
          <w:kern w:val="0"/>
          <w:sz w:val="32"/>
          <w:szCs w:val="32"/>
          <w:shd w:val="clear" w:color="auto" w:fill="FFFFFF"/>
        </w:rPr>
        <w:t>9分，自评得分9分</w:t>
      </w:r>
      <w:r>
        <w:rPr>
          <w:rFonts w:eastAsia="仿宋_GB2312"/>
          <w:color w:val="000000"/>
          <w:kern w:val="0"/>
          <w:sz w:val="32"/>
          <w:szCs w:val="32"/>
          <w:shd w:val="clear" w:color="auto" w:fill="FFFFFF"/>
        </w:rPr>
        <w:t>）</w:t>
      </w:r>
    </w:p>
    <w:p w14:paraId="08DC945D">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rPr>
      </w:pPr>
      <w:r>
        <w:rPr>
          <w:rFonts w:hint="eastAsia" w:eastAsia="仿宋_GB2312"/>
          <w:sz w:val="32"/>
          <w:szCs w:val="32"/>
          <w:lang w:eastAsia="zh-CN"/>
        </w:rPr>
        <w:t>截至</w:t>
      </w:r>
      <w:r>
        <w:rPr>
          <w:rFonts w:hint="eastAsia" w:eastAsia="仿宋_GB2312"/>
          <w:sz w:val="32"/>
          <w:szCs w:val="32"/>
        </w:rPr>
        <w:t>2025年底资产总额432.82万元，在编人数25人，人均资产17.31万元；2024年底资产总额479.29万元，在编人数29人，人均资产16.53万元；人均资产变化率4.72%。2025年固定资产原值508.77万元，无闲置资产。我部</w:t>
      </w:r>
      <w:r>
        <w:rPr>
          <w:rFonts w:eastAsia="仿宋_GB2312"/>
          <w:sz w:val="32"/>
          <w:szCs w:val="32"/>
        </w:rPr>
        <w:t>严格落实行政事业单位资产管理相关规定，常态化开展资产清查</w:t>
      </w:r>
      <w:r>
        <w:rPr>
          <w:rFonts w:eastAsia="仿宋_GB2312"/>
          <w:color w:val="000000"/>
          <w:kern w:val="0"/>
          <w:sz w:val="32"/>
          <w:szCs w:val="32"/>
          <w:shd w:val="clear" w:color="auto" w:fill="FFFFFF"/>
        </w:rPr>
        <w:t>盘点，规范资产配置、登记入账、日常使用、维护处置等环节管理，合理统筹新增资产配置，人均资产规模变化平稳可控；提升在用资产使用频次，资产利用效率持续提高</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rPr>
        <w:t>资产管理整体规范有序、家底清晰，有效防范国有资产流失。</w:t>
      </w:r>
    </w:p>
    <w:p w14:paraId="5F4CF2FC">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rPr>
      </w:pPr>
      <w:r>
        <w:rPr>
          <w:rFonts w:eastAsia="仿宋_GB2312"/>
          <w:color w:val="000000"/>
          <w:kern w:val="0"/>
          <w:sz w:val="32"/>
          <w:szCs w:val="32"/>
          <w:shd w:val="clear" w:color="auto" w:fill="FFFFFF"/>
        </w:rPr>
        <w:t>5.采购管理（</w:t>
      </w:r>
      <w:r>
        <w:rPr>
          <w:rFonts w:hint="eastAsia" w:eastAsia="仿宋_GB2312"/>
          <w:color w:val="000000"/>
          <w:kern w:val="0"/>
          <w:sz w:val="32"/>
          <w:szCs w:val="32"/>
          <w:shd w:val="clear" w:color="auto" w:fill="FFFFFF"/>
        </w:rPr>
        <w:t>6分，自评得分5分</w:t>
      </w:r>
      <w:r>
        <w:rPr>
          <w:rFonts w:eastAsia="仿宋_GB2312"/>
          <w:color w:val="000000"/>
          <w:kern w:val="0"/>
          <w:sz w:val="32"/>
          <w:szCs w:val="32"/>
          <w:shd w:val="clear" w:color="auto" w:fill="FFFFFF"/>
        </w:rPr>
        <w:t>）</w:t>
      </w:r>
    </w:p>
    <w:p w14:paraId="20AD0E7E">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rPr>
      </w:pPr>
      <w:r>
        <w:rPr>
          <w:rFonts w:eastAsia="仿宋_GB2312"/>
          <w:color w:val="000000"/>
          <w:kern w:val="0"/>
          <w:sz w:val="32"/>
          <w:szCs w:val="32"/>
          <w:shd w:val="clear" w:color="auto" w:fill="FFFFFF"/>
        </w:rPr>
        <w:t>严格落实政府采购法律法规及扶持中小企业相关政策，强化采购全流程规范化管理。在项目采购中严格落实预留份额、价格扣除等政策，优先面向中小企业采购，切实支持中小企业发展，助力优化营商环境，政策落实成效明显。严格对照年度采购计划，规范采购立项、审批、招标、履约验收等流程，压实采购主体责任，有序推进各项采购任务落地，采购执行率达标。采购程序公开透明、流程合规，有效节约财政资金，保障项目实施需求。存在主要问题为部分项目前期谋划不足，采购计划统筹不够精准，个别项目采购周期偏长，采购效率有待提升。</w:t>
      </w:r>
    </w:p>
    <w:p w14:paraId="424AC429">
      <w:pPr>
        <w:widowControl/>
        <w:adjustRightInd w:val="0"/>
        <w:snapToGrid w:val="0"/>
        <w:spacing w:line="560" w:lineRule="exact"/>
        <w:ind w:firstLine="643" w:firstLineChars="200"/>
        <w:contextualSpacing/>
        <w:jc w:val="left"/>
        <w:outlineLvl w:val="1"/>
        <w:rPr>
          <w:rFonts w:eastAsia="仿宋_GB2312"/>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（二）部门预算项目绩效分析。</w:t>
      </w:r>
      <w:r>
        <w:rPr>
          <w:rFonts w:eastAsia="仿宋_GB2312"/>
          <w:color w:val="000000"/>
          <w:kern w:val="0"/>
          <w:sz w:val="32"/>
          <w:szCs w:val="32"/>
          <w:shd w:val="clear" w:color="auto" w:fill="FFFFFF"/>
          <w:lang w:val="zh-CN"/>
        </w:rPr>
        <w:t>填报以下数据，并根据部门预算绩效评价指标体系“项目绩效”涉及二、三级指标进行逐项绩效分析并评分，依次包括项目决策、项目执行、目标实现等情况。</w:t>
      </w:r>
    </w:p>
    <w:p w14:paraId="36741FEF">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常年项目绩效分析。该类项目总数</w:t>
      </w:r>
      <w:r>
        <w:rPr>
          <w:rFonts w:hint="eastAsia"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万元。</w:t>
      </w:r>
    </w:p>
    <w:p w14:paraId="713B62D6">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阶段（</w:t>
      </w:r>
      <w:r>
        <w:rPr>
          <w:rFonts w:hint="eastAsia" w:eastAsia="仿宋_GB2312"/>
          <w:color w:val="000000"/>
          <w:kern w:val="0"/>
          <w:sz w:val="32"/>
          <w:szCs w:val="32"/>
          <w:shd w:val="clear" w:color="auto" w:fill="FFFFFF"/>
          <w:lang w:val="zh-CN"/>
        </w:rPr>
        <w:t>含</w:t>
      </w:r>
      <w:r>
        <w:rPr>
          <w:rFonts w:eastAsia="仿宋_GB2312"/>
          <w:color w:val="000000"/>
          <w:kern w:val="0"/>
          <w:sz w:val="32"/>
          <w:szCs w:val="32"/>
          <w:shd w:val="clear" w:color="auto" w:fill="FFFFFF"/>
          <w:lang w:val="zh-CN"/>
        </w:rPr>
        <w:t>一次性）项目绩效分析。该类项目总数</w:t>
      </w:r>
      <w:r>
        <w:rPr>
          <w:rFonts w:hint="eastAsia" w:eastAsia="仿宋_GB2312"/>
          <w:color w:val="000000"/>
          <w:kern w:val="0"/>
          <w:sz w:val="32"/>
          <w:szCs w:val="32"/>
          <w:shd w:val="clear" w:color="auto" w:fill="FFFFFF"/>
        </w:rPr>
        <w:t>31</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rPr>
        <w:t>935.54</w:t>
      </w:r>
      <w:r>
        <w:rPr>
          <w:rFonts w:eastAsia="仿宋_GB2312"/>
          <w:color w:val="000000"/>
          <w:kern w:val="0"/>
          <w:sz w:val="32"/>
          <w:szCs w:val="32"/>
          <w:shd w:val="clear" w:color="auto" w:fill="FFFFFF"/>
          <w:lang w:val="zh-CN"/>
        </w:rPr>
        <w:t>万元，1</w:t>
      </w:r>
      <w:r>
        <w:rPr>
          <w:rFonts w:hint="eastAsia" w:eastAsia="仿宋_GB2312"/>
          <w:color w:val="000000"/>
          <w:kern w:val="0"/>
          <w:sz w:val="32"/>
          <w:szCs w:val="32"/>
          <w:shd w:val="clear" w:color="auto" w:fill="FFFFFF"/>
        </w:rPr>
        <w:t>-</w:t>
      </w:r>
      <w:r>
        <w:rPr>
          <w:rFonts w:eastAsia="仿宋_GB2312"/>
          <w:color w:val="000000"/>
          <w:kern w:val="0"/>
          <w:sz w:val="32"/>
          <w:szCs w:val="32"/>
          <w:shd w:val="clear" w:color="auto" w:fill="FFFFFF"/>
          <w:lang w:val="zh-CN"/>
        </w:rPr>
        <w:t>12月预算执行总体进度为</w:t>
      </w:r>
      <w:r>
        <w:rPr>
          <w:rFonts w:hint="eastAsia" w:eastAsia="仿宋_GB2312"/>
          <w:color w:val="000000"/>
          <w:kern w:val="0"/>
          <w:sz w:val="32"/>
          <w:szCs w:val="32"/>
          <w:shd w:val="clear" w:color="auto" w:fill="FFFFFF"/>
        </w:rPr>
        <w:t>84.15</w:t>
      </w:r>
      <w:r>
        <w:rPr>
          <w:rFonts w:eastAsia="仿宋_GB2312"/>
          <w:color w:val="000000"/>
          <w:kern w:val="0"/>
          <w:sz w:val="32"/>
          <w:szCs w:val="32"/>
          <w:shd w:val="clear" w:color="auto" w:fill="FFFFFF"/>
          <w:lang w:val="zh-CN"/>
        </w:rPr>
        <w:t>%，其中：预算结余率大于10%的项目共计</w:t>
      </w:r>
      <w:r>
        <w:rPr>
          <w:rFonts w:hint="eastAsia" w:eastAsia="仿宋_GB2312"/>
          <w:color w:val="000000"/>
          <w:kern w:val="0"/>
          <w:sz w:val="32"/>
          <w:szCs w:val="32"/>
          <w:shd w:val="clear" w:color="auto" w:fill="FFFFFF"/>
        </w:rPr>
        <w:t>13</w:t>
      </w:r>
      <w:r>
        <w:rPr>
          <w:rFonts w:eastAsia="仿宋_GB2312"/>
          <w:color w:val="000000"/>
          <w:kern w:val="0"/>
          <w:sz w:val="32"/>
          <w:szCs w:val="32"/>
          <w:shd w:val="clear" w:color="auto" w:fill="FFFFFF"/>
          <w:lang w:val="zh-CN"/>
        </w:rPr>
        <w:t>个。</w:t>
      </w:r>
    </w:p>
    <w:p w14:paraId="4F3D2A06">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1.项目决策。</w:t>
      </w:r>
      <w:r>
        <w:rPr>
          <w:rFonts w:hint="eastAsia" w:eastAsia="仿宋_GB2312"/>
          <w:color w:val="000000"/>
          <w:kern w:val="0"/>
          <w:sz w:val="32"/>
          <w:szCs w:val="32"/>
          <w:shd w:val="clear" w:color="auto" w:fill="FFFFFF"/>
          <w:lang w:val="zh-CN"/>
        </w:rPr>
        <w:t>我部</w:t>
      </w:r>
      <w:r>
        <w:rPr>
          <w:rFonts w:eastAsia="仿宋_GB2312"/>
          <w:color w:val="000000"/>
          <w:kern w:val="0"/>
          <w:sz w:val="32"/>
          <w:szCs w:val="32"/>
          <w:shd w:val="clear" w:color="auto" w:fill="FFFFFF"/>
          <w:lang w:val="zh-CN"/>
        </w:rPr>
        <w:t>严格规范项目决策管理，严格履行项目调研、集体研究、可行性论证等决策程序，决策流程合规完整，坚持科学民主决策。围绕单位履职需求、年度重点工作科学设置绩效目标，目标清晰合理、可量化可考核，与部门职能、中长期规划衔接紧密。严格按照财政部门项目库管理要求开展项目储备、筛选及入库工作</w:t>
      </w:r>
      <w:r>
        <w:rPr>
          <w:rFonts w:hint="eastAsia" w:eastAsia="仿宋_GB2312"/>
          <w:color w:val="000000"/>
          <w:kern w:val="0"/>
          <w:sz w:val="32"/>
          <w:szCs w:val="32"/>
          <w:shd w:val="clear" w:color="auto" w:fill="FFFFFF"/>
          <w:lang w:val="zh-CN"/>
        </w:rPr>
        <w:t>。</w:t>
      </w:r>
    </w:p>
    <w:p w14:paraId="38BD2830">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2.项目执行。项目实施过程中，坚持资金拨付与项目实施进度同向匹配，严格按照预算及实施计划推进资金支付，资金执行进度与项目建设进度基本同步。严格规范项目变更调整程序，确需调整的项目均按规定履行报批手续，调整理由充分、程序合规。紧盯项目实施全过程，压实责任、强化过程管控，按时推进项目落地实施，项目执行总体有序高效。</w:t>
      </w:r>
    </w:p>
    <w:p w14:paraId="44F65B9D">
      <w:pPr>
        <w:widowControl/>
        <w:adjustRightInd w:val="0"/>
        <w:snapToGrid w:val="0"/>
        <w:spacing w:line="560" w:lineRule="exact"/>
        <w:ind w:firstLine="640" w:firstLineChars="200"/>
        <w:contextualSpacing/>
        <w:jc w:val="left"/>
        <w:outlineLvl w:val="1"/>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lang w:val="zh-CN"/>
        </w:rPr>
        <w:t>3.目标实现。对照年度设定绩效目标逐项开展自评，大部分绩效指标按期完成，整体目标实现程度较好。少数指标受政策变化、外部环境等因素影响存在偏离，偏离原因客观可控，未对整体履职成效造成重大影响。项目实施有效保障单位日常运转、履职尽责及重点工作落地，较好发挥财政资金使用效益，实现预期社会效益和管理成效。</w:t>
      </w:r>
    </w:p>
    <w:p w14:paraId="565FBD59">
      <w:pPr>
        <w:widowControl/>
        <w:adjustRightInd w:val="0"/>
        <w:snapToGrid w:val="0"/>
        <w:spacing w:line="560" w:lineRule="exact"/>
        <w:ind w:firstLine="643" w:firstLineChars="200"/>
        <w:contextualSpacing/>
        <w:jc w:val="left"/>
        <w:outlineLvl w:val="1"/>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（三）绩效结果应用情况。</w:t>
      </w:r>
    </w:p>
    <w:p w14:paraId="11CBB105">
      <w:pPr>
        <w:widowControl/>
        <w:adjustRightInd w:val="0"/>
        <w:snapToGrid w:val="0"/>
        <w:spacing w:line="560" w:lineRule="exact"/>
        <w:ind w:firstLine="643" w:firstLineChars="200"/>
        <w:contextualSpacing/>
        <w:jc w:val="left"/>
        <w:outlineLvl w:val="1"/>
        <w:rPr>
          <w:rFonts w:eastAsia="仿宋_GB2312"/>
          <w:color w:val="000000"/>
          <w:kern w:val="0"/>
          <w:sz w:val="32"/>
          <w:szCs w:val="32"/>
          <w:shd w:val="clear" w:color="auto" w:fill="FFFFFF"/>
        </w:rPr>
      </w:pPr>
      <w:r>
        <w:rPr>
          <w:rFonts w:hint="eastAsia" w:eastAsia="仿宋_GB2312"/>
          <w:b/>
          <w:bCs/>
          <w:color w:val="000000"/>
          <w:kern w:val="0"/>
          <w:sz w:val="32"/>
          <w:szCs w:val="32"/>
          <w:shd w:val="clear" w:color="auto" w:fill="FFFFFF"/>
        </w:rPr>
        <w:t>1.内部应用情况。</w:t>
      </w:r>
      <w:r>
        <w:rPr>
          <w:rFonts w:eastAsia="仿宋_GB2312"/>
          <w:color w:val="000000"/>
          <w:kern w:val="0"/>
          <w:sz w:val="32"/>
          <w:szCs w:val="32"/>
          <w:shd w:val="clear" w:color="auto" w:fill="FFFFFF"/>
        </w:rPr>
        <w:t>充分运用绩效评价结果优化项目立项、预算编制、资金分配及日常管理，将绩效评价情况作为改进工作、完善制度的重要依据，有效提升财政资源配置效率</w:t>
      </w:r>
    </w:p>
    <w:p w14:paraId="0DF5EC5A">
      <w:pPr>
        <w:pStyle w:val="10"/>
        <w:spacing w:line="560" w:lineRule="exact"/>
        <w:ind w:firstLine="643"/>
        <w:rPr>
          <w:rFonts w:eastAsia="仿宋_GB2312"/>
          <w:color w:val="000000"/>
          <w:sz w:val="32"/>
          <w:shd w:val="clear" w:color="auto" w:fill="FFFFFF"/>
        </w:rPr>
      </w:pPr>
      <w:r>
        <w:rPr>
          <w:rFonts w:hint="eastAsia" w:eastAsia="仿宋_GB2312"/>
          <w:b/>
          <w:color w:val="000000"/>
          <w:sz w:val="32"/>
          <w:shd w:val="clear" w:color="auto" w:fill="FFFFFF"/>
        </w:rPr>
        <w:t>2.</w:t>
      </w:r>
      <w:r>
        <w:rPr>
          <w:rFonts w:eastAsia="仿宋_GB2312"/>
          <w:b/>
          <w:color w:val="000000"/>
          <w:sz w:val="32"/>
          <w:shd w:val="clear" w:color="auto" w:fill="FFFFFF"/>
        </w:rPr>
        <w:t>信息公开</w:t>
      </w:r>
      <w:r>
        <w:rPr>
          <w:rFonts w:hint="eastAsia" w:eastAsia="仿宋_GB2312"/>
          <w:b/>
          <w:color w:val="000000"/>
          <w:sz w:val="32"/>
          <w:shd w:val="clear" w:color="auto" w:fill="FFFFFF"/>
        </w:rPr>
        <w:t>情况。</w:t>
      </w:r>
      <w:r>
        <w:rPr>
          <w:rFonts w:hint="eastAsia" w:eastAsia="仿宋_GB2312"/>
          <w:color w:val="000000"/>
          <w:sz w:val="32"/>
          <w:shd w:val="clear" w:color="auto" w:fill="FFFFFF"/>
        </w:rPr>
        <w:t>中共</w:t>
      </w:r>
      <w:r>
        <w:rPr>
          <w:rFonts w:eastAsia="仿宋_GB2312"/>
          <w:color w:val="000000"/>
          <w:sz w:val="32"/>
          <w:shd w:val="clear" w:color="auto" w:fill="FFFFFF"/>
        </w:rPr>
        <w:t>壤塘县委组织部已经按财政要求及时完成预算、决算等信息公开工作，信息公开在壤塘县门户网站中。</w:t>
      </w:r>
    </w:p>
    <w:p w14:paraId="4F6B1A18">
      <w:pPr>
        <w:widowControl/>
        <w:numPr>
          <w:ilvl w:val="0"/>
          <w:numId w:val="5"/>
        </w:numPr>
        <w:adjustRightInd w:val="0"/>
        <w:snapToGrid w:val="0"/>
        <w:spacing w:line="560" w:lineRule="exact"/>
        <w:ind w:firstLine="640" w:firstLineChars="200"/>
        <w:contextualSpacing/>
        <w:jc w:val="left"/>
        <w:rPr>
          <w:rFonts w:eastAsia="黑体"/>
          <w:color w:val="000000"/>
          <w:kern w:val="0"/>
          <w:sz w:val="32"/>
          <w:szCs w:val="32"/>
          <w:shd w:val="clear" w:color="auto" w:fill="FFFFFF"/>
        </w:rPr>
      </w:pPr>
      <w:r>
        <w:rPr>
          <w:rFonts w:eastAsia="黑体"/>
          <w:color w:val="000000"/>
          <w:kern w:val="0"/>
          <w:sz w:val="32"/>
          <w:szCs w:val="32"/>
          <w:shd w:val="clear" w:color="auto" w:fill="FFFFFF"/>
        </w:rPr>
        <w:t>评价结论及建议</w:t>
      </w:r>
    </w:p>
    <w:p w14:paraId="2609436A">
      <w:pPr>
        <w:widowControl/>
        <w:numPr>
          <w:ilvl w:val="0"/>
          <w:numId w:val="6"/>
        </w:numPr>
        <w:adjustRightInd w:val="0"/>
        <w:snapToGrid w:val="0"/>
        <w:spacing w:line="560" w:lineRule="exact"/>
        <w:ind w:firstLine="643"/>
        <w:contextualSpacing/>
        <w:jc w:val="left"/>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评价结论</w:t>
      </w:r>
    </w:p>
    <w:p w14:paraId="44044F54">
      <w:pPr>
        <w:pStyle w:val="10"/>
        <w:spacing w:line="560" w:lineRule="exact"/>
        <w:ind w:firstLine="640"/>
        <w:rPr>
          <w:rFonts w:eastAsia="仿宋_GB2312"/>
          <w:color w:val="000000"/>
          <w:sz w:val="32"/>
          <w:shd w:val="clear" w:color="auto" w:fill="FFFFFF"/>
        </w:rPr>
      </w:pPr>
      <w:r>
        <w:rPr>
          <w:rFonts w:eastAsia="仿宋_GB2312"/>
          <w:color w:val="000000"/>
          <w:sz w:val="32"/>
          <w:shd w:val="clear" w:color="auto" w:fill="FFFFFF"/>
          <w:lang w:val="zh-CN"/>
        </w:rPr>
        <w:t>我部通过加强预算收支管理，不断建立健全内部管理制度，强化内部管理流程，部门整体支出管理情况得到提升，也能较好完成部门决算的编制、送审、批复和公开工作。同时也认识到在编制决算过程中存在项目分类不够精细、功能科目分类不够准确等不足。在下一年度的部门预算编制、执行决算中，我部将继续努力，科学合理编制预决算，进行绩效评价，加强精细管理，完善不足。</w:t>
      </w:r>
      <w:r>
        <w:rPr>
          <w:rFonts w:eastAsia="仿宋_GB2312"/>
          <w:color w:val="000000"/>
          <w:sz w:val="32"/>
          <w:shd w:val="clear" w:color="auto" w:fill="FFFFFF"/>
        </w:rPr>
        <w:t>根据《壤塘县</w:t>
      </w:r>
      <w:r>
        <w:rPr>
          <w:rFonts w:hint="eastAsia" w:eastAsia="仿宋_GB2312"/>
          <w:color w:val="000000"/>
          <w:sz w:val="32"/>
          <w:shd w:val="clear" w:color="auto" w:fill="FFFFFF"/>
        </w:rPr>
        <w:t>2025</w:t>
      </w:r>
      <w:r>
        <w:rPr>
          <w:rFonts w:eastAsia="仿宋_GB2312"/>
          <w:color w:val="000000"/>
          <w:sz w:val="32"/>
          <w:shd w:val="clear" w:color="auto" w:fill="FFFFFF"/>
        </w:rPr>
        <w:t>年部门整体支出绩效评价指标体系》评分，得分</w:t>
      </w:r>
      <w:r>
        <w:rPr>
          <w:rFonts w:hint="eastAsia" w:eastAsia="仿宋_GB2312"/>
          <w:sz w:val="32"/>
          <w:shd w:val="clear" w:color="auto" w:fill="FFFFFF"/>
        </w:rPr>
        <w:t>87.3</w:t>
      </w:r>
      <w:r>
        <w:rPr>
          <w:rFonts w:eastAsia="仿宋_GB2312"/>
          <w:sz w:val="32"/>
          <w:shd w:val="clear" w:color="auto" w:fill="FFFFFF"/>
        </w:rPr>
        <w:t>分</w:t>
      </w:r>
      <w:r>
        <w:rPr>
          <w:rFonts w:eastAsia="仿宋_GB2312"/>
          <w:color w:val="000000"/>
          <w:sz w:val="32"/>
          <w:shd w:val="clear" w:color="auto" w:fill="FFFFFF"/>
        </w:rPr>
        <w:t>，绩效评价结果</w:t>
      </w:r>
      <w:r>
        <w:rPr>
          <w:rFonts w:hint="eastAsia" w:eastAsia="仿宋_GB2312"/>
          <w:color w:val="000000"/>
          <w:sz w:val="32"/>
          <w:shd w:val="clear" w:color="auto" w:fill="FFFFFF"/>
        </w:rPr>
        <w:t>良好</w:t>
      </w:r>
      <w:r>
        <w:rPr>
          <w:rFonts w:eastAsia="仿宋_GB2312"/>
          <w:color w:val="000000"/>
          <w:sz w:val="32"/>
          <w:shd w:val="clear" w:color="auto" w:fill="FFFFFF"/>
        </w:rPr>
        <w:t>。</w:t>
      </w:r>
    </w:p>
    <w:p w14:paraId="61049305">
      <w:pPr>
        <w:widowControl/>
        <w:numPr>
          <w:ilvl w:val="0"/>
          <w:numId w:val="6"/>
        </w:numPr>
        <w:adjustRightInd w:val="0"/>
        <w:snapToGrid w:val="0"/>
        <w:spacing w:line="560" w:lineRule="exact"/>
        <w:ind w:firstLine="643"/>
        <w:contextualSpacing/>
        <w:jc w:val="left"/>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存在问题</w:t>
      </w:r>
    </w:p>
    <w:p w14:paraId="07411D2D">
      <w:pPr>
        <w:widowControl/>
        <w:adjustRightInd w:val="0"/>
        <w:snapToGrid w:val="0"/>
        <w:spacing w:line="560" w:lineRule="exact"/>
        <w:ind w:firstLine="640" w:firstLineChars="200"/>
        <w:contextualSpacing/>
        <w:jc w:val="left"/>
        <w:rPr>
          <w:rFonts w:eastAsia="仿宋_GB2312"/>
          <w:color w:val="000000"/>
          <w:kern w:val="0"/>
          <w:sz w:val="32"/>
          <w:szCs w:val="32"/>
          <w:lang w:val="zh-CN"/>
        </w:rPr>
      </w:pPr>
      <w:r>
        <w:rPr>
          <w:rFonts w:eastAsia="仿宋_GB2312"/>
          <w:color w:val="000000"/>
          <w:kern w:val="0"/>
          <w:sz w:val="32"/>
          <w:szCs w:val="32"/>
        </w:rPr>
        <w:t>1</w:t>
      </w:r>
      <w:r>
        <w:rPr>
          <w:rFonts w:hint="eastAsia" w:eastAsia="仿宋_GB2312"/>
          <w:color w:val="000000"/>
          <w:kern w:val="0"/>
          <w:sz w:val="32"/>
          <w:szCs w:val="32"/>
        </w:rPr>
        <w:t>.</w:t>
      </w:r>
      <w:r>
        <w:rPr>
          <w:rFonts w:eastAsia="仿宋_GB2312"/>
          <w:color w:val="000000"/>
          <w:kern w:val="0"/>
          <w:sz w:val="32"/>
          <w:szCs w:val="32"/>
        </w:rPr>
        <w:t>预算编制前根据年度内单位可预见的工作任务，确定了单位年度预算目标，细化了预算指标，但预算编制的精准性有待进一步提高，此外还需加强建设财务监控监督措施和制度学习。</w:t>
      </w:r>
    </w:p>
    <w:p w14:paraId="65C130AF">
      <w:pPr>
        <w:widowControl/>
        <w:adjustRightInd w:val="0"/>
        <w:snapToGrid w:val="0"/>
        <w:spacing w:line="560" w:lineRule="exact"/>
        <w:ind w:firstLine="640" w:firstLineChars="200"/>
        <w:contextualSpacing/>
        <w:jc w:val="left"/>
        <w:rPr>
          <w:rFonts w:eastAsia="仿宋_GB2312"/>
          <w:color w:val="000000"/>
          <w:kern w:val="0"/>
          <w:sz w:val="32"/>
          <w:szCs w:val="32"/>
        </w:rPr>
      </w:pPr>
      <w:r>
        <w:rPr>
          <w:rFonts w:eastAsia="仿宋_GB2312"/>
          <w:color w:val="000000"/>
          <w:kern w:val="0"/>
          <w:sz w:val="32"/>
          <w:szCs w:val="32"/>
        </w:rPr>
        <w:t>2</w:t>
      </w:r>
      <w:r>
        <w:rPr>
          <w:rFonts w:hint="eastAsia" w:eastAsia="仿宋_GB2312"/>
          <w:color w:val="000000"/>
          <w:kern w:val="0"/>
          <w:sz w:val="32"/>
          <w:szCs w:val="32"/>
        </w:rPr>
        <w:t>.</w:t>
      </w:r>
      <w:r>
        <w:rPr>
          <w:rFonts w:eastAsia="仿宋_GB2312"/>
          <w:color w:val="000000"/>
          <w:kern w:val="0"/>
          <w:sz w:val="32"/>
          <w:szCs w:val="32"/>
          <w:lang w:val="zh-CN"/>
        </w:rPr>
        <w:t>是对部门整体支出预算评价工作不够重视，没有把预算财务分析作为常态化工作。</w:t>
      </w:r>
    </w:p>
    <w:p w14:paraId="290CC8AA">
      <w:pPr>
        <w:widowControl/>
        <w:numPr>
          <w:ilvl w:val="0"/>
          <w:numId w:val="6"/>
        </w:numPr>
        <w:adjustRightInd w:val="0"/>
        <w:snapToGrid w:val="0"/>
        <w:spacing w:line="560" w:lineRule="exact"/>
        <w:ind w:firstLine="643"/>
        <w:contextualSpacing/>
        <w:jc w:val="left"/>
        <w:rPr>
          <w:rFonts w:eastAsia="楷体_GB2312"/>
          <w:b/>
          <w:bCs/>
          <w:color w:val="000000"/>
          <w:kern w:val="0"/>
          <w:sz w:val="32"/>
          <w:szCs w:val="32"/>
          <w:shd w:val="clear" w:color="auto" w:fill="FFFFFF"/>
        </w:rPr>
      </w:pPr>
      <w:r>
        <w:rPr>
          <w:rFonts w:eastAsia="楷体_GB2312"/>
          <w:b/>
          <w:bCs/>
          <w:color w:val="000000"/>
          <w:kern w:val="0"/>
          <w:sz w:val="32"/>
          <w:szCs w:val="32"/>
          <w:shd w:val="clear" w:color="auto" w:fill="FFFFFF"/>
        </w:rPr>
        <w:t>改进建议</w:t>
      </w:r>
    </w:p>
    <w:p w14:paraId="3E0754BD">
      <w:pPr>
        <w:widowControl/>
        <w:adjustRightInd w:val="0"/>
        <w:snapToGrid w:val="0"/>
        <w:spacing w:line="560" w:lineRule="exact"/>
        <w:ind w:firstLine="640" w:firstLineChars="200"/>
        <w:contextualSpacing/>
        <w:jc w:val="left"/>
        <w:rPr>
          <w:rFonts w:eastAsia="仿宋_GB2312"/>
          <w:color w:val="000000"/>
          <w:kern w:val="0"/>
          <w:sz w:val="32"/>
          <w:szCs w:val="32"/>
        </w:rPr>
      </w:pPr>
      <w:r>
        <w:rPr>
          <w:rFonts w:eastAsia="仿宋_GB2312"/>
          <w:color w:val="000000"/>
          <w:kern w:val="0"/>
          <w:sz w:val="32"/>
          <w:szCs w:val="32"/>
        </w:rPr>
        <w:t>1.加强学习，提高思想认识。组织单位财务人员认真学习《</w:t>
      </w:r>
      <w:r>
        <w:rPr>
          <w:rFonts w:hint="eastAsia" w:eastAsia="仿宋_GB2312"/>
          <w:color w:val="000000"/>
          <w:kern w:val="0"/>
          <w:sz w:val="32"/>
          <w:szCs w:val="32"/>
          <w:lang w:eastAsia="zh-CN"/>
        </w:rPr>
        <w:t>中华人民共和国</w:t>
      </w:r>
      <w:r>
        <w:rPr>
          <w:rFonts w:eastAsia="仿宋_GB2312"/>
          <w:color w:val="000000"/>
          <w:kern w:val="0"/>
          <w:sz w:val="32"/>
          <w:szCs w:val="32"/>
        </w:rPr>
        <w:t>预算法》、《项目支出绩效评价》等文件精神及相关法规、制度，提高单位领导对全面预算管理及绩效评价工作的重视程度，增强</w:t>
      </w:r>
      <w:r>
        <w:rPr>
          <w:rFonts w:hint="eastAsia" w:eastAsia="仿宋_GB2312"/>
          <w:color w:val="000000"/>
          <w:kern w:val="0"/>
          <w:sz w:val="32"/>
          <w:szCs w:val="32"/>
          <w:lang w:eastAsia="zh-CN"/>
        </w:rPr>
        <w:t>责任</w:t>
      </w:r>
      <w:bookmarkStart w:id="118" w:name="_GoBack"/>
      <w:bookmarkEnd w:id="118"/>
      <w:r>
        <w:rPr>
          <w:rFonts w:eastAsia="仿宋_GB2312"/>
          <w:color w:val="000000"/>
          <w:kern w:val="0"/>
          <w:sz w:val="32"/>
          <w:szCs w:val="32"/>
        </w:rPr>
        <w:t>意识。</w:t>
      </w:r>
    </w:p>
    <w:p w14:paraId="14525E14">
      <w:pPr>
        <w:widowControl/>
        <w:adjustRightInd w:val="0"/>
        <w:snapToGrid w:val="0"/>
        <w:spacing w:line="560" w:lineRule="exact"/>
        <w:ind w:firstLine="640" w:firstLineChars="200"/>
        <w:contextualSpacing/>
        <w:jc w:val="left"/>
        <w:rPr>
          <w:rFonts w:eastAsia="仿宋_GB2312"/>
          <w:color w:val="000000"/>
          <w:kern w:val="0"/>
          <w:sz w:val="32"/>
          <w:szCs w:val="32"/>
        </w:rPr>
      </w:pPr>
      <w:r>
        <w:rPr>
          <w:rFonts w:eastAsia="仿宋_GB2312"/>
          <w:color w:val="000000"/>
          <w:kern w:val="0"/>
          <w:sz w:val="32"/>
          <w:szCs w:val="32"/>
        </w:rPr>
        <w:t>2.提高预算编制的可操作性，强化预算执行约束力，尽量减少预算调整。</w:t>
      </w:r>
    </w:p>
    <w:p w14:paraId="7848FA52">
      <w:pPr>
        <w:spacing w:line="560" w:lineRule="exact"/>
        <w:ind w:firstLine="640" w:firstLineChars="200"/>
        <w:rPr>
          <w:sz w:val="32"/>
          <w:szCs w:val="32"/>
          <w:lang w:val="zh-CN"/>
        </w:rPr>
      </w:pPr>
    </w:p>
    <w:p w14:paraId="66C6BDD0">
      <w:pPr>
        <w:pStyle w:val="13"/>
        <w:rPr>
          <w:sz w:val="32"/>
          <w:szCs w:val="32"/>
          <w:lang w:val="zh-CN"/>
        </w:rPr>
      </w:pPr>
    </w:p>
    <w:p w14:paraId="1FEDDC2A">
      <w:pPr>
        <w:pStyle w:val="13"/>
        <w:rPr>
          <w:sz w:val="32"/>
          <w:szCs w:val="32"/>
          <w:lang w:val="zh-CN"/>
        </w:rPr>
      </w:pPr>
    </w:p>
    <w:p w14:paraId="2F85B262">
      <w:pPr>
        <w:pStyle w:val="13"/>
        <w:rPr>
          <w:sz w:val="32"/>
          <w:szCs w:val="32"/>
          <w:lang w:val="zh-CN"/>
        </w:rPr>
      </w:pPr>
    </w:p>
    <w:p w14:paraId="7CF4FAB5">
      <w:pPr>
        <w:pStyle w:val="13"/>
        <w:rPr>
          <w:sz w:val="32"/>
          <w:szCs w:val="32"/>
          <w:lang w:val="zh-CN"/>
        </w:rPr>
      </w:pPr>
    </w:p>
    <w:p w14:paraId="66FB6B76">
      <w:pPr>
        <w:pStyle w:val="13"/>
        <w:rPr>
          <w:sz w:val="32"/>
          <w:szCs w:val="32"/>
          <w:lang w:val="zh-CN"/>
        </w:rPr>
      </w:pPr>
    </w:p>
    <w:p w14:paraId="11A68621">
      <w:pPr>
        <w:pStyle w:val="13"/>
        <w:rPr>
          <w:sz w:val="32"/>
          <w:szCs w:val="32"/>
          <w:lang w:val="zh-CN"/>
        </w:rPr>
      </w:pPr>
    </w:p>
    <w:p w14:paraId="7EBAFA8A">
      <w:pPr>
        <w:pStyle w:val="13"/>
        <w:rPr>
          <w:sz w:val="32"/>
          <w:szCs w:val="32"/>
          <w:lang w:val="zh-CN"/>
        </w:rPr>
      </w:pPr>
    </w:p>
    <w:p w14:paraId="40D085F2">
      <w:pPr>
        <w:pStyle w:val="13"/>
        <w:rPr>
          <w:sz w:val="32"/>
          <w:szCs w:val="32"/>
          <w:lang w:val="zh-CN"/>
        </w:rPr>
      </w:pPr>
    </w:p>
    <w:p w14:paraId="1126625A">
      <w:pPr>
        <w:rPr>
          <w:sz w:val="32"/>
          <w:szCs w:val="32"/>
          <w:lang w:val="zh-CN"/>
        </w:rPr>
      </w:pPr>
    </w:p>
    <w:p w14:paraId="2419FA2E">
      <w:pPr>
        <w:rPr>
          <w:sz w:val="32"/>
          <w:szCs w:val="32"/>
          <w:lang w:val="zh-CN"/>
        </w:rPr>
      </w:pPr>
    </w:p>
    <w:p w14:paraId="3AC7F6C1">
      <w:pPr>
        <w:rPr>
          <w:sz w:val="32"/>
          <w:szCs w:val="32"/>
          <w:lang w:val="zh-CN"/>
        </w:rPr>
      </w:pPr>
    </w:p>
    <w:p w14:paraId="773F7C6A">
      <w:pPr>
        <w:rPr>
          <w:sz w:val="32"/>
          <w:szCs w:val="32"/>
          <w:lang w:val="zh-CN"/>
        </w:rPr>
      </w:pPr>
    </w:p>
    <w:p w14:paraId="7BEFF05A">
      <w:pPr>
        <w:rPr>
          <w:sz w:val="32"/>
          <w:szCs w:val="32"/>
          <w:lang w:val="zh-CN"/>
        </w:rPr>
      </w:pPr>
    </w:p>
    <w:p w14:paraId="7D691EB5">
      <w:pPr>
        <w:rPr>
          <w:sz w:val="32"/>
          <w:szCs w:val="32"/>
          <w:lang w:val="zh-CN"/>
        </w:rPr>
      </w:pPr>
    </w:p>
    <w:p w14:paraId="16A28A43">
      <w:pPr>
        <w:rPr>
          <w:sz w:val="32"/>
          <w:szCs w:val="32"/>
          <w:lang w:val="zh-CN"/>
        </w:rPr>
      </w:pPr>
    </w:p>
    <w:p w14:paraId="47559465">
      <w:pPr>
        <w:rPr>
          <w:sz w:val="32"/>
          <w:szCs w:val="32"/>
          <w:lang w:val="zh-CN"/>
        </w:rPr>
      </w:pPr>
    </w:p>
    <w:p w14:paraId="731E77BC">
      <w:pPr>
        <w:rPr>
          <w:sz w:val="32"/>
          <w:szCs w:val="32"/>
          <w:lang w:val="zh-CN"/>
        </w:rPr>
      </w:pPr>
    </w:p>
    <w:p w14:paraId="6FE72657">
      <w:pPr>
        <w:rPr>
          <w:sz w:val="32"/>
          <w:szCs w:val="32"/>
          <w:lang w:val="zh-CN"/>
        </w:rPr>
      </w:pPr>
    </w:p>
    <w:p w14:paraId="57AEE230">
      <w:pPr>
        <w:rPr>
          <w:sz w:val="32"/>
          <w:szCs w:val="32"/>
          <w:lang w:val="zh-CN"/>
        </w:rPr>
      </w:pPr>
    </w:p>
    <w:p w14:paraId="21610E48">
      <w:pPr>
        <w:rPr>
          <w:sz w:val="32"/>
          <w:szCs w:val="32"/>
          <w:lang w:val="zh-CN"/>
        </w:rPr>
      </w:pPr>
    </w:p>
    <w:p w14:paraId="497C5E76">
      <w:pPr>
        <w:rPr>
          <w:sz w:val="32"/>
          <w:szCs w:val="32"/>
          <w:lang w:val="zh-CN"/>
        </w:rPr>
      </w:pPr>
    </w:p>
    <w:p w14:paraId="1FE263B6">
      <w:pPr>
        <w:rPr>
          <w:sz w:val="32"/>
          <w:szCs w:val="32"/>
          <w:lang w:val="zh-CN"/>
        </w:rPr>
      </w:pPr>
    </w:p>
    <w:p w14:paraId="5244F391">
      <w:pPr>
        <w:rPr>
          <w:sz w:val="32"/>
          <w:szCs w:val="32"/>
          <w:lang w:val="zh-CN"/>
        </w:rPr>
      </w:pPr>
    </w:p>
    <w:p w14:paraId="6FDFA9DF">
      <w:pPr>
        <w:rPr>
          <w:sz w:val="32"/>
          <w:szCs w:val="32"/>
        </w:rPr>
      </w:pPr>
      <w:r>
        <w:rPr>
          <w:rFonts w:hint="eastAsia"/>
          <w:sz w:val="32"/>
          <w:szCs w:val="32"/>
          <w:lang w:val="zh-CN"/>
        </w:rPr>
        <w:t>附表：</w:t>
      </w:r>
      <w:r>
        <w:rPr>
          <w:rFonts w:hint="eastAsia"/>
          <w:sz w:val="32"/>
          <w:szCs w:val="32"/>
        </w:rPr>
        <w:t>部门预算项目支出绩效自评表（2025年度）</w:t>
      </w:r>
    </w:p>
    <w:p w14:paraId="04B6FF35">
      <w:pPr>
        <w:rPr>
          <w:sz w:val="32"/>
          <w:szCs w:val="32"/>
        </w:rPr>
      </w:pPr>
      <w:r>
        <w:drawing>
          <wp:inline distT="0" distB="0" distL="114300" distR="114300">
            <wp:extent cx="5268595" cy="3427095"/>
            <wp:effectExtent l="0" t="0" r="8255" b="190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17"/>
                    <a:stretch>
                      <a:fillRect/>
                    </a:stretch>
                  </pic:blipFill>
                  <pic:spPr>
                    <a:xfrm>
                      <a:off x="0" y="0"/>
                      <a:ext cx="5268595" cy="3427095"/>
                    </a:xfrm>
                    <a:prstGeom prst="rect">
                      <a:avLst/>
                    </a:prstGeom>
                    <a:noFill/>
                    <a:ln>
                      <a:noFill/>
                    </a:ln>
                  </pic:spPr>
                </pic:pic>
              </a:graphicData>
            </a:graphic>
          </wp:inline>
        </w:drawing>
      </w:r>
    </w:p>
    <w:p w14:paraId="4FA5CE84"/>
    <w:p w14:paraId="1A147CEB">
      <w:r>
        <w:drawing>
          <wp:inline distT="0" distB="0" distL="114300" distR="114300">
            <wp:extent cx="5266690" cy="4326255"/>
            <wp:effectExtent l="0" t="0" r="10160" b="17145"/>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18"/>
                    <a:stretch>
                      <a:fillRect/>
                    </a:stretch>
                  </pic:blipFill>
                  <pic:spPr>
                    <a:xfrm>
                      <a:off x="0" y="0"/>
                      <a:ext cx="5266690" cy="4326255"/>
                    </a:xfrm>
                    <a:prstGeom prst="rect">
                      <a:avLst/>
                    </a:prstGeom>
                    <a:noFill/>
                    <a:ln>
                      <a:noFill/>
                    </a:ln>
                  </pic:spPr>
                </pic:pic>
              </a:graphicData>
            </a:graphic>
          </wp:inline>
        </w:drawing>
      </w:r>
      <w:r>
        <w:drawing>
          <wp:inline distT="0" distB="0" distL="114300" distR="114300">
            <wp:extent cx="5271135" cy="3432810"/>
            <wp:effectExtent l="0" t="0" r="5715" b="1524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9"/>
                    <a:stretch>
                      <a:fillRect/>
                    </a:stretch>
                  </pic:blipFill>
                  <pic:spPr>
                    <a:xfrm>
                      <a:off x="0" y="0"/>
                      <a:ext cx="5271135" cy="3432810"/>
                    </a:xfrm>
                    <a:prstGeom prst="rect">
                      <a:avLst/>
                    </a:prstGeom>
                    <a:noFill/>
                    <a:ln>
                      <a:noFill/>
                    </a:ln>
                  </pic:spPr>
                </pic:pic>
              </a:graphicData>
            </a:graphic>
          </wp:inline>
        </w:drawing>
      </w:r>
      <w:r>
        <w:drawing>
          <wp:inline distT="0" distB="0" distL="114300" distR="114300">
            <wp:extent cx="5268595" cy="3390900"/>
            <wp:effectExtent l="0" t="0" r="8255" b="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20"/>
                    <a:stretch>
                      <a:fillRect/>
                    </a:stretch>
                  </pic:blipFill>
                  <pic:spPr>
                    <a:xfrm>
                      <a:off x="0" y="0"/>
                      <a:ext cx="5268595" cy="3390900"/>
                    </a:xfrm>
                    <a:prstGeom prst="rect">
                      <a:avLst/>
                    </a:prstGeom>
                    <a:noFill/>
                    <a:ln>
                      <a:noFill/>
                    </a:ln>
                  </pic:spPr>
                </pic:pic>
              </a:graphicData>
            </a:graphic>
          </wp:inline>
        </w:drawing>
      </w:r>
      <w:r>
        <w:drawing>
          <wp:inline distT="0" distB="0" distL="114300" distR="114300">
            <wp:extent cx="5268595" cy="3427095"/>
            <wp:effectExtent l="0" t="0" r="8255" b="1905"/>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1"/>
                    <a:stretch>
                      <a:fillRect/>
                    </a:stretch>
                  </pic:blipFill>
                  <pic:spPr>
                    <a:xfrm>
                      <a:off x="0" y="0"/>
                      <a:ext cx="5268595" cy="3427095"/>
                    </a:xfrm>
                    <a:prstGeom prst="rect">
                      <a:avLst/>
                    </a:prstGeom>
                    <a:noFill/>
                    <a:ln>
                      <a:noFill/>
                    </a:ln>
                  </pic:spPr>
                </pic:pic>
              </a:graphicData>
            </a:graphic>
          </wp:inline>
        </w:drawing>
      </w:r>
      <w:r>
        <w:drawing>
          <wp:inline distT="0" distB="0" distL="114300" distR="114300">
            <wp:extent cx="5266690" cy="3422015"/>
            <wp:effectExtent l="0" t="0" r="10160" b="6985"/>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22"/>
                    <a:stretch>
                      <a:fillRect/>
                    </a:stretch>
                  </pic:blipFill>
                  <pic:spPr>
                    <a:xfrm>
                      <a:off x="0" y="0"/>
                      <a:ext cx="5266690" cy="3422015"/>
                    </a:xfrm>
                    <a:prstGeom prst="rect">
                      <a:avLst/>
                    </a:prstGeom>
                    <a:noFill/>
                    <a:ln>
                      <a:noFill/>
                    </a:ln>
                  </pic:spPr>
                </pic:pic>
              </a:graphicData>
            </a:graphic>
          </wp:inline>
        </w:drawing>
      </w:r>
      <w:r>
        <w:drawing>
          <wp:inline distT="0" distB="0" distL="114300" distR="114300">
            <wp:extent cx="5272405" cy="3428365"/>
            <wp:effectExtent l="0" t="0" r="4445" b="635"/>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3"/>
                    <a:stretch>
                      <a:fillRect/>
                    </a:stretch>
                  </pic:blipFill>
                  <pic:spPr>
                    <a:xfrm>
                      <a:off x="0" y="0"/>
                      <a:ext cx="5272405" cy="3428365"/>
                    </a:xfrm>
                    <a:prstGeom prst="rect">
                      <a:avLst/>
                    </a:prstGeom>
                    <a:noFill/>
                    <a:ln>
                      <a:noFill/>
                    </a:ln>
                  </pic:spPr>
                </pic:pic>
              </a:graphicData>
            </a:graphic>
          </wp:inline>
        </w:drawing>
      </w:r>
      <w:r>
        <w:drawing>
          <wp:inline distT="0" distB="0" distL="114300" distR="114300">
            <wp:extent cx="5268595" cy="3427095"/>
            <wp:effectExtent l="0" t="0" r="8255" b="1905"/>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24"/>
                    <a:stretch>
                      <a:fillRect/>
                    </a:stretch>
                  </pic:blipFill>
                  <pic:spPr>
                    <a:xfrm>
                      <a:off x="0" y="0"/>
                      <a:ext cx="5268595" cy="3427095"/>
                    </a:xfrm>
                    <a:prstGeom prst="rect">
                      <a:avLst/>
                    </a:prstGeom>
                    <a:noFill/>
                    <a:ln>
                      <a:noFill/>
                    </a:ln>
                  </pic:spPr>
                </pic:pic>
              </a:graphicData>
            </a:graphic>
          </wp:inline>
        </w:drawing>
      </w:r>
      <w:r>
        <w:drawing>
          <wp:inline distT="0" distB="0" distL="114300" distR="114300">
            <wp:extent cx="5266690" cy="3428365"/>
            <wp:effectExtent l="0" t="0" r="10160" b="635"/>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25"/>
                    <a:stretch>
                      <a:fillRect/>
                    </a:stretch>
                  </pic:blipFill>
                  <pic:spPr>
                    <a:xfrm>
                      <a:off x="0" y="0"/>
                      <a:ext cx="5266690" cy="3428365"/>
                    </a:xfrm>
                    <a:prstGeom prst="rect">
                      <a:avLst/>
                    </a:prstGeom>
                    <a:noFill/>
                    <a:ln>
                      <a:noFill/>
                    </a:ln>
                  </pic:spPr>
                </pic:pic>
              </a:graphicData>
            </a:graphic>
          </wp:inline>
        </w:drawing>
      </w:r>
      <w:r>
        <w:drawing>
          <wp:inline distT="0" distB="0" distL="114300" distR="114300">
            <wp:extent cx="5266690" cy="3437890"/>
            <wp:effectExtent l="0" t="0" r="10160" b="10160"/>
            <wp:docPr id="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pic:cNvPicPr>
                      <a:picLocks noChangeAspect="1"/>
                    </pic:cNvPicPr>
                  </pic:nvPicPr>
                  <pic:blipFill>
                    <a:blip r:embed="rId26"/>
                    <a:stretch>
                      <a:fillRect/>
                    </a:stretch>
                  </pic:blipFill>
                  <pic:spPr>
                    <a:xfrm>
                      <a:off x="0" y="0"/>
                      <a:ext cx="5266690" cy="3437890"/>
                    </a:xfrm>
                    <a:prstGeom prst="rect">
                      <a:avLst/>
                    </a:prstGeom>
                    <a:noFill/>
                    <a:ln>
                      <a:noFill/>
                    </a:ln>
                  </pic:spPr>
                </pic:pic>
              </a:graphicData>
            </a:graphic>
          </wp:inline>
        </w:drawing>
      </w:r>
      <w:r>
        <w:drawing>
          <wp:inline distT="0" distB="0" distL="114300" distR="114300">
            <wp:extent cx="5266690" cy="3428365"/>
            <wp:effectExtent l="0" t="0" r="10160" b="635"/>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27"/>
                    <a:stretch>
                      <a:fillRect/>
                    </a:stretch>
                  </pic:blipFill>
                  <pic:spPr>
                    <a:xfrm>
                      <a:off x="0" y="0"/>
                      <a:ext cx="5266690" cy="3428365"/>
                    </a:xfrm>
                    <a:prstGeom prst="rect">
                      <a:avLst/>
                    </a:prstGeom>
                    <a:noFill/>
                    <a:ln>
                      <a:noFill/>
                    </a:ln>
                  </pic:spPr>
                </pic:pic>
              </a:graphicData>
            </a:graphic>
          </wp:inline>
        </w:drawing>
      </w:r>
      <w:r>
        <w:drawing>
          <wp:inline distT="0" distB="0" distL="114300" distR="114300">
            <wp:extent cx="5268595" cy="3433445"/>
            <wp:effectExtent l="0" t="0" r="8255" b="14605"/>
            <wp:docPr id="2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pic:cNvPicPr>
                      <a:picLocks noChangeAspect="1"/>
                    </pic:cNvPicPr>
                  </pic:nvPicPr>
                  <pic:blipFill>
                    <a:blip r:embed="rId28"/>
                    <a:stretch>
                      <a:fillRect/>
                    </a:stretch>
                  </pic:blipFill>
                  <pic:spPr>
                    <a:xfrm>
                      <a:off x="0" y="0"/>
                      <a:ext cx="5268595" cy="3433445"/>
                    </a:xfrm>
                    <a:prstGeom prst="rect">
                      <a:avLst/>
                    </a:prstGeom>
                    <a:noFill/>
                    <a:ln>
                      <a:noFill/>
                    </a:ln>
                  </pic:spPr>
                </pic:pic>
              </a:graphicData>
            </a:graphic>
          </wp:inline>
        </w:drawing>
      </w:r>
      <w:r>
        <w:drawing>
          <wp:inline distT="0" distB="0" distL="114300" distR="114300">
            <wp:extent cx="5268595" cy="3427095"/>
            <wp:effectExtent l="0" t="0" r="8255" b="1905"/>
            <wp:docPr id="2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7"/>
                    <pic:cNvPicPr>
                      <a:picLocks noChangeAspect="1"/>
                    </pic:cNvPicPr>
                  </pic:nvPicPr>
                  <pic:blipFill>
                    <a:blip r:embed="rId29"/>
                    <a:stretch>
                      <a:fillRect/>
                    </a:stretch>
                  </pic:blipFill>
                  <pic:spPr>
                    <a:xfrm>
                      <a:off x="0" y="0"/>
                      <a:ext cx="5268595" cy="3427095"/>
                    </a:xfrm>
                    <a:prstGeom prst="rect">
                      <a:avLst/>
                    </a:prstGeom>
                    <a:noFill/>
                    <a:ln>
                      <a:noFill/>
                    </a:ln>
                  </pic:spPr>
                </pic:pic>
              </a:graphicData>
            </a:graphic>
          </wp:inline>
        </w:drawing>
      </w:r>
      <w:r>
        <w:drawing>
          <wp:inline distT="0" distB="0" distL="114300" distR="114300">
            <wp:extent cx="5266690" cy="3422015"/>
            <wp:effectExtent l="0" t="0" r="10160" b="6985"/>
            <wp:docPr id="2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pic:cNvPicPr>
                      <a:picLocks noChangeAspect="1"/>
                    </pic:cNvPicPr>
                  </pic:nvPicPr>
                  <pic:blipFill>
                    <a:blip r:embed="rId30"/>
                    <a:stretch>
                      <a:fillRect/>
                    </a:stretch>
                  </pic:blipFill>
                  <pic:spPr>
                    <a:xfrm>
                      <a:off x="0" y="0"/>
                      <a:ext cx="5266690" cy="3422015"/>
                    </a:xfrm>
                    <a:prstGeom prst="rect">
                      <a:avLst/>
                    </a:prstGeom>
                    <a:noFill/>
                    <a:ln>
                      <a:noFill/>
                    </a:ln>
                  </pic:spPr>
                </pic:pic>
              </a:graphicData>
            </a:graphic>
          </wp:inline>
        </w:drawing>
      </w:r>
      <w:r>
        <w:drawing>
          <wp:inline distT="0" distB="0" distL="114300" distR="114300">
            <wp:extent cx="5268595" cy="3433445"/>
            <wp:effectExtent l="0" t="0" r="8255" b="14605"/>
            <wp:docPr id="2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9"/>
                    <pic:cNvPicPr>
                      <a:picLocks noChangeAspect="1"/>
                    </pic:cNvPicPr>
                  </pic:nvPicPr>
                  <pic:blipFill>
                    <a:blip r:embed="rId31"/>
                    <a:stretch>
                      <a:fillRect/>
                    </a:stretch>
                  </pic:blipFill>
                  <pic:spPr>
                    <a:xfrm>
                      <a:off x="0" y="0"/>
                      <a:ext cx="5268595" cy="3433445"/>
                    </a:xfrm>
                    <a:prstGeom prst="rect">
                      <a:avLst/>
                    </a:prstGeom>
                    <a:noFill/>
                    <a:ln>
                      <a:noFill/>
                    </a:ln>
                  </pic:spPr>
                </pic:pic>
              </a:graphicData>
            </a:graphic>
          </wp:inline>
        </w:drawing>
      </w:r>
      <w:r>
        <w:drawing>
          <wp:inline distT="0" distB="0" distL="114300" distR="114300">
            <wp:extent cx="5268595" cy="3433445"/>
            <wp:effectExtent l="0" t="0" r="8255" b="14605"/>
            <wp:docPr id="2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pic:cNvPicPr>
                      <a:picLocks noChangeAspect="1"/>
                    </pic:cNvPicPr>
                  </pic:nvPicPr>
                  <pic:blipFill>
                    <a:blip r:embed="rId32"/>
                    <a:stretch>
                      <a:fillRect/>
                    </a:stretch>
                  </pic:blipFill>
                  <pic:spPr>
                    <a:xfrm>
                      <a:off x="0" y="0"/>
                      <a:ext cx="5268595" cy="3433445"/>
                    </a:xfrm>
                    <a:prstGeom prst="rect">
                      <a:avLst/>
                    </a:prstGeom>
                    <a:noFill/>
                    <a:ln>
                      <a:noFill/>
                    </a:ln>
                  </pic:spPr>
                </pic:pic>
              </a:graphicData>
            </a:graphic>
          </wp:inline>
        </w:drawing>
      </w:r>
      <w:r>
        <w:drawing>
          <wp:inline distT="0" distB="0" distL="114300" distR="114300">
            <wp:extent cx="5266690" cy="3428365"/>
            <wp:effectExtent l="0" t="0" r="10160" b="635"/>
            <wp:docPr id="2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pic:cNvPicPr>
                      <a:picLocks noChangeAspect="1"/>
                    </pic:cNvPicPr>
                  </pic:nvPicPr>
                  <pic:blipFill>
                    <a:blip r:embed="rId33"/>
                    <a:stretch>
                      <a:fillRect/>
                    </a:stretch>
                  </pic:blipFill>
                  <pic:spPr>
                    <a:xfrm>
                      <a:off x="0" y="0"/>
                      <a:ext cx="5266690" cy="3428365"/>
                    </a:xfrm>
                    <a:prstGeom prst="rect">
                      <a:avLst/>
                    </a:prstGeom>
                    <a:noFill/>
                    <a:ln>
                      <a:noFill/>
                    </a:ln>
                  </pic:spPr>
                </pic:pic>
              </a:graphicData>
            </a:graphic>
          </wp:inline>
        </w:drawing>
      </w:r>
      <w:r>
        <w:drawing>
          <wp:inline distT="0" distB="0" distL="114300" distR="114300">
            <wp:extent cx="5271135" cy="3432810"/>
            <wp:effectExtent l="0" t="0" r="5715" b="15240"/>
            <wp:docPr id="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2"/>
                    <pic:cNvPicPr>
                      <a:picLocks noChangeAspect="1"/>
                    </pic:cNvPicPr>
                  </pic:nvPicPr>
                  <pic:blipFill>
                    <a:blip r:embed="rId34"/>
                    <a:stretch>
                      <a:fillRect/>
                    </a:stretch>
                  </pic:blipFill>
                  <pic:spPr>
                    <a:xfrm>
                      <a:off x="0" y="0"/>
                      <a:ext cx="5271135" cy="3432810"/>
                    </a:xfrm>
                    <a:prstGeom prst="rect">
                      <a:avLst/>
                    </a:prstGeom>
                    <a:noFill/>
                    <a:ln>
                      <a:noFill/>
                    </a:ln>
                  </pic:spPr>
                </pic:pic>
              </a:graphicData>
            </a:graphic>
          </wp:inline>
        </w:drawing>
      </w:r>
      <w:r>
        <w:drawing>
          <wp:inline distT="0" distB="0" distL="114300" distR="114300">
            <wp:extent cx="5268595" cy="3433445"/>
            <wp:effectExtent l="0" t="0" r="8255" b="14605"/>
            <wp:docPr id="2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3"/>
                    <pic:cNvPicPr>
                      <a:picLocks noChangeAspect="1"/>
                    </pic:cNvPicPr>
                  </pic:nvPicPr>
                  <pic:blipFill>
                    <a:blip r:embed="rId35"/>
                    <a:stretch>
                      <a:fillRect/>
                    </a:stretch>
                  </pic:blipFill>
                  <pic:spPr>
                    <a:xfrm>
                      <a:off x="0" y="0"/>
                      <a:ext cx="5268595" cy="3433445"/>
                    </a:xfrm>
                    <a:prstGeom prst="rect">
                      <a:avLst/>
                    </a:prstGeom>
                    <a:noFill/>
                    <a:ln>
                      <a:noFill/>
                    </a:ln>
                  </pic:spPr>
                </pic:pic>
              </a:graphicData>
            </a:graphic>
          </wp:inline>
        </w:drawing>
      </w:r>
      <w:r>
        <w:drawing>
          <wp:inline distT="0" distB="0" distL="114300" distR="114300">
            <wp:extent cx="5271135" cy="3439160"/>
            <wp:effectExtent l="0" t="0" r="5715" b="8890"/>
            <wp:docPr id="3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4"/>
                    <pic:cNvPicPr>
                      <a:picLocks noChangeAspect="1"/>
                    </pic:cNvPicPr>
                  </pic:nvPicPr>
                  <pic:blipFill>
                    <a:blip r:embed="rId36"/>
                    <a:stretch>
                      <a:fillRect/>
                    </a:stretch>
                  </pic:blipFill>
                  <pic:spPr>
                    <a:xfrm>
                      <a:off x="0" y="0"/>
                      <a:ext cx="5271135" cy="3439160"/>
                    </a:xfrm>
                    <a:prstGeom prst="rect">
                      <a:avLst/>
                    </a:prstGeom>
                    <a:noFill/>
                    <a:ln>
                      <a:noFill/>
                    </a:ln>
                  </pic:spPr>
                </pic:pic>
              </a:graphicData>
            </a:graphic>
          </wp:inline>
        </w:drawing>
      </w:r>
      <w:r>
        <w:drawing>
          <wp:inline distT="0" distB="0" distL="114300" distR="114300">
            <wp:extent cx="5272405" cy="3422015"/>
            <wp:effectExtent l="0" t="0" r="4445" b="6985"/>
            <wp:docPr id="3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5"/>
                    <pic:cNvPicPr>
                      <a:picLocks noChangeAspect="1"/>
                    </pic:cNvPicPr>
                  </pic:nvPicPr>
                  <pic:blipFill>
                    <a:blip r:embed="rId37"/>
                    <a:stretch>
                      <a:fillRect/>
                    </a:stretch>
                  </pic:blipFill>
                  <pic:spPr>
                    <a:xfrm>
                      <a:off x="0" y="0"/>
                      <a:ext cx="5272405" cy="3422015"/>
                    </a:xfrm>
                    <a:prstGeom prst="rect">
                      <a:avLst/>
                    </a:prstGeom>
                    <a:noFill/>
                    <a:ln>
                      <a:noFill/>
                    </a:ln>
                  </pic:spPr>
                </pic:pic>
              </a:graphicData>
            </a:graphic>
          </wp:inline>
        </w:drawing>
      </w:r>
      <w:r>
        <w:drawing>
          <wp:inline distT="0" distB="0" distL="114300" distR="114300">
            <wp:extent cx="5268595" cy="3433445"/>
            <wp:effectExtent l="0" t="0" r="8255" b="14605"/>
            <wp:docPr id="3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6"/>
                    <pic:cNvPicPr>
                      <a:picLocks noChangeAspect="1"/>
                    </pic:cNvPicPr>
                  </pic:nvPicPr>
                  <pic:blipFill>
                    <a:blip r:embed="rId38"/>
                    <a:stretch>
                      <a:fillRect/>
                    </a:stretch>
                  </pic:blipFill>
                  <pic:spPr>
                    <a:xfrm>
                      <a:off x="0" y="0"/>
                      <a:ext cx="5268595" cy="3433445"/>
                    </a:xfrm>
                    <a:prstGeom prst="rect">
                      <a:avLst/>
                    </a:prstGeom>
                    <a:noFill/>
                    <a:ln>
                      <a:noFill/>
                    </a:ln>
                  </pic:spPr>
                </pic:pic>
              </a:graphicData>
            </a:graphic>
          </wp:inline>
        </w:drawing>
      </w:r>
      <w:r>
        <w:drawing>
          <wp:inline distT="0" distB="0" distL="114300" distR="114300">
            <wp:extent cx="5266690" cy="3434080"/>
            <wp:effectExtent l="0" t="0" r="10160" b="13970"/>
            <wp:docPr id="3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7"/>
                    <pic:cNvPicPr>
                      <a:picLocks noChangeAspect="1"/>
                    </pic:cNvPicPr>
                  </pic:nvPicPr>
                  <pic:blipFill>
                    <a:blip r:embed="rId39"/>
                    <a:stretch>
                      <a:fillRect/>
                    </a:stretch>
                  </pic:blipFill>
                  <pic:spPr>
                    <a:xfrm>
                      <a:off x="0" y="0"/>
                      <a:ext cx="5266690" cy="3434080"/>
                    </a:xfrm>
                    <a:prstGeom prst="rect">
                      <a:avLst/>
                    </a:prstGeom>
                    <a:noFill/>
                    <a:ln>
                      <a:noFill/>
                    </a:ln>
                  </pic:spPr>
                </pic:pic>
              </a:graphicData>
            </a:graphic>
          </wp:inline>
        </w:drawing>
      </w:r>
      <w:r>
        <w:drawing>
          <wp:inline distT="0" distB="0" distL="114300" distR="114300">
            <wp:extent cx="5266690" cy="3434080"/>
            <wp:effectExtent l="0" t="0" r="10160" b="13970"/>
            <wp:docPr id="3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8"/>
                    <pic:cNvPicPr>
                      <a:picLocks noChangeAspect="1"/>
                    </pic:cNvPicPr>
                  </pic:nvPicPr>
                  <pic:blipFill>
                    <a:blip r:embed="rId40"/>
                    <a:stretch>
                      <a:fillRect/>
                    </a:stretch>
                  </pic:blipFill>
                  <pic:spPr>
                    <a:xfrm>
                      <a:off x="0" y="0"/>
                      <a:ext cx="5266690" cy="3434080"/>
                    </a:xfrm>
                    <a:prstGeom prst="rect">
                      <a:avLst/>
                    </a:prstGeom>
                    <a:noFill/>
                    <a:ln>
                      <a:noFill/>
                    </a:ln>
                  </pic:spPr>
                </pic:pic>
              </a:graphicData>
            </a:graphic>
          </wp:inline>
        </w:drawing>
      </w:r>
      <w:r>
        <w:drawing>
          <wp:inline distT="0" distB="0" distL="114300" distR="114300">
            <wp:extent cx="5268595" cy="3433445"/>
            <wp:effectExtent l="0" t="0" r="8255" b="14605"/>
            <wp:docPr id="3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9"/>
                    <pic:cNvPicPr>
                      <a:picLocks noChangeAspect="1"/>
                    </pic:cNvPicPr>
                  </pic:nvPicPr>
                  <pic:blipFill>
                    <a:blip r:embed="rId41"/>
                    <a:stretch>
                      <a:fillRect/>
                    </a:stretch>
                  </pic:blipFill>
                  <pic:spPr>
                    <a:xfrm>
                      <a:off x="0" y="0"/>
                      <a:ext cx="5268595" cy="3433445"/>
                    </a:xfrm>
                    <a:prstGeom prst="rect">
                      <a:avLst/>
                    </a:prstGeom>
                    <a:noFill/>
                    <a:ln>
                      <a:noFill/>
                    </a:ln>
                  </pic:spPr>
                </pic:pic>
              </a:graphicData>
            </a:graphic>
          </wp:inline>
        </w:drawing>
      </w:r>
      <w:r>
        <w:drawing>
          <wp:inline distT="0" distB="0" distL="114300" distR="114300">
            <wp:extent cx="5273675" cy="4383405"/>
            <wp:effectExtent l="0" t="0" r="3175" b="17145"/>
            <wp:docPr id="3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0"/>
                    <pic:cNvPicPr>
                      <a:picLocks noChangeAspect="1"/>
                    </pic:cNvPicPr>
                  </pic:nvPicPr>
                  <pic:blipFill>
                    <a:blip r:embed="rId42"/>
                    <a:stretch>
                      <a:fillRect/>
                    </a:stretch>
                  </pic:blipFill>
                  <pic:spPr>
                    <a:xfrm>
                      <a:off x="0" y="0"/>
                      <a:ext cx="5273675" cy="4383405"/>
                    </a:xfrm>
                    <a:prstGeom prst="rect">
                      <a:avLst/>
                    </a:prstGeom>
                    <a:noFill/>
                    <a:ln>
                      <a:noFill/>
                    </a:ln>
                  </pic:spPr>
                </pic:pic>
              </a:graphicData>
            </a:graphic>
          </wp:inline>
        </w:drawing>
      </w:r>
      <w:r>
        <w:drawing>
          <wp:inline distT="0" distB="0" distL="114300" distR="114300">
            <wp:extent cx="5274310" cy="3545205"/>
            <wp:effectExtent l="0" t="0" r="2540" b="17145"/>
            <wp:docPr id="4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1"/>
                    <pic:cNvPicPr>
                      <a:picLocks noChangeAspect="1"/>
                    </pic:cNvPicPr>
                  </pic:nvPicPr>
                  <pic:blipFill>
                    <a:blip r:embed="rId43"/>
                    <a:stretch>
                      <a:fillRect/>
                    </a:stretch>
                  </pic:blipFill>
                  <pic:spPr>
                    <a:xfrm>
                      <a:off x="0" y="0"/>
                      <a:ext cx="5274310" cy="3545205"/>
                    </a:xfrm>
                    <a:prstGeom prst="rect">
                      <a:avLst/>
                    </a:prstGeom>
                    <a:noFill/>
                    <a:ln>
                      <a:noFill/>
                    </a:ln>
                  </pic:spPr>
                </pic:pic>
              </a:graphicData>
            </a:graphic>
          </wp:inline>
        </w:drawing>
      </w:r>
    </w:p>
    <w:p w14:paraId="3519B544">
      <w:pPr>
        <w:rPr>
          <w:sz w:val="32"/>
          <w:szCs w:val="32"/>
          <w:lang w:val="zh-CN"/>
        </w:rPr>
      </w:pPr>
    </w:p>
    <w:p w14:paraId="12062D8F">
      <w:pPr>
        <w:rPr>
          <w:sz w:val="32"/>
          <w:szCs w:val="32"/>
          <w:lang w:val="zh-CN"/>
        </w:rPr>
      </w:pPr>
    </w:p>
    <w:p w14:paraId="67A761FC">
      <w:pPr>
        <w:pStyle w:val="13"/>
        <w:rPr>
          <w:rFonts w:ascii="黑体" w:hAnsi="黑体" w:eastAsia="黑体" w:cs="黑体"/>
          <w:sz w:val="44"/>
          <w:szCs w:val="44"/>
        </w:rPr>
      </w:pPr>
    </w:p>
    <w:p w14:paraId="7194398A">
      <w:pPr>
        <w:pStyle w:val="13"/>
      </w:pPr>
    </w:p>
    <w:p w14:paraId="41765E40">
      <w:pPr>
        <w:pStyle w:val="13"/>
      </w:pPr>
    </w:p>
    <w:p w14:paraId="606806DA">
      <w:pPr>
        <w:pStyle w:val="13"/>
      </w:pPr>
    </w:p>
    <w:p w14:paraId="422B4FEE">
      <w:pPr>
        <w:pStyle w:val="13"/>
      </w:pPr>
    </w:p>
    <w:p w14:paraId="32C1C9FF">
      <w:pPr>
        <w:pStyle w:val="13"/>
      </w:pPr>
    </w:p>
    <w:p w14:paraId="14AAB92D">
      <w:pPr>
        <w:pStyle w:val="13"/>
      </w:pPr>
    </w:p>
    <w:p w14:paraId="72C870FD">
      <w:pPr>
        <w:pStyle w:val="13"/>
      </w:pPr>
    </w:p>
    <w:p w14:paraId="230F8235">
      <w:pPr>
        <w:pStyle w:val="13"/>
      </w:pPr>
    </w:p>
    <w:p w14:paraId="7493F14F">
      <w:pPr>
        <w:pStyle w:val="13"/>
      </w:pPr>
    </w:p>
    <w:p w14:paraId="016E182D">
      <w:pPr>
        <w:pStyle w:val="13"/>
      </w:pPr>
    </w:p>
    <w:p w14:paraId="194E74F0">
      <w:pPr>
        <w:pStyle w:val="13"/>
      </w:pPr>
    </w:p>
    <w:p w14:paraId="7B58939B">
      <w:pPr>
        <w:pStyle w:val="13"/>
      </w:pPr>
    </w:p>
    <w:p w14:paraId="426ACB40">
      <w:pPr>
        <w:pStyle w:val="13"/>
      </w:pPr>
    </w:p>
    <w:p w14:paraId="39E61289">
      <w:pPr>
        <w:pStyle w:val="13"/>
      </w:pPr>
    </w:p>
    <w:p w14:paraId="65686A2F">
      <w:pPr>
        <w:pStyle w:val="13"/>
      </w:pPr>
    </w:p>
    <w:p w14:paraId="717470D3">
      <w:pPr>
        <w:pStyle w:val="13"/>
      </w:pPr>
    </w:p>
    <w:p w14:paraId="77DE9B56">
      <w:pPr>
        <w:pStyle w:val="13"/>
      </w:pPr>
    </w:p>
    <w:p w14:paraId="7222023A">
      <w:pPr>
        <w:pStyle w:val="13"/>
      </w:pPr>
    </w:p>
    <w:p w14:paraId="6210636C">
      <w:pPr>
        <w:pStyle w:val="13"/>
      </w:pPr>
    </w:p>
    <w:p w14:paraId="69C78074">
      <w:pPr>
        <w:pStyle w:val="13"/>
      </w:pPr>
    </w:p>
    <w:p w14:paraId="5ADED043">
      <w:pPr>
        <w:pStyle w:val="13"/>
      </w:pPr>
    </w:p>
    <w:p w14:paraId="43F302CA">
      <w:pPr>
        <w:pStyle w:val="13"/>
      </w:pPr>
    </w:p>
    <w:p w14:paraId="214EB473">
      <w:pPr>
        <w:pStyle w:val="13"/>
      </w:pPr>
    </w:p>
    <w:p w14:paraId="1D80F348">
      <w:pPr>
        <w:pStyle w:val="13"/>
      </w:pPr>
    </w:p>
    <w:p w14:paraId="7E9B4280">
      <w:pPr>
        <w:pStyle w:val="13"/>
      </w:pPr>
    </w:p>
    <w:p w14:paraId="65E0AD1F">
      <w:pPr>
        <w:pStyle w:val="13"/>
      </w:pPr>
    </w:p>
    <w:p w14:paraId="7319071B">
      <w:pPr>
        <w:pStyle w:val="13"/>
      </w:pPr>
    </w:p>
    <w:p w14:paraId="6E775D0B">
      <w:pPr>
        <w:pStyle w:val="13"/>
      </w:pPr>
    </w:p>
    <w:bookmarkEnd w:id="96"/>
    <w:bookmarkEnd w:id="103"/>
    <w:bookmarkEnd w:id="104"/>
    <w:p w14:paraId="027851D7">
      <w:pPr>
        <w:widowControl/>
        <w:jc w:val="center"/>
        <w:rPr>
          <w:rFonts w:eastAsia="仿宋"/>
        </w:rPr>
      </w:pPr>
      <w:r>
        <w:rPr>
          <w:rFonts w:hint="eastAsia" w:eastAsia="黑体"/>
          <w:sz w:val="44"/>
          <w:szCs w:val="44"/>
        </w:rPr>
        <w:t>第</w:t>
      </w:r>
      <w:r>
        <w:rPr>
          <w:rStyle w:val="35"/>
          <w:rFonts w:hint="eastAsia" w:eastAsia="黑体"/>
          <w:b w:val="0"/>
        </w:rPr>
        <w:t>五部分 附表</w:t>
      </w:r>
      <w:bookmarkStart w:id="105" w:name="_Toc15396619"/>
    </w:p>
    <w:p w14:paraId="41B8C585">
      <w:pPr>
        <w:pStyle w:val="18"/>
        <w:adjustRightInd w:val="0"/>
        <w:snapToGrid w:val="0"/>
        <w:spacing w:line="560" w:lineRule="exact"/>
        <w:jc w:val="left"/>
        <w:rPr>
          <w:rFonts w:eastAsia="仿宋_GB2312" w:cs="仿宋_GB2312"/>
          <w:sz w:val="32"/>
          <w:szCs w:val="32"/>
        </w:rPr>
      </w:pPr>
    </w:p>
    <w:p w14:paraId="1586C2E0">
      <w:pPr>
        <w:pStyle w:val="18"/>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105"/>
    </w:p>
    <w:p w14:paraId="3C02B59A">
      <w:pPr>
        <w:pStyle w:val="18"/>
        <w:adjustRightInd w:val="0"/>
        <w:snapToGrid w:val="0"/>
        <w:spacing w:line="560" w:lineRule="exact"/>
        <w:jc w:val="left"/>
        <w:rPr>
          <w:rFonts w:eastAsia="仿宋_GB2312" w:cs="仿宋_GB2312"/>
          <w:sz w:val="32"/>
          <w:szCs w:val="32"/>
        </w:rPr>
      </w:pPr>
      <w:bookmarkStart w:id="106" w:name="_Toc15396620"/>
      <w:r>
        <w:rPr>
          <w:rFonts w:hint="eastAsia" w:eastAsia="仿宋_GB2312" w:cs="仿宋_GB2312"/>
          <w:sz w:val="32"/>
          <w:szCs w:val="32"/>
        </w:rPr>
        <w:t>二、收入决算表</w:t>
      </w:r>
      <w:bookmarkEnd w:id="106"/>
    </w:p>
    <w:p w14:paraId="2589F6D1">
      <w:pPr>
        <w:pStyle w:val="18"/>
        <w:adjustRightInd w:val="0"/>
        <w:snapToGrid w:val="0"/>
        <w:spacing w:line="560" w:lineRule="exact"/>
        <w:jc w:val="left"/>
        <w:rPr>
          <w:rFonts w:eastAsia="仿宋_GB2312" w:cs="仿宋_GB2312"/>
          <w:sz w:val="32"/>
          <w:szCs w:val="32"/>
        </w:rPr>
      </w:pPr>
      <w:bookmarkStart w:id="107" w:name="_Toc15396621"/>
      <w:r>
        <w:rPr>
          <w:rFonts w:hint="eastAsia" w:eastAsia="仿宋_GB2312" w:cs="仿宋_GB2312"/>
          <w:sz w:val="32"/>
          <w:szCs w:val="32"/>
        </w:rPr>
        <w:t>三、支出决算表</w:t>
      </w:r>
      <w:bookmarkEnd w:id="107"/>
    </w:p>
    <w:p w14:paraId="5FA81C72">
      <w:pPr>
        <w:pStyle w:val="18"/>
        <w:adjustRightInd w:val="0"/>
        <w:snapToGrid w:val="0"/>
        <w:spacing w:line="560" w:lineRule="exact"/>
        <w:jc w:val="left"/>
        <w:rPr>
          <w:rFonts w:eastAsia="仿宋_GB2312" w:cs="仿宋_GB2312"/>
          <w:sz w:val="32"/>
          <w:szCs w:val="32"/>
        </w:rPr>
      </w:pPr>
      <w:bookmarkStart w:id="108" w:name="_Toc15396622"/>
      <w:r>
        <w:rPr>
          <w:rFonts w:hint="eastAsia" w:eastAsia="仿宋_GB2312" w:cs="仿宋_GB2312"/>
          <w:sz w:val="32"/>
          <w:szCs w:val="32"/>
        </w:rPr>
        <w:t>四、财政拨款收入支出决算总表</w:t>
      </w:r>
      <w:bookmarkEnd w:id="108"/>
    </w:p>
    <w:p w14:paraId="0D813CE2">
      <w:pPr>
        <w:pStyle w:val="18"/>
        <w:adjustRightInd w:val="0"/>
        <w:snapToGrid w:val="0"/>
        <w:spacing w:line="560" w:lineRule="exact"/>
        <w:jc w:val="left"/>
        <w:rPr>
          <w:rFonts w:eastAsia="仿宋_GB2312" w:cs="仿宋_GB2312"/>
          <w:sz w:val="32"/>
          <w:szCs w:val="32"/>
        </w:rPr>
      </w:pPr>
      <w:bookmarkStart w:id="109" w:name="_Toc15396623"/>
      <w:r>
        <w:rPr>
          <w:rFonts w:hint="eastAsia" w:eastAsia="仿宋_GB2312" w:cs="仿宋_GB2312"/>
          <w:sz w:val="32"/>
          <w:szCs w:val="32"/>
        </w:rPr>
        <w:t>五、财政拨款支出决算明细表</w:t>
      </w:r>
      <w:bookmarkEnd w:id="109"/>
      <w:bookmarkStart w:id="110" w:name="_Toc15396624"/>
    </w:p>
    <w:p w14:paraId="5CCF8260">
      <w:pPr>
        <w:pStyle w:val="18"/>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110"/>
    </w:p>
    <w:p w14:paraId="585347F4">
      <w:pPr>
        <w:pStyle w:val="18"/>
        <w:adjustRightInd w:val="0"/>
        <w:snapToGrid w:val="0"/>
        <w:spacing w:line="560" w:lineRule="exact"/>
        <w:jc w:val="left"/>
        <w:rPr>
          <w:rFonts w:eastAsia="仿宋_GB2312" w:cs="仿宋_GB2312"/>
          <w:sz w:val="32"/>
          <w:szCs w:val="32"/>
        </w:rPr>
      </w:pPr>
      <w:bookmarkStart w:id="111" w:name="_Toc15396625"/>
      <w:r>
        <w:rPr>
          <w:rFonts w:hint="eastAsia" w:eastAsia="仿宋_GB2312" w:cs="仿宋_GB2312"/>
          <w:sz w:val="32"/>
          <w:szCs w:val="32"/>
        </w:rPr>
        <w:t>七、一般公共预算财政拨款支出决算明细表</w:t>
      </w:r>
      <w:bookmarkEnd w:id="111"/>
    </w:p>
    <w:p w14:paraId="19ADD589">
      <w:pPr>
        <w:pStyle w:val="18"/>
        <w:adjustRightInd w:val="0"/>
        <w:snapToGrid w:val="0"/>
        <w:spacing w:line="560" w:lineRule="exact"/>
        <w:jc w:val="left"/>
        <w:rPr>
          <w:rFonts w:eastAsia="仿宋_GB2312" w:cs="仿宋_GB2312"/>
          <w:sz w:val="32"/>
          <w:szCs w:val="32"/>
        </w:rPr>
      </w:pPr>
      <w:bookmarkStart w:id="112" w:name="_Toc15396626"/>
      <w:r>
        <w:rPr>
          <w:rFonts w:hint="eastAsia" w:eastAsia="仿宋_GB2312" w:cs="仿宋_GB2312"/>
          <w:sz w:val="32"/>
          <w:szCs w:val="32"/>
        </w:rPr>
        <w:t>八、一般公共预算财政拨款基本支出决算表</w:t>
      </w:r>
      <w:bookmarkEnd w:id="112"/>
    </w:p>
    <w:p w14:paraId="5476EAE1">
      <w:pPr>
        <w:pStyle w:val="18"/>
        <w:adjustRightInd w:val="0"/>
        <w:snapToGrid w:val="0"/>
        <w:spacing w:line="560" w:lineRule="exact"/>
        <w:jc w:val="left"/>
        <w:rPr>
          <w:rFonts w:eastAsia="仿宋_GB2312" w:cs="仿宋_GB2312"/>
          <w:sz w:val="32"/>
          <w:szCs w:val="32"/>
        </w:rPr>
      </w:pPr>
      <w:bookmarkStart w:id="113" w:name="_Toc15396627"/>
      <w:r>
        <w:rPr>
          <w:rFonts w:hint="eastAsia" w:eastAsia="仿宋_GB2312" w:cs="仿宋_GB2312"/>
          <w:sz w:val="32"/>
          <w:szCs w:val="32"/>
        </w:rPr>
        <w:t>九、一般公共预算财政拨款项目支出决算表</w:t>
      </w:r>
      <w:bookmarkEnd w:id="113"/>
    </w:p>
    <w:p w14:paraId="7FC26335">
      <w:pPr>
        <w:pStyle w:val="18"/>
        <w:adjustRightInd w:val="0"/>
        <w:snapToGrid w:val="0"/>
        <w:spacing w:line="560" w:lineRule="exact"/>
        <w:jc w:val="left"/>
        <w:rPr>
          <w:rFonts w:eastAsia="仿宋_GB2312" w:cs="仿宋_GB2312"/>
          <w:sz w:val="32"/>
          <w:szCs w:val="32"/>
        </w:rPr>
      </w:pPr>
      <w:bookmarkStart w:id="114" w:name="_Toc15396628"/>
      <w:r>
        <w:rPr>
          <w:rFonts w:hint="eastAsia" w:eastAsia="仿宋_GB2312" w:cs="仿宋_GB2312"/>
          <w:sz w:val="32"/>
          <w:szCs w:val="32"/>
        </w:rPr>
        <w:t>十、</w:t>
      </w:r>
      <w:bookmarkEnd w:id="114"/>
      <w:r>
        <w:rPr>
          <w:rFonts w:hint="eastAsia" w:eastAsia="仿宋_GB2312" w:cs="仿宋_GB2312"/>
          <w:sz w:val="32"/>
          <w:szCs w:val="32"/>
        </w:rPr>
        <w:t>政府性基金预算财政拨款收入支出决算表</w:t>
      </w:r>
    </w:p>
    <w:p w14:paraId="55D7982B">
      <w:pPr>
        <w:pStyle w:val="18"/>
        <w:adjustRightInd w:val="0"/>
        <w:snapToGrid w:val="0"/>
        <w:spacing w:line="560" w:lineRule="exact"/>
        <w:jc w:val="left"/>
        <w:rPr>
          <w:rFonts w:eastAsia="仿宋_GB2312" w:cs="仿宋_GB2312"/>
          <w:sz w:val="32"/>
          <w:szCs w:val="32"/>
        </w:rPr>
      </w:pPr>
      <w:bookmarkStart w:id="115" w:name="_Toc15396629"/>
      <w:r>
        <w:rPr>
          <w:rFonts w:hint="eastAsia" w:eastAsia="仿宋_GB2312" w:cs="仿宋_GB2312"/>
          <w:sz w:val="32"/>
          <w:szCs w:val="32"/>
        </w:rPr>
        <w:t>十一、</w:t>
      </w:r>
      <w:bookmarkEnd w:id="115"/>
      <w:r>
        <w:rPr>
          <w:rFonts w:hint="eastAsia" w:eastAsia="仿宋_GB2312" w:cs="仿宋_GB2312"/>
          <w:sz w:val="32"/>
          <w:szCs w:val="32"/>
        </w:rPr>
        <w:t>国有资本经营预算财政拨款收入支出决算表</w:t>
      </w:r>
    </w:p>
    <w:p w14:paraId="1F026C1E">
      <w:pPr>
        <w:pStyle w:val="18"/>
        <w:adjustRightInd w:val="0"/>
        <w:snapToGrid w:val="0"/>
        <w:spacing w:line="560" w:lineRule="exact"/>
        <w:jc w:val="left"/>
        <w:rPr>
          <w:rFonts w:eastAsia="仿宋_GB2312" w:cs="仿宋_GB2312"/>
          <w:sz w:val="32"/>
          <w:szCs w:val="32"/>
        </w:rPr>
      </w:pPr>
      <w:bookmarkStart w:id="116" w:name="_Toc15396630"/>
      <w:r>
        <w:rPr>
          <w:rFonts w:hint="eastAsia" w:eastAsia="仿宋_GB2312" w:cs="仿宋_GB2312"/>
          <w:sz w:val="32"/>
          <w:szCs w:val="32"/>
        </w:rPr>
        <w:t>十二、</w:t>
      </w:r>
      <w:bookmarkEnd w:id="116"/>
      <w:r>
        <w:rPr>
          <w:rFonts w:hint="eastAsia" w:eastAsia="仿宋_GB2312" w:cs="仿宋_GB2312"/>
          <w:sz w:val="32"/>
          <w:szCs w:val="32"/>
        </w:rPr>
        <w:t>国有资本经营预算财政拨款支出决算表</w:t>
      </w:r>
    </w:p>
    <w:p w14:paraId="3DC94573">
      <w:pPr>
        <w:pStyle w:val="18"/>
        <w:adjustRightInd w:val="0"/>
        <w:snapToGrid w:val="0"/>
        <w:spacing w:line="560" w:lineRule="exact"/>
        <w:jc w:val="left"/>
        <w:rPr>
          <w:rFonts w:ascii="仿宋_GB2312" w:hAnsi="仿宋_GB2312" w:eastAsia="仿宋_GB2312" w:cs="仿宋_GB2312"/>
          <w:sz w:val="28"/>
          <w:szCs w:val="28"/>
        </w:rPr>
      </w:pPr>
      <w:bookmarkStart w:id="117" w:name="_Toc15396631"/>
      <w:r>
        <w:rPr>
          <w:rFonts w:hint="eastAsia" w:eastAsia="仿宋_GB2312" w:cs="仿宋_GB2312"/>
          <w:sz w:val="32"/>
          <w:szCs w:val="32"/>
        </w:rPr>
        <w:t>十三、</w:t>
      </w:r>
      <w:bookmarkEnd w:id="117"/>
      <w:r>
        <w:rPr>
          <w:rFonts w:hint="eastAsia" w:eastAsia="仿宋_GB2312" w:cs="仿宋_GB2312"/>
          <w:sz w:val="32"/>
          <w:szCs w:val="32"/>
        </w:rPr>
        <w:t>财政拨款“三公”经费支出决算表</w:t>
      </w:r>
    </w:p>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FangSong_GB2312">
    <w:panose1 w:val="02010609030101010101"/>
    <w:charset w:val="86"/>
    <w:family w:val="roma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8EA5">
    <w:pPr>
      <w:pStyle w:val="13"/>
      <w:jc w:val="center"/>
    </w:pPr>
  </w:p>
  <w:p w14:paraId="63431C0C">
    <w:pPr>
      <w:pStyle w:val="13"/>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BEA39">
    <w:pPr>
      <w:pStyle w:val="13"/>
      <w:jc w:val="center"/>
    </w:pPr>
    <w: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s0lY7tAAAAAFAQAADwAAAAAAAAABACAAAAA4AAAAZHJzL2Rvd25yZXYueG1sUEsB&#10;AhQAFAAAAAgAh07iQP9QsZbnAQAAyAMAAA4AAAAAAAAAAQAgAAAANQEAAGRycy9lMm9Eb2MueG1s&#10;UEsFBgAAAAAGAAYAWQEAAI4FAAAAAA==&#10;">
          <v:path/>
          <v:fill on="f" focussize="0,0"/>
          <v:stroke on="f" weight="0.5pt" joinstyle="miter"/>
          <v:imagedata o:title=""/>
          <o:lock v:ext="edit"/>
          <v:textbox inset="0mm,0mm,0mm,0mm" style="mso-fit-shape-to-text:t;">
            <w:txbxContent>
              <w:p w14:paraId="2176F5B9">
                <w:pPr>
                  <w:pStyle w:val="13"/>
                </w:pPr>
                <w:r>
                  <w:fldChar w:fldCharType="begin"/>
                </w:r>
                <w:r>
                  <w:instrText xml:space="preserve"> PAGE  \* MERGEFORMAT </w:instrText>
                </w:r>
                <w:r>
                  <w:fldChar w:fldCharType="separate"/>
                </w:r>
                <w:r>
                  <w:t>17</w:t>
                </w:r>
                <w:r>
                  <w:fldChar w:fldCharType="end"/>
                </w:r>
              </w:p>
            </w:txbxContent>
          </v:textbox>
        </v:shape>
      </w:pict>
    </w:r>
  </w:p>
  <w:p w14:paraId="2B33961E">
    <w:pPr>
      <w:pStyle w:val="13"/>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E59CA">
    <w:pPr>
      <w:pStyle w:val="13"/>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LNJWO7QAAAABQEAAA8AAAAAAAAAAQAgAAAAOAAAAGRycy9kb3ducmV2LnhtbFBL&#10;AQIUABQAAAAIAIdO4kD1EszV6AEAAMgDAAAOAAAAAAAAAAEAIAAAADUBAABkcnMvZTJvRG9jLnht&#10;bFBLBQYAAAAABgAGAFkBAACPBQAAAAA=&#10;">
          <v:path/>
          <v:fill on="f" focussize="0,0"/>
          <v:stroke on="f" weight="0.5pt" joinstyle="miter"/>
          <v:imagedata o:title=""/>
          <o:lock v:ext="edit"/>
          <v:textbox inset="0mm,0mm,0mm,0mm" style="mso-fit-shape-to-text:t;">
            <w:txbxContent>
              <w:p w14:paraId="1BEF5D15">
                <w:pPr>
                  <w:pStyle w:val="13"/>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30CEE">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93590"/>
    <w:multiLevelType w:val="singleLevel"/>
    <w:tmpl w:val="BC793590"/>
    <w:lvl w:ilvl="0" w:tentative="0">
      <w:start w:val="9"/>
      <w:numFmt w:val="chineseCounting"/>
      <w:suff w:val="nothing"/>
      <w:lvlText w:val="%1、"/>
      <w:lvlJc w:val="left"/>
      <w:rPr>
        <w:rFonts w:hint="eastAsia"/>
      </w:rPr>
    </w:lvl>
  </w:abstractNum>
  <w:abstractNum w:abstractNumId="1">
    <w:nsid w:val="C2225FF5"/>
    <w:multiLevelType w:val="singleLevel"/>
    <w:tmpl w:val="C2225FF5"/>
    <w:lvl w:ilvl="0" w:tentative="0">
      <w:start w:val="3"/>
      <w:numFmt w:val="chineseCounting"/>
      <w:suff w:val="nothing"/>
      <w:lvlText w:val="（%1）"/>
      <w:lvlJc w:val="left"/>
      <w:rPr>
        <w:rFonts w:hint="eastAsia"/>
      </w:rPr>
    </w:lvl>
  </w:abstractNum>
  <w:abstractNum w:abstractNumId="2">
    <w:nsid w:val="00000001"/>
    <w:multiLevelType w:val="multilevel"/>
    <w:tmpl w:val="0000000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06CCE1D5"/>
    <w:multiLevelType w:val="singleLevel"/>
    <w:tmpl w:val="06CCE1D5"/>
    <w:lvl w:ilvl="0" w:tentative="0">
      <w:start w:val="4"/>
      <w:numFmt w:val="chineseCounting"/>
      <w:suff w:val="nothing"/>
      <w:lvlText w:val="%1、"/>
      <w:lvlJc w:val="left"/>
      <w:rPr>
        <w:rFonts w:hint="eastAsia"/>
      </w:rPr>
    </w:lvl>
  </w:abstractNum>
  <w:abstractNum w:abstractNumId="4">
    <w:nsid w:val="43BF398C"/>
    <w:multiLevelType w:val="singleLevel"/>
    <w:tmpl w:val="43BF398C"/>
    <w:lvl w:ilvl="0" w:tentative="0">
      <w:start w:val="1"/>
      <w:numFmt w:val="chineseCounting"/>
      <w:suff w:val="nothing"/>
      <w:lvlText w:val="（%1）"/>
      <w:lvlJc w:val="left"/>
      <w:pPr>
        <w:ind w:left="197"/>
      </w:pPr>
      <w:rPr>
        <w:rFonts w:hint="eastAsia"/>
      </w:rPr>
    </w:lvl>
  </w:abstractNum>
  <w:abstractNum w:abstractNumId="5">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QzZjk4ZmI4YzUyY2NiZTM5YjJkNjVmMjg0M2I1OD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65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556C1"/>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96830"/>
    <w:rsid w:val="006A3141"/>
    <w:rsid w:val="006A5E34"/>
    <w:rsid w:val="006B2422"/>
    <w:rsid w:val="006B2B9A"/>
    <w:rsid w:val="006B4A29"/>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E657D"/>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0656"/>
    <w:rsid w:val="009F1185"/>
    <w:rsid w:val="009F18CD"/>
    <w:rsid w:val="009F2A13"/>
    <w:rsid w:val="009F2D9C"/>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6406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4374"/>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15DC"/>
    <w:rsid w:val="00D7035F"/>
    <w:rsid w:val="00DA634F"/>
    <w:rsid w:val="00DA65AC"/>
    <w:rsid w:val="00DB1913"/>
    <w:rsid w:val="00DC410D"/>
    <w:rsid w:val="00DC5A81"/>
    <w:rsid w:val="00DC68CA"/>
    <w:rsid w:val="00DC7CBA"/>
    <w:rsid w:val="00DD73B7"/>
    <w:rsid w:val="00DF28BC"/>
    <w:rsid w:val="00DF34B9"/>
    <w:rsid w:val="00E01053"/>
    <w:rsid w:val="00E02705"/>
    <w:rsid w:val="00E07ACF"/>
    <w:rsid w:val="00E331A1"/>
    <w:rsid w:val="00E33202"/>
    <w:rsid w:val="00E336A9"/>
    <w:rsid w:val="00E472B1"/>
    <w:rsid w:val="00E50624"/>
    <w:rsid w:val="00E568DF"/>
    <w:rsid w:val="00E64269"/>
    <w:rsid w:val="00E82267"/>
    <w:rsid w:val="00E853CE"/>
    <w:rsid w:val="00E867B6"/>
    <w:rsid w:val="00EA010F"/>
    <w:rsid w:val="00EA6830"/>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0385F"/>
    <w:rsid w:val="01B06153"/>
    <w:rsid w:val="01F053F2"/>
    <w:rsid w:val="02FC787B"/>
    <w:rsid w:val="034874ED"/>
    <w:rsid w:val="03634CCC"/>
    <w:rsid w:val="03824AAC"/>
    <w:rsid w:val="039C7B37"/>
    <w:rsid w:val="03B10C72"/>
    <w:rsid w:val="04055CC3"/>
    <w:rsid w:val="04D058DF"/>
    <w:rsid w:val="04E232D6"/>
    <w:rsid w:val="05BE5915"/>
    <w:rsid w:val="05EF743A"/>
    <w:rsid w:val="063C6EBF"/>
    <w:rsid w:val="06641818"/>
    <w:rsid w:val="066E0107"/>
    <w:rsid w:val="06741A3B"/>
    <w:rsid w:val="06F06C3D"/>
    <w:rsid w:val="07996F6E"/>
    <w:rsid w:val="07B054DE"/>
    <w:rsid w:val="07D66E6C"/>
    <w:rsid w:val="089A2392"/>
    <w:rsid w:val="08C73957"/>
    <w:rsid w:val="09332F3E"/>
    <w:rsid w:val="09730737"/>
    <w:rsid w:val="09D863A9"/>
    <w:rsid w:val="09F50332"/>
    <w:rsid w:val="0A2032A3"/>
    <w:rsid w:val="0A5B169C"/>
    <w:rsid w:val="0A795B1C"/>
    <w:rsid w:val="0AF76F83"/>
    <w:rsid w:val="0B967806"/>
    <w:rsid w:val="0C103F7E"/>
    <w:rsid w:val="0C773AF4"/>
    <w:rsid w:val="0D693D5F"/>
    <w:rsid w:val="0DEC5472"/>
    <w:rsid w:val="0EDF6BD2"/>
    <w:rsid w:val="0F043B1B"/>
    <w:rsid w:val="0F9E443C"/>
    <w:rsid w:val="0FFA64A5"/>
    <w:rsid w:val="101860EC"/>
    <w:rsid w:val="1097457C"/>
    <w:rsid w:val="10A027B1"/>
    <w:rsid w:val="10B47AA1"/>
    <w:rsid w:val="10C055FF"/>
    <w:rsid w:val="11310D46"/>
    <w:rsid w:val="118107EC"/>
    <w:rsid w:val="12C11B6B"/>
    <w:rsid w:val="13D50BC4"/>
    <w:rsid w:val="14241EA5"/>
    <w:rsid w:val="14914BD1"/>
    <w:rsid w:val="15613335"/>
    <w:rsid w:val="156F223A"/>
    <w:rsid w:val="15B63C88"/>
    <w:rsid w:val="169D6E5A"/>
    <w:rsid w:val="16BB723D"/>
    <w:rsid w:val="176A1687"/>
    <w:rsid w:val="185E0C40"/>
    <w:rsid w:val="187C6339"/>
    <w:rsid w:val="18BB26C5"/>
    <w:rsid w:val="18DA628E"/>
    <w:rsid w:val="19545C17"/>
    <w:rsid w:val="196F6360"/>
    <w:rsid w:val="19D74AF7"/>
    <w:rsid w:val="1A327F2F"/>
    <w:rsid w:val="1AAD72B8"/>
    <w:rsid w:val="1B0B43E7"/>
    <w:rsid w:val="1BB22C8F"/>
    <w:rsid w:val="1BB975B4"/>
    <w:rsid w:val="1BDC4D60"/>
    <w:rsid w:val="1BE8440E"/>
    <w:rsid w:val="1C340365"/>
    <w:rsid w:val="1C8274C1"/>
    <w:rsid w:val="1D115416"/>
    <w:rsid w:val="1D1303D5"/>
    <w:rsid w:val="1D155CEE"/>
    <w:rsid w:val="1DB15DC6"/>
    <w:rsid w:val="1DE1684E"/>
    <w:rsid w:val="1EBB6803"/>
    <w:rsid w:val="1F040917"/>
    <w:rsid w:val="201B50E5"/>
    <w:rsid w:val="20474504"/>
    <w:rsid w:val="21624E14"/>
    <w:rsid w:val="21641F16"/>
    <w:rsid w:val="219B4DC6"/>
    <w:rsid w:val="22214AA1"/>
    <w:rsid w:val="223B4CCB"/>
    <w:rsid w:val="225304CB"/>
    <w:rsid w:val="226E1CCF"/>
    <w:rsid w:val="22891F67"/>
    <w:rsid w:val="23860B96"/>
    <w:rsid w:val="23B8030D"/>
    <w:rsid w:val="23F20E07"/>
    <w:rsid w:val="240371BF"/>
    <w:rsid w:val="240F186A"/>
    <w:rsid w:val="24140326"/>
    <w:rsid w:val="242668C4"/>
    <w:rsid w:val="24B44B8B"/>
    <w:rsid w:val="25AD37B3"/>
    <w:rsid w:val="25D00ACA"/>
    <w:rsid w:val="26260ED6"/>
    <w:rsid w:val="26811DAB"/>
    <w:rsid w:val="268458FA"/>
    <w:rsid w:val="269B7052"/>
    <w:rsid w:val="26D84233"/>
    <w:rsid w:val="288B1760"/>
    <w:rsid w:val="293D6764"/>
    <w:rsid w:val="29F86FC6"/>
    <w:rsid w:val="29FA4AAF"/>
    <w:rsid w:val="29FD04D3"/>
    <w:rsid w:val="29FFED3F"/>
    <w:rsid w:val="2AD86C17"/>
    <w:rsid w:val="2C3C655B"/>
    <w:rsid w:val="2C6809EB"/>
    <w:rsid w:val="2C710A2E"/>
    <w:rsid w:val="2C8A61B5"/>
    <w:rsid w:val="2D6D5613"/>
    <w:rsid w:val="2DE2169B"/>
    <w:rsid w:val="2DF04E50"/>
    <w:rsid w:val="2E3A762C"/>
    <w:rsid w:val="2ED5043C"/>
    <w:rsid w:val="2F680F48"/>
    <w:rsid w:val="304D1074"/>
    <w:rsid w:val="305E5F3E"/>
    <w:rsid w:val="30A82DEE"/>
    <w:rsid w:val="30BF3A5B"/>
    <w:rsid w:val="319975AA"/>
    <w:rsid w:val="319F7F4E"/>
    <w:rsid w:val="31E16CCD"/>
    <w:rsid w:val="33035811"/>
    <w:rsid w:val="33910185"/>
    <w:rsid w:val="339A09C0"/>
    <w:rsid w:val="33C81479"/>
    <w:rsid w:val="33DE4053"/>
    <w:rsid w:val="343B1CF3"/>
    <w:rsid w:val="343E79CD"/>
    <w:rsid w:val="35A41B73"/>
    <w:rsid w:val="36AA5135"/>
    <w:rsid w:val="37CD55BF"/>
    <w:rsid w:val="37E16F03"/>
    <w:rsid w:val="382948AD"/>
    <w:rsid w:val="38C829C8"/>
    <w:rsid w:val="392E4D43"/>
    <w:rsid w:val="39722A58"/>
    <w:rsid w:val="39934A04"/>
    <w:rsid w:val="39C27EC2"/>
    <w:rsid w:val="3AAA77CF"/>
    <w:rsid w:val="3ADB5F75"/>
    <w:rsid w:val="3B84320A"/>
    <w:rsid w:val="3C125873"/>
    <w:rsid w:val="3C5C6E8F"/>
    <w:rsid w:val="3CB054DF"/>
    <w:rsid w:val="3D98207C"/>
    <w:rsid w:val="3E93DF02"/>
    <w:rsid w:val="3EE743D3"/>
    <w:rsid w:val="3F3F046E"/>
    <w:rsid w:val="3F513BC4"/>
    <w:rsid w:val="3F653868"/>
    <w:rsid w:val="3FBE9D3B"/>
    <w:rsid w:val="3FD92497"/>
    <w:rsid w:val="3FE03E8E"/>
    <w:rsid w:val="3FFF1AFD"/>
    <w:rsid w:val="40166739"/>
    <w:rsid w:val="408F0158"/>
    <w:rsid w:val="412F79DD"/>
    <w:rsid w:val="41FD181B"/>
    <w:rsid w:val="429B2AB4"/>
    <w:rsid w:val="42BF1480"/>
    <w:rsid w:val="43DF2FC3"/>
    <w:rsid w:val="43F9150C"/>
    <w:rsid w:val="44E268DA"/>
    <w:rsid w:val="458F43B4"/>
    <w:rsid w:val="4610791B"/>
    <w:rsid w:val="469D2D49"/>
    <w:rsid w:val="46DA599D"/>
    <w:rsid w:val="475573AE"/>
    <w:rsid w:val="4770576A"/>
    <w:rsid w:val="479DC072"/>
    <w:rsid w:val="47E04A0B"/>
    <w:rsid w:val="47FF3CEC"/>
    <w:rsid w:val="493F2D1B"/>
    <w:rsid w:val="497A40B6"/>
    <w:rsid w:val="49853D65"/>
    <w:rsid w:val="4A1B1C83"/>
    <w:rsid w:val="4A627F82"/>
    <w:rsid w:val="4B253FAC"/>
    <w:rsid w:val="4B4F25DA"/>
    <w:rsid w:val="4BE068DB"/>
    <w:rsid w:val="4C0864A5"/>
    <w:rsid w:val="4C9F714A"/>
    <w:rsid w:val="4D3872A1"/>
    <w:rsid w:val="4D577224"/>
    <w:rsid w:val="4D6D1203"/>
    <w:rsid w:val="4DD70EF8"/>
    <w:rsid w:val="4E222C70"/>
    <w:rsid w:val="4E71630A"/>
    <w:rsid w:val="4EA13B62"/>
    <w:rsid w:val="4EAB630A"/>
    <w:rsid w:val="4ECE2238"/>
    <w:rsid w:val="4F773B2C"/>
    <w:rsid w:val="4F833828"/>
    <w:rsid w:val="512916D5"/>
    <w:rsid w:val="51351ABF"/>
    <w:rsid w:val="52082CC6"/>
    <w:rsid w:val="528A3D2B"/>
    <w:rsid w:val="54262DD4"/>
    <w:rsid w:val="54653D58"/>
    <w:rsid w:val="546E5617"/>
    <w:rsid w:val="548966EF"/>
    <w:rsid w:val="55087906"/>
    <w:rsid w:val="55A84859"/>
    <w:rsid w:val="566C0BDB"/>
    <w:rsid w:val="56896D8A"/>
    <w:rsid w:val="56C13962"/>
    <w:rsid w:val="571250FB"/>
    <w:rsid w:val="573F72B3"/>
    <w:rsid w:val="57BA6514"/>
    <w:rsid w:val="57CA5E9C"/>
    <w:rsid w:val="586B719A"/>
    <w:rsid w:val="58EE1AA5"/>
    <w:rsid w:val="58F31B0A"/>
    <w:rsid w:val="5AB44DEF"/>
    <w:rsid w:val="5AF92295"/>
    <w:rsid w:val="5BBC0BB6"/>
    <w:rsid w:val="5C323AC3"/>
    <w:rsid w:val="5C5D193E"/>
    <w:rsid w:val="5CC44BE0"/>
    <w:rsid w:val="5CD71FC4"/>
    <w:rsid w:val="5CDF7C98"/>
    <w:rsid w:val="5DCAB6B6"/>
    <w:rsid w:val="5DFE2D48"/>
    <w:rsid w:val="5E9A3CC2"/>
    <w:rsid w:val="5FFC1AB2"/>
    <w:rsid w:val="609B58F4"/>
    <w:rsid w:val="60A234AA"/>
    <w:rsid w:val="60E51614"/>
    <w:rsid w:val="60EA1721"/>
    <w:rsid w:val="619026CC"/>
    <w:rsid w:val="62D60DAA"/>
    <w:rsid w:val="630C2BBF"/>
    <w:rsid w:val="644B7717"/>
    <w:rsid w:val="655C4D44"/>
    <w:rsid w:val="656B3962"/>
    <w:rsid w:val="65E40B8A"/>
    <w:rsid w:val="665074F0"/>
    <w:rsid w:val="66586EB3"/>
    <w:rsid w:val="66596817"/>
    <w:rsid w:val="66B8432E"/>
    <w:rsid w:val="66BD4BE1"/>
    <w:rsid w:val="67B701D9"/>
    <w:rsid w:val="685711FB"/>
    <w:rsid w:val="685C4343"/>
    <w:rsid w:val="687661D0"/>
    <w:rsid w:val="689D0ABA"/>
    <w:rsid w:val="68AD44BB"/>
    <w:rsid w:val="69370D14"/>
    <w:rsid w:val="69410028"/>
    <w:rsid w:val="6A010C46"/>
    <w:rsid w:val="6B14410F"/>
    <w:rsid w:val="6BA9517E"/>
    <w:rsid w:val="6BDF7C36"/>
    <w:rsid w:val="6C177508"/>
    <w:rsid w:val="6C382682"/>
    <w:rsid w:val="6C41402B"/>
    <w:rsid w:val="6C4A05C8"/>
    <w:rsid w:val="6C5B47D0"/>
    <w:rsid w:val="6C63766C"/>
    <w:rsid w:val="6C8D4D71"/>
    <w:rsid w:val="6D1B9939"/>
    <w:rsid w:val="6D8C23E9"/>
    <w:rsid w:val="6E044540"/>
    <w:rsid w:val="6E2D74A0"/>
    <w:rsid w:val="6E3C1CD6"/>
    <w:rsid w:val="6E7E3605"/>
    <w:rsid w:val="6F6F86DD"/>
    <w:rsid w:val="6FD75D88"/>
    <w:rsid w:val="6FF5CC65"/>
    <w:rsid w:val="70AF2306"/>
    <w:rsid w:val="70D420AB"/>
    <w:rsid w:val="70F4A3B3"/>
    <w:rsid w:val="715A6588"/>
    <w:rsid w:val="715C0E4B"/>
    <w:rsid w:val="717572E9"/>
    <w:rsid w:val="71FF0BED"/>
    <w:rsid w:val="72153C4D"/>
    <w:rsid w:val="72375CBD"/>
    <w:rsid w:val="72635FBB"/>
    <w:rsid w:val="726447C6"/>
    <w:rsid w:val="72734D90"/>
    <w:rsid w:val="72B06F65"/>
    <w:rsid w:val="72EA3321"/>
    <w:rsid w:val="73AD73D5"/>
    <w:rsid w:val="73B46663"/>
    <w:rsid w:val="73B6EB34"/>
    <w:rsid w:val="740B5187"/>
    <w:rsid w:val="74FF0723"/>
    <w:rsid w:val="755E51CC"/>
    <w:rsid w:val="75EABAB7"/>
    <w:rsid w:val="766C4E4A"/>
    <w:rsid w:val="769C1ADE"/>
    <w:rsid w:val="769E6CC2"/>
    <w:rsid w:val="77EF8DF3"/>
    <w:rsid w:val="77F6BEFF"/>
    <w:rsid w:val="780879A1"/>
    <w:rsid w:val="795C61F7"/>
    <w:rsid w:val="79C54E72"/>
    <w:rsid w:val="79E644B4"/>
    <w:rsid w:val="79EE5BA4"/>
    <w:rsid w:val="7A894339"/>
    <w:rsid w:val="7A964260"/>
    <w:rsid w:val="7B183C00"/>
    <w:rsid w:val="7B790349"/>
    <w:rsid w:val="7BC64388"/>
    <w:rsid w:val="7BF5C042"/>
    <w:rsid w:val="7C28097F"/>
    <w:rsid w:val="7CEF4837"/>
    <w:rsid w:val="7D824146"/>
    <w:rsid w:val="7DE83EC2"/>
    <w:rsid w:val="7E272D5D"/>
    <w:rsid w:val="7EEF11D3"/>
    <w:rsid w:val="7EFD3365"/>
    <w:rsid w:val="7F150482"/>
    <w:rsid w:val="7FA30C79"/>
    <w:rsid w:val="7FBF0C36"/>
    <w:rsid w:val="7FC96657"/>
    <w:rsid w:val="7FDE3C0B"/>
    <w:rsid w:val="AC754444"/>
    <w:rsid w:val="ADF3E2B3"/>
    <w:rsid w:val="AF276FBB"/>
    <w:rsid w:val="BE9F45B5"/>
    <w:rsid w:val="BFEC8D3B"/>
    <w:rsid w:val="CBF2673B"/>
    <w:rsid w:val="CCEEB78C"/>
    <w:rsid w:val="D35BF2F2"/>
    <w:rsid w:val="D3E8F96F"/>
    <w:rsid w:val="D5FEB185"/>
    <w:rsid w:val="D63F950C"/>
    <w:rsid w:val="D8D6DB89"/>
    <w:rsid w:val="DB345AB4"/>
    <w:rsid w:val="DB6F4CAB"/>
    <w:rsid w:val="DEAF0DD0"/>
    <w:rsid w:val="DF6F9789"/>
    <w:rsid w:val="DFDA6654"/>
    <w:rsid w:val="E9DF2889"/>
    <w:rsid w:val="F373C5B0"/>
    <w:rsid w:val="F3F75C44"/>
    <w:rsid w:val="F5B61D0D"/>
    <w:rsid w:val="F5FD627A"/>
    <w:rsid w:val="F6F3F5E8"/>
    <w:rsid w:val="F77FE05C"/>
    <w:rsid w:val="F7FB96AF"/>
    <w:rsid w:val="FB75BD2F"/>
    <w:rsid w:val="FBB62480"/>
    <w:rsid w:val="FDBFFDB2"/>
    <w:rsid w:val="FE4FD15E"/>
    <w:rsid w:val="FEBB7370"/>
    <w:rsid w:val="FFB76C5E"/>
    <w:rsid w:val="FFC7495E"/>
    <w:rsid w:val="FFD33BA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9"/>
    <w:unhideWhenUsed/>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99"/>
    <w:pPr>
      <w:ind w:firstLine="680"/>
    </w:pPr>
  </w:style>
  <w:style w:type="paragraph" w:styleId="6">
    <w:name w:val="index 5"/>
    <w:basedOn w:val="1"/>
    <w:next w:val="1"/>
    <w:qFormat/>
    <w:uiPriority w:val="0"/>
    <w:pPr>
      <w:ind w:left="1680"/>
    </w:pPr>
  </w:style>
  <w:style w:type="paragraph" w:styleId="7">
    <w:name w:val="Salutation"/>
    <w:basedOn w:val="1"/>
    <w:next w:val="1"/>
    <w:unhideWhenUsed/>
    <w:qFormat/>
    <w:uiPriority w:val="99"/>
  </w:style>
  <w:style w:type="paragraph" w:styleId="8">
    <w:name w:val="Body Text"/>
    <w:basedOn w:val="1"/>
    <w:link w:val="33"/>
    <w:qFormat/>
    <w:uiPriority w:val="99"/>
    <w:pPr>
      <w:spacing w:beforeLines="30"/>
    </w:pPr>
    <w:rPr>
      <w:rFonts w:ascii="FangSong_GB2312" w:eastAsia="FangSong_GB2312"/>
      <w:kern w:val="0"/>
      <w:sz w:val="30"/>
    </w:rPr>
  </w:style>
  <w:style w:type="paragraph" w:styleId="9">
    <w:name w:val="Body Text Indent"/>
    <w:basedOn w:val="1"/>
    <w:next w:val="10"/>
    <w:unhideWhenUsed/>
    <w:qFormat/>
    <w:uiPriority w:val="99"/>
    <w:pPr>
      <w:spacing w:after="120"/>
      <w:ind w:left="420" w:leftChars="200"/>
    </w:pPr>
  </w:style>
  <w:style w:type="paragraph" w:styleId="10">
    <w:name w:val="Body Text First Indent 2"/>
    <w:basedOn w:val="9"/>
    <w:next w:val="1"/>
    <w:unhideWhenUsed/>
    <w:qFormat/>
    <w:uiPriority w:val="0"/>
    <w:pPr>
      <w:spacing w:after="0"/>
      <w:ind w:left="0" w:leftChars="0" w:firstLine="200" w:firstLineChars="200"/>
    </w:pPr>
    <w:rPr>
      <w:bCs/>
      <w:kern w:val="0"/>
      <w:szCs w:val="32"/>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8"/>
    <w:semiHidden/>
    <w:unhideWhenUsed/>
    <w:qFormat/>
    <w:uiPriority w:val="99"/>
    <w:rPr>
      <w:sz w:val="18"/>
      <w:szCs w:val="18"/>
    </w:rPr>
  </w:style>
  <w:style w:type="paragraph" w:styleId="13">
    <w:name w:val="footer"/>
    <w:basedOn w:val="1"/>
    <w:link w:val="31"/>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0"/>
    <w:semiHidden/>
    <w:qFormat/>
    <w:uiPriority w:val="0"/>
    <w:pPr>
      <w:snapToGrid w:val="0"/>
      <w:jc w:val="left"/>
    </w:pPr>
    <w:rPr>
      <w:sz w:val="18"/>
      <w:szCs w:val="18"/>
    </w:rPr>
  </w:style>
  <w:style w:type="paragraph" w:styleId="17">
    <w:name w:val="table of figures"/>
    <w:basedOn w:val="1"/>
    <w:next w:val="1"/>
    <w:qFormat/>
    <w:uiPriority w:val="0"/>
    <w:pPr>
      <w:ind w:left="400" w:leftChars="200" w:hanging="200" w:hangingChars="200"/>
    </w:pPr>
    <w:rPr>
      <w:rFonts w:ascii="Calibri" w:hAnsi="Calibri"/>
    </w:rPr>
  </w:style>
  <w:style w:type="paragraph" w:styleId="18">
    <w:name w:val="toc 2"/>
    <w:basedOn w:val="1"/>
    <w:next w:val="1"/>
    <w:unhideWhenUsed/>
    <w:qFormat/>
    <w:uiPriority w:val="39"/>
    <w:pPr>
      <w:tabs>
        <w:tab w:val="right" w:leader="dot" w:pos="8296"/>
      </w:tabs>
      <w:ind w:left="420" w:leftChars="200"/>
    </w:pPr>
  </w:style>
  <w:style w:type="paragraph" w:styleId="19">
    <w:name w:val="Normal (Web)"/>
    <w:basedOn w:val="1"/>
    <w:qFormat/>
    <w:uiPriority w:val="0"/>
    <w:pPr>
      <w:spacing w:before="100" w:beforeAutospacing="1" w:after="100" w:afterAutospacing="1"/>
      <w:jc w:val="left"/>
    </w:pPr>
    <w:rPr>
      <w:kern w:val="0"/>
      <w:sz w:val="24"/>
    </w:rPr>
  </w:style>
  <w:style w:type="character" w:styleId="22">
    <w:name w:val="Strong"/>
    <w:basedOn w:val="21"/>
    <w:qFormat/>
    <w:uiPriority w:val="99"/>
    <w:rPr>
      <w:b/>
    </w:rPr>
  </w:style>
  <w:style w:type="character" w:styleId="23">
    <w:name w:val="page number"/>
    <w:basedOn w:val="21"/>
    <w:qFormat/>
    <w:uiPriority w:val="0"/>
  </w:style>
  <w:style w:type="character" w:styleId="24">
    <w:name w:val="Hyperlink"/>
    <w:basedOn w:val="21"/>
    <w:unhideWhenUsed/>
    <w:qFormat/>
    <w:uiPriority w:val="99"/>
    <w:rPr>
      <w:color w:val="0000FF" w:themeColor="hyperlink"/>
      <w:u w:val="single"/>
    </w:rPr>
  </w:style>
  <w:style w:type="paragraph" w:customStyle="1" w:styleId="25">
    <w:name w:val="正文2"/>
    <w:basedOn w:val="1"/>
    <w:next w:val="1"/>
    <w:qFormat/>
    <w:uiPriority w:val="0"/>
    <w:pPr>
      <w:spacing w:line="576" w:lineRule="exact"/>
      <w:ind w:firstLine="200" w:firstLineChars="200"/>
    </w:pPr>
    <w:rPr>
      <w:rFonts w:cs="宋体"/>
      <w:szCs w:val="32"/>
    </w:rPr>
  </w:style>
  <w:style w:type="paragraph" w:customStyle="1" w:styleId="26">
    <w:name w:val="标题 5（有编号）（绿盟科技）"/>
    <w:basedOn w:val="1"/>
    <w:next w:val="1"/>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8">
    <w:name w:val="Header Char"/>
    <w:basedOn w:val="21"/>
    <w:semiHidden/>
    <w:qFormat/>
    <w:uiPriority w:val="99"/>
    <w:rPr>
      <w:rFonts w:ascii="Times New Roman" w:hAnsi="Times New Roman"/>
      <w:sz w:val="18"/>
      <w:szCs w:val="18"/>
    </w:rPr>
  </w:style>
  <w:style w:type="character" w:customStyle="1" w:styleId="29">
    <w:name w:val="页眉 Char"/>
    <w:link w:val="14"/>
    <w:semiHidden/>
    <w:qFormat/>
    <w:locked/>
    <w:uiPriority w:val="99"/>
    <w:rPr>
      <w:sz w:val="18"/>
    </w:rPr>
  </w:style>
  <w:style w:type="character" w:customStyle="1" w:styleId="30">
    <w:name w:val="Footer Char"/>
    <w:basedOn w:val="21"/>
    <w:semiHidden/>
    <w:qFormat/>
    <w:uiPriority w:val="99"/>
    <w:rPr>
      <w:rFonts w:ascii="Times New Roman" w:hAnsi="Times New Roman"/>
      <w:sz w:val="18"/>
      <w:szCs w:val="18"/>
    </w:rPr>
  </w:style>
  <w:style w:type="character" w:customStyle="1" w:styleId="31">
    <w:name w:val="页脚 Char"/>
    <w:link w:val="13"/>
    <w:qFormat/>
    <w:locked/>
    <w:uiPriority w:val="99"/>
    <w:rPr>
      <w:sz w:val="18"/>
    </w:rPr>
  </w:style>
  <w:style w:type="character" w:customStyle="1" w:styleId="32">
    <w:name w:val="Body Text Char"/>
    <w:basedOn w:val="21"/>
    <w:semiHidden/>
    <w:qFormat/>
    <w:uiPriority w:val="99"/>
    <w:rPr>
      <w:rFonts w:ascii="Times New Roman" w:hAnsi="Times New Roman"/>
      <w:szCs w:val="24"/>
    </w:rPr>
  </w:style>
  <w:style w:type="character" w:customStyle="1" w:styleId="33">
    <w:name w:val="正文文本 Char"/>
    <w:link w:val="8"/>
    <w:qFormat/>
    <w:locked/>
    <w:uiPriority w:val="99"/>
    <w:rPr>
      <w:rFonts w:ascii="FangSong_GB2312" w:hAnsi="Times New Roman" w:eastAsia="FangSong_GB2312"/>
      <w:sz w:val="24"/>
    </w:rPr>
  </w:style>
  <w:style w:type="paragraph" w:styleId="34">
    <w:name w:val="List Paragraph"/>
    <w:basedOn w:val="1"/>
    <w:qFormat/>
    <w:uiPriority w:val="34"/>
    <w:pPr>
      <w:ind w:firstLine="420" w:firstLineChars="200"/>
    </w:pPr>
  </w:style>
  <w:style w:type="character" w:customStyle="1" w:styleId="35">
    <w:name w:val="标题 1 Char"/>
    <w:basedOn w:val="21"/>
    <w:link w:val="2"/>
    <w:qFormat/>
    <w:uiPriority w:val="9"/>
    <w:rPr>
      <w:rFonts w:ascii="Times New Roman" w:hAnsi="Times New Roman"/>
      <w:b/>
      <w:bCs/>
      <w:kern w:val="44"/>
      <w:sz w:val="44"/>
      <w:szCs w:val="44"/>
    </w:rPr>
  </w:style>
  <w:style w:type="character" w:customStyle="1" w:styleId="36">
    <w:name w:val="标题 2 Char"/>
    <w:basedOn w:val="21"/>
    <w:link w:val="3"/>
    <w:qFormat/>
    <w:uiPriority w:val="9"/>
    <w:rPr>
      <w:rFonts w:asciiTheme="majorHAnsi" w:hAnsiTheme="majorHAnsi" w:eastAsiaTheme="majorEastAsia" w:cstheme="majorBidi"/>
      <w:b/>
      <w:bCs/>
      <w:kern w:val="2"/>
      <w:sz w:val="32"/>
      <w:szCs w:val="32"/>
    </w:rPr>
  </w:style>
  <w:style w:type="paragraph" w:customStyle="1" w:styleId="3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8">
    <w:name w:val="批注框文本 Char"/>
    <w:basedOn w:val="21"/>
    <w:link w:val="12"/>
    <w:semiHidden/>
    <w:qFormat/>
    <w:uiPriority w:val="99"/>
    <w:rPr>
      <w:rFonts w:ascii="Times New Roman" w:hAnsi="Times New Roman"/>
      <w:kern w:val="2"/>
      <w:sz w:val="18"/>
      <w:szCs w:val="18"/>
    </w:rPr>
  </w:style>
  <w:style w:type="character" w:customStyle="1" w:styleId="39">
    <w:name w:val="标题 3 Char"/>
    <w:basedOn w:val="21"/>
    <w:link w:val="4"/>
    <w:qFormat/>
    <w:uiPriority w:val="9"/>
    <w:rPr>
      <w:rFonts w:ascii="Times New Roman" w:hAnsi="Times New Roman"/>
      <w:b/>
      <w:bCs/>
      <w:kern w:val="2"/>
      <w:sz w:val="32"/>
      <w:szCs w:val="32"/>
    </w:rPr>
  </w:style>
  <w:style w:type="paragraph" w:customStyle="1" w:styleId="40">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41">
    <w:name w:val="TOC1"/>
    <w:basedOn w:val="1"/>
    <w:next w:val="1"/>
    <w:qFormat/>
    <w:uiPriority w:val="0"/>
    <w:pPr>
      <w:tabs>
        <w:tab w:val="right" w:leader="dot" w:pos="8721"/>
      </w:tabs>
      <w:spacing w:line="360" w:lineRule="auto"/>
      <w:jc w:val="center"/>
      <w:textAlignment w:val="baseline"/>
    </w:pPr>
    <w:rPr>
      <w:rFonts w:ascii="Calibri" w:hAnsi="仿宋"/>
      <w:b/>
      <w:bCs/>
      <w:caps/>
      <w:sz w:val="28"/>
      <w:szCs w:val="28"/>
    </w:rPr>
  </w:style>
  <w:style w:type="character" w:customStyle="1" w:styleId="42">
    <w:name w:val="font21"/>
    <w:basedOn w:val="21"/>
    <w:qFormat/>
    <w:uiPriority w:val="0"/>
    <w:rPr>
      <w:rFonts w:hint="eastAsia" w:ascii="宋体" w:hAnsi="宋体" w:eastAsia="宋体" w:cs="宋体"/>
      <w:color w:val="000000"/>
      <w:sz w:val="24"/>
      <w:szCs w:val="24"/>
      <w:u w:val="none"/>
    </w:rPr>
  </w:style>
  <w:style w:type="paragraph" w:customStyle="1" w:styleId="43">
    <w:name w:val="表格抬头"/>
    <w:basedOn w:val="1"/>
    <w:qFormat/>
    <w:uiPriority w:val="0"/>
    <w:pPr>
      <w:jc w:val="center"/>
    </w:pPr>
    <w:rPr>
      <w:rFonts w:eastAsia="楷体"/>
      <w:b/>
      <w:sz w:val="24"/>
    </w:rPr>
  </w:style>
  <w:style w:type="paragraph" w:customStyle="1" w:styleId="44">
    <w:name w:val="表格文字"/>
    <w:basedOn w:val="1"/>
    <w:qFormat/>
    <w:uiPriority w:val="0"/>
    <w:pPr>
      <w:jc w:val="center"/>
    </w:pPr>
    <w:rPr>
      <w:bCs/>
      <w:kern w:val="28"/>
      <w:sz w:val="24"/>
    </w:rPr>
  </w:style>
  <w:style w:type="paragraph" w:customStyle="1" w:styleId="45">
    <w:name w:val="WPSOffice手动目录 1"/>
    <w:qFormat/>
    <w:uiPriority w:val="0"/>
    <w:rPr>
      <w:rFonts w:ascii="Times New Roman" w:hAnsi="Times New Roman" w:eastAsia="宋体" w:cs="Times New Roman"/>
      <w:lang w:val="en-US" w:eastAsia="zh-CN" w:bidi="ar-SA"/>
    </w:rPr>
  </w:style>
  <w:style w:type="paragraph" w:customStyle="1" w:styleId="46">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47">
    <w:name w:val="NormalCharacter"/>
    <w:semiHidden/>
    <w:qFormat/>
    <w:uiPriority w:val="0"/>
    <w:rPr>
      <w:rFonts w:ascii="Calibri" w:hAnsi="Calibri" w:eastAsia="宋体" w:cs="Times New Roman"/>
      <w:kern w:val="2"/>
      <w:sz w:val="21"/>
      <w:szCs w:val="24"/>
      <w:lang w:val="en-US" w:eastAsia="zh-CN" w:bidi="ar-SA"/>
    </w:rPr>
  </w:style>
  <w:style w:type="paragraph" w:customStyle="1" w:styleId="48">
    <w:name w:val="正文文本1"/>
    <w:basedOn w:val="1"/>
    <w:qFormat/>
    <w:uiPriority w:val="99"/>
    <w:pPr>
      <w:spacing w:before="93"/>
    </w:pPr>
    <w:rPr>
      <w:rFonts w:ascii="仿宋_GB2312" w:hAnsi="仿宋_GB2312" w:eastAsia="仿宋_GB2312" w:cs="仿宋_GB2312"/>
      <w:kern w:val="0"/>
      <w:sz w:val="30"/>
      <w:szCs w:val="30"/>
    </w:rPr>
  </w:style>
  <w:style w:type="paragraph" w:customStyle="1" w:styleId="49">
    <w:name w:val="四号正文"/>
    <w:basedOn w:val="1"/>
    <w:qFormat/>
    <w:uiPriority w:val="0"/>
    <w:pPr>
      <w:spacing w:line="360" w:lineRule="auto"/>
    </w:pPr>
    <w:rPr>
      <w:rFonts w:ascii="??" w:hAnsi="??"/>
      <w:color w:val="000000"/>
      <w:kern w:val="0"/>
      <w:sz w:val="28"/>
      <w:szCs w:val="21"/>
      <w:lang w:val="zh-CN"/>
    </w:rPr>
  </w:style>
  <w:style w:type="paragraph" w:customStyle="1" w:styleId="50">
    <w:name w:val="列出段落1"/>
    <w:basedOn w:val="1"/>
    <w:qFormat/>
    <w:uiPriority w:val="34"/>
    <w:pPr>
      <w:ind w:firstLine="420" w:firstLineChars="200"/>
    </w:pPr>
    <w:rPr>
      <w:rFonts w:ascii="Calibri" w:hAnsi="Calibri"/>
    </w:rPr>
  </w:style>
  <w:style w:type="character" w:customStyle="1" w:styleId="51">
    <w:name w:val="font131"/>
    <w:basedOn w:val="21"/>
    <w:qFormat/>
    <w:uiPriority w:val="0"/>
    <w:rPr>
      <w:rFonts w:hint="eastAsia" w:ascii="宋体" w:hAnsi="宋体" w:eastAsia="宋体" w:cs="宋体"/>
      <w:b/>
      <w:bCs/>
      <w:color w:val="000000"/>
      <w:sz w:val="32"/>
      <w:szCs w:val="32"/>
      <w:u w:val="none"/>
    </w:rPr>
  </w:style>
  <w:style w:type="character" w:customStyle="1" w:styleId="52">
    <w:name w:val="font41"/>
    <w:basedOn w:val="21"/>
    <w:qFormat/>
    <w:uiPriority w:val="0"/>
    <w:rPr>
      <w:rFonts w:hint="eastAsia" w:ascii="宋体" w:hAnsi="宋体" w:eastAsia="宋体" w:cs="宋体"/>
      <w:color w:val="000000"/>
      <w:sz w:val="32"/>
      <w:szCs w:val="32"/>
      <w:u w:val="none"/>
    </w:rPr>
  </w:style>
  <w:style w:type="character" w:customStyle="1" w:styleId="53">
    <w:name w:val="font141"/>
    <w:basedOn w:val="21"/>
    <w:qFormat/>
    <w:uiPriority w:val="0"/>
    <w:rPr>
      <w:rFonts w:hint="eastAsia" w:ascii="宋体" w:hAnsi="宋体" w:eastAsia="宋体" w:cs="宋体"/>
      <w:color w:val="000000"/>
      <w:sz w:val="20"/>
      <w:szCs w:val="20"/>
      <w:u w:val="none"/>
    </w:rPr>
  </w:style>
  <w:style w:type="character" w:customStyle="1" w:styleId="54">
    <w:name w:val="font91"/>
    <w:basedOn w:val="21"/>
    <w:qFormat/>
    <w:uiPriority w:val="0"/>
    <w:rPr>
      <w:rFonts w:hint="eastAsia" w:ascii="宋体" w:hAnsi="宋体" w:eastAsia="宋体" w:cs="宋体"/>
      <w:color w:val="000000"/>
      <w:sz w:val="18"/>
      <w:szCs w:val="18"/>
      <w:u w:val="none"/>
    </w:rPr>
  </w:style>
  <w:style w:type="character" w:customStyle="1" w:styleId="55">
    <w:name w:val="font151"/>
    <w:basedOn w:val="21"/>
    <w:qFormat/>
    <w:uiPriority w:val="0"/>
    <w:rPr>
      <w:rFonts w:hint="eastAsia" w:ascii="宋体" w:hAnsi="宋体" w:eastAsia="宋体" w:cs="宋体"/>
      <w:color w:val="000000"/>
      <w:sz w:val="18"/>
      <w:szCs w:val="18"/>
      <w:u w:val="none"/>
    </w:rPr>
  </w:style>
  <w:style w:type="character" w:customStyle="1" w:styleId="56">
    <w:name w:val="font161"/>
    <w:basedOn w:val="21"/>
    <w:qFormat/>
    <w:uiPriority w:val="0"/>
    <w:rPr>
      <w:rFonts w:hint="eastAsia" w:ascii="宋体" w:hAnsi="宋体" w:eastAsia="宋体" w:cs="宋体"/>
      <w:color w:val="000000"/>
      <w:sz w:val="18"/>
      <w:szCs w:val="18"/>
      <w:u w:val="none"/>
    </w:rPr>
  </w:style>
  <w:style w:type="character" w:customStyle="1" w:styleId="57">
    <w:name w:val="font171"/>
    <w:basedOn w:val="2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6" Type="http://schemas.openxmlformats.org/officeDocument/2006/relationships/fontTable" Target="fontTable.xml"/><Relationship Id="rId45" Type="http://schemas.openxmlformats.org/officeDocument/2006/relationships/numbering" Target="numbering.xml"/><Relationship Id="rId44" Type="http://schemas.openxmlformats.org/officeDocument/2006/relationships/customXml" Target="../customXml/item1.xml"/><Relationship Id="rId43" Type="http://schemas.openxmlformats.org/officeDocument/2006/relationships/image" Target="media/image27.png"/><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footer" Target="footer1.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chart" Target="charts/chart9.xml"/><Relationship Id="rId15" Type="http://schemas.openxmlformats.org/officeDocument/2006/relationships/chart" Target="charts/chart8.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themeOverride" Target="../theme/themeOverride4.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5.xml"/><Relationship Id="rId1" Type="http://schemas.openxmlformats.org/officeDocument/2006/relationships/package" Target="../embeddings/Workbook8.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9.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2" Type="http://schemas.openxmlformats.org/officeDocument/2006/relationships/themeOverride" Target="../theme/themeOverride3.xml"/><Relationship Id="rId1" Type="http://schemas.openxmlformats.org/officeDocument/2006/relationships/package" Target="../embeddings/Workbook4.xlsx"/></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5.xlsx"/></Relationships>
</file>

<file path=word/charts/_rels/chart9.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ysClr val="windowText" lastClr="000000">
                    <a:lumMod val="65000"/>
                    <a:lumOff val="35000"/>
                  </a:sysClr>
                </a:solidFill>
                <a:latin typeface="+mn-lt"/>
                <a:ea typeface="+mn-ea"/>
                <a:cs typeface="+mn-cs"/>
              </a:defRPr>
            </a:pPr>
            <a:r>
              <a:t>收入决算总计变动情况图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84557235421166"/>
          <c:y val="0.0256349394730596"/>
        </c:manualLayout>
      </c:layout>
      <c:overlay val="0"/>
      <c:spPr>
        <a:noFill/>
        <a:ln>
          <a:noFill/>
        </a:ln>
        <a:effectLst/>
      </c:spPr>
    </c:title>
    <c:autoTitleDeleted val="0"/>
    <c:plotArea>
      <c:layout>
        <c:manualLayout>
          <c:layoutTarget val="inner"/>
          <c:xMode val="edge"/>
          <c:yMode val="edge"/>
          <c:x val="0.112257019438445"/>
          <c:y val="0.187312682965424"/>
          <c:w val="0.844222222222222"/>
          <c:h val="0.711666666666667"/>
        </c:manualLayout>
      </c:layout>
      <c:barChart>
        <c:barDir val="col"/>
        <c:grouping val="clustered"/>
        <c:varyColors val="0"/>
        <c:ser>
          <c:idx val="0"/>
          <c:order val="0"/>
          <c:spPr>
            <a:solidFill>
              <a:srgbClr val="5B9BD5"/>
            </a:solidFill>
            <a:ln>
              <a:noFill/>
            </a:ln>
            <a:effectLst/>
          </c:spPr>
          <c:invertIfNegative val="0"/>
          <c:dLbls>
            <c:delete val="1"/>
          </c:dLbls>
          <c:cat>
            <c:strRef>
              <c:f>Sheet1!$A$3:$B$3</c:f>
              <c:strCache>
                <c:ptCount val="2"/>
                <c:pt idx="0">
                  <c:v>2025年</c:v>
                </c:pt>
                <c:pt idx="1">
                  <c:v>2024年</c:v>
                </c:pt>
              </c:strCache>
            </c:strRef>
          </c:cat>
          <c:val>
            <c:numRef>
              <c:f>Sheet1!$A$4:$B$4</c:f>
              <c:numCache>
                <c:formatCode>#,##0.00</c:formatCode>
                <c:ptCount val="2"/>
                <c:pt idx="0">
                  <c:v>1711.34</c:v>
                </c:pt>
                <c:pt idx="1">
                  <c:v>1890.47</c:v>
                </c:pt>
              </c:numCache>
            </c:numRef>
          </c:val>
        </c:ser>
        <c:dLbls>
          <c:showLegendKey val="0"/>
          <c:showVal val="0"/>
          <c:showCatName val="0"/>
          <c:showSerName val="0"/>
          <c:showPercent val="0"/>
          <c:showBubbleSize val="0"/>
        </c:dLbls>
        <c:gapWidth val="219"/>
        <c:overlap val="-27"/>
        <c:axId val="45929600"/>
        <c:axId val="45931136"/>
      </c:barChart>
      <c:catAx>
        <c:axId val="45929600"/>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5931136"/>
        <c:crosses val="autoZero"/>
        <c:auto val="1"/>
        <c:lblAlgn val="ctr"/>
        <c:lblOffset val="100"/>
        <c:noMultiLvlLbl val="0"/>
      </c:catAx>
      <c:valAx>
        <c:axId val="45931136"/>
        <c:scaling>
          <c:orientation val="minMax"/>
        </c:scaling>
        <c:delete val="0"/>
        <c:axPos val="l"/>
        <c:majorGridlines>
          <c:spPr>
            <a:ln w="9525" cap="flat" cmpd="sng" algn="ctr">
              <a:solidFill>
                <a:sysClr val="windowText" lastClr="000000">
                  <a:lumMod val="15000"/>
                  <a:lumOff val="85000"/>
                </a:sys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5929600"/>
        <c:crosses val="autoZero"/>
        <c:crossBetween val="between"/>
      </c:valAx>
      <c:spPr>
        <a:noFill/>
        <a:ln>
          <a:noFill/>
        </a:ln>
        <a:effectLst/>
      </c:spPr>
    </c:plotArea>
    <c:plotVisOnly val="1"/>
    <c:dispBlanksAs val="gap"/>
    <c:showDLblsOverMax val="0"/>
    <c:extLst>
      <c:ext uri="{0b15fc19-7d7d-44ad-8c2d-2c3a37ce22c3}">
        <chartProps xmlns="https://web.wps.cn/et/2018/main" chartId="{de76ee15-f528-4899-b253-f4d28bc4232d}"/>
      </c:ext>
    </c:extLst>
  </c:chart>
  <c:spPr>
    <a:solidFill>
      <a:sysClr val="window" lastClr="FFFFFF"/>
    </a:solidFill>
    <a:ln w="9525" cap="flat" cmpd="sng" algn="ctr">
      <a:solidFill>
        <a:sysClr val="windowText" lastClr="000000">
          <a:lumMod val="15000"/>
          <a:lumOff val="85000"/>
        </a:sys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ysClr val="windowText" lastClr="000000">
                    <a:lumMod val="65000"/>
                    <a:lumOff val="35000"/>
                  </a:sysClr>
                </a:solidFill>
                <a:latin typeface="+mn-lt"/>
                <a:ea typeface="+mn-ea"/>
                <a:cs typeface="+mn-cs"/>
              </a:defRPr>
            </a:pPr>
            <a:r>
              <a:t>支出决算总计变动情况图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117689133425034"/>
          <c:y val="0.202898550724638"/>
          <c:w val="0.864429160935351"/>
          <c:h val="0.683295194508009"/>
        </c:manualLayout>
      </c:layout>
      <c:barChart>
        <c:barDir val="col"/>
        <c:grouping val="clustered"/>
        <c:varyColors val="0"/>
        <c:ser>
          <c:idx val="0"/>
          <c:order val="0"/>
          <c:spPr>
            <a:solidFill>
              <a:srgbClr val="5B9BD5"/>
            </a:solidFill>
            <a:ln>
              <a:noFill/>
            </a:ln>
            <a:effectLst/>
          </c:spPr>
          <c:invertIfNegative val="0"/>
          <c:dLbls>
            <c:delete val="1"/>
          </c:dLbls>
          <c:cat>
            <c:strRef>
              <c:f>Sheet1!$A$24:$B$24</c:f>
              <c:strCache>
                <c:ptCount val="2"/>
                <c:pt idx="0">
                  <c:v>2025年</c:v>
                </c:pt>
                <c:pt idx="1">
                  <c:v>2024年</c:v>
                </c:pt>
              </c:strCache>
            </c:strRef>
          </c:cat>
          <c:val>
            <c:numRef>
              <c:f>Sheet1!$A$25:$B$25</c:f>
              <c:numCache>
                <c:formatCode>#,##0.00</c:formatCode>
                <c:ptCount val="2"/>
                <c:pt idx="0">
                  <c:v>1686.22</c:v>
                </c:pt>
                <c:pt idx="1">
                  <c:v>1875.46</c:v>
                </c:pt>
              </c:numCache>
            </c:numRef>
          </c:val>
        </c:ser>
        <c:dLbls>
          <c:showLegendKey val="0"/>
          <c:showVal val="0"/>
          <c:showCatName val="0"/>
          <c:showSerName val="0"/>
          <c:showPercent val="0"/>
          <c:showBubbleSize val="0"/>
        </c:dLbls>
        <c:gapWidth val="219"/>
        <c:overlap val="-27"/>
        <c:axId val="46295680"/>
        <c:axId val="46309760"/>
      </c:barChart>
      <c:catAx>
        <c:axId val="46295680"/>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309760"/>
        <c:crosses val="autoZero"/>
        <c:auto val="1"/>
        <c:lblAlgn val="ctr"/>
        <c:lblOffset val="100"/>
        <c:noMultiLvlLbl val="0"/>
      </c:catAx>
      <c:valAx>
        <c:axId val="46309760"/>
        <c:scaling>
          <c:orientation val="minMax"/>
        </c:scaling>
        <c:delete val="0"/>
        <c:axPos val="l"/>
        <c:majorGridlines>
          <c:spPr>
            <a:ln w="9525" cap="flat" cmpd="sng" algn="ctr">
              <a:solidFill>
                <a:sysClr val="windowText" lastClr="000000">
                  <a:lumMod val="15000"/>
                  <a:lumOff val="85000"/>
                </a:sys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295680"/>
        <c:crosses val="autoZero"/>
        <c:crossBetween val="between"/>
      </c:valAx>
      <c:spPr>
        <a:noFill/>
        <a:ln>
          <a:noFill/>
        </a:ln>
        <a:effectLst/>
      </c:spPr>
    </c:plotArea>
    <c:plotVisOnly val="1"/>
    <c:dispBlanksAs val="gap"/>
    <c:showDLblsOverMax val="0"/>
    <c:extLst>
      <c:ext uri="{0b15fc19-7d7d-44ad-8c2d-2c3a37ce22c3}">
        <chartProps xmlns="https://web.wps.cn/et/2018/main" chartId="{cdfc8821-8b71-449a-a6ee-051807ed27c1}"/>
      </c:ext>
    </c:extLst>
  </c:chart>
  <c:spPr>
    <a:solidFill>
      <a:sysClr val="window" lastClr="FFFFFF"/>
    </a:solidFill>
    <a:ln w="9525" cap="flat" cmpd="sng" algn="ctr">
      <a:solidFill>
        <a:sysClr val="windowText" lastClr="000000">
          <a:lumMod val="15000"/>
          <a:lumOff val="85000"/>
        </a:sys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一般公共预算财政拨款收入</c:v>
                </c:pt>
                <c:pt idx="1">
                  <c:v>其他收入</c:v>
                </c:pt>
              </c:strCache>
            </c:strRef>
          </c:cat>
          <c:val>
            <c:numRef>
              <c:f>Sheet1!$B$2:$B$3</c:f>
              <c:numCache>
                <c:formatCode>General</c:formatCode>
                <c:ptCount val="2"/>
                <c:pt idx="0">
                  <c:v>1682.85</c:v>
                </c:pt>
                <c:pt idx="1">
                  <c:v>28.49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215d613c-f9e3-4805-89a0-d5b6fa827f5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823.57</c:v>
                </c:pt>
                <c:pt idx="1">
                  <c:v>862.65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6e5392f8-2946-4fdd-9390-788b89f1263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ysClr val="windowText" lastClr="000000">
                    <a:lumMod val="65000"/>
                    <a:lumOff val="35000"/>
                  </a:sysClr>
                </a:solidFill>
                <a:latin typeface="+mn-lt"/>
                <a:ea typeface="+mn-ea"/>
                <a:cs typeface="+mn-cs"/>
              </a:defRPr>
            </a:pPr>
            <a:r>
              <a:t>财政拨款收入决算总体变动情况图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15461418956929"/>
          <c:y val="0.0284832660811773"/>
        </c:manualLayout>
      </c:layout>
      <c:overlay val="0"/>
      <c:spPr>
        <a:noFill/>
        <a:ln>
          <a:noFill/>
        </a:ln>
        <a:effectLst/>
      </c:spPr>
    </c:title>
    <c:autoTitleDeleted val="0"/>
    <c:plotArea>
      <c:layout>
        <c:manualLayout>
          <c:layoutTarget val="inner"/>
          <c:xMode val="edge"/>
          <c:yMode val="edge"/>
          <c:x val="0.112257019438445"/>
          <c:y val="0.187312682965424"/>
          <c:w val="0.844222222222222"/>
          <c:h val="0.711666666666667"/>
        </c:manualLayout>
      </c:layout>
      <c:barChart>
        <c:barDir val="col"/>
        <c:grouping val="clustered"/>
        <c:varyColors val="0"/>
        <c:ser>
          <c:idx val="0"/>
          <c:order val="0"/>
          <c:spPr>
            <a:solidFill>
              <a:srgbClr val="5B9BD5"/>
            </a:solidFill>
            <a:ln>
              <a:noFill/>
            </a:ln>
            <a:effectLst/>
          </c:spPr>
          <c:invertIfNegative val="0"/>
          <c:dLbls>
            <c:delete val="1"/>
          </c:dLbls>
          <c:cat>
            <c:strRef>
              <c:f>Sheet1!$A$3:$B$3</c:f>
              <c:strCache>
                <c:ptCount val="2"/>
                <c:pt idx="0">
                  <c:v>2025年</c:v>
                </c:pt>
                <c:pt idx="1">
                  <c:v>2024年</c:v>
                </c:pt>
              </c:strCache>
            </c:strRef>
          </c:cat>
          <c:val>
            <c:numRef>
              <c:f>Sheet1!$A$4:$B$4</c:f>
              <c:numCache>
                <c:formatCode>#,##0.00</c:formatCode>
                <c:ptCount val="2"/>
                <c:pt idx="0">
                  <c:v>1682.85</c:v>
                </c:pt>
                <c:pt idx="1">
                  <c:v>1875.46</c:v>
                </c:pt>
              </c:numCache>
            </c:numRef>
          </c:val>
        </c:ser>
        <c:dLbls>
          <c:showLegendKey val="0"/>
          <c:showVal val="0"/>
          <c:showCatName val="0"/>
          <c:showSerName val="0"/>
          <c:showPercent val="0"/>
          <c:showBubbleSize val="0"/>
        </c:dLbls>
        <c:gapWidth val="219"/>
        <c:overlap val="-27"/>
        <c:axId val="46449024"/>
        <c:axId val="46450560"/>
      </c:barChart>
      <c:catAx>
        <c:axId val="46449024"/>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450560"/>
        <c:crosses val="autoZero"/>
        <c:auto val="1"/>
        <c:lblAlgn val="ctr"/>
        <c:lblOffset val="100"/>
        <c:noMultiLvlLbl val="0"/>
      </c:catAx>
      <c:valAx>
        <c:axId val="46450560"/>
        <c:scaling>
          <c:orientation val="minMax"/>
        </c:scaling>
        <c:delete val="0"/>
        <c:axPos val="l"/>
        <c:majorGridlines>
          <c:spPr>
            <a:ln w="9525" cap="flat" cmpd="sng" algn="ctr">
              <a:solidFill>
                <a:sysClr val="windowText" lastClr="000000">
                  <a:lumMod val="15000"/>
                  <a:lumOff val="85000"/>
                </a:sys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449024"/>
        <c:crosses val="autoZero"/>
        <c:crossBetween val="between"/>
      </c:valAx>
      <c:spPr>
        <a:noFill/>
        <a:ln>
          <a:noFill/>
        </a:ln>
        <a:effectLst/>
      </c:spPr>
    </c:plotArea>
    <c:plotVisOnly val="1"/>
    <c:dispBlanksAs val="gap"/>
    <c:showDLblsOverMax val="0"/>
    <c:extLst>
      <c:ext uri="{0b15fc19-7d7d-44ad-8c2d-2c3a37ce22c3}">
        <chartProps xmlns="https://web.wps.cn/et/2018/main" chartId="{c586be3d-b01f-44f7-b893-fbeb19cb29f2}"/>
      </c:ext>
    </c:extLst>
  </c:chart>
  <c:spPr>
    <a:solidFill>
      <a:sysClr val="window" lastClr="FFFFFF"/>
    </a:solidFill>
    <a:ln w="9525" cap="flat" cmpd="sng" algn="ctr">
      <a:solidFill>
        <a:sysClr val="windowText" lastClr="000000">
          <a:lumMod val="15000"/>
          <a:lumOff val="85000"/>
        </a:sys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ysClr val="windowText" lastClr="000000">
                    <a:lumMod val="65000"/>
                    <a:lumOff val="35000"/>
                  </a:sysClr>
                </a:solidFill>
                <a:latin typeface="+mn-lt"/>
                <a:ea typeface="+mn-ea"/>
                <a:cs typeface="+mn-cs"/>
              </a:defRPr>
            </a:pPr>
            <a:r>
              <a:t>财政拨款支出决算总体变动情况图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15461418956929"/>
          <c:y val="0.0284832660811773"/>
        </c:manualLayout>
      </c:layout>
      <c:overlay val="0"/>
      <c:spPr>
        <a:noFill/>
        <a:ln>
          <a:noFill/>
        </a:ln>
        <a:effectLst/>
      </c:spPr>
    </c:title>
    <c:autoTitleDeleted val="0"/>
    <c:plotArea>
      <c:layout>
        <c:manualLayout>
          <c:layoutTarget val="inner"/>
          <c:xMode val="edge"/>
          <c:yMode val="edge"/>
          <c:x val="0.112257019438445"/>
          <c:y val="0.187312682965424"/>
          <c:w val="0.844222222222222"/>
          <c:h val="0.711666666666667"/>
        </c:manualLayout>
      </c:layout>
      <c:barChart>
        <c:barDir val="col"/>
        <c:grouping val="clustered"/>
        <c:varyColors val="0"/>
        <c:ser>
          <c:idx val="0"/>
          <c:order val="0"/>
          <c:spPr>
            <a:solidFill>
              <a:srgbClr val="5B9BD5"/>
            </a:solidFill>
            <a:ln>
              <a:noFill/>
            </a:ln>
            <a:effectLst/>
          </c:spPr>
          <c:invertIfNegative val="0"/>
          <c:dLbls>
            <c:delete val="1"/>
          </c:dLbls>
          <c:cat>
            <c:strRef>
              <c:f>Sheet1!$A$3:$B$3</c:f>
              <c:strCache>
                <c:ptCount val="2"/>
                <c:pt idx="0">
                  <c:v>2025年</c:v>
                </c:pt>
                <c:pt idx="1">
                  <c:v>2024年</c:v>
                </c:pt>
              </c:strCache>
            </c:strRef>
          </c:cat>
          <c:val>
            <c:numRef>
              <c:f>Sheet1!$A$4:$B$4</c:f>
              <c:numCache>
                <c:formatCode>#,##0.00</c:formatCode>
                <c:ptCount val="2"/>
                <c:pt idx="0">
                  <c:v>1682.85</c:v>
                </c:pt>
                <c:pt idx="1">
                  <c:v>1875.46</c:v>
                </c:pt>
              </c:numCache>
            </c:numRef>
          </c:val>
        </c:ser>
        <c:dLbls>
          <c:showLegendKey val="0"/>
          <c:showVal val="0"/>
          <c:showCatName val="0"/>
          <c:showSerName val="0"/>
          <c:showPercent val="0"/>
          <c:showBubbleSize val="0"/>
        </c:dLbls>
        <c:gapWidth val="219"/>
        <c:overlap val="-27"/>
        <c:axId val="46670976"/>
        <c:axId val="46672512"/>
      </c:barChart>
      <c:catAx>
        <c:axId val="46670976"/>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672512"/>
        <c:crosses val="autoZero"/>
        <c:auto val="1"/>
        <c:lblAlgn val="ctr"/>
        <c:lblOffset val="100"/>
        <c:noMultiLvlLbl val="0"/>
      </c:catAx>
      <c:valAx>
        <c:axId val="46672512"/>
        <c:scaling>
          <c:orientation val="minMax"/>
        </c:scaling>
        <c:delete val="0"/>
        <c:axPos val="l"/>
        <c:majorGridlines>
          <c:spPr>
            <a:ln w="9525" cap="flat" cmpd="sng" algn="ctr">
              <a:solidFill>
                <a:sysClr val="windowText" lastClr="000000">
                  <a:lumMod val="15000"/>
                  <a:lumOff val="85000"/>
                </a:sys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670976"/>
        <c:crosses val="autoZero"/>
        <c:crossBetween val="between"/>
      </c:valAx>
      <c:spPr>
        <a:noFill/>
        <a:ln>
          <a:noFill/>
        </a:ln>
        <a:effectLst/>
      </c:spPr>
    </c:plotArea>
    <c:plotVisOnly val="1"/>
    <c:dispBlanksAs val="gap"/>
    <c:showDLblsOverMax val="0"/>
    <c:extLst>
      <c:ext uri="{0b15fc19-7d7d-44ad-8c2d-2c3a37ce22c3}">
        <chartProps xmlns="https://web.wps.cn/et/2018/main" chartId="{7e86dfc6-c42c-47fd-8a7d-ec3f232d45ed}"/>
      </c:ext>
    </c:extLst>
  </c:chart>
  <c:spPr>
    <a:solidFill>
      <a:sysClr val="window" lastClr="FFFFFF"/>
    </a:solidFill>
    <a:ln w="9525" cap="flat" cmpd="sng" algn="ctr">
      <a:solidFill>
        <a:sysClr val="windowText" lastClr="000000">
          <a:lumMod val="15000"/>
          <a:lumOff val="85000"/>
        </a:sys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ysClr val="windowText" lastClr="000000">
                    <a:lumMod val="65000"/>
                    <a:lumOff val="35000"/>
                  </a:sysClr>
                </a:solidFill>
                <a:latin typeface="+mn-lt"/>
                <a:ea typeface="+mn-ea"/>
                <a:cs typeface="+mn-cs"/>
              </a:defRPr>
            </a:pPr>
            <a:r>
              <a:t>一般公共预算财政拨款支出变动情况图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186851432452206"/>
          <c:y val="0.0344172798480892"/>
        </c:manualLayout>
      </c:layout>
      <c:overlay val="0"/>
      <c:spPr>
        <a:noFill/>
        <a:ln>
          <a:noFill/>
        </a:ln>
        <a:effectLst/>
      </c:spPr>
    </c:title>
    <c:autoTitleDeleted val="0"/>
    <c:plotArea>
      <c:layout>
        <c:manualLayout>
          <c:layoutTarget val="inner"/>
          <c:xMode val="edge"/>
          <c:yMode val="edge"/>
          <c:x val="0.112257019438445"/>
          <c:y val="0.187312682965424"/>
          <c:w val="0.844222222222222"/>
          <c:h val="0.711666666666667"/>
        </c:manualLayout>
      </c:layout>
      <c:barChart>
        <c:barDir val="col"/>
        <c:grouping val="clustered"/>
        <c:varyColors val="0"/>
        <c:ser>
          <c:idx val="0"/>
          <c:order val="0"/>
          <c:spPr>
            <a:solidFill>
              <a:srgbClr val="5B9BD5"/>
            </a:solidFill>
            <a:ln>
              <a:noFill/>
            </a:ln>
            <a:effectLst/>
          </c:spPr>
          <c:invertIfNegative val="0"/>
          <c:dLbls>
            <c:delete val="1"/>
          </c:dLbls>
          <c:cat>
            <c:strRef>
              <c:f>Sheet1!$A$3:$B$3</c:f>
              <c:strCache>
                <c:ptCount val="2"/>
                <c:pt idx="0">
                  <c:v>2025年</c:v>
                </c:pt>
                <c:pt idx="1">
                  <c:v>2024年</c:v>
                </c:pt>
              </c:strCache>
            </c:strRef>
          </c:cat>
          <c:val>
            <c:numRef>
              <c:f>Sheet1!$A$4:$B$4</c:f>
              <c:numCache>
                <c:formatCode>#,##0.00</c:formatCode>
                <c:ptCount val="2"/>
                <c:pt idx="0">
                  <c:v>1682.85</c:v>
                </c:pt>
                <c:pt idx="1">
                  <c:v>1875.46</c:v>
                </c:pt>
              </c:numCache>
            </c:numRef>
          </c:val>
        </c:ser>
        <c:dLbls>
          <c:showLegendKey val="0"/>
          <c:showVal val="0"/>
          <c:showCatName val="0"/>
          <c:showSerName val="0"/>
          <c:showPercent val="0"/>
          <c:showBubbleSize val="0"/>
        </c:dLbls>
        <c:gapWidth val="219"/>
        <c:overlap val="-27"/>
        <c:axId val="46524288"/>
        <c:axId val="46525824"/>
      </c:barChart>
      <c:catAx>
        <c:axId val="46524288"/>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525824"/>
        <c:crosses val="autoZero"/>
        <c:auto val="1"/>
        <c:lblAlgn val="ctr"/>
        <c:lblOffset val="100"/>
        <c:noMultiLvlLbl val="0"/>
      </c:catAx>
      <c:valAx>
        <c:axId val="46525824"/>
        <c:scaling>
          <c:orientation val="minMax"/>
        </c:scaling>
        <c:delete val="0"/>
        <c:axPos val="l"/>
        <c:majorGridlines>
          <c:spPr>
            <a:ln w="9525" cap="flat" cmpd="sng" algn="ctr">
              <a:solidFill>
                <a:sysClr val="windowText" lastClr="000000">
                  <a:lumMod val="15000"/>
                  <a:lumOff val="85000"/>
                </a:sys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46524288"/>
        <c:crosses val="autoZero"/>
        <c:crossBetween val="between"/>
      </c:valAx>
      <c:spPr>
        <a:noFill/>
        <a:ln>
          <a:noFill/>
        </a:ln>
        <a:effectLst/>
      </c:spPr>
    </c:plotArea>
    <c:plotVisOnly val="1"/>
    <c:dispBlanksAs val="gap"/>
    <c:showDLblsOverMax val="0"/>
    <c:extLst>
      <c:ext uri="{0b15fc19-7d7d-44ad-8c2d-2c3a37ce22c3}">
        <chartProps xmlns="https://web.wps.cn/et/2018/main" chartId="{6dd71953-18a9-4548-bc6b-c333604fc953}"/>
      </c:ext>
    </c:extLst>
  </c:chart>
  <c:spPr>
    <a:solidFill>
      <a:sysClr val="window" lastClr="FFFFFF"/>
    </a:solidFill>
    <a:ln w="9525" cap="flat" cmpd="sng" algn="ctr">
      <a:solidFill>
        <a:sysClr val="windowText" lastClr="000000">
          <a:lumMod val="15000"/>
          <a:lumOff val="85000"/>
        </a:sysClr>
      </a:solidFill>
      <a:prstDash val="solid"/>
      <a:round/>
    </a:ln>
    <a:effectLst/>
  </c:spPr>
  <c:txPr>
    <a:bodyPr wrap="square"/>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elete val="1"/>
          </c:dLbls>
          <c:cat>
            <c:strRef>
              <c:f>Sheet1!$A$2:$A$7</c:f>
              <c:strCache>
                <c:ptCount val="6"/>
                <c:pt idx="0">
                  <c:v>一般公共服务支出</c:v>
                </c:pt>
                <c:pt idx="1">
                  <c:v>社会保障和就业支出</c:v>
                </c:pt>
                <c:pt idx="2">
                  <c:v>卫生健康支出</c:v>
                </c:pt>
                <c:pt idx="3">
                  <c:v>农林水支出</c:v>
                </c:pt>
                <c:pt idx="4">
                  <c:v>住房保障支出</c:v>
                </c:pt>
              </c:strCache>
            </c:strRef>
          </c:cat>
          <c:val>
            <c:numRef>
              <c:f>Sheet1!$B$2:$B$7</c:f>
              <c:numCache>
                <c:formatCode>General</c:formatCode>
                <c:ptCount val="6"/>
                <c:pt idx="0">
                  <c:v>1454.81</c:v>
                </c:pt>
                <c:pt idx="1">
                  <c:v>101.58</c:v>
                </c:pt>
                <c:pt idx="2">
                  <c:v>36.39</c:v>
                </c:pt>
                <c:pt idx="3">
                  <c:v>39.3</c:v>
                </c:pt>
                <c:pt idx="4">
                  <c:v>50.78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b7f8ea71-5a65-4ecd-81d4-562d07272e9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因公出国（境）费支出</c:v>
                </c:pt>
                <c:pt idx="1">
                  <c:v>公务用车购置及运行维护费</c:v>
                </c:pt>
                <c:pt idx="2">
                  <c:v>公务接待费支出</c:v>
                </c:pt>
              </c:strCache>
            </c:strRef>
          </c:cat>
          <c:val>
            <c:numRef>
              <c:f>Sheet1!$B$2:$B$4</c:f>
              <c:numCache>
                <c:formatCode>General</c:formatCode>
                <c:ptCount val="3"/>
                <c:pt idx="0">
                  <c:v>0</c:v>
                </c:pt>
                <c:pt idx="1">
                  <c:v>18.85</c:v>
                </c:pt>
                <c:pt idx="2">
                  <c:v>0.36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b5c531e0-abb7-4e0d-8d60-58d2cbd6de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45</Pages>
  <Words>11037</Words>
  <Characters>2882</Characters>
  <Lines>24</Lines>
  <Paragraphs>27</Paragraphs>
  <TotalTime>14</TotalTime>
  <ScaleCrop>false</ScaleCrop>
  <LinksUpToDate>false</LinksUpToDate>
  <CharactersWithSpaces>13892</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2022-08-21T03:00:00Z</dcterms:created>
  <dc:creator>曹颖</dc:creator>
  <cp:lastModifiedBy>huawei</cp:lastModifiedBy>
  <cp:lastPrinted>2026-10-28T01:30:00Z</cp:lastPrinted>
  <dcterms:modified xsi:type="dcterms:W3CDTF">2026-10-28T13:32:11Z</dcterms:modified>
  <dc:title>四川省***</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53412F5E83ED42D1851ECB393051257A_13</vt:lpwstr>
  </property>
  <property fmtid="{D5CDD505-2E9C-101B-9397-08002B2CF9AE}" pid="4" name="KSOTemplateDocerSaveRecord">
    <vt:lpwstr>eyJoZGlkIjoiN2QzZjk4ZmI4YzUyY2NiZTM5YjJkNjVmMjg0M2I1ODciLCJ1c2VySWQiOiIxMTY4OTk3MTIzIn0=</vt:lpwstr>
  </property>
</Properties>
</file>