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63DDC">
      <w:pPr>
        <w:spacing w:line="600" w:lineRule="exact"/>
        <w:jc w:val="center"/>
        <w:outlineLvl w:val="9"/>
        <w:rPr>
          <w:rFonts w:ascii="方正小标宋简体" w:hAnsi="宋体" w:eastAsia="方正小标宋简体"/>
          <w:sz w:val="72"/>
          <w:szCs w:val="72"/>
        </w:rPr>
      </w:pPr>
      <w:bookmarkStart w:id="0" w:name="_Toc15378441"/>
      <w:bookmarkStart w:id="1" w:name="_Toc15396597"/>
      <w:bookmarkStart w:id="2" w:name="_Toc15377193"/>
      <w:bookmarkStart w:id="3" w:name="_Toc15396475"/>
      <w:bookmarkStart w:id="4" w:name="_Toc15377425"/>
      <w:bookmarkStart w:id="5" w:name="_Toc15306267"/>
    </w:p>
    <w:p w14:paraId="1EB9D4D5">
      <w:pPr>
        <w:spacing w:line="600" w:lineRule="exact"/>
        <w:jc w:val="center"/>
        <w:outlineLvl w:val="9"/>
        <w:rPr>
          <w:rFonts w:hint="default" w:ascii="Times New Roman" w:hAnsi="Times New Roman" w:eastAsia="方正小标宋简体" w:cs="Times New Roman"/>
          <w:sz w:val="72"/>
          <w:szCs w:val="72"/>
        </w:rPr>
      </w:pPr>
    </w:p>
    <w:p w14:paraId="75F0686B">
      <w:pPr>
        <w:spacing w:line="600" w:lineRule="exact"/>
        <w:jc w:val="center"/>
        <w:outlineLvl w:val="9"/>
        <w:rPr>
          <w:rFonts w:hint="default" w:ascii="Times New Roman" w:hAnsi="Times New Roman" w:eastAsia="方正小标宋简体" w:cs="Times New Roman"/>
          <w:sz w:val="72"/>
          <w:szCs w:val="72"/>
        </w:rPr>
      </w:pPr>
    </w:p>
    <w:p w14:paraId="667F41F3">
      <w:pPr>
        <w:spacing w:line="600" w:lineRule="exact"/>
        <w:jc w:val="center"/>
        <w:outlineLvl w:val="9"/>
        <w:rPr>
          <w:rFonts w:hint="default" w:ascii="Times New Roman" w:hAnsi="Times New Roman" w:eastAsia="方正小标宋简体" w:cs="Times New Roman"/>
          <w:sz w:val="72"/>
          <w:szCs w:val="72"/>
        </w:rPr>
      </w:pPr>
    </w:p>
    <w:bookmarkEnd w:id="0"/>
    <w:bookmarkEnd w:id="1"/>
    <w:bookmarkEnd w:id="2"/>
    <w:bookmarkEnd w:id="3"/>
    <w:bookmarkEnd w:id="4"/>
    <w:p w14:paraId="583546C9">
      <w:pPr>
        <w:adjustRightInd w:val="0"/>
        <w:snapToGrid w:val="0"/>
        <w:spacing w:line="360" w:lineRule="auto"/>
        <w:jc w:val="center"/>
        <w:outlineLvl w:val="9"/>
        <w:rPr>
          <w:rFonts w:hint="default" w:ascii="Times New Roman" w:hAnsi="Times New Roman" w:eastAsia="方正小标宋_GBK" w:cs="Times New Roman"/>
          <w:b/>
          <w:bCs/>
          <w:sz w:val="52"/>
          <w:szCs w:val="52"/>
        </w:rPr>
      </w:pPr>
      <w:r>
        <w:rPr>
          <w:rFonts w:hint="default" w:ascii="Times New Roman" w:hAnsi="Times New Roman" w:eastAsia="方正小标宋_GBK" w:cs="Times New Roman"/>
          <w:b/>
          <w:bCs/>
          <w:sz w:val="52"/>
          <w:szCs w:val="52"/>
        </w:rPr>
        <w:t>202</w:t>
      </w:r>
      <w:r>
        <w:rPr>
          <w:rFonts w:hint="default" w:ascii="Times New Roman" w:hAnsi="Times New Roman" w:eastAsia="方正小标宋_GBK" w:cs="Times New Roman"/>
          <w:b/>
          <w:bCs/>
          <w:sz w:val="52"/>
          <w:szCs w:val="52"/>
          <w:lang w:val="en-US" w:eastAsia="zh-CN"/>
        </w:rPr>
        <w:t>2</w:t>
      </w:r>
      <w:r>
        <w:rPr>
          <w:rFonts w:hint="default" w:ascii="Times New Roman" w:hAnsi="Times New Roman" w:eastAsia="方正小标宋_GBK" w:cs="Times New Roman"/>
          <w:b/>
          <w:bCs/>
          <w:sz w:val="52"/>
          <w:szCs w:val="52"/>
        </w:rPr>
        <w:t>年度</w:t>
      </w:r>
    </w:p>
    <w:bookmarkEnd w:id="5"/>
    <w:p w14:paraId="7F54ADCA">
      <w:pPr>
        <w:adjustRightInd w:val="0"/>
        <w:snapToGrid w:val="0"/>
        <w:spacing w:line="360" w:lineRule="auto"/>
        <w:jc w:val="center"/>
        <w:outlineLvl w:val="9"/>
        <w:rPr>
          <w:rFonts w:hint="default" w:ascii="Times New Roman" w:hAnsi="Times New Roman" w:eastAsia="方正小标宋_GBK" w:cs="Times New Roman"/>
          <w:b/>
          <w:bCs/>
          <w:sz w:val="52"/>
          <w:szCs w:val="52"/>
        </w:rPr>
      </w:pPr>
      <w:bookmarkStart w:id="6" w:name="_Toc15396598"/>
      <w:bookmarkStart w:id="7" w:name="_Toc15378442"/>
      <w:bookmarkStart w:id="8" w:name="_Toc15396476"/>
      <w:bookmarkStart w:id="9" w:name="_Toc15377426"/>
      <w:bookmarkStart w:id="10" w:name="_Toc15377194"/>
      <w:bookmarkStart w:id="11" w:name="_Toc15306268"/>
      <w:r>
        <w:rPr>
          <w:rFonts w:hint="default" w:ascii="Times New Roman" w:hAnsi="Times New Roman" w:eastAsia="方正小标宋_GBK" w:cs="Times New Roman"/>
          <w:b/>
          <w:bCs/>
          <w:sz w:val="52"/>
          <w:szCs w:val="52"/>
        </w:rPr>
        <w:t>中共阿坝州壤塘县委员会组织部</w:t>
      </w:r>
    </w:p>
    <w:p w14:paraId="1D0D2DE8">
      <w:pPr>
        <w:adjustRightInd w:val="0"/>
        <w:snapToGrid w:val="0"/>
        <w:spacing w:line="360" w:lineRule="auto"/>
        <w:jc w:val="center"/>
        <w:outlineLvl w:val="9"/>
        <w:rPr>
          <w:rFonts w:hint="default" w:ascii="Times New Roman" w:hAnsi="Times New Roman" w:eastAsia="方正小标宋_GBK" w:cs="Times New Roman"/>
          <w:b/>
          <w:bCs/>
          <w:sz w:val="52"/>
          <w:szCs w:val="52"/>
        </w:rPr>
      </w:pPr>
      <w:r>
        <w:rPr>
          <w:rFonts w:hint="default" w:ascii="Times New Roman" w:hAnsi="Times New Roman" w:eastAsia="方正小标宋_GBK" w:cs="Times New Roman"/>
          <w:b/>
          <w:bCs/>
          <w:sz w:val="52"/>
          <w:szCs w:val="52"/>
        </w:rPr>
        <w:t>部门决算</w:t>
      </w:r>
      <w:bookmarkEnd w:id="6"/>
      <w:bookmarkEnd w:id="7"/>
      <w:bookmarkEnd w:id="8"/>
      <w:bookmarkEnd w:id="9"/>
      <w:bookmarkEnd w:id="10"/>
      <w:bookmarkEnd w:id="11"/>
    </w:p>
    <w:p w14:paraId="47AFBD2F">
      <w:pPr>
        <w:pStyle w:val="15"/>
        <w:outlineLvl w:val="9"/>
        <w:rPr>
          <w:rFonts w:hint="default" w:ascii="Times New Roman" w:hAnsi="Times New Roman" w:cs="Times New Roman"/>
        </w:rPr>
      </w:pPr>
      <w:r>
        <w:rPr>
          <w:rFonts w:hint="default" w:ascii="Times New Roman" w:hAnsi="Times New Roman" w:eastAsia="方正小标宋简体" w:cs="Times New Roman"/>
          <w:sz w:val="36"/>
          <w:szCs w:val="36"/>
        </w:rPr>
        <w:br w:type="page"/>
      </w:r>
    </w:p>
    <w:sdt>
      <w:sdtPr>
        <w:rPr>
          <w:rFonts w:hint="default" w:ascii="Times New Roman" w:hAnsi="Times New Roman" w:eastAsia="宋体" w:cs="Times New Roman"/>
          <w:kern w:val="2"/>
          <w:sz w:val="21"/>
          <w:szCs w:val="24"/>
          <w:lang w:val="en-US" w:eastAsia="zh-CN" w:bidi="ar-SA"/>
        </w:rPr>
        <w:id w:val="147477636"/>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14:paraId="220E8B78">
          <w:pPr>
            <w:widowControl/>
            <w:jc w:val="center"/>
            <w:rPr>
              <w:rFonts w:hint="default" w:ascii="Times New Roman" w:hAnsi="Times New Roman" w:eastAsia="黑体" w:cs="Times New Roman"/>
              <w:sz w:val="48"/>
              <w:szCs w:val="48"/>
            </w:rPr>
          </w:pPr>
          <w:bookmarkStart w:id="12" w:name="_Toc15396599"/>
          <w:bookmarkStart w:id="13" w:name="_Toc15377196"/>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13E05B04">
          <w:pPr>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sz w:val="28"/>
              <w:szCs w:val="28"/>
            </w:rPr>
          </w:pPr>
        </w:p>
        <w:p w14:paraId="0C747DE0">
          <w:pPr>
            <w:pStyle w:val="15"/>
            <w:pageBreakBefore w:val="0"/>
            <w:kinsoku/>
            <w:wordWrap/>
            <w:overflowPunct/>
            <w:topLinePunct w:val="0"/>
            <w:autoSpaceDE/>
            <w:autoSpaceDN/>
            <w:bidi w:val="0"/>
            <w:adjustRightInd/>
            <w:snapToGrid/>
            <w:spacing w:before="0" w:line="560" w:lineRule="exact"/>
            <w:ind w:left="0" w:leftChars="0"/>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rPr>
            <w:t>公开时间：</w:t>
          </w:r>
          <w:r>
            <w:rPr>
              <w:rFonts w:hint="default" w:ascii="Times New Roman" w:hAnsi="Times New Roman" w:cs="Times New Roman"/>
              <w:sz w:val="28"/>
              <w:szCs w:val="28"/>
              <w:highlight w:val="none"/>
            </w:rPr>
            <w:t>202</w:t>
          </w:r>
          <w:r>
            <w:rPr>
              <w:rFonts w:hint="default"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lang w:val="en-US" w:eastAsia="zh-CN"/>
            </w:rPr>
            <w:t>10</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lang w:val="en-US" w:eastAsia="zh-CN"/>
            </w:rPr>
            <w:t>23</w:t>
          </w:r>
          <w:r>
            <w:rPr>
              <w:rFonts w:hint="default" w:ascii="Times New Roman" w:hAnsi="Times New Roman" w:cs="Times New Roman"/>
              <w:sz w:val="28"/>
              <w:szCs w:val="28"/>
              <w:highlight w:val="none"/>
            </w:rPr>
            <w:t>日</w:t>
          </w:r>
        </w:p>
        <w:p w14:paraId="37CBE10B">
          <w:pPr>
            <w:pStyle w:val="15"/>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b w:val="0"/>
              <w:sz w:val="28"/>
              <w:szCs w:val="28"/>
            </w:rPr>
            <w:fldChar w:fldCharType="begin"/>
          </w:r>
          <w:r>
            <w:rPr>
              <w:rFonts w:hint="default" w:ascii="Times New Roman" w:hAnsi="Times New Roman" w:eastAsia="黑体" w:cs="Times New Roman"/>
              <w:b w:val="0"/>
              <w:sz w:val="28"/>
              <w:szCs w:val="28"/>
            </w:rPr>
            <w:instrText xml:space="preserve">TOC \o "1-2" \h \u </w:instrText>
          </w:r>
          <w:r>
            <w:rPr>
              <w:rFonts w:hint="default" w:ascii="Times New Roman" w:hAnsi="Times New Roman" w:eastAsia="黑体" w:cs="Times New Roman"/>
              <w:b w:val="0"/>
              <w:sz w:val="28"/>
              <w:szCs w:val="28"/>
            </w:rPr>
            <w:fldChar w:fldCharType="separate"/>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_Toc31844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第一部分 部门概况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_Toc31844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6B0BB544">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_Toc22300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一、基本职能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_Toc22300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7F99D8FE">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_Toc32346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二、机构设置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_Toc32346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5C583C13">
          <w:pPr>
            <w:pStyle w:val="15"/>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_Toc9893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第二部分 202</w:t>
          </w:r>
          <w:r>
            <w:rPr>
              <w:rFonts w:hint="default" w:ascii="Times New Roman" w:hAnsi="Times New Roman" w:eastAsia="仿宋" w:cs="Times New Roman"/>
              <w:bCs/>
              <w:sz w:val="28"/>
              <w:szCs w:val="28"/>
              <w:lang w:val="en-US" w:eastAsia="zh-CN"/>
            </w:rPr>
            <w:t>2</w:t>
          </w:r>
          <w:r>
            <w:rPr>
              <w:rFonts w:hint="default" w:ascii="Times New Roman" w:hAnsi="Times New Roman" w:eastAsia="仿宋" w:cs="Times New Roman"/>
              <w:bCs/>
              <w:sz w:val="28"/>
              <w:szCs w:val="28"/>
            </w:rPr>
            <w:t>年度部门决算情况说明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_Toc9893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2F37CD14">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_Toc18208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一、 收入支出决算总体情况说明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_Toc18208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29E508AA">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_Toc32582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二、 收入决算情况说明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_Toc32582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52CFA98F">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_Toc6400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三、 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_Toc6400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3CC5142F">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_Toc6272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四、财政拨款收入支出决算总体情况说明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_Toc6272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2A5C538B">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_Toc14948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五、一般公共预算财政拨款支出决算情况说明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_Toc14948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124EA52F">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_Toc8255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六、一般公共预算财政拨款基本支出决算情况说明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_Toc8255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24628AA0">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_Toc17931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val="0"/>
              <w:sz w:val="28"/>
              <w:szCs w:val="28"/>
            </w:rPr>
            <w:t>七、“三公”经费财政拨款支出决算情况说明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_Toc17931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3D42736D">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_Toc24764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val="0"/>
              <w:sz w:val="28"/>
              <w:szCs w:val="28"/>
            </w:rPr>
            <w:t>八、政府性基金预算支出决算情况说明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_Toc24764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3FF4C1D7">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_Toc30173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val="0"/>
              <w:sz w:val="28"/>
              <w:szCs w:val="28"/>
            </w:rPr>
            <w:t>九、 国有资本经营预算支出决算情况说明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_Toc30173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11BA820B">
          <w:pPr>
            <w:pStyle w:val="16"/>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_Toc10892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val="0"/>
              <w:sz w:val="28"/>
              <w:szCs w:val="28"/>
            </w:rPr>
            <w:t>十、 其他重要事项的情况说明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_Toc10892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4EC3A1F8">
          <w:pPr>
            <w:pStyle w:val="15"/>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_Toc1341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第三部分 名词解释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182850EE">
          <w:pPr>
            <w:pStyle w:val="15"/>
            <w:tabs>
              <w:tab w:val="right" w:leader="dot" w:pos="8306"/>
              <w:tab w:val="clear" w:pos="8296"/>
            </w:tabs>
            <w:rPr>
              <w:rFonts w:hint="default" w:ascii="Times New Roman" w:hAnsi="Times New Roman" w:cs="Times New Roman"/>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_Toc19486 </w:instrText>
          </w:r>
          <w:r>
            <w:rPr>
              <w:rFonts w:hint="default" w:ascii="Times New Roman" w:hAnsi="Times New Roman" w:eastAsia="黑体" w:cs="Times New Roman"/>
              <w:sz w:val="28"/>
              <w:szCs w:val="28"/>
            </w:rPr>
            <w:fldChar w:fldCharType="separate"/>
          </w:r>
          <w:r>
            <w:rPr>
              <w:rFonts w:hint="default" w:ascii="Times New Roman" w:hAnsi="Times New Roman" w:eastAsia="仿宋" w:cs="Times New Roman"/>
              <w:bCs/>
              <w:sz w:val="28"/>
              <w:szCs w:val="28"/>
            </w:rPr>
            <w:t>第四部分 附件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_Toc19486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eastAsia="黑体" w:cs="Times New Roman"/>
              <w:sz w:val="28"/>
              <w:szCs w:val="28"/>
            </w:rPr>
            <w:fldChar w:fldCharType="end"/>
          </w:r>
        </w:p>
        <w:p w14:paraId="1EBB3A5F">
          <w:pPr>
            <w:pStyle w:val="15"/>
            <w:tabs>
              <w:tab w:val="right" w:leader="dot" w:pos="8306"/>
              <w:tab w:val="clear" w:pos="8296"/>
            </w:tabs>
            <w:rPr>
              <w:rFonts w:hint="default" w:ascii="Times New Roman" w:hAnsi="Times New Roman" w:eastAsia="黑体" w:cs="Times New Roman"/>
              <w:sz w:val="28"/>
              <w:szCs w:val="28"/>
              <w:lang w:val="en-US" w:eastAsia="zh-CN"/>
            </w:rPr>
          </w:pPr>
          <w:r>
            <w:rPr>
              <w:rFonts w:hint="default" w:ascii="Times New Roman" w:hAnsi="Times New Roman" w:eastAsia="仿宋" w:cs="Times New Roman"/>
              <w:bCs/>
              <w:sz w:val="28"/>
              <w:szCs w:val="28"/>
              <w:lang w:eastAsia="zh-CN"/>
            </w:rPr>
            <w:t>第五部分</w:t>
          </w:r>
          <w:r>
            <w:rPr>
              <w:rFonts w:hint="default" w:ascii="Times New Roman" w:hAnsi="Times New Roman" w:eastAsia="仿宋" w:cs="Times New Roman"/>
              <w:bCs w:val="0"/>
              <w:kern w:val="2"/>
              <w:sz w:val="28"/>
              <w:szCs w:val="28"/>
              <w:lang w:val="en-US" w:eastAsia="zh-CN" w:bidi="ar-SA"/>
            </w:rPr>
            <w:t xml:space="preserve"> </w:t>
          </w:r>
          <w:r>
            <w:rPr>
              <w:rFonts w:hint="default" w:ascii="Times New Roman" w:hAnsi="Times New Roman" w:eastAsia="仿宋" w:cs="Times New Roman"/>
              <w:bCs w:val="0"/>
              <w:kern w:val="2"/>
              <w:sz w:val="28"/>
              <w:szCs w:val="28"/>
              <w:lang w:val="en-US" w:eastAsia="zh-CN" w:bidi="ar-SA"/>
            </w:rPr>
            <w:fldChar w:fldCharType="begin"/>
          </w:r>
          <w:r>
            <w:rPr>
              <w:rFonts w:hint="default" w:ascii="Times New Roman" w:hAnsi="Times New Roman" w:eastAsia="仿宋" w:cs="Times New Roman"/>
              <w:bCs w:val="0"/>
              <w:kern w:val="2"/>
              <w:sz w:val="28"/>
              <w:szCs w:val="28"/>
              <w:lang w:val="en-US" w:eastAsia="zh-CN" w:bidi="ar-SA"/>
            </w:rPr>
            <w:instrText xml:space="preserve"> HYPERLINK \l _Toc28430 </w:instrText>
          </w:r>
          <w:r>
            <w:rPr>
              <w:rFonts w:hint="default" w:ascii="Times New Roman" w:hAnsi="Times New Roman" w:eastAsia="仿宋" w:cs="Times New Roman"/>
              <w:bCs w:val="0"/>
              <w:kern w:val="2"/>
              <w:sz w:val="28"/>
              <w:szCs w:val="28"/>
              <w:lang w:val="en-US" w:eastAsia="zh-CN" w:bidi="ar-SA"/>
            </w:rPr>
            <w:fldChar w:fldCharType="separate"/>
          </w:r>
          <w:r>
            <w:rPr>
              <w:rFonts w:hint="default" w:ascii="Times New Roman" w:hAnsi="Times New Roman" w:eastAsia="仿宋" w:cs="Times New Roman"/>
              <w:bCs w:val="0"/>
              <w:kern w:val="2"/>
              <w:sz w:val="28"/>
              <w:szCs w:val="28"/>
              <w:lang w:val="en-US" w:eastAsia="zh-CN" w:bidi="ar-SA"/>
            </w:rPr>
            <w:t>附件</w:t>
          </w:r>
          <w:r>
            <w:rPr>
              <w:rFonts w:hint="default" w:ascii="Times New Roman" w:hAnsi="Times New Roman" w:eastAsia="仿宋" w:cs="Times New Roman"/>
              <w:bCs w:val="0"/>
              <w:kern w:val="2"/>
              <w:sz w:val="28"/>
              <w:szCs w:val="28"/>
              <w:lang w:val="en-US" w:eastAsia="zh-CN" w:bidi="ar-SA"/>
            </w:rPr>
            <w:tab/>
          </w:r>
          <w:r>
            <w:rPr>
              <w:rFonts w:hint="default" w:ascii="Times New Roman" w:hAnsi="Times New Roman" w:eastAsia="仿宋" w:cs="Times New Roman"/>
              <w:bCs w:val="0"/>
              <w:kern w:val="2"/>
              <w:sz w:val="28"/>
              <w:szCs w:val="28"/>
              <w:lang w:val="en-US" w:eastAsia="zh-CN" w:bidi="ar-SA"/>
            </w:rPr>
            <w:t>2</w:t>
          </w:r>
          <w:r>
            <w:rPr>
              <w:rFonts w:hint="default" w:ascii="Times New Roman" w:hAnsi="Times New Roman" w:eastAsia="仿宋" w:cs="Times New Roman"/>
              <w:bCs w:val="0"/>
              <w:kern w:val="2"/>
              <w:sz w:val="28"/>
              <w:szCs w:val="28"/>
              <w:lang w:val="en-US" w:eastAsia="zh-CN" w:bidi="ar-SA"/>
            </w:rPr>
            <w:fldChar w:fldCharType="end"/>
          </w:r>
          <w:r>
            <w:rPr>
              <w:rFonts w:hint="eastAsia" w:ascii="Times New Roman" w:hAnsi="Times New Roman" w:cs="Times New Roman"/>
              <w:bCs w:val="0"/>
              <w:kern w:val="2"/>
              <w:sz w:val="28"/>
              <w:szCs w:val="28"/>
              <w:lang w:val="en-US" w:eastAsia="zh-CN" w:bidi="ar-SA"/>
            </w:rPr>
            <w:t>7</w:t>
          </w:r>
        </w:p>
        <w:p w14:paraId="5088A3B4">
          <w:pPr>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Times New Roman"/>
              <w:b/>
              <w:bCs/>
              <w:kern w:val="44"/>
              <w:sz w:val="44"/>
              <w:szCs w:val="44"/>
              <w:lang w:val="en-US" w:eastAsia="zh-CN" w:bidi="ar-SA"/>
            </w:rPr>
          </w:pPr>
          <w:r>
            <w:rPr>
              <w:rFonts w:hint="default" w:ascii="Times New Roman" w:hAnsi="Times New Roman" w:eastAsia="黑体" w:cs="Times New Roman"/>
              <w:sz w:val="28"/>
              <w:szCs w:val="28"/>
            </w:rPr>
            <w:fldChar w:fldCharType="end"/>
          </w:r>
        </w:p>
      </w:sdtContent>
    </w:sdt>
    <w:sdt>
      <w:sdtPr>
        <w:rPr>
          <w:rFonts w:hint="default" w:ascii="Times New Roman" w:hAnsi="Times New Roman" w:eastAsia="宋体" w:cs="Times New Roman"/>
          <w:kern w:val="2"/>
          <w:sz w:val="21"/>
          <w:szCs w:val="24"/>
          <w:lang w:val="en-US" w:eastAsia="zh-CN" w:bidi="ar-SA"/>
        </w:rPr>
        <w:id w:val="147482239"/>
        <w:showingPlcHdr/>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14:paraId="631C23AD">
          <w:pPr>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b w:val="0"/>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Content>
    </w:sdt>
    <w:p w14:paraId="1C007AA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b/>
          <w:bCs/>
          <w:sz w:val="32"/>
          <w:szCs w:val="32"/>
        </w:rPr>
      </w:pPr>
      <w:bookmarkStart w:id="14" w:name="_Toc31844"/>
      <w:r>
        <w:rPr>
          <w:rFonts w:hint="eastAsia" w:ascii="黑体" w:hAnsi="黑体" w:eastAsia="黑体" w:cs="黑体"/>
          <w:sz w:val="32"/>
          <w:szCs w:val="32"/>
        </w:rPr>
        <w:t>第一部分 部门概况</w:t>
      </w:r>
      <w:bookmarkEnd w:id="12"/>
      <w:bookmarkEnd w:id="13"/>
      <w:bookmarkEnd w:id="14"/>
      <w:bookmarkStart w:id="15" w:name="_Toc15377197"/>
      <w:bookmarkStart w:id="16" w:name="_Toc22300"/>
      <w:bookmarkStart w:id="17" w:name="_Toc15396600"/>
    </w:p>
    <w:p w14:paraId="3420E3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一、基本职能</w:t>
      </w:r>
      <w:bookmarkEnd w:id="15"/>
      <w:bookmarkEnd w:id="16"/>
      <w:bookmarkEnd w:id="17"/>
    </w:p>
    <w:p w14:paraId="22B53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 w:name="_Toc15396601"/>
      <w:bookmarkStart w:id="19" w:name="_Toc32346"/>
      <w:bookmarkStart w:id="20" w:name="_Toc15377200"/>
      <w:r>
        <w:rPr>
          <w:rFonts w:hint="default" w:ascii="Times New Roman" w:hAnsi="Times New Roman" w:eastAsia="仿宋_GB2312" w:cs="Times New Roman"/>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全县老干部工作；承担县委党建领导小组、县人才工作领导小组日常工作；承办县委、州委组织部交办的其他</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事项。</w:t>
      </w:r>
    </w:p>
    <w:p w14:paraId="53F17C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二、机构设置</w:t>
      </w:r>
      <w:bookmarkEnd w:id="18"/>
      <w:bookmarkEnd w:id="19"/>
      <w:bookmarkEnd w:id="20"/>
    </w:p>
    <w:p w14:paraId="16A8C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中共阿坝州壤塘县委员会组织部</w:t>
      </w:r>
      <w:r>
        <w:rPr>
          <w:rFonts w:hint="default" w:ascii="Times New Roman" w:hAnsi="Times New Roman" w:eastAsia="仿宋_GB2312" w:cs="Times New Roman"/>
          <w:sz w:val="32"/>
          <w:szCs w:val="32"/>
          <w:lang w:val="en-US" w:eastAsia="zh-CN"/>
        </w:rPr>
        <w:t>为一级预算单位，基本性质为行政单位。纳入2022年度部门决算编制范围的一级预算单位包括：</w:t>
      </w:r>
    </w:p>
    <w:p w14:paraId="79901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中共壤塘</w:t>
      </w:r>
      <w:r>
        <w:rPr>
          <w:rFonts w:hint="default" w:ascii="Times New Roman" w:hAnsi="Times New Roman" w:eastAsia="仿宋_GB2312" w:cs="Times New Roman"/>
          <w:sz w:val="32"/>
          <w:szCs w:val="32"/>
          <w:lang w:val="en-US" w:eastAsia="zh-CN"/>
        </w:rPr>
        <w:t>县委组织部</w:t>
      </w:r>
    </w:p>
    <w:p w14:paraId="03261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中共壤塘</w:t>
      </w:r>
      <w:r>
        <w:rPr>
          <w:rFonts w:hint="default" w:ascii="Times New Roman" w:hAnsi="Times New Roman" w:eastAsia="仿宋_GB2312" w:cs="Times New Roman"/>
          <w:sz w:val="32"/>
          <w:szCs w:val="32"/>
          <w:lang w:val="en-US" w:eastAsia="zh-CN"/>
        </w:rPr>
        <w:t>县委组织部干部档案管理中心</w:t>
      </w:r>
    </w:p>
    <w:p w14:paraId="2682B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_GB2312" w:hAnsi="仿宋_GB2312" w:eastAsia="仿宋_GB2312" w:cs="仿宋_GB2312"/>
          <w:sz w:val="32"/>
          <w:szCs w:val="32"/>
        </w:rPr>
        <w:br w:type="page"/>
      </w:r>
      <w:bookmarkStart w:id="21" w:name="_Toc9893"/>
      <w:bookmarkStart w:id="22" w:name="_Toc15396602"/>
      <w:bookmarkStart w:id="23" w:name="_Toc15377204"/>
      <w:r>
        <w:rPr>
          <w:rFonts w:hint="eastAsia" w:ascii="黑体" w:hAnsi="黑体" w:eastAsia="黑体" w:cs="黑体"/>
          <w:b w:val="0"/>
          <w:bCs w:val="0"/>
          <w:kern w:val="2"/>
          <w:sz w:val="32"/>
          <w:szCs w:val="32"/>
          <w:lang w:val="en-US" w:eastAsia="zh-CN" w:bidi="ar-SA"/>
        </w:rPr>
        <w:t>第二部分 2022年度部门决算情况说明</w:t>
      </w:r>
      <w:bookmarkEnd w:id="21"/>
      <w:bookmarkEnd w:id="22"/>
      <w:bookmarkEnd w:id="23"/>
    </w:p>
    <w:p w14:paraId="33FF1A0A">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outlineLvl w:val="1"/>
        <w:rPr>
          <w:rFonts w:hint="default" w:ascii="楷体_GB2312" w:hAnsi="楷体_GB2312" w:eastAsia="楷体_GB2312" w:cs="楷体_GB2312"/>
          <w:b/>
          <w:bCs/>
          <w:kern w:val="2"/>
          <w:sz w:val="32"/>
          <w:szCs w:val="32"/>
          <w:lang w:val="en-US" w:eastAsia="zh-CN" w:bidi="ar-SA"/>
        </w:rPr>
      </w:pPr>
      <w:bookmarkStart w:id="24" w:name="_Toc18208"/>
      <w:bookmarkStart w:id="25" w:name="_Toc15396603"/>
      <w:bookmarkStart w:id="26" w:name="_Toc15377205"/>
    </w:p>
    <w:p w14:paraId="55436B3E">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outlineLvl w:val="1"/>
        <w:rPr>
          <w:rFonts w:hint="default" w:ascii="楷体_GB2312" w:hAnsi="楷体_GB2312" w:eastAsia="楷体_GB2312" w:cs="楷体_GB2312"/>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一、收入支出决算总体情况说明</w:t>
      </w:r>
      <w:bookmarkEnd w:id="24"/>
      <w:bookmarkEnd w:id="25"/>
      <w:bookmarkEnd w:id="26"/>
    </w:p>
    <w:p w14:paraId="32CEE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Style w:val="45"/>
          <w:rFonts w:hint="default" w:ascii="Times New Roman" w:hAnsi="Times New Roman" w:eastAsia="仿宋_GB2312" w:cs="Times New Roman"/>
          <w:sz w:val="32"/>
          <w:szCs w:val="32"/>
          <w:lang w:val="en-US" w:eastAsia="zh-CN"/>
        </w:rPr>
        <w:t>2022年度收入、支出各总计1731.19万元。与2021年相比，收、支总计各增加95.22万元，上升5.5%。主要变动原因项目较2022年增加，相应的项目资金也增加。</w:t>
      </w:r>
    </w:p>
    <w:p w14:paraId="66157BA2">
      <w:pPr>
        <w:pStyle w:val="25"/>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079875" cy="2802890"/>
            <wp:effectExtent l="4445" t="4445" r="1143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772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45"/>
          <w:rFonts w:hint="default" w:ascii="Times New Roman" w:hAnsi="Times New Roman" w:eastAsia="仿宋_GB2312" w:cs="Times New Roman"/>
          <w:sz w:val="32"/>
          <w:szCs w:val="32"/>
          <w:lang w:val="en-US" w:eastAsia="zh-CN"/>
        </w:rPr>
      </w:pPr>
      <w:r>
        <w:rPr>
          <w:rStyle w:val="45"/>
          <w:rFonts w:hint="default" w:ascii="Times New Roman" w:hAnsi="Times New Roman" w:eastAsia="仿宋_GB2312" w:cs="Times New Roman"/>
          <w:sz w:val="32"/>
          <w:szCs w:val="32"/>
          <w:lang w:val="en-US" w:eastAsia="zh-CN"/>
        </w:rPr>
        <w:t>（图1：收、支决算总计变动情况图）（柱状图）</w:t>
      </w:r>
    </w:p>
    <w:p w14:paraId="5BA079B2">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outlineLvl w:val="1"/>
        <w:rPr>
          <w:rFonts w:hint="default" w:ascii="楷体_GB2312" w:hAnsi="楷体_GB2312" w:eastAsia="楷体_GB2312" w:cs="楷体_GB2312"/>
          <w:b/>
          <w:bCs/>
          <w:kern w:val="2"/>
          <w:sz w:val="32"/>
          <w:szCs w:val="32"/>
          <w:lang w:val="en-US" w:eastAsia="zh-CN" w:bidi="ar-SA"/>
        </w:rPr>
      </w:pPr>
      <w:bookmarkStart w:id="27" w:name="_Toc15377206"/>
      <w:bookmarkStart w:id="28" w:name="_Toc15396604"/>
      <w:bookmarkStart w:id="29" w:name="_Toc32582"/>
      <w:r>
        <w:rPr>
          <w:rFonts w:hint="default" w:ascii="楷体_GB2312" w:hAnsi="楷体_GB2312" w:eastAsia="楷体_GB2312" w:cs="楷体_GB2312"/>
          <w:b/>
          <w:bCs/>
          <w:kern w:val="2"/>
          <w:sz w:val="32"/>
          <w:szCs w:val="32"/>
          <w:lang w:val="en-US" w:eastAsia="zh-CN" w:bidi="ar-SA"/>
        </w:rPr>
        <w:t>二、收入决算情况说明</w:t>
      </w:r>
      <w:bookmarkEnd w:id="27"/>
      <w:bookmarkEnd w:id="28"/>
      <w:bookmarkEnd w:id="29"/>
    </w:p>
    <w:p w14:paraId="6425B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45"/>
          <w:rFonts w:hint="default" w:ascii="Times New Roman" w:hAnsi="Times New Roman" w:eastAsia="仿宋_GB2312" w:cs="Times New Roman"/>
          <w:sz w:val="32"/>
          <w:szCs w:val="32"/>
          <w:lang w:val="en-US" w:eastAsia="zh-CN"/>
        </w:rPr>
      </w:pPr>
      <w:bookmarkStart w:id="30" w:name="_Toc13887"/>
      <w:bookmarkStart w:id="31" w:name="_Toc5986"/>
      <w:r>
        <w:rPr>
          <w:rStyle w:val="45"/>
          <w:rFonts w:hint="default" w:ascii="Times New Roman" w:hAnsi="Times New Roman" w:eastAsia="仿宋_GB2312" w:cs="Times New Roman"/>
          <w:sz w:val="32"/>
          <w:szCs w:val="32"/>
          <w:lang w:val="en-US" w:eastAsia="zh-CN"/>
        </w:rPr>
        <w:t>2022年本年收入合计1799.82万元，其中：一般公共预算财政拨款收入1799.82万元，占100%；政府性基金预算财政拨款收入0万元，占0%；国有资本经营预算财政拨款收入0万元，占0%；上级补助收入0万元，占0%；事业收入0万元，占0%；经营收入0万元，占0%；附属单位上缴收入0万元，占0%；其他收入0万元，占0%。</w:t>
      </w:r>
      <w:bookmarkEnd w:id="30"/>
      <w:bookmarkEnd w:id="31"/>
    </w:p>
    <w:p w14:paraId="7B647259">
      <w:pPr>
        <w:pStyle w:val="25"/>
        <w:rPr>
          <w:rFonts w:hint="default" w:ascii="Times New Roman" w:hAnsi="Times New Roman" w:eastAsia="仿宋_GB2312" w:cs="Times New Roman"/>
          <w:b/>
          <w:sz w:val="32"/>
          <w:szCs w:val="32"/>
        </w:rPr>
      </w:pPr>
    </w:p>
    <w:p w14:paraId="49027BD8">
      <w:pPr>
        <w:pStyle w:val="25"/>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drawing>
          <wp:inline distT="0" distB="0" distL="114300" distR="114300">
            <wp:extent cx="3950335" cy="2141220"/>
            <wp:effectExtent l="5080" t="4445" r="698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E58E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（图2：收入决算结构图）（饼状图）</w:t>
      </w:r>
    </w:p>
    <w:p w14:paraId="7BE625A7">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60" w:leftChars="0" w:hanging="720" w:firstLineChars="0"/>
        <w:textAlignment w:val="auto"/>
        <w:outlineLvl w:val="1"/>
        <w:rPr>
          <w:rFonts w:hint="default" w:ascii="楷体_GB2312" w:hAnsi="楷体_GB2312" w:eastAsia="楷体_GB2312" w:cs="楷体_GB2312"/>
          <w:b/>
          <w:bCs/>
          <w:kern w:val="2"/>
          <w:sz w:val="32"/>
          <w:szCs w:val="32"/>
          <w:lang w:val="en-US" w:eastAsia="zh-CN" w:bidi="ar-SA"/>
        </w:rPr>
      </w:pPr>
      <w:bookmarkStart w:id="32" w:name="_Toc6400"/>
      <w:bookmarkStart w:id="33" w:name="_Toc15396605"/>
      <w:bookmarkStart w:id="34" w:name="_Toc15377207"/>
      <w:r>
        <w:rPr>
          <w:rFonts w:hint="default" w:ascii="楷体_GB2312" w:hAnsi="楷体_GB2312" w:eastAsia="楷体_GB2312" w:cs="楷体_GB2312"/>
          <w:b/>
          <w:bCs/>
          <w:kern w:val="2"/>
          <w:sz w:val="32"/>
          <w:szCs w:val="32"/>
          <w:lang w:val="en-US" w:eastAsia="zh-CN" w:bidi="ar-SA"/>
        </w:rPr>
        <w:t>三、支出决算情况说明</w:t>
      </w:r>
      <w:bookmarkEnd w:id="32"/>
      <w:bookmarkEnd w:id="33"/>
      <w:bookmarkEnd w:id="34"/>
    </w:p>
    <w:p w14:paraId="73777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bookmarkStart w:id="35" w:name="_Toc25808"/>
      <w:bookmarkStart w:id="36" w:name="_Toc20789"/>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年本年支出合计</w:t>
      </w:r>
      <w:r>
        <w:rPr>
          <w:rStyle w:val="45"/>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719.11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39.95</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1080.71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60.05</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End w:id="35"/>
      <w:bookmarkEnd w:id="36"/>
    </w:p>
    <w:p w14:paraId="22F41F18">
      <w:pPr>
        <w:pStyle w:val="25"/>
        <w:jc w:val="center"/>
        <w:rPr>
          <w:rFonts w:hint="default" w:ascii="Times New Roman" w:hAnsi="Times New Roman" w:eastAsia="仿宋_GB2312" w:cs="Times New Roman"/>
          <w:sz w:val="32"/>
          <w:szCs w:val="32"/>
          <w:shd w:val="pct10" w:color="auto" w:fill="FFFFFF"/>
          <w:lang w:eastAsia="zh-CN"/>
        </w:rPr>
      </w:pPr>
      <w:r>
        <w:rPr>
          <w:rFonts w:hint="default" w:ascii="Times New Roman" w:hAnsi="Times New Roman" w:eastAsia="仿宋_GB2312" w:cs="Times New Roman"/>
          <w:sz w:val="32"/>
          <w:szCs w:val="32"/>
          <w:shd w:val="pct10" w:color="auto" w:fill="FFFFFF"/>
          <w:lang w:eastAsia="zh-CN"/>
        </w:rPr>
        <w:drawing>
          <wp:inline distT="0" distB="0" distL="114300" distR="114300">
            <wp:extent cx="4127500" cy="2525395"/>
            <wp:effectExtent l="4445" t="5080" r="20955" b="222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1AB6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（图3：支出决算结构图）（饼状图）</w:t>
      </w:r>
    </w:p>
    <w:p w14:paraId="670067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37" w:name="_Toc15396606"/>
      <w:bookmarkStart w:id="38" w:name="_Toc6272"/>
      <w:bookmarkStart w:id="39" w:name="_Toc15377208"/>
      <w:r>
        <w:rPr>
          <w:rFonts w:hint="default" w:ascii="楷体_GB2312" w:hAnsi="楷体_GB2312" w:eastAsia="楷体_GB2312" w:cs="楷体_GB2312"/>
          <w:b/>
          <w:bCs/>
          <w:sz w:val="32"/>
          <w:szCs w:val="32"/>
        </w:rPr>
        <w:t>四、财政拨款收入支出决算总体情况说明</w:t>
      </w:r>
      <w:bookmarkEnd w:id="37"/>
      <w:bookmarkEnd w:id="38"/>
      <w:bookmarkEnd w:id="39"/>
    </w:p>
    <w:p w14:paraId="55FAE6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年财政拨款收、支总计</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年相比，财政拨款收、支总计各</w:t>
      </w:r>
      <w:r>
        <w:rPr>
          <w:rFonts w:hint="default" w:ascii="Times New Roman" w:hAnsi="Times New Roman" w:eastAsia="仿宋_GB2312" w:cs="Times New Roman"/>
          <w:sz w:val="32"/>
          <w:szCs w:val="32"/>
          <w:lang w:val="en-US" w:eastAsia="zh-CN"/>
        </w:rPr>
        <w:t>增加164.03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上升9.11</w:t>
      </w:r>
      <w:r>
        <w:rPr>
          <w:rFonts w:hint="default" w:ascii="Times New Roman" w:hAnsi="Times New Roman" w:eastAsia="仿宋_GB2312" w:cs="Times New Roman"/>
          <w:sz w:val="32"/>
          <w:szCs w:val="32"/>
        </w:rPr>
        <w:t>%。主要变动原因</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，相应的项目资金</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w:t>
      </w:r>
    </w:p>
    <w:p w14:paraId="7FC06A80">
      <w:pPr>
        <w:pStyle w:val="25"/>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drawing>
          <wp:inline distT="0" distB="0" distL="114300" distR="114300">
            <wp:extent cx="4420235" cy="2554605"/>
            <wp:effectExtent l="4445" t="4445" r="13970" b="1270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2C96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（图4：财政拨款收、支决算总计变动情况）（柱状图）</w:t>
      </w:r>
    </w:p>
    <w:p w14:paraId="3BF71E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40" w:name="_Toc15377209"/>
      <w:bookmarkStart w:id="41" w:name="_Toc14948"/>
      <w:bookmarkStart w:id="42" w:name="_Toc15396607"/>
      <w:r>
        <w:rPr>
          <w:rFonts w:hint="default" w:ascii="楷体_GB2312" w:hAnsi="楷体_GB2312" w:eastAsia="楷体_GB2312" w:cs="楷体_GB2312"/>
          <w:b/>
          <w:bCs/>
          <w:sz w:val="32"/>
          <w:szCs w:val="32"/>
        </w:rPr>
        <w:t>五、一般公共预算财政拨款支出决算情况说明</w:t>
      </w:r>
      <w:bookmarkEnd w:id="40"/>
      <w:bookmarkEnd w:id="41"/>
      <w:bookmarkEnd w:id="42"/>
    </w:p>
    <w:p w14:paraId="4139F0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rPr>
      </w:pPr>
      <w:bookmarkStart w:id="43" w:name="_Toc15377210"/>
      <w:r>
        <w:rPr>
          <w:rFonts w:hint="default" w:ascii="Times New Roman" w:hAnsi="Times New Roman" w:eastAsia="仿宋_GB2312" w:cs="Times New Roman"/>
          <w:b/>
          <w:bCs/>
          <w:sz w:val="32"/>
          <w:szCs w:val="32"/>
        </w:rPr>
        <w:t>（一）一般公共预算财政拨款支出决算总体情况</w:t>
      </w:r>
      <w:bookmarkEnd w:id="43"/>
    </w:p>
    <w:p w14:paraId="1831E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年一般公共预算财政拨款支出</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年相比，一般公共预算财政拨款支出</w:t>
      </w:r>
      <w:r>
        <w:rPr>
          <w:rFonts w:hint="default" w:ascii="Times New Roman" w:hAnsi="Times New Roman" w:eastAsia="仿宋_GB2312" w:cs="Times New Roman"/>
          <w:sz w:val="32"/>
          <w:szCs w:val="32"/>
          <w:lang w:val="en-US" w:eastAsia="zh-CN"/>
        </w:rPr>
        <w:t>增加32.79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上升1.82</w:t>
      </w:r>
      <w:r>
        <w:rPr>
          <w:rFonts w:hint="default" w:ascii="Times New Roman" w:hAnsi="Times New Roman" w:eastAsia="仿宋_GB2312" w:cs="Times New Roman"/>
          <w:sz w:val="32"/>
          <w:szCs w:val="32"/>
        </w:rPr>
        <w:t>%。主要变动</w:t>
      </w:r>
      <w:r>
        <w:rPr>
          <w:rFonts w:hint="default" w:ascii="Times New Roman" w:hAnsi="Times New Roman" w:eastAsia="仿宋_GB2312" w:cs="Times New Roman"/>
          <w:sz w:val="32"/>
          <w:szCs w:val="32"/>
          <w:lang w:eastAsia="zh-CN"/>
        </w:rPr>
        <w:t>原因项目</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，相应的项目资金</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w:t>
      </w:r>
    </w:p>
    <w:p w14:paraId="5D20C040">
      <w:pPr>
        <w:bidi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195570" cy="2810510"/>
            <wp:effectExtent l="4445" t="4445" r="1968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8B6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（图5：一般公共预算财政拨款支出决算变动情况）（柱状图）</w:t>
      </w:r>
    </w:p>
    <w:p w14:paraId="4775F5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rPr>
      </w:pPr>
      <w:bookmarkStart w:id="44" w:name="_Toc15377211"/>
      <w:r>
        <w:rPr>
          <w:rFonts w:hint="default" w:ascii="Times New Roman" w:hAnsi="Times New Roman" w:eastAsia="仿宋_GB2312" w:cs="Times New Roman"/>
          <w:b/>
          <w:bCs/>
          <w:sz w:val="32"/>
          <w:szCs w:val="32"/>
        </w:rPr>
        <w:t>（二）一般公共预算财政拨款支出决算结构情况</w:t>
      </w:r>
      <w:bookmarkEnd w:id="44"/>
    </w:p>
    <w:p w14:paraId="1852D1D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年一般公共预算财政拨款支出</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sz w:val="32"/>
          <w:szCs w:val="32"/>
          <w:lang w:eastAsia="zh-CN"/>
        </w:rPr>
        <w:t>：</w:t>
      </w:r>
    </w:p>
    <w:p w14:paraId="52A1FE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一般公共服务支出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1037.45</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57.64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458B0C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教育支出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0.02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2B78FB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社会保障和就业支出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76.67</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4.26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4AFD72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卫生健康支出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44.14</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2.45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195D48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农林水支出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212.68</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11.82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5C2959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highlight w:val="none"/>
          <w:lang w:eastAsia="zh-CN"/>
        </w:rPr>
      </w:pPr>
      <w:r>
        <w:rPr>
          <w:rStyle w:val="20"/>
          <w:rFonts w:hint="default" w:ascii="Times New Roman" w:hAnsi="Times New Roman" w:eastAsia="仿宋_GB2312" w:cs="Times New Roman"/>
          <w:bCs/>
          <w:sz w:val="32"/>
          <w:szCs w:val="32"/>
          <w:highlight w:val="none"/>
          <w:lang w:eastAsia="zh-CN"/>
        </w:rPr>
        <w:t>住房保障支出</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val="en-US" w:eastAsia="zh-CN"/>
        </w:rPr>
        <w:t>类</w:t>
      </w:r>
      <w:r>
        <w:rPr>
          <w:rStyle w:val="20"/>
          <w:rFonts w:hint="default" w:ascii="Times New Roman" w:hAnsi="Times New Roman" w:eastAsia="仿宋_GB2312" w:cs="Times New Roman"/>
          <w:bCs/>
          <w:sz w:val="32"/>
          <w:szCs w:val="32"/>
          <w:highlight w:val="none"/>
        </w:rPr>
        <w:t>）</w:t>
      </w:r>
      <w:r>
        <w:rPr>
          <w:rStyle w:val="20"/>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43.95</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2.44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393B8A5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highlight w:val="none"/>
          <w:lang w:eastAsia="zh-CN"/>
        </w:rPr>
        <w:t>其他支出（</w:t>
      </w:r>
      <w:r>
        <w:rPr>
          <w:rStyle w:val="20"/>
          <w:rFonts w:hint="default" w:ascii="Times New Roman" w:hAnsi="Times New Roman" w:eastAsia="仿宋_GB2312" w:cs="Times New Roman"/>
          <w:bCs/>
          <w:sz w:val="32"/>
          <w:szCs w:val="32"/>
          <w:highlight w:val="none"/>
          <w:lang w:val="en-US" w:eastAsia="zh-CN"/>
        </w:rPr>
        <w:t>类）：</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384.61</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21.37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76945D4A">
      <w:pPr>
        <w:pStyle w:val="25"/>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drawing>
          <wp:inline distT="0" distB="0" distL="114300" distR="114300">
            <wp:extent cx="4284345" cy="2701290"/>
            <wp:effectExtent l="4445" t="4445" r="16510" b="184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C1DE8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（图6：一般公共预算财政拨款支出决算结构）（饼状图）</w:t>
      </w:r>
    </w:p>
    <w:p w14:paraId="451C49A8">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仿宋_GB2312" w:cs="Times New Roman"/>
          <w:b/>
          <w:bCs/>
          <w:sz w:val="32"/>
          <w:szCs w:val="32"/>
        </w:rPr>
      </w:pPr>
      <w:bookmarkStart w:id="45" w:name="_Toc15377212"/>
      <w:r>
        <w:rPr>
          <w:rFonts w:hint="default" w:ascii="Times New Roman" w:hAnsi="Times New Roman" w:eastAsia="仿宋_GB2312" w:cs="Times New Roman"/>
          <w:b/>
          <w:bCs/>
          <w:sz w:val="32"/>
          <w:szCs w:val="32"/>
        </w:rPr>
        <w:t>（三）一般公共预算财政拨款支出决算具体情况</w:t>
      </w:r>
      <w:bookmarkEnd w:id="45"/>
    </w:p>
    <w:p w14:paraId="498C4978">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bookmarkStart w:id="46" w:name="_Toc15378460"/>
      <w:bookmarkStart w:id="47" w:name="_Toc20654"/>
      <w:bookmarkStart w:id="48" w:name="_Toc15377444"/>
      <w:bookmarkStart w:id="49" w:name="_Toc15377213"/>
      <w:bookmarkStart w:id="50" w:name="_Toc25701"/>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年一般公共预算支出决算数为</w:t>
      </w:r>
      <w:r>
        <w:rPr>
          <w:rFonts w:hint="default" w:ascii="Times New Roman" w:hAnsi="Times New Roman" w:eastAsia="仿宋_GB2312" w:cs="Times New Roman"/>
          <w:b w:val="0"/>
          <w:bCs/>
          <w:sz w:val="32"/>
          <w:szCs w:val="32"/>
          <w:lang w:val="en-US" w:eastAsia="zh-CN"/>
        </w:rPr>
        <w:t>1799.82万元</w:t>
      </w:r>
      <w:r>
        <w:rPr>
          <w:rFonts w:hint="default" w:ascii="Times New Roman" w:hAnsi="Times New Roman" w:eastAsia="仿宋_GB2312" w:cs="Times New Roman"/>
          <w:b w:val="0"/>
          <w:bCs/>
          <w:sz w:val="32"/>
          <w:szCs w:val="32"/>
        </w:rPr>
        <w:t>，</w:t>
      </w:r>
      <w:r>
        <w:rPr>
          <w:rStyle w:val="20"/>
          <w:rFonts w:hint="default" w:ascii="Times New Roman" w:hAnsi="Times New Roman" w:eastAsia="仿宋_GB2312" w:cs="Times New Roman"/>
          <w:b w:val="0"/>
          <w:bCs/>
          <w:sz w:val="32"/>
          <w:szCs w:val="32"/>
        </w:rPr>
        <w:t>完成预算</w:t>
      </w:r>
      <w:r>
        <w:rPr>
          <w:rStyle w:val="20"/>
          <w:rFonts w:hint="default" w:ascii="Times New Roman" w:hAnsi="Times New Roman" w:eastAsia="仿宋_GB2312" w:cs="Times New Roman"/>
          <w:b w:val="0"/>
          <w:bCs/>
          <w:sz w:val="32"/>
          <w:szCs w:val="32"/>
          <w:lang w:val="en-US" w:eastAsia="zh-CN"/>
        </w:rPr>
        <w:t>100</w:t>
      </w:r>
      <w:r>
        <w:rPr>
          <w:rStyle w:val="20"/>
          <w:rFonts w:hint="default" w:ascii="Times New Roman" w:hAnsi="Times New Roman" w:eastAsia="仿宋_GB2312" w:cs="Times New Roman"/>
          <w:b w:val="0"/>
          <w:bCs/>
          <w:sz w:val="32"/>
          <w:szCs w:val="32"/>
        </w:rPr>
        <w:t>%。其中：</w:t>
      </w:r>
      <w:bookmarkEnd w:id="46"/>
      <w:bookmarkEnd w:id="47"/>
      <w:bookmarkEnd w:id="48"/>
      <w:bookmarkEnd w:id="49"/>
      <w:bookmarkEnd w:id="50"/>
    </w:p>
    <w:p w14:paraId="75677FFA">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rPr>
      </w:pPr>
      <w:r>
        <w:rPr>
          <w:rStyle w:val="20"/>
          <w:rFonts w:hint="default" w:ascii="Times New Roman" w:hAnsi="Times New Roman" w:eastAsia="仿宋_GB2312" w:cs="Times New Roman"/>
          <w:bCs/>
          <w:sz w:val="32"/>
          <w:szCs w:val="32"/>
        </w:rPr>
        <w:t>1、一般公共服务支出（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）组织事务（</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）行政运行（</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支出决算为516.58万元，完成预算100%，与预算数持平。</w:t>
      </w:r>
    </w:p>
    <w:p w14:paraId="2EA8F1C7">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rPr>
      </w:pPr>
      <w:r>
        <w:rPr>
          <w:rStyle w:val="20"/>
          <w:rFonts w:hint="default" w:ascii="Times New Roman" w:hAnsi="Times New Roman" w:eastAsia="仿宋_GB2312" w:cs="Times New Roman"/>
          <w:bCs/>
          <w:sz w:val="32"/>
          <w:szCs w:val="32"/>
        </w:rPr>
        <w:t>2、一般公共服务支出（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）组织事务（</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）一般行政管理事务（</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支出决算为385.06万元，完成预算100%，与预算数持平。</w:t>
      </w:r>
    </w:p>
    <w:p w14:paraId="488B32CD">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Cs/>
          <w:sz w:val="32"/>
          <w:szCs w:val="32"/>
        </w:rPr>
      </w:pPr>
      <w:r>
        <w:rPr>
          <w:rStyle w:val="20"/>
          <w:rFonts w:hint="default" w:ascii="Times New Roman" w:hAnsi="Times New Roman" w:eastAsia="仿宋_GB2312" w:cs="Times New Roman"/>
          <w:bCs/>
          <w:sz w:val="32"/>
          <w:szCs w:val="32"/>
        </w:rPr>
        <w:t>3、一般公共服务支出（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）组织事务（</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）事业运行（</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支出决算为52.03万元，完成预算100%，与预算数持平。</w:t>
      </w:r>
    </w:p>
    <w:p w14:paraId="518C14FC">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Cs/>
          <w:sz w:val="32"/>
          <w:szCs w:val="32"/>
        </w:rPr>
      </w:pPr>
      <w:r>
        <w:rPr>
          <w:rStyle w:val="20"/>
          <w:rFonts w:hint="default" w:ascii="Times New Roman" w:hAnsi="Times New Roman" w:eastAsia="仿宋_GB2312" w:cs="Times New Roman"/>
          <w:bCs/>
          <w:sz w:val="32"/>
          <w:szCs w:val="32"/>
        </w:rPr>
        <w:t>4、一般公共服务支出（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）组织事务（</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）其他组织事务支出（</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支出决算为83.8万元，完成预算100%，与预算数持平。</w:t>
      </w:r>
    </w:p>
    <w:p w14:paraId="47F30C06">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Cs/>
          <w:sz w:val="32"/>
          <w:szCs w:val="32"/>
          <w:lang w:val="en-US" w:eastAsia="zh-CN"/>
        </w:rPr>
      </w:pPr>
      <w:r>
        <w:rPr>
          <w:rStyle w:val="20"/>
          <w:rFonts w:hint="default" w:ascii="Times New Roman" w:hAnsi="Times New Roman" w:eastAsia="仿宋_GB2312" w:cs="Times New Roman"/>
          <w:bCs/>
          <w:sz w:val="32"/>
          <w:szCs w:val="32"/>
        </w:rPr>
        <w:t>5、教育支出（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）其他教育支出（</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）其他教育支出（</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支出决算为0.3万元，完成预算100%，与预算数持平。</w:t>
      </w:r>
    </w:p>
    <w:p w14:paraId="00C0E8A5">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rPr>
      </w:pPr>
      <w:r>
        <w:rPr>
          <w:rStyle w:val="20"/>
          <w:rFonts w:hint="default" w:ascii="Times New Roman" w:hAnsi="Times New Roman" w:eastAsia="仿宋_GB2312" w:cs="Times New Roman"/>
          <w:bCs/>
          <w:sz w:val="32"/>
          <w:szCs w:val="32"/>
        </w:rPr>
        <w:t>6、社会保障和就业支出（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）行政事业单位养老支出</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lang w:val="en-US" w:eastAsia="zh-CN"/>
        </w:rPr>
        <w:t>款）机关事业单位基本养老保险缴费支出</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支出决算为51.11万元，完成预算100%，与预算数持平。</w:t>
      </w:r>
    </w:p>
    <w:p w14:paraId="04F97BFB">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Cs/>
          <w:sz w:val="32"/>
          <w:szCs w:val="32"/>
        </w:rPr>
      </w:pPr>
      <w:r>
        <w:rPr>
          <w:rStyle w:val="20"/>
          <w:rFonts w:hint="default" w:ascii="Times New Roman" w:hAnsi="Times New Roman" w:eastAsia="仿宋_GB2312" w:cs="Times New Roman"/>
          <w:bCs/>
          <w:sz w:val="32"/>
          <w:szCs w:val="32"/>
          <w:lang w:val="en-US" w:eastAsia="zh-CN"/>
        </w:rPr>
        <w:t>7</w:t>
      </w:r>
      <w:r>
        <w:rPr>
          <w:rStyle w:val="20"/>
          <w:rFonts w:hint="default" w:ascii="Times New Roman" w:hAnsi="Times New Roman" w:eastAsia="仿宋_GB2312" w:cs="Times New Roman"/>
          <w:bCs/>
          <w:sz w:val="32"/>
          <w:szCs w:val="32"/>
        </w:rPr>
        <w:t>、社会保障和就业支出（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）行政事业单位养老支出</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lang w:val="en-US" w:eastAsia="zh-CN"/>
        </w:rPr>
        <w:t>款）机关事业单位职业年金缴费支出</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支出决算为25.56万元，完成预算100%，与预算数持平。</w:t>
      </w:r>
    </w:p>
    <w:p w14:paraId="6375B6C1">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Cs/>
          <w:sz w:val="32"/>
          <w:szCs w:val="32"/>
        </w:rPr>
      </w:pPr>
      <w:r>
        <w:rPr>
          <w:rStyle w:val="20"/>
          <w:rFonts w:hint="default" w:ascii="Times New Roman" w:hAnsi="Times New Roman" w:eastAsia="仿宋_GB2312" w:cs="Times New Roman"/>
          <w:bCs/>
          <w:sz w:val="32"/>
          <w:szCs w:val="32"/>
          <w:lang w:val="en-US" w:eastAsia="zh-CN"/>
        </w:rPr>
        <w:t>8</w:t>
      </w:r>
      <w:r>
        <w:rPr>
          <w:rStyle w:val="20"/>
          <w:rFonts w:hint="default" w:ascii="Times New Roman" w:hAnsi="Times New Roman" w:eastAsia="仿宋_GB2312" w:cs="Times New Roman"/>
          <w:bCs/>
          <w:sz w:val="32"/>
          <w:szCs w:val="32"/>
        </w:rPr>
        <w:t>、卫生健康支出（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）公共卫生（</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）重大公共卫生服务（</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支出决算为14.26万元，完成预算100%，与预算数持平。</w:t>
      </w:r>
    </w:p>
    <w:p w14:paraId="2EBF8C76">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rPr>
      </w:pPr>
      <w:r>
        <w:rPr>
          <w:rStyle w:val="20"/>
          <w:rFonts w:hint="default" w:ascii="Times New Roman" w:hAnsi="Times New Roman" w:eastAsia="仿宋_GB2312" w:cs="Times New Roman"/>
          <w:bCs/>
          <w:sz w:val="32"/>
          <w:szCs w:val="32"/>
          <w:lang w:val="en-US" w:eastAsia="zh-CN"/>
        </w:rPr>
        <w:t>9</w:t>
      </w:r>
      <w:r>
        <w:rPr>
          <w:rStyle w:val="20"/>
          <w:rFonts w:hint="default" w:ascii="Times New Roman" w:hAnsi="Times New Roman" w:eastAsia="仿宋_GB2312" w:cs="Times New Roman"/>
          <w:bCs/>
          <w:sz w:val="32"/>
          <w:szCs w:val="32"/>
        </w:rPr>
        <w:t>、卫生健康支出（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）行政事业单位医疗（</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）行政单位医疗（</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 w:val="0"/>
          <w:bCs w:val="0"/>
          <w:sz w:val="32"/>
          <w:szCs w:val="32"/>
        </w:rPr>
        <w:t>支出决算为20.22万元，完成预算100%，与预算数持平。</w:t>
      </w:r>
    </w:p>
    <w:p w14:paraId="6DF7A453">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default" w:ascii="Times New Roman" w:hAnsi="Times New Roman" w:eastAsia="仿宋_GB2312" w:cs="Times New Roman"/>
          <w:b/>
          <w:bCs w:val="0"/>
          <w:sz w:val="32"/>
          <w:szCs w:val="32"/>
          <w:lang w:val="en-US" w:eastAsia="zh-CN"/>
        </w:rPr>
      </w:pPr>
      <w:r>
        <w:rPr>
          <w:rStyle w:val="20"/>
          <w:rFonts w:hint="default" w:ascii="Times New Roman" w:hAnsi="Times New Roman" w:eastAsia="仿宋_GB2312" w:cs="Times New Roman"/>
          <w:bCs/>
          <w:sz w:val="32"/>
          <w:szCs w:val="32"/>
          <w:lang w:val="en-US" w:eastAsia="zh-CN"/>
        </w:rPr>
        <w:t>10</w:t>
      </w:r>
      <w:r>
        <w:rPr>
          <w:rStyle w:val="20"/>
          <w:rFonts w:hint="default" w:ascii="Times New Roman" w:hAnsi="Times New Roman" w:eastAsia="仿宋_GB2312" w:cs="Times New Roman"/>
          <w:bCs/>
          <w:sz w:val="32"/>
          <w:szCs w:val="32"/>
        </w:rPr>
        <w:t>、卫生健康支出（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）行政事业单位医疗（</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）事业单位医疗（</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支出决算为2.88万元，完成预算100%，与预算数持平。</w:t>
      </w:r>
    </w:p>
    <w:p w14:paraId="7D29AF8C">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Fonts w:hint="default" w:ascii="Times New Roman" w:hAnsi="Times New Roman" w:eastAsia="仿宋_GB2312" w:cs="Times New Roman"/>
          <w:b/>
          <w:bCs w:val="0"/>
          <w:sz w:val="32"/>
          <w:szCs w:val="32"/>
          <w:lang w:val="en-US" w:eastAsia="zh-CN"/>
        </w:rPr>
      </w:pPr>
      <w:r>
        <w:rPr>
          <w:rStyle w:val="20"/>
          <w:rFonts w:hint="default" w:ascii="Times New Roman" w:hAnsi="Times New Roman" w:eastAsia="仿宋_GB2312" w:cs="Times New Roman"/>
          <w:bCs/>
          <w:sz w:val="32"/>
          <w:szCs w:val="32"/>
          <w:lang w:val="en-US" w:eastAsia="zh-CN"/>
        </w:rPr>
        <w:t>11</w:t>
      </w:r>
      <w:r>
        <w:rPr>
          <w:rStyle w:val="20"/>
          <w:rFonts w:hint="default" w:ascii="Times New Roman" w:hAnsi="Times New Roman" w:eastAsia="仿宋_GB2312" w:cs="Times New Roman"/>
          <w:bCs/>
          <w:sz w:val="32"/>
          <w:szCs w:val="32"/>
        </w:rPr>
        <w:t>、卫生健康支出（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）行政事业单位医疗（</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）公务员医疗补助（</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6.01</w:t>
      </w:r>
      <w:r>
        <w:rPr>
          <w:rStyle w:val="20"/>
          <w:rFonts w:hint="default" w:ascii="Times New Roman" w:hAnsi="Times New Roman" w:eastAsia="仿宋_GB2312" w:cs="Times New Roman"/>
          <w:b w:val="0"/>
          <w:bCs w:val="0"/>
          <w:sz w:val="32"/>
          <w:szCs w:val="32"/>
        </w:rPr>
        <w:t>万元，完成预算100%，与预算数持平。</w:t>
      </w:r>
    </w:p>
    <w:p w14:paraId="0D31E555">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lang w:val="en-US" w:eastAsia="zh-CN"/>
        </w:rPr>
      </w:pPr>
      <w:r>
        <w:rPr>
          <w:rStyle w:val="20"/>
          <w:rFonts w:hint="default" w:ascii="Times New Roman" w:hAnsi="Times New Roman" w:eastAsia="仿宋_GB2312" w:cs="Times New Roman"/>
          <w:bCs/>
          <w:sz w:val="32"/>
          <w:szCs w:val="32"/>
          <w:lang w:val="en-US" w:eastAsia="zh-CN"/>
        </w:rPr>
        <w:t>12</w:t>
      </w:r>
      <w:r>
        <w:rPr>
          <w:rStyle w:val="20"/>
          <w:rFonts w:hint="default" w:ascii="Times New Roman" w:hAnsi="Times New Roman" w:eastAsia="仿宋_GB2312" w:cs="Times New Roman"/>
          <w:bCs/>
          <w:sz w:val="32"/>
          <w:szCs w:val="32"/>
        </w:rPr>
        <w:t>、卫生健康支出（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）行政事业单位医疗（</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）其他行政事业单位医疗支出（</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0.75</w:t>
      </w:r>
      <w:r>
        <w:rPr>
          <w:rStyle w:val="20"/>
          <w:rFonts w:hint="default" w:ascii="Times New Roman" w:hAnsi="Times New Roman" w:eastAsia="仿宋_GB2312" w:cs="Times New Roman"/>
          <w:b w:val="0"/>
          <w:bCs w:val="0"/>
          <w:sz w:val="32"/>
          <w:szCs w:val="32"/>
        </w:rPr>
        <w:t>万元，完成预算100%，与预算数持平</w:t>
      </w:r>
      <w:r>
        <w:rPr>
          <w:rStyle w:val="20"/>
          <w:rFonts w:hint="default" w:ascii="Times New Roman" w:hAnsi="Times New Roman" w:eastAsia="仿宋_GB2312" w:cs="Times New Roman"/>
          <w:b w:val="0"/>
          <w:bCs w:val="0"/>
          <w:sz w:val="32"/>
          <w:szCs w:val="32"/>
          <w:lang w:val="en-US" w:eastAsia="zh-CN"/>
        </w:rPr>
        <w:t>。</w:t>
      </w:r>
    </w:p>
    <w:p w14:paraId="21B31A24">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lang w:eastAsia="zh-CN"/>
        </w:rPr>
      </w:pPr>
      <w:r>
        <w:rPr>
          <w:rStyle w:val="20"/>
          <w:rFonts w:hint="default" w:ascii="Times New Roman" w:hAnsi="Times New Roman" w:eastAsia="仿宋_GB2312" w:cs="Times New Roman"/>
          <w:bCs/>
          <w:sz w:val="32"/>
          <w:szCs w:val="32"/>
          <w:lang w:val="en-US" w:eastAsia="zh-CN"/>
        </w:rPr>
        <w:t>13</w:t>
      </w:r>
      <w:r>
        <w:rPr>
          <w:rStyle w:val="20"/>
          <w:rFonts w:hint="default" w:ascii="Times New Roman" w:hAnsi="Times New Roman" w:eastAsia="仿宋_GB2312" w:cs="Times New Roman"/>
          <w:bCs/>
          <w:sz w:val="32"/>
          <w:szCs w:val="32"/>
        </w:rPr>
        <w:t>、农林水支出（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）巩固脱贫衔接乡村振兴（</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）其他巩固脱贫衔接乡村振兴支出（</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208.3</w:t>
      </w:r>
      <w:r>
        <w:rPr>
          <w:rStyle w:val="20"/>
          <w:rFonts w:hint="default" w:ascii="Times New Roman" w:hAnsi="Times New Roman" w:eastAsia="仿宋_GB2312" w:cs="Times New Roman"/>
          <w:b w:val="0"/>
          <w:bCs w:val="0"/>
          <w:sz w:val="32"/>
          <w:szCs w:val="32"/>
        </w:rPr>
        <w:t>万元，完成预算100%，与预算数持平</w:t>
      </w:r>
      <w:r>
        <w:rPr>
          <w:rStyle w:val="20"/>
          <w:rFonts w:hint="default" w:ascii="Times New Roman" w:hAnsi="Times New Roman" w:eastAsia="仿宋_GB2312" w:cs="Times New Roman"/>
          <w:b w:val="0"/>
          <w:bCs w:val="0"/>
          <w:sz w:val="32"/>
          <w:szCs w:val="32"/>
          <w:lang w:eastAsia="zh-CN"/>
        </w:rPr>
        <w:t>。</w:t>
      </w:r>
    </w:p>
    <w:p w14:paraId="09C122FB">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lang w:eastAsia="zh-CN"/>
        </w:rPr>
      </w:pPr>
      <w:r>
        <w:rPr>
          <w:rStyle w:val="20"/>
          <w:rFonts w:hint="default" w:ascii="Times New Roman" w:hAnsi="Times New Roman" w:eastAsia="仿宋_GB2312" w:cs="Times New Roman"/>
          <w:bCs/>
          <w:sz w:val="32"/>
          <w:szCs w:val="32"/>
          <w:lang w:val="en-US" w:eastAsia="zh-CN"/>
        </w:rPr>
        <w:t>14</w:t>
      </w:r>
      <w:r>
        <w:rPr>
          <w:rStyle w:val="20"/>
          <w:rFonts w:hint="default" w:ascii="Times New Roman" w:hAnsi="Times New Roman" w:eastAsia="仿宋_GB2312" w:cs="Times New Roman"/>
          <w:bCs/>
          <w:sz w:val="32"/>
          <w:szCs w:val="32"/>
        </w:rPr>
        <w:t>、农林水支出（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）农村综合改革（</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）对村民委员会和村党支部的补助（</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4.38</w:t>
      </w:r>
      <w:r>
        <w:rPr>
          <w:rStyle w:val="20"/>
          <w:rFonts w:hint="default" w:ascii="Times New Roman" w:hAnsi="Times New Roman" w:eastAsia="仿宋_GB2312" w:cs="Times New Roman"/>
          <w:b w:val="0"/>
          <w:bCs w:val="0"/>
          <w:sz w:val="32"/>
          <w:szCs w:val="32"/>
        </w:rPr>
        <w:t>万元，完成预算100%，与预算数持平</w:t>
      </w:r>
      <w:r>
        <w:rPr>
          <w:rStyle w:val="20"/>
          <w:rFonts w:hint="default" w:ascii="Times New Roman" w:hAnsi="Times New Roman" w:eastAsia="仿宋_GB2312" w:cs="Times New Roman"/>
          <w:b w:val="0"/>
          <w:bCs w:val="0"/>
          <w:sz w:val="32"/>
          <w:szCs w:val="32"/>
          <w:lang w:eastAsia="zh-CN"/>
        </w:rPr>
        <w:t>。</w:t>
      </w:r>
    </w:p>
    <w:p w14:paraId="7A2B6A88">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lang w:val="en-US" w:eastAsia="zh-CN"/>
        </w:rPr>
      </w:pPr>
      <w:r>
        <w:rPr>
          <w:rStyle w:val="20"/>
          <w:rFonts w:hint="default" w:ascii="Times New Roman" w:hAnsi="Times New Roman" w:eastAsia="仿宋_GB2312" w:cs="Times New Roman"/>
          <w:bCs/>
          <w:sz w:val="32"/>
          <w:szCs w:val="32"/>
          <w:lang w:val="en-US" w:eastAsia="zh-CN"/>
        </w:rPr>
        <w:t>15</w:t>
      </w:r>
      <w:r>
        <w:rPr>
          <w:rStyle w:val="20"/>
          <w:rFonts w:hint="default" w:ascii="Times New Roman" w:hAnsi="Times New Roman" w:eastAsia="仿宋_GB2312" w:cs="Times New Roman"/>
          <w:bCs/>
          <w:sz w:val="32"/>
          <w:szCs w:val="32"/>
        </w:rPr>
        <w:t>、住房保障支出（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）住房改革支出（</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）住房公积金（</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43.95</w:t>
      </w:r>
      <w:r>
        <w:rPr>
          <w:rStyle w:val="20"/>
          <w:rFonts w:hint="default" w:ascii="Times New Roman" w:hAnsi="Times New Roman" w:eastAsia="仿宋_GB2312" w:cs="Times New Roman"/>
          <w:b w:val="0"/>
          <w:bCs w:val="0"/>
          <w:sz w:val="32"/>
          <w:szCs w:val="32"/>
        </w:rPr>
        <w:t>万元，完成预算100%，与预算数持平</w:t>
      </w:r>
      <w:r>
        <w:rPr>
          <w:rStyle w:val="20"/>
          <w:rFonts w:hint="default" w:ascii="Times New Roman" w:hAnsi="Times New Roman" w:eastAsia="仿宋_GB2312" w:cs="Times New Roman"/>
          <w:b w:val="0"/>
          <w:bCs w:val="0"/>
          <w:sz w:val="32"/>
          <w:szCs w:val="32"/>
          <w:lang w:eastAsia="zh-CN"/>
        </w:rPr>
        <w:t>。</w:t>
      </w:r>
    </w:p>
    <w:p w14:paraId="5C5E88E0">
      <w:pPr>
        <w:pStyle w:val="25"/>
        <w:keepNext w:val="0"/>
        <w:keepLines w:val="0"/>
        <w:pageBreakBefore w:val="0"/>
        <w:widowControl w:val="0"/>
        <w:kinsoku/>
        <w:wordWrap/>
        <w:overflowPunct/>
        <w:topLinePunct w:val="0"/>
        <w:bidi w:val="0"/>
        <w:snapToGrid/>
        <w:spacing w:line="560" w:lineRule="exact"/>
        <w:ind w:firstLine="643" w:firstLineChars="200"/>
        <w:textAlignment w:val="auto"/>
        <w:outlineLvl w:val="9"/>
        <w:rPr>
          <w:rStyle w:val="20"/>
          <w:rFonts w:hint="default" w:ascii="Times New Roman" w:hAnsi="Times New Roman" w:eastAsia="仿宋_GB2312" w:cs="Times New Roman"/>
          <w:b w:val="0"/>
          <w:bCs w:val="0"/>
          <w:sz w:val="32"/>
          <w:szCs w:val="32"/>
          <w:lang w:val="en-US" w:eastAsia="zh-CN"/>
        </w:rPr>
      </w:pPr>
      <w:r>
        <w:rPr>
          <w:rStyle w:val="20"/>
          <w:rFonts w:hint="default" w:ascii="Times New Roman" w:hAnsi="Times New Roman" w:eastAsia="仿宋_GB2312" w:cs="Times New Roman"/>
          <w:bCs/>
          <w:sz w:val="32"/>
          <w:szCs w:val="32"/>
          <w:lang w:val="en-US" w:eastAsia="zh-CN"/>
        </w:rPr>
        <w:t>16</w:t>
      </w:r>
      <w:r>
        <w:rPr>
          <w:rStyle w:val="20"/>
          <w:rFonts w:hint="default" w:ascii="Times New Roman" w:hAnsi="Times New Roman" w:eastAsia="仿宋_GB2312" w:cs="Times New Roman"/>
          <w:bCs/>
          <w:sz w:val="32"/>
          <w:szCs w:val="32"/>
        </w:rPr>
        <w:t>、其他支出（</w:t>
      </w:r>
      <w:r>
        <w:rPr>
          <w:rStyle w:val="20"/>
          <w:rFonts w:hint="default" w:ascii="Times New Roman" w:hAnsi="Times New Roman" w:eastAsia="仿宋_GB2312" w:cs="Times New Roman"/>
          <w:bCs/>
          <w:sz w:val="32"/>
          <w:szCs w:val="32"/>
          <w:lang w:val="en-US" w:eastAsia="zh-CN"/>
        </w:rPr>
        <w:t>类</w:t>
      </w:r>
      <w:r>
        <w:rPr>
          <w:rStyle w:val="20"/>
          <w:rFonts w:hint="default" w:ascii="Times New Roman" w:hAnsi="Times New Roman" w:eastAsia="仿宋_GB2312" w:cs="Times New Roman"/>
          <w:bCs/>
          <w:sz w:val="32"/>
          <w:szCs w:val="32"/>
        </w:rPr>
        <w:t>）其他支出（</w:t>
      </w:r>
      <w:r>
        <w:rPr>
          <w:rStyle w:val="20"/>
          <w:rFonts w:hint="default" w:ascii="Times New Roman" w:hAnsi="Times New Roman" w:eastAsia="仿宋_GB2312" w:cs="Times New Roman"/>
          <w:bCs/>
          <w:sz w:val="32"/>
          <w:szCs w:val="32"/>
          <w:lang w:val="en-US" w:eastAsia="zh-CN"/>
        </w:rPr>
        <w:t>款</w:t>
      </w:r>
      <w:r>
        <w:rPr>
          <w:rStyle w:val="20"/>
          <w:rFonts w:hint="default" w:ascii="Times New Roman" w:hAnsi="Times New Roman" w:eastAsia="仿宋_GB2312" w:cs="Times New Roman"/>
          <w:bCs/>
          <w:sz w:val="32"/>
          <w:szCs w:val="32"/>
        </w:rPr>
        <w:t>）其他支出（</w:t>
      </w:r>
      <w:r>
        <w:rPr>
          <w:rStyle w:val="20"/>
          <w:rFonts w:hint="default" w:ascii="Times New Roman" w:hAnsi="Times New Roman" w:eastAsia="仿宋_GB2312" w:cs="Times New Roman"/>
          <w:bCs/>
          <w:sz w:val="32"/>
          <w:szCs w:val="32"/>
          <w:lang w:val="en-US" w:eastAsia="zh-CN"/>
        </w:rPr>
        <w:t>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Cs/>
          <w:sz w:val="32"/>
          <w:szCs w:val="32"/>
        </w:rPr>
        <w:t xml:space="preserve"> </w:t>
      </w:r>
      <w:r>
        <w:rPr>
          <w:rStyle w:val="20"/>
          <w:rFonts w:hint="default" w:ascii="Times New Roman" w:hAnsi="Times New Roman" w:eastAsia="仿宋_GB2312" w:cs="Times New Roman"/>
          <w:b w:val="0"/>
          <w:bCs w:val="0"/>
          <w:sz w:val="32"/>
          <w:szCs w:val="32"/>
        </w:rPr>
        <w:t>支出决算为</w:t>
      </w:r>
      <w:r>
        <w:rPr>
          <w:rStyle w:val="20"/>
          <w:rFonts w:hint="default" w:ascii="Times New Roman" w:hAnsi="Times New Roman" w:eastAsia="仿宋_GB2312" w:cs="Times New Roman"/>
          <w:b w:val="0"/>
          <w:bCs w:val="0"/>
          <w:sz w:val="32"/>
          <w:szCs w:val="32"/>
          <w:lang w:val="en-US" w:eastAsia="zh-CN"/>
        </w:rPr>
        <w:t>384.61</w:t>
      </w:r>
      <w:r>
        <w:rPr>
          <w:rStyle w:val="20"/>
          <w:rFonts w:hint="default" w:ascii="Times New Roman" w:hAnsi="Times New Roman" w:eastAsia="仿宋_GB2312" w:cs="Times New Roman"/>
          <w:b w:val="0"/>
          <w:bCs w:val="0"/>
          <w:sz w:val="32"/>
          <w:szCs w:val="32"/>
        </w:rPr>
        <w:t>万元，完成预算100%，与预算数持平</w:t>
      </w:r>
      <w:r>
        <w:rPr>
          <w:rStyle w:val="20"/>
          <w:rFonts w:hint="default" w:ascii="Times New Roman" w:hAnsi="Times New Roman" w:eastAsia="仿宋_GB2312" w:cs="Times New Roman"/>
          <w:b w:val="0"/>
          <w:bCs w:val="0"/>
          <w:sz w:val="32"/>
          <w:szCs w:val="32"/>
          <w:lang w:eastAsia="zh-CN"/>
        </w:rPr>
        <w:t>。</w:t>
      </w:r>
    </w:p>
    <w:p w14:paraId="0B1F05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51" w:name="_Toc15377214"/>
      <w:bookmarkStart w:id="52" w:name="_Toc15396608"/>
      <w:bookmarkStart w:id="53" w:name="_Toc8255"/>
      <w:r>
        <w:rPr>
          <w:rFonts w:hint="default" w:ascii="楷体_GB2312" w:hAnsi="楷体_GB2312" w:eastAsia="楷体_GB2312" w:cs="楷体_GB2312"/>
          <w:b/>
          <w:bCs/>
          <w:sz w:val="32"/>
          <w:szCs w:val="32"/>
        </w:rPr>
        <w:t>六、一般公共预算财政拨款基本支出决算情况说明</w:t>
      </w:r>
      <w:bookmarkEnd w:id="51"/>
      <w:bookmarkEnd w:id="52"/>
      <w:bookmarkEnd w:id="53"/>
      <w:r>
        <w:rPr>
          <w:rFonts w:hint="default" w:ascii="楷体_GB2312" w:hAnsi="楷体_GB2312" w:eastAsia="楷体_GB2312" w:cs="楷体_GB2312"/>
          <w:b/>
          <w:bCs/>
          <w:sz w:val="32"/>
          <w:szCs w:val="32"/>
        </w:rPr>
        <w:tab/>
      </w:r>
    </w:p>
    <w:p w14:paraId="28ECF6DD">
      <w:pPr>
        <w:keepNext w:val="0"/>
        <w:keepLines w:val="0"/>
        <w:pageBreakBefore w:val="0"/>
        <w:widowControl w:val="0"/>
        <w:kinsoku/>
        <w:wordWrap/>
        <w:overflowPunct/>
        <w:topLinePunct w:val="0"/>
        <w:bidi w:val="0"/>
        <w:snapToGrid/>
        <w:spacing w:line="560" w:lineRule="exact"/>
        <w:ind w:firstLine="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年一般公共预算财政拨款基本支出</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万元，其中：</w:t>
      </w:r>
    </w:p>
    <w:p w14:paraId="0748C7B8">
      <w:pPr>
        <w:keepNext w:val="0"/>
        <w:keepLines w:val="0"/>
        <w:pageBreakBefore w:val="0"/>
        <w:widowControl w:val="0"/>
        <w:kinsoku/>
        <w:wordWrap/>
        <w:overflowPunct/>
        <w:topLinePunct w:val="0"/>
        <w:bidi w:val="0"/>
        <w:snapToGrid/>
        <w:spacing w:line="560" w:lineRule="exact"/>
        <w:ind w:firstLine="645"/>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666.36</w:t>
      </w:r>
      <w:r>
        <w:rPr>
          <w:rFonts w:hint="default" w:ascii="Times New Roman" w:hAnsi="Times New Roman" w:eastAsia="仿宋_GB2312"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339658D">
      <w:pPr>
        <w:keepNext w:val="0"/>
        <w:keepLines w:val="0"/>
        <w:pageBreakBefore w:val="0"/>
        <w:widowControl w:val="0"/>
        <w:kinsoku/>
        <w:wordWrap/>
        <w:overflowPunct/>
        <w:topLinePunct w:val="0"/>
        <w:bidi w:val="0"/>
        <w:snapToGrid/>
        <w:spacing w:line="560" w:lineRule="exact"/>
        <w:ind w:firstLine="645"/>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52.75</w:t>
      </w:r>
      <w:r>
        <w:rPr>
          <w:rFonts w:hint="default" w:ascii="Times New Roman" w:hAnsi="Times New Roman" w:eastAsia="仿宋_GB2312"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91FC1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54" w:name="_Toc15377215"/>
      <w:bookmarkStart w:id="55" w:name="_Toc17931"/>
      <w:bookmarkStart w:id="56" w:name="_Toc15396609"/>
      <w:r>
        <w:rPr>
          <w:rFonts w:hint="default" w:ascii="楷体_GB2312" w:hAnsi="楷体_GB2312" w:eastAsia="楷体_GB2312" w:cs="楷体_GB2312"/>
          <w:b/>
          <w:bCs/>
          <w:sz w:val="32"/>
          <w:szCs w:val="32"/>
        </w:rPr>
        <w:t>七、“三公”经费财政拨款支出决算情况说明</w:t>
      </w:r>
      <w:bookmarkEnd w:id="54"/>
      <w:bookmarkEnd w:id="55"/>
      <w:bookmarkEnd w:id="56"/>
    </w:p>
    <w:p w14:paraId="7AB3AF1A">
      <w:pPr>
        <w:keepNext w:val="0"/>
        <w:keepLines w:val="0"/>
        <w:pageBreakBefore w:val="0"/>
        <w:widowControl w:val="0"/>
        <w:kinsoku/>
        <w:wordWrap/>
        <w:overflowPunct/>
        <w:topLinePunct w:val="0"/>
        <w:bidi w:val="0"/>
        <w:snapToGrid/>
        <w:spacing w:line="560" w:lineRule="exact"/>
        <w:ind w:firstLine="640"/>
        <w:textAlignment w:val="auto"/>
        <w:outlineLvl w:val="2"/>
        <w:rPr>
          <w:rFonts w:hint="default" w:ascii="Times New Roman" w:hAnsi="Times New Roman" w:eastAsia="仿宋_GB2312" w:cs="Times New Roman"/>
          <w:b/>
          <w:bCs w:val="0"/>
          <w:sz w:val="32"/>
          <w:szCs w:val="32"/>
        </w:rPr>
      </w:pPr>
      <w:bookmarkStart w:id="57" w:name="_Toc15377216"/>
      <w:r>
        <w:rPr>
          <w:rFonts w:hint="default" w:ascii="Times New Roman" w:hAnsi="Times New Roman" w:eastAsia="仿宋_GB2312" w:cs="Times New Roman"/>
          <w:b/>
          <w:bCs w:val="0"/>
          <w:sz w:val="32"/>
          <w:szCs w:val="32"/>
        </w:rPr>
        <w:t>（一）“三公”经费财政拨款支出决算总体情况说明</w:t>
      </w:r>
      <w:bookmarkEnd w:id="57"/>
    </w:p>
    <w:p w14:paraId="71F7306D">
      <w:pPr>
        <w:keepNext w:val="0"/>
        <w:keepLines w:val="0"/>
        <w:pageBreakBefore w:val="0"/>
        <w:widowControl w:val="0"/>
        <w:kinsoku/>
        <w:wordWrap/>
        <w:overflowPunct/>
        <w:topLinePunct w:val="0"/>
        <w:bidi w:val="0"/>
        <w:snapToGrid/>
        <w:spacing w:line="560"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年“三公”经费财政拨款支出决算为</w:t>
      </w:r>
      <w:r>
        <w:rPr>
          <w:rFonts w:hint="default" w:ascii="Times New Roman" w:hAnsi="Times New Roman" w:eastAsia="仿宋_GB2312" w:cs="Times New Roman"/>
          <w:sz w:val="32"/>
          <w:szCs w:val="32"/>
          <w:lang w:val="en-US" w:eastAsia="zh-CN"/>
        </w:rPr>
        <w:t>22.24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%，与预算数持平。</w:t>
      </w:r>
    </w:p>
    <w:p w14:paraId="13FD8CF3">
      <w:pPr>
        <w:keepNext w:val="0"/>
        <w:keepLines w:val="0"/>
        <w:pageBreakBefore w:val="0"/>
        <w:widowControl w:val="0"/>
        <w:kinsoku/>
        <w:wordWrap/>
        <w:overflowPunct/>
        <w:topLinePunct w:val="0"/>
        <w:bidi w:val="0"/>
        <w:snapToGrid/>
        <w:spacing w:line="560" w:lineRule="exact"/>
        <w:ind w:firstLine="640"/>
        <w:textAlignment w:val="auto"/>
        <w:outlineLvl w:val="2"/>
        <w:rPr>
          <w:rFonts w:hint="default" w:ascii="Times New Roman" w:hAnsi="Times New Roman" w:eastAsia="仿宋_GB2312" w:cs="Times New Roman"/>
          <w:b/>
          <w:bCs w:val="0"/>
          <w:sz w:val="32"/>
          <w:szCs w:val="32"/>
        </w:rPr>
      </w:pPr>
      <w:bookmarkStart w:id="58" w:name="_Toc15377217"/>
      <w:r>
        <w:rPr>
          <w:rFonts w:hint="default" w:ascii="Times New Roman" w:hAnsi="Times New Roman" w:eastAsia="仿宋_GB2312" w:cs="Times New Roman"/>
          <w:b/>
          <w:bCs w:val="0"/>
          <w:sz w:val="32"/>
          <w:szCs w:val="32"/>
        </w:rPr>
        <w:t>（二）“三公”经费财政拨款支出决算具体情况说明</w:t>
      </w:r>
      <w:bookmarkEnd w:id="58"/>
    </w:p>
    <w:p w14:paraId="230FB41D">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98.92</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0.24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rPr>
        <w:t>%。具体情况如下：</w:t>
      </w:r>
    </w:p>
    <w:p w14:paraId="709235D7">
      <w:pPr>
        <w:pStyle w:val="2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080000" cy="3328035"/>
            <wp:effectExtent l="4445" t="4445" r="20955"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23BB30">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14:paraId="70A27C14">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因公出国（境）经费支出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20"/>
          <w:rFonts w:hint="default" w:ascii="Times New Roman" w:hAnsi="Times New Roman" w:eastAsia="仿宋_GB2312" w:cs="Times New Roman"/>
          <w:b w:val="0"/>
          <w:bCs/>
          <w:sz w:val="32"/>
          <w:szCs w:val="32"/>
        </w:rPr>
        <w:t>完成预算</w:t>
      </w:r>
      <w:r>
        <w:rPr>
          <w:rStyle w:val="20"/>
          <w:rFonts w:hint="default" w:ascii="Times New Roman" w:hAnsi="Times New Roman" w:eastAsia="仿宋_GB2312" w:cs="Times New Roman"/>
          <w:b w:val="0"/>
          <w:bCs/>
          <w:sz w:val="32"/>
          <w:szCs w:val="32"/>
          <w:lang w:val="en-US" w:eastAsia="zh-CN"/>
        </w:rPr>
        <w:t>0</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年增加/减少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万元，增长/下降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%。主要原因</w:t>
      </w:r>
      <w:r>
        <w:rPr>
          <w:rFonts w:hint="default" w:ascii="Times New Roman" w:hAnsi="Times New Roman" w:eastAsia="仿宋_GB2312" w:cs="Times New Roman"/>
          <w:sz w:val="32"/>
          <w:szCs w:val="32"/>
          <w:lang w:eastAsia="zh-CN"/>
        </w:rPr>
        <w:t>未安排</w:t>
      </w:r>
      <w:r>
        <w:rPr>
          <w:rFonts w:hint="default" w:ascii="Times New Roman" w:hAnsi="Times New Roman" w:eastAsia="仿宋_GB2312" w:cs="Times New Roman"/>
          <w:sz w:val="32"/>
          <w:szCs w:val="32"/>
        </w:rPr>
        <w:t>因公出国（境）。</w:t>
      </w:r>
    </w:p>
    <w:p w14:paraId="46FF48AD">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公务用车购置及运行维护费支出</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color w:val="000000"/>
          <w:kern w:val="2"/>
          <w:sz w:val="32"/>
          <w:szCs w:val="32"/>
          <w:lang w:val="en-US" w:eastAsia="zh-CN"/>
        </w:rPr>
        <w:t>22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Style w:val="20"/>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color w:val="000000"/>
          <w:kern w:val="2"/>
          <w:sz w:val="32"/>
          <w:szCs w:val="32"/>
          <w:lang w:val="zh-CN"/>
        </w:rPr>
        <w:t>100%</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公务用车购置及运行维护费支出决算比202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减少5.69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降低25.86</w:t>
      </w:r>
      <w:r>
        <w:rPr>
          <w:rFonts w:hint="default" w:ascii="Times New Roman" w:hAnsi="Times New Roman" w:eastAsia="仿宋_GB2312" w:cs="Times New Roman"/>
          <w:sz w:val="32"/>
          <w:szCs w:val="32"/>
        </w:rPr>
        <w:t>%。</w:t>
      </w:r>
    </w:p>
    <w:p w14:paraId="3AD41CD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年12月底，单位共有公务用车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14:paraId="3FCF895C">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万元。</w:t>
      </w:r>
      <w:r>
        <w:rPr>
          <w:rStyle w:val="20"/>
          <w:rFonts w:hint="default" w:ascii="Times New Roman" w:hAnsi="Times New Roman" w:eastAsia="仿宋_GB2312" w:cs="Times New Roman"/>
          <w:b w:val="0"/>
          <w:bCs/>
          <w:sz w:val="32"/>
          <w:szCs w:val="32"/>
        </w:rPr>
        <w:t>完成预算</w:t>
      </w:r>
      <w:r>
        <w:rPr>
          <w:rStyle w:val="20"/>
          <w:rFonts w:hint="default" w:ascii="Times New Roman" w:hAnsi="Times New Roman" w:eastAsia="仿宋_GB2312" w:cs="Times New Roman"/>
          <w:b w:val="0"/>
          <w:bCs/>
          <w:sz w:val="32"/>
          <w:szCs w:val="32"/>
          <w:lang w:val="en-US" w:eastAsia="zh-CN"/>
        </w:rPr>
        <w:t>100</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主要用于所需的公务用车燃料费、维修费、过路过桥费、保险费等支出。</w:t>
      </w:r>
    </w:p>
    <w:p w14:paraId="2F3120C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0.24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年减少</w:t>
      </w:r>
      <w:r>
        <w:rPr>
          <w:rFonts w:hint="default" w:ascii="Times New Roman" w:hAnsi="Times New Roman" w:eastAsia="仿宋_GB2312" w:cs="Times New Roman"/>
          <w:sz w:val="32"/>
          <w:szCs w:val="32"/>
          <w:lang w:val="en-US" w:eastAsia="zh-CN"/>
        </w:rPr>
        <w:t>0.06</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%。主要原因</w:t>
      </w:r>
      <w:r>
        <w:rPr>
          <w:rFonts w:hint="default" w:ascii="Times New Roman" w:hAnsi="Times New Roman" w:eastAsia="仿宋_GB2312" w:cs="Times New Roman"/>
          <w:sz w:val="32"/>
          <w:szCs w:val="32"/>
          <w:lang w:eastAsia="zh-CN"/>
        </w:rPr>
        <w:t>厉行勤俭节约</w:t>
      </w:r>
      <w:r>
        <w:rPr>
          <w:rFonts w:hint="default" w:ascii="Times New Roman" w:hAnsi="Times New Roman" w:eastAsia="仿宋_GB2312" w:cs="Times New Roman"/>
          <w:sz w:val="32"/>
          <w:szCs w:val="32"/>
        </w:rPr>
        <w:t>。</w:t>
      </w:r>
    </w:p>
    <w:p w14:paraId="2A18880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4、国内公务接待支出</w:t>
      </w:r>
      <w:r>
        <w:rPr>
          <w:rFonts w:hint="default" w:ascii="Times New Roman" w:hAnsi="Times New Roman" w:eastAsia="仿宋_GB2312" w:cs="Times New Roman"/>
          <w:b w:val="0"/>
          <w:bCs w:val="0"/>
          <w:sz w:val="32"/>
          <w:szCs w:val="32"/>
          <w:lang w:val="en-US" w:eastAsia="zh-CN"/>
        </w:rPr>
        <w:t>0.46万元，主要用于执行公务、开展业务活动开支的交通费、住宿费、用餐费等，共计支出0.46万元。</w:t>
      </w:r>
    </w:p>
    <w:p w14:paraId="7B83996A">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sz w:val="32"/>
          <w:szCs w:val="32"/>
          <w:lang w:val="en-US" w:eastAsia="zh-CN"/>
        </w:rPr>
        <w:t>5、</w:t>
      </w:r>
      <w:r>
        <w:rPr>
          <w:rFonts w:hint="default" w:ascii="Times New Roman" w:hAnsi="Times New Roman" w:eastAsia="仿宋_GB2312" w:cs="Times New Roman"/>
          <w:b/>
          <w:bCs w:val="0"/>
          <w:sz w:val="32"/>
          <w:szCs w:val="32"/>
        </w:rPr>
        <w:t>外事接待支出</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59" w:name="_Toc15396610"/>
      <w:bookmarkStart w:id="60" w:name="_Toc15377218"/>
    </w:p>
    <w:p w14:paraId="58F037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61" w:name="_Toc24764"/>
      <w:r>
        <w:rPr>
          <w:rFonts w:hint="default" w:ascii="楷体_GB2312" w:hAnsi="楷体_GB2312" w:eastAsia="楷体_GB2312" w:cs="楷体_GB2312"/>
          <w:b/>
          <w:bCs/>
          <w:sz w:val="32"/>
          <w:szCs w:val="32"/>
        </w:rPr>
        <w:t>八、政府性基金预算支出决算情况说明</w:t>
      </w:r>
      <w:bookmarkEnd w:id="59"/>
      <w:bookmarkEnd w:id="60"/>
      <w:bookmarkEnd w:id="61"/>
    </w:p>
    <w:p w14:paraId="5898020C">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年政府性基金预算财政拨款支出</w:t>
      </w:r>
      <w:r>
        <w:rPr>
          <w:rFonts w:hint="default" w:ascii="Times New Roman" w:hAnsi="Times New Roman" w:eastAsia="仿宋_GB2312" w:cs="Times New Roman"/>
          <w:b w:val="0"/>
          <w:bCs/>
          <w:sz w:val="32"/>
          <w:szCs w:val="32"/>
          <w:lang w:val="en-US" w:eastAsia="zh-CN"/>
        </w:rPr>
        <w:t>0</w:t>
      </w:r>
      <w:r>
        <w:rPr>
          <w:rFonts w:hint="default" w:ascii="Times New Roman" w:hAnsi="Times New Roman" w:eastAsia="仿宋_GB2312" w:cs="Times New Roman"/>
          <w:b w:val="0"/>
          <w:bCs/>
          <w:sz w:val="32"/>
          <w:szCs w:val="32"/>
        </w:rPr>
        <w:t>万元。</w:t>
      </w:r>
    </w:p>
    <w:p w14:paraId="6AE7E302">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年国有资本经营预算财政拨款支出</w:t>
      </w:r>
      <w:r>
        <w:rPr>
          <w:rFonts w:hint="default" w:ascii="Times New Roman" w:hAnsi="Times New Roman" w:eastAsia="仿宋_GB2312" w:cs="Times New Roman"/>
          <w:b w:val="0"/>
          <w:bCs/>
          <w:sz w:val="32"/>
          <w:szCs w:val="32"/>
          <w:lang w:val="en-US" w:eastAsia="zh-CN"/>
        </w:rPr>
        <w:t>0</w:t>
      </w:r>
      <w:r>
        <w:rPr>
          <w:rFonts w:hint="default" w:ascii="Times New Roman" w:hAnsi="Times New Roman" w:eastAsia="仿宋_GB2312" w:cs="Times New Roman"/>
          <w:b w:val="0"/>
          <w:bCs/>
          <w:sz w:val="32"/>
          <w:szCs w:val="32"/>
        </w:rPr>
        <w:t>万元。</w:t>
      </w:r>
    </w:p>
    <w:p w14:paraId="73488D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62" w:name="_Toc15396611"/>
      <w:bookmarkStart w:id="63" w:name="_Toc30173"/>
      <w:bookmarkStart w:id="64" w:name="_Toc15377219"/>
      <w:r>
        <w:rPr>
          <w:rFonts w:hint="default" w:ascii="楷体_GB2312" w:hAnsi="楷体_GB2312" w:eastAsia="楷体_GB2312" w:cs="楷体_GB2312"/>
          <w:b/>
          <w:bCs/>
          <w:sz w:val="32"/>
          <w:szCs w:val="32"/>
        </w:rPr>
        <w:t>国有资本经营预算支出决算情况说明</w:t>
      </w:r>
      <w:bookmarkEnd w:id="62"/>
      <w:bookmarkEnd w:id="63"/>
      <w:bookmarkEnd w:id="64"/>
    </w:p>
    <w:p w14:paraId="2907E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eastAsia="zh-CN"/>
        </w:rPr>
        <w:t>无</w:t>
      </w:r>
    </w:p>
    <w:p w14:paraId="460A1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bookmarkStart w:id="65" w:name="_Toc15396612"/>
      <w:bookmarkStart w:id="66" w:name="_Toc15377221"/>
      <w:bookmarkStart w:id="67" w:name="_Toc10892"/>
      <w:r>
        <w:rPr>
          <w:rFonts w:hint="eastAsia" w:ascii="楷体_GB2312" w:hAnsi="楷体_GB2312" w:eastAsia="楷体_GB2312" w:cs="楷体_GB2312"/>
          <w:b/>
          <w:bCs/>
          <w:sz w:val="32"/>
          <w:szCs w:val="32"/>
          <w:lang w:eastAsia="zh-CN"/>
        </w:rPr>
        <w:t>十、</w:t>
      </w:r>
      <w:r>
        <w:rPr>
          <w:rFonts w:hint="default" w:ascii="楷体_GB2312" w:hAnsi="楷体_GB2312" w:eastAsia="楷体_GB2312" w:cs="楷体_GB2312"/>
          <w:b/>
          <w:bCs/>
          <w:sz w:val="32"/>
          <w:szCs w:val="32"/>
        </w:rPr>
        <w:t>其他重要事项的情况说明</w:t>
      </w:r>
      <w:bookmarkEnd w:id="65"/>
      <w:bookmarkEnd w:id="66"/>
      <w:bookmarkEnd w:id="67"/>
    </w:p>
    <w:p w14:paraId="7BE723E3">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仿宋_GB2312" w:cs="Times New Roman"/>
          <w:b/>
          <w:bCs w:val="0"/>
          <w:sz w:val="32"/>
          <w:szCs w:val="32"/>
        </w:rPr>
      </w:pPr>
      <w:bookmarkStart w:id="68" w:name="_Toc15377222"/>
      <w:r>
        <w:rPr>
          <w:rFonts w:hint="default" w:ascii="Times New Roman" w:hAnsi="Times New Roman" w:eastAsia="仿宋_GB2312" w:cs="Times New Roman"/>
          <w:b/>
          <w:bCs w:val="0"/>
          <w:sz w:val="32"/>
          <w:szCs w:val="32"/>
        </w:rPr>
        <w:t>（一）机关运行经费支出情况</w:t>
      </w:r>
      <w:bookmarkEnd w:id="68"/>
    </w:p>
    <w:p w14:paraId="3881744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年，机关运行经费支出</w:t>
      </w:r>
      <w:r>
        <w:rPr>
          <w:rFonts w:hint="default" w:ascii="Times New Roman" w:hAnsi="Times New Roman" w:eastAsia="仿宋_GB2312" w:cs="Times New Roman"/>
          <w:color w:val="000000"/>
          <w:kern w:val="2"/>
          <w:sz w:val="32"/>
          <w:szCs w:val="32"/>
          <w:lang w:val="zh-CN"/>
        </w:rPr>
        <w:t>49.91</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减少9.44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降低18.91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主要原因</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lang w:eastAsia="zh-CN"/>
        </w:rPr>
        <w:t>，公用经费相应</w:t>
      </w:r>
      <w:r>
        <w:rPr>
          <w:rFonts w:hint="default"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lang w:eastAsia="zh-CN"/>
        </w:rPr>
        <w:t>。</w:t>
      </w:r>
    </w:p>
    <w:p w14:paraId="0FE0D91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仿宋_GB2312" w:cs="Times New Roman"/>
          <w:b/>
          <w:bCs w:val="0"/>
          <w:sz w:val="32"/>
          <w:szCs w:val="32"/>
        </w:rPr>
      </w:pPr>
      <w:bookmarkStart w:id="69" w:name="_Toc15377223"/>
      <w:r>
        <w:rPr>
          <w:rFonts w:hint="default" w:ascii="Times New Roman" w:hAnsi="Times New Roman" w:eastAsia="仿宋_GB2312" w:cs="Times New Roman"/>
          <w:b/>
          <w:bCs w:val="0"/>
          <w:sz w:val="32"/>
          <w:szCs w:val="32"/>
        </w:rPr>
        <w:t>（二）政府采购支出情况</w:t>
      </w:r>
      <w:bookmarkEnd w:id="69"/>
    </w:p>
    <w:p w14:paraId="3212B2AF">
      <w:pPr>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年，政府采购支出总额</w:t>
      </w:r>
      <w:r>
        <w:rPr>
          <w:rFonts w:hint="default" w:ascii="Times New Roman" w:hAnsi="Times New Roman" w:eastAsia="仿宋_GB2312" w:cs="Times New Roman"/>
          <w:color w:val="000000"/>
          <w:kern w:val="2"/>
          <w:sz w:val="32"/>
          <w:szCs w:val="32"/>
          <w:lang w:val="zh-CN"/>
        </w:rPr>
        <w:t>88.98</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88.98</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color w:val="000000"/>
          <w:kern w:val="2"/>
          <w:sz w:val="32"/>
          <w:szCs w:val="32"/>
          <w:lang w:val="en-US" w:eastAsia="zh-CN"/>
        </w:rPr>
        <w:t>0</w:t>
      </w:r>
      <w:r>
        <w:rPr>
          <w:rFonts w:hint="default" w:ascii="Times New Roman" w:hAnsi="Times New Roman" w:eastAsia="仿宋_GB2312" w:cs="Times New Roman"/>
          <w:sz w:val="32"/>
          <w:szCs w:val="32"/>
        </w:rPr>
        <w:t>万元。</w:t>
      </w:r>
    </w:p>
    <w:p w14:paraId="089246D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仿宋_GB2312" w:cs="Times New Roman"/>
          <w:b/>
          <w:bCs w:val="0"/>
          <w:sz w:val="32"/>
          <w:szCs w:val="32"/>
        </w:rPr>
      </w:pPr>
      <w:bookmarkStart w:id="70" w:name="_Toc15377224"/>
      <w:r>
        <w:rPr>
          <w:rFonts w:hint="default" w:ascii="Times New Roman" w:hAnsi="Times New Roman" w:eastAsia="仿宋_GB2312" w:cs="Times New Roman"/>
          <w:b/>
          <w:bCs w:val="0"/>
          <w:sz w:val="32"/>
          <w:szCs w:val="32"/>
        </w:rPr>
        <w:t>（三）国有资产占有使用情况</w:t>
      </w:r>
      <w:bookmarkEnd w:id="70"/>
    </w:p>
    <w:p w14:paraId="1148E7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年12月31日共有车辆</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单价50万元以上通用设备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台（套），单价100万元以上专用设备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14:paraId="2CAF850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（四）预算绩效管理情况</w:t>
      </w:r>
    </w:p>
    <w:p w14:paraId="6EAAB4A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年部门整体支出</w:t>
      </w:r>
      <w:r>
        <w:rPr>
          <w:rFonts w:hint="default" w:ascii="Times New Roman" w:hAnsi="Times New Roman" w:eastAsia="仿宋_GB2312" w:cs="Times New Roman"/>
          <w:sz w:val="32"/>
          <w:szCs w:val="32"/>
          <w:lang w:eastAsia="zh-CN"/>
        </w:rPr>
        <w:t>及项目支出</w:t>
      </w:r>
      <w:r>
        <w:rPr>
          <w:rFonts w:hint="default" w:ascii="Times New Roman" w:hAnsi="Times New Roman" w:eastAsia="仿宋_GB2312" w:cs="Times New Roman"/>
          <w:sz w:val="32"/>
          <w:szCs w:val="32"/>
        </w:rPr>
        <w:t>开展绩效自评，从评价情况来看，202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年目标任务基本完成，预算执行情况较好。</w:t>
      </w:r>
    </w:p>
    <w:p w14:paraId="2E244289">
      <w:pPr>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项目绩效目标完成情况</w:t>
      </w:r>
    </w:p>
    <w:p w14:paraId="58E82093">
      <w:pPr>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按要求对202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w:t>
      </w:r>
      <w:r>
        <w:rPr>
          <w:rFonts w:hint="default" w:ascii="Times New Roman" w:hAnsi="Times New Roman" w:eastAsia="仿宋_GB2312" w:cs="Times New Roman"/>
          <w:sz w:val="32"/>
          <w:szCs w:val="32"/>
          <w:lang w:eastAsia="zh-CN"/>
        </w:rPr>
        <w:t>项目支出开展</w:t>
      </w:r>
      <w:r>
        <w:rPr>
          <w:rFonts w:hint="default" w:ascii="Times New Roman" w:hAnsi="Times New Roman" w:eastAsia="仿宋_GB2312" w:cs="Times New Roman"/>
          <w:sz w:val="32"/>
          <w:szCs w:val="32"/>
        </w:rPr>
        <w:t>绩效自评，</w:t>
      </w:r>
      <w:r>
        <w:rPr>
          <w:rFonts w:hint="default" w:ascii="Times New Roman" w:hAnsi="Times New Roman" w:eastAsia="仿宋_GB2312" w:cs="Times New Roman"/>
          <w:sz w:val="32"/>
          <w:szCs w:val="32"/>
          <w:lang w:eastAsia="zh-CN"/>
        </w:rPr>
        <w:t>详见</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14:paraId="2F4EA9AB">
      <w:pPr>
        <w:keepNext w:val="0"/>
        <w:keepLines w:val="0"/>
        <w:pageBreakBefore w:val="0"/>
        <w:widowControl w:val="0"/>
        <w:kinsoku/>
        <w:wordWrap/>
        <w:overflowPunct/>
        <w:topLinePunct w:val="0"/>
        <w:bidi w:val="0"/>
        <w:snapToGrid/>
        <w:spacing w:line="560" w:lineRule="exact"/>
        <w:ind w:left="63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2.部门绩效评价结果</w:t>
      </w:r>
    </w:p>
    <w:p w14:paraId="7146815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本部门按要求对2020年部门整体支出绩效评价情况开展自评，</w:t>
      </w:r>
      <w:r>
        <w:rPr>
          <w:rFonts w:hint="default"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rPr>
        <w:t>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14:paraId="30985158">
      <w:pPr>
        <w:bidi w:val="0"/>
        <w:jc w:val="left"/>
        <w:rPr>
          <w:rFonts w:hint="eastAsia" w:ascii="黑体" w:hAnsi="黑体" w:eastAsia="黑体" w:cs="黑体"/>
          <w:sz w:val="32"/>
          <w:szCs w:val="32"/>
          <w:lang w:eastAsia="zh-CN"/>
        </w:rPr>
      </w:pPr>
      <w:bookmarkStart w:id="71" w:name="_Toc15396613"/>
      <w:bookmarkStart w:id="72" w:name="_Toc1341"/>
      <w:bookmarkStart w:id="73" w:name="_Toc15377225"/>
    </w:p>
    <w:p w14:paraId="08662168">
      <w:pPr>
        <w:bidi w:val="0"/>
        <w:jc w:val="left"/>
        <w:rPr>
          <w:rFonts w:hint="eastAsia" w:ascii="黑体" w:hAnsi="黑体" w:eastAsia="黑体" w:cs="黑体"/>
          <w:sz w:val="32"/>
          <w:szCs w:val="32"/>
          <w:lang w:eastAsia="zh-CN"/>
        </w:rPr>
      </w:pPr>
    </w:p>
    <w:p w14:paraId="124E13AB">
      <w:pPr>
        <w:bidi w:val="0"/>
        <w:jc w:val="left"/>
        <w:rPr>
          <w:rFonts w:hint="eastAsia" w:ascii="黑体" w:hAnsi="黑体" w:eastAsia="黑体" w:cs="黑体"/>
          <w:sz w:val="32"/>
          <w:szCs w:val="32"/>
          <w:lang w:eastAsia="zh-CN"/>
        </w:rPr>
      </w:pPr>
    </w:p>
    <w:p w14:paraId="40D93F82">
      <w:pPr>
        <w:bidi w:val="0"/>
        <w:jc w:val="left"/>
        <w:rPr>
          <w:rFonts w:hint="eastAsia" w:ascii="黑体" w:hAnsi="黑体" w:eastAsia="黑体" w:cs="黑体"/>
          <w:sz w:val="32"/>
          <w:szCs w:val="32"/>
          <w:lang w:eastAsia="zh-CN"/>
        </w:rPr>
      </w:pPr>
    </w:p>
    <w:p w14:paraId="33CBE678">
      <w:pPr>
        <w:bidi w:val="0"/>
        <w:jc w:val="left"/>
        <w:rPr>
          <w:rFonts w:hint="eastAsia" w:ascii="黑体" w:hAnsi="黑体" w:eastAsia="黑体" w:cs="黑体"/>
          <w:sz w:val="32"/>
          <w:szCs w:val="32"/>
          <w:lang w:eastAsia="zh-CN"/>
        </w:rPr>
      </w:pPr>
    </w:p>
    <w:p w14:paraId="52F480AF">
      <w:pPr>
        <w:bidi w:val="0"/>
        <w:jc w:val="left"/>
        <w:rPr>
          <w:rFonts w:hint="eastAsia" w:ascii="黑体" w:hAnsi="黑体" w:eastAsia="黑体" w:cs="黑体"/>
          <w:sz w:val="32"/>
          <w:szCs w:val="32"/>
          <w:lang w:eastAsia="zh-CN"/>
        </w:rPr>
      </w:pPr>
    </w:p>
    <w:p w14:paraId="3D94C94B">
      <w:pPr>
        <w:bidi w:val="0"/>
        <w:jc w:val="left"/>
        <w:rPr>
          <w:rFonts w:hint="eastAsia" w:ascii="黑体" w:hAnsi="黑体" w:eastAsia="黑体" w:cs="黑体"/>
          <w:sz w:val="32"/>
          <w:szCs w:val="32"/>
          <w:lang w:eastAsia="zh-CN"/>
        </w:rPr>
      </w:pPr>
    </w:p>
    <w:p w14:paraId="27827AB1">
      <w:pPr>
        <w:bidi w:val="0"/>
        <w:jc w:val="left"/>
        <w:rPr>
          <w:rFonts w:hint="eastAsia" w:ascii="黑体" w:hAnsi="黑体" w:eastAsia="黑体" w:cs="黑体"/>
          <w:sz w:val="32"/>
          <w:szCs w:val="32"/>
          <w:lang w:eastAsia="zh-CN"/>
        </w:rPr>
      </w:pPr>
    </w:p>
    <w:p w14:paraId="2977FB13">
      <w:pPr>
        <w:bidi w:val="0"/>
        <w:jc w:val="left"/>
        <w:rPr>
          <w:rFonts w:hint="eastAsia" w:ascii="黑体" w:hAnsi="黑体" w:eastAsia="黑体" w:cs="黑体"/>
          <w:sz w:val="32"/>
          <w:szCs w:val="32"/>
          <w:lang w:eastAsia="zh-CN"/>
        </w:rPr>
      </w:pPr>
    </w:p>
    <w:p w14:paraId="731B3837">
      <w:pPr>
        <w:bidi w:val="0"/>
        <w:jc w:val="left"/>
        <w:rPr>
          <w:rFonts w:hint="eastAsia" w:ascii="黑体" w:hAnsi="黑体" w:eastAsia="黑体" w:cs="黑体"/>
          <w:sz w:val="32"/>
          <w:szCs w:val="32"/>
          <w:lang w:eastAsia="zh-CN"/>
        </w:rPr>
      </w:pPr>
    </w:p>
    <w:p w14:paraId="72C52623">
      <w:pPr>
        <w:bidi w:val="0"/>
        <w:jc w:val="left"/>
        <w:rPr>
          <w:rFonts w:hint="eastAsia" w:ascii="黑体" w:hAnsi="黑体" w:eastAsia="黑体" w:cs="黑体"/>
          <w:sz w:val="32"/>
          <w:szCs w:val="32"/>
          <w:lang w:eastAsia="zh-CN"/>
        </w:rPr>
      </w:pPr>
    </w:p>
    <w:p w14:paraId="401FE3BB">
      <w:pPr>
        <w:bidi w:val="0"/>
        <w:jc w:val="center"/>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bookmarkEnd w:id="71"/>
      <w:bookmarkEnd w:id="72"/>
      <w:bookmarkEnd w:id="73"/>
    </w:p>
    <w:p w14:paraId="68949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1F57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47B88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0D563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6B487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4、其他收入：指单位取得的除上述收入以外的各项收入。主要是援建资金。</w:t>
      </w:r>
    </w:p>
    <w:p w14:paraId="49798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5、年初结转和结余：指以前年度尚未完成、结转到本年按有关规定继续使用的资金。</w:t>
      </w:r>
    </w:p>
    <w:p w14:paraId="0726F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6、年末结转和结余：指单位按有关规定结转到下年或以后年度继续使用的资金。</w:t>
      </w:r>
    </w:p>
    <w:p w14:paraId="1B1C7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7、社会保障和就业支出（类）行政事业单位养老支出（款）机关事业单位基本养老保险缴费支出（项）：指机关事业单位实施养老保险制度由单位缴纳的基本养老保险费支出。</w:t>
      </w:r>
    </w:p>
    <w:p w14:paraId="5A4B6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8、社会保障和就业支出（类）行政事业单位养老支出（款）机关事业单位职业年金缴费支出（项）：指机关事业单位实施养老保险制度由单位实际缴纳的职业年金。</w:t>
      </w:r>
    </w:p>
    <w:p w14:paraId="3BADA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9、一般公共服务支出（类）人力资源事务（款）引进人才费用（项）：指按规定用于人力资源中引进人才的费用。</w:t>
      </w:r>
    </w:p>
    <w:p w14:paraId="50AA7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10、卫生健康支出（类）行政事业单位医疗（款）行政单位医疗（项）：指财政部门集中安排的行政单位基本医疗保险缴费经费。</w:t>
      </w:r>
    </w:p>
    <w:p w14:paraId="40145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11、农林水支出（类）农业农村（款）科技转化与推广服务（项）：指用于农业科技成果转化，农业新品种、新机具、新技术引进、试验、示范。推广及服务农村人居环境整治等方面的技术试验示范支出。</w:t>
      </w:r>
    </w:p>
    <w:p w14:paraId="5D862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12、资源勘探工业信息等支出（类）制造业（款）其他制造业支出（项）：指其他用于制造业方面的支出。</w:t>
      </w:r>
    </w:p>
    <w:p w14:paraId="60D05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13、资源勘探工业信息等支出（类）支持中小企业发展和管理支出（款）中小企业发展专项（项）：指用于支持中小企业公共服务体系和融资服务体系建设等方面的支出。</w:t>
      </w:r>
    </w:p>
    <w:p w14:paraId="413D8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14、商业服务业等支出（类）商业流通事务（款）行政运行（项）：指按规定补助优抚对象的医疗经费。</w:t>
      </w:r>
    </w:p>
    <w:p w14:paraId="14062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15、商业服务业等支出（类）商业流通事务（款）一般行政管理事务（项）：指按规定补助优抚对象的医疗经费。</w:t>
      </w:r>
    </w:p>
    <w:p w14:paraId="48002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16、商业服务业等支出（类）商业流通事务（款）民贸企业补贴（项）：指按规定补助优抚对象的医疗经费。</w:t>
      </w:r>
    </w:p>
    <w:p w14:paraId="6DA07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17、商业服务业等支出（类）商业流通事务（款）其他商业流通事务支出（项）：指其他用于商业流通事务方面的支出。</w:t>
      </w:r>
    </w:p>
    <w:p w14:paraId="3EE88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18、商业服务业等支出（类）其他商业服务业等支出（款）  其他商业流通事务支出（项）：指在商业服务业中其他用于商业流通事务方面的支出。</w:t>
      </w:r>
    </w:p>
    <w:p w14:paraId="38C76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19、住房保障支出（类）住房改革支出（款）住房公积金（项）：指行政事业单位</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工资比例为职工缴纳的住房公积金。</w:t>
      </w:r>
    </w:p>
    <w:p w14:paraId="1C27C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20、基本支出：指为保障机构正常运转、完成日常工作任务而发生的人员支出和公用支出。</w:t>
      </w:r>
    </w:p>
    <w:p w14:paraId="6F793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21、项目支出：指在基本支出之外为完成特定行政任务和事业发展目标所发生的支出。</w:t>
      </w:r>
    </w:p>
    <w:p w14:paraId="62C05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22、经营支出：指事业单位在专业业务活动及其辅助活动之外开展非独立核算经营活动发生的支出。</w:t>
      </w:r>
    </w:p>
    <w:p w14:paraId="5616C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A25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A4BEE7">
      <w:pPr>
        <w:pStyle w:val="25"/>
        <w:spacing w:line="560" w:lineRule="exact"/>
        <w:ind w:firstLine="560" w:firstLineChars="200"/>
        <w:outlineLvl w:val="9"/>
        <w:rPr>
          <w:rFonts w:hint="eastAsia" w:ascii="仿宋" w:hAnsi="仿宋" w:eastAsia="仿宋" w:cs="仿宋"/>
          <w:color w:val="auto"/>
          <w:sz w:val="28"/>
          <w:szCs w:val="28"/>
        </w:rPr>
      </w:pPr>
    </w:p>
    <w:p w14:paraId="2294473E">
      <w:pPr>
        <w:spacing w:line="600" w:lineRule="exact"/>
        <w:jc w:val="center"/>
        <w:outlineLvl w:val="0"/>
        <w:rPr>
          <w:rStyle w:val="33"/>
          <w:rFonts w:ascii="黑体" w:hAnsi="黑体" w:eastAsia="黑体"/>
          <w:b w:val="0"/>
        </w:rPr>
      </w:pPr>
      <w:bookmarkStart w:id="74" w:name="_Toc15377226"/>
      <w:r>
        <w:rPr>
          <w:rFonts w:hint="eastAsia" w:ascii="仿宋" w:hAnsi="仿宋" w:eastAsia="仿宋" w:cs="仿宋"/>
          <w:b/>
          <w:sz w:val="28"/>
          <w:szCs w:val="28"/>
        </w:rPr>
        <w:br w:type="page"/>
      </w:r>
      <w:bookmarkStart w:id="75" w:name="_Toc15396614"/>
      <w:bookmarkStart w:id="76" w:name="_Toc19486"/>
      <w:r>
        <w:rPr>
          <w:rFonts w:hint="eastAsia" w:ascii="黑体" w:hAnsi="黑体" w:eastAsia="黑体" w:cs="黑体"/>
          <w:b w:val="0"/>
          <w:bCs w:val="0"/>
          <w:sz w:val="32"/>
          <w:szCs w:val="32"/>
        </w:rPr>
        <w:t>第</w:t>
      </w:r>
      <w:r>
        <w:rPr>
          <w:rStyle w:val="33"/>
          <w:rFonts w:hint="eastAsia" w:ascii="黑体" w:hAnsi="黑体" w:eastAsia="黑体" w:cs="黑体"/>
          <w:b w:val="0"/>
          <w:bCs w:val="0"/>
          <w:sz w:val="32"/>
          <w:szCs w:val="32"/>
        </w:rPr>
        <w:t>四部分 附件</w:t>
      </w:r>
      <w:bookmarkEnd w:id="75"/>
      <w:bookmarkEnd w:id="76"/>
    </w:p>
    <w:p w14:paraId="5CBCAB42">
      <w:pPr>
        <w:spacing w:line="572" w:lineRule="exact"/>
        <w:jc w:val="left"/>
        <w:outlineLvl w:val="0"/>
        <w:rPr>
          <w:rFonts w:hint="eastAsia" w:ascii="仿宋_GB2312" w:hAnsi="仿宋_GB2312" w:eastAsia="仿宋_GB2312" w:cs="仿宋_GB2312"/>
          <w:b w:val="0"/>
          <w:bCs w:val="0"/>
          <w:sz w:val="32"/>
          <w:szCs w:val="32"/>
          <w:lang w:val="en-US" w:eastAsia="zh-CN"/>
        </w:rPr>
      </w:pPr>
      <w:bookmarkStart w:id="77" w:name="_Toc28430"/>
      <w:bookmarkStart w:id="78" w:name="_Toc14416"/>
      <w:bookmarkStart w:id="79" w:name="_Toc30849"/>
      <w:r>
        <w:rPr>
          <w:rFonts w:hint="eastAsia" w:ascii="仿宋_GB2312" w:hAnsi="仿宋_GB2312" w:eastAsia="仿宋_GB2312" w:cs="仿宋_GB2312"/>
          <w:b w:val="0"/>
          <w:bCs w:val="0"/>
          <w:sz w:val="32"/>
          <w:szCs w:val="32"/>
        </w:rPr>
        <w:t>附件</w:t>
      </w:r>
      <w:bookmarkEnd w:id="77"/>
      <w:bookmarkEnd w:id="78"/>
      <w:bookmarkEnd w:id="79"/>
      <w:r>
        <w:rPr>
          <w:rFonts w:hint="eastAsia" w:ascii="仿宋_GB2312" w:hAnsi="仿宋_GB2312" w:eastAsia="仿宋_GB2312" w:cs="仿宋_GB2312"/>
          <w:b w:val="0"/>
          <w:bCs w:val="0"/>
          <w:sz w:val="32"/>
          <w:szCs w:val="32"/>
          <w:lang w:val="en-US" w:eastAsia="zh-CN"/>
        </w:rPr>
        <w:t>1</w:t>
      </w:r>
    </w:p>
    <w:p w14:paraId="06B76E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bookmarkStart w:id="80" w:name="_Toc27190"/>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年部门整体绩效评价报告</w:t>
      </w:r>
      <w:bookmarkEnd w:id="80"/>
    </w:p>
    <w:p w14:paraId="7C641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81" w:name="_Toc5361"/>
      <w:bookmarkStart w:id="82" w:name="_Toc11464"/>
    </w:p>
    <w:p w14:paraId="5A555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bookmarkEnd w:id="81"/>
      <w:bookmarkEnd w:id="82"/>
    </w:p>
    <w:p w14:paraId="54C66B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（一）机构组成</w:t>
      </w:r>
    </w:p>
    <w:p w14:paraId="5448A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中共壤塘县</w:t>
      </w:r>
      <w:r>
        <w:rPr>
          <w:rFonts w:hint="eastAsia" w:eastAsia="仿宋_GB2312" w:cs="Times New Roman"/>
          <w:sz w:val="32"/>
          <w:szCs w:val="32"/>
          <w:lang w:eastAsia="zh-CN"/>
        </w:rPr>
        <w:t>委</w:t>
      </w:r>
      <w:r>
        <w:rPr>
          <w:rFonts w:hint="default" w:ascii="Times New Roman" w:hAnsi="Times New Roman" w:eastAsia="仿宋_GB2312" w:cs="Times New Roman"/>
          <w:sz w:val="32"/>
          <w:szCs w:val="32"/>
        </w:rPr>
        <w:t>组织部：行政，机构地址：四川省阿坝藏族羌族自治州壤塘县</w:t>
      </w:r>
      <w:r>
        <w:rPr>
          <w:rFonts w:hint="eastAsia" w:eastAsia="仿宋_GB2312" w:cs="Times New Roman"/>
          <w:sz w:val="32"/>
          <w:szCs w:val="32"/>
          <w:lang w:eastAsia="zh-CN"/>
        </w:rPr>
        <w:t>岗木达镇</w:t>
      </w:r>
      <w:r>
        <w:rPr>
          <w:rFonts w:hint="default" w:ascii="Times New Roman" w:hAnsi="Times New Roman" w:eastAsia="仿宋_GB2312" w:cs="Times New Roman"/>
          <w:sz w:val="32"/>
          <w:szCs w:val="32"/>
        </w:rPr>
        <w:t>罗吾塘中街90号。</w:t>
      </w:r>
    </w:p>
    <w:p w14:paraId="6F746F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zh-CN"/>
        </w:rPr>
        <w:t>机构职能和人员概况</w:t>
      </w:r>
    </w:p>
    <w:p w14:paraId="32068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负责全县老干部工作；承担县委党建领导小组、县人才工作领导小组日常工作；承办县委、州委组织部交办的其他工作事项。</w:t>
      </w:r>
    </w:p>
    <w:p w14:paraId="3DEEC1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zh-CN"/>
        </w:rPr>
        <w:t>年度主要工作任务</w:t>
      </w:r>
    </w:p>
    <w:p w14:paraId="27D8F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抓实抓紧基层组织建设。推动基层党建引领乡村振兴、实现党建工作与重点工作深度融合发展。</w:t>
      </w:r>
    </w:p>
    <w:p w14:paraId="2A38F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抓实抓紧干部人才队伍建设。对标补短提能，深化干部教育培训，进一步优化全县干部人才队伍结构，持续巩固硕博进阿坝引才成果。</w:t>
      </w:r>
    </w:p>
    <w:p w14:paraId="2B94A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zh-CN" w:eastAsia="zh-CN"/>
        </w:rPr>
      </w:pPr>
      <w:r>
        <w:rPr>
          <w:rFonts w:hint="eastAsia" w:eastAsia="仿宋_GB2312" w:cs="Times New Roman"/>
          <w:sz w:val="32"/>
          <w:szCs w:val="32"/>
          <w:lang w:val="zh-CN" w:eastAsia="zh-CN"/>
        </w:rPr>
        <w:t>（</w:t>
      </w:r>
      <w:r>
        <w:rPr>
          <w:rFonts w:hint="eastAsia" w:eastAsia="仿宋_GB2312" w:cs="Times New Roman"/>
          <w:sz w:val="32"/>
          <w:szCs w:val="32"/>
          <w:lang w:val="en-US" w:eastAsia="zh-CN"/>
        </w:rPr>
        <w:t>3</w:t>
      </w:r>
      <w:r>
        <w:rPr>
          <w:rFonts w:hint="eastAsia" w:eastAsia="仿宋_GB2312" w:cs="Times New Roman"/>
          <w:sz w:val="32"/>
          <w:szCs w:val="32"/>
          <w:lang w:val="zh-CN" w:eastAsia="zh-CN"/>
        </w:rPr>
        <w:t>）</w:t>
      </w:r>
      <w:r>
        <w:rPr>
          <w:rFonts w:hint="eastAsia" w:ascii="仿宋_GB2312" w:hAnsi="仿宋_GB2312" w:eastAsia="仿宋_GB2312" w:cs="仿宋_GB2312"/>
          <w:sz w:val="32"/>
          <w:szCs w:val="32"/>
          <w:lang w:val="en-US" w:eastAsia="zh-CN"/>
        </w:rPr>
        <w:t>负责全县干部队伍建设的宏观管理，制订或参与制订干部队伍管理的重要政策、规定、制度。</w:t>
      </w:r>
    </w:p>
    <w:p w14:paraId="661B3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抓实抓紧自身建设。突出从严从实，切实抓好思想政治建设、履职能力建设、制度机制建设、纪律作风建设，努力锻造讲政治、重公道、业务精、作风好的过硬组工队伍，在服务中心大局中彰显组织工作核心价值取向。</w:t>
      </w:r>
    </w:p>
    <w:p w14:paraId="336B37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bookmarkStart w:id="83" w:name="_Toc14105"/>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zh-CN"/>
        </w:rPr>
        <w:t>部门整体支出绩效目标</w:t>
      </w:r>
    </w:p>
    <w:p w14:paraId="39AED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今年以来，中共壤塘县委组织部</w:t>
      </w:r>
      <w:r>
        <w:rPr>
          <w:rFonts w:hint="eastAsia" w:eastAsia="仿宋_GB2312" w:cs="Times New Roman"/>
          <w:sz w:val="32"/>
          <w:szCs w:val="32"/>
          <w:lang w:val="en-US" w:eastAsia="zh-CN"/>
        </w:rPr>
        <w:t>在县委、县政府的坚强领导下，在部门的关心指导下，</w:t>
      </w:r>
      <w:r>
        <w:rPr>
          <w:rFonts w:hint="default" w:ascii="Times New Roman" w:hAnsi="Times New Roman" w:eastAsia="仿宋_GB2312" w:cs="Times New Roman"/>
          <w:sz w:val="32"/>
          <w:szCs w:val="32"/>
          <w:lang w:val="en-US" w:eastAsia="zh-CN"/>
        </w:rPr>
        <w:t>统筹推进各项工作高效稳步发展，较好地完成了全年各项工作。</w:t>
      </w:r>
    </w:p>
    <w:p w14:paraId="15A091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zh-CN"/>
        </w:rPr>
      </w:pPr>
      <w:bookmarkStart w:id="84" w:name="_Toc26914"/>
      <w:r>
        <w:rPr>
          <w:rFonts w:hint="eastAsia" w:ascii="楷体_GB2312" w:hAnsi="楷体_GB2312" w:eastAsia="楷体_GB2312" w:cs="楷体_GB2312"/>
          <w:b/>
          <w:bCs/>
          <w:sz w:val="32"/>
          <w:szCs w:val="32"/>
          <w:lang w:val="zh-CN"/>
        </w:rPr>
        <w:t>二、</w:t>
      </w:r>
      <w:r>
        <w:rPr>
          <w:rFonts w:hint="default" w:ascii="楷体_GB2312" w:hAnsi="楷体_GB2312" w:eastAsia="楷体_GB2312" w:cs="楷体_GB2312"/>
          <w:b/>
          <w:bCs/>
          <w:sz w:val="32"/>
          <w:szCs w:val="32"/>
          <w:lang w:val="zh-CN"/>
        </w:rPr>
        <w:t>部门财政资金收支情况</w:t>
      </w:r>
      <w:bookmarkEnd w:id="83"/>
      <w:bookmarkEnd w:id="84"/>
    </w:p>
    <w:p w14:paraId="528F3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年本年收入合计</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0935D1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bookmarkStart w:id="85" w:name="_Toc1872"/>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zh-CN"/>
        </w:rPr>
        <w:t>）部门总体收支情况</w:t>
      </w:r>
      <w:bookmarkEnd w:id="85"/>
    </w:p>
    <w:p w14:paraId="5923C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86" w:name="_Toc21698"/>
      <w:r>
        <w:rPr>
          <w:rFonts w:hint="default" w:ascii="Times New Roman" w:hAnsi="Times New Roman" w:eastAsia="仿宋_GB2312" w:cs="Times New Roman"/>
          <w:sz w:val="32"/>
          <w:szCs w:val="32"/>
          <w:lang w:val="en-US" w:eastAsia="zh-CN"/>
        </w:rPr>
        <w:t>1、部门总体收入情况</w:t>
      </w:r>
    </w:p>
    <w:p w14:paraId="5389E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2022年度收入总计1799.82万元，其中：一般公共预算财政拨款收入1799.82万元，占财政资金收入的100%。</w:t>
      </w:r>
    </w:p>
    <w:p w14:paraId="70976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2、部门总体支出情况</w:t>
      </w:r>
    </w:p>
    <w:p w14:paraId="60217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2022年年度支出合计1799.82万元，其中：一般公共预算财政拨款支出1799.82万元，占财政资金支出的100%。一般公共预算财政拨款支出中，基本支出719.11万元，占39.95%；项目支出1080.71万元，占60.05%。</w:t>
      </w:r>
    </w:p>
    <w:p w14:paraId="7F783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3、部门总体结转结余情况</w:t>
      </w:r>
    </w:p>
    <w:p w14:paraId="2041D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2022年度收入总计1799.82万元，其中：一般公共预算财政拨款收入1799.82万元，占财政资金收入的100%；年初结转和结余0万元，占0%。</w:t>
      </w:r>
    </w:p>
    <w:p w14:paraId="738DA6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zh-CN"/>
        </w:rPr>
        <w:t>）部门财政拨款收支情况</w:t>
      </w:r>
      <w:bookmarkEnd w:id="86"/>
    </w:p>
    <w:p w14:paraId="4D72F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87" w:name="_Toc2925"/>
      <w:r>
        <w:rPr>
          <w:rFonts w:hint="default" w:ascii="Times New Roman" w:hAnsi="Times New Roman" w:eastAsia="仿宋_GB2312" w:cs="Times New Roman"/>
          <w:sz w:val="32"/>
          <w:szCs w:val="32"/>
          <w:lang w:val="en-US" w:eastAsia="zh-CN"/>
        </w:rPr>
        <w:t>1、部门财政拨款收入情况</w:t>
      </w:r>
    </w:p>
    <w:p w14:paraId="2EE3E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2022年度收入总计1799.82万元，其中：一般公共预算财政拨款收入1799.82万元，占财政资金收入的100%。</w:t>
      </w:r>
    </w:p>
    <w:p w14:paraId="0FD0C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2、部门财政拨款支出情况</w:t>
      </w:r>
    </w:p>
    <w:p w14:paraId="22B1F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2022年年度支出合计1799.82万元，其中：一般公共预算财政拨款支出1799.82万元，占财政资金支出的100%。一般公共预算财政拨款支出中，基本支出719.11万元，占39.95%；项目支出1080.71万元，占60.05%。</w:t>
      </w:r>
    </w:p>
    <w:p w14:paraId="069515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部门财政拨款结转结余情况</w:t>
      </w:r>
    </w:p>
    <w:p w14:paraId="45535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2022年度收入总计1799.82万元，其中：一般公共预算财政拨款收入1799.82万元，占财政资金收入的100%；年初结转和结余0万元，占0%。</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年本年支出合计</w:t>
      </w:r>
      <w:r>
        <w:rPr>
          <w:rFonts w:hint="default" w:ascii="Times New Roman" w:hAnsi="Times New Roman" w:eastAsia="仿宋_GB2312" w:cs="Times New Roman"/>
          <w:sz w:val="32"/>
          <w:szCs w:val="32"/>
          <w:lang w:val="en-US" w:eastAsia="zh-CN"/>
        </w:rPr>
        <w:t>1799.82</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719.11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39.95</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1080.71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60.05</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End w:id="87"/>
    </w:p>
    <w:p w14:paraId="26E556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zh-CN"/>
        </w:rPr>
      </w:pPr>
      <w:bookmarkStart w:id="88" w:name="_Toc14972"/>
      <w:bookmarkStart w:id="89" w:name="_Toc20334"/>
      <w:r>
        <w:rPr>
          <w:rFonts w:hint="default" w:ascii="楷体_GB2312" w:hAnsi="楷体_GB2312" w:eastAsia="楷体_GB2312" w:cs="楷体_GB2312"/>
          <w:b/>
          <w:bCs/>
          <w:sz w:val="32"/>
          <w:szCs w:val="32"/>
          <w:lang w:val="zh-CN"/>
        </w:rPr>
        <w:t>三、</w:t>
      </w:r>
      <w:bookmarkEnd w:id="88"/>
      <w:r>
        <w:rPr>
          <w:rFonts w:hint="default" w:ascii="楷体_GB2312" w:hAnsi="楷体_GB2312" w:eastAsia="楷体_GB2312" w:cs="楷体_GB2312"/>
          <w:b/>
          <w:bCs/>
          <w:sz w:val="32"/>
          <w:szCs w:val="32"/>
          <w:lang w:val="zh-CN"/>
        </w:rPr>
        <w:t>部门整体绩效分析</w:t>
      </w:r>
      <w:bookmarkEnd w:id="89"/>
    </w:p>
    <w:p w14:paraId="692E8C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（一）部门预算项目绩效分析</w:t>
      </w:r>
    </w:p>
    <w:p w14:paraId="60D54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1、预算编制情况</w:t>
      </w:r>
    </w:p>
    <w:p w14:paraId="1264E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2022年财政下达中共壤塘县委组织部年初预算</w:t>
      </w:r>
      <w:r>
        <w:rPr>
          <w:rFonts w:hint="eastAsia"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546.74万元，执行期间根据工作安排和开展情况追加收入1253.08万元；2022全年实际收入共计1799.82万元，年末无结转结余，预算编制准确率较高。严格按照预算编制方案科学合理编制本单位预算，提前做好情况摸底、数据收集、填报绩效目标、细化专项预算，按照人员经费逐人核定编制，公用经费按定额编制；根据“总量控制、计划管理”的要求从严控制机关经费，严格编制“三公</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经费预算，压缩</w:t>
      </w:r>
      <w:r>
        <w:rPr>
          <w:rFonts w:hint="eastAsia" w:ascii="Times New Roman" w:hAnsi="Times New Roman" w:eastAsia="仿宋_GB2312" w:cs="Times New Roman"/>
          <w:sz w:val="32"/>
          <w:szCs w:val="32"/>
          <w:lang w:val="en-US" w:eastAsia="zh-CN"/>
        </w:rPr>
        <w:t>公务</w:t>
      </w:r>
      <w:r>
        <w:rPr>
          <w:rFonts w:hint="default" w:ascii="Times New Roman" w:hAnsi="Times New Roman" w:eastAsia="仿宋_GB2312" w:cs="Times New Roman"/>
          <w:sz w:val="32"/>
          <w:szCs w:val="32"/>
          <w:lang w:val="en-US" w:eastAsia="zh-CN"/>
        </w:rPr>
        <w:t>费，科学编制项目支出，编制部门预算项目绩效目标，按时完成预算编制报送工作。</w:t>
      </w:r>
    </w:p>
    <w:p w14:paraId="0A8D4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2、执行进度情况</w:t>
      </w:r>
    </w:p>
    <w:p w14:paraId="76923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2022年财政下达中共壤塘县委组织部年初预算收入546.74万元，执行期中追加收入1253.08万元本年度收入合计1799.82万。年末无结转结余，进度符合标准达到预期目标。</w:t>
      </w:r>
    </w:p>
    <w:p w14:paraId="36B8B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3、预算完成情况</w:t>
      </w:r>
    </w:p>
    <w:p w14:paraId="04527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2022年财政下达中共壤塘县委组织部年初预算收入546.74万元，执行期中追加收入1253.08万元，本年度收入合计1799.82万。年末无结转结余，单位执行进度为100%，达到预期目标。   </w:t>
      </w:r>
    </w:p>
    <w:p w14:paraId="3E699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4、行政成本</w:t>
      </w:r>
    </w:p>
    <w:p w14:paraId="7D44F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经费控制。中共壤塘县委组织部2022年“三公”经费预算32.7万元，决算支出32.7万元。其中公务用车购置及运行维护费预算32.46万元，决算支出32.46万元（其中公务用车运行维护费32.46万元），公务接待费年初预算数0.3万元，决算数0.3万元，未发生因公出国（境）费，2022年“三公”经费决算均未超过预算。</w:t>
      </w:r>
    </w:p>
    <w:p w14:paraId="78F52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5、政府采购</w:t>
      </w:r>
    </w:p>
    <w:p w14:paraId="7BE80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采购规范性。中共壤塘县委组织部2022年度政府采购支出88.98万元，其中货物支出0万元，政府采购工程支出0万元，政府采购服务支出88.98万元。</w:t>
      </w:r>
    </w:p>
    <w:p w14:paraId="6320A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6、资产管理  </w:t>
      </w:r>
    </w:p>
    <w:p w14:paraId="24AF8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固定资产在用率。2022年12月31日，中共壤塘县委组织部行政单位资产管理系统资产总计436.28万元，在用的固定资产总计436.28万元，固定资产在用率达100%</w:t>
      </w:r>
    </w:p>
    <w:p w14:paraId="77981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7、信息公开</w:t>
      </w:r>
    </w:p>
    <w:p w14:paraId="27125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信息公开。中共壤塘县委组织部已经按财政要求及时完成预算、决算、绩效等信息公开工作。</w:t>
      </w:r>
    </w:p>
    <w:p w14:paraId="67D3EE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zh-CN"/>
        </w:rPr>
        <w:t>）部门整体履职绩效分析</w:t>
      </w:r>
    </w:p>
    <w:p w14:paraId="52893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根据预算绩效管理要求，本单位在年初预算编制阶段，开展了预算事前绩效评估，对项目编制了绩效目标，预算执行过程中，开展绩效监控，年终执行完毕后，项目开展了绩效目标完成情况自评。</w:t>
      </w:r>
    </w:p>
    <w:p w14:paraId="0D01E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部门按要求对2022年部门整体支出开展绩效自评，从评价情况来看2022年部门整体支出情况良好，从预算到执行和收入、支出管理均严格按照相关要求进行，全年收支平衡，有效保障了单位正常运转，圆满完成了单位目标任务</w:t>
      </w:r>
    </w:p>
    <w:p w14:paraId="3ADE4E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（三）结果应用情况</w:t>
      </w:r>
    </w:p>
    <w:p w14:paraId="41DEF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本部门按要求对2022年部门整体支出情况开展自评，从评价结果来看，各项均如期完成了年初预算目标，如期完成预算目标，并且按财政局相关要求，在预决算批复后二十日内向社会公开了本单位预决算（含所有财政资金安排的“三公”经费、机关运行经费的安排、使用情况等）。按要求公开了部门整体支出绩效自评报告及其他按要求应公开的绩效信息</w:t>
      </w:r>
      <w:r>
        <w:rPr>
          <w:rFonts w:hint="default" w:ascii="Times New Roman" w:hAnsi="Times New Roman" w:eastAsia="仿宋_GB2312" w:cs="Times New Roman"/>
          <w:sz w:val="32"/>
          <w:szCs w:val="32"/>
        </w:rPr>
        <w:t>。</w:t>
      </w:r>
    </w:p>
    <w:p w14:paraId="668FEFA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zh-CN"/>
        </w:rPr>
        <w:t>）自评质量</w:t>
      </w:r>
    </w:p>
    <w:p w14:paraId="14E320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 xml:space="preserve"> </w:t>
      </w:r>
      <w:r>
        <w:rPr>
          <w:rFonts w:hint="default" w:ascii="Times New Roman" w:hAnsi="Times New Roman" w:eastAsia="仿宋_GB2312" w:cs="Times New Roman"/>
          <w:sz w:val="32"/>
          <w:szCs w:val="32"/>
          <w:lang w:val="en-US" w:eastAsia="zh-CN"/>
        </w:rPr>
        <w:t>本部门按要求对2022年部门整体支出开展绩效自评，从评价情况来看，评价准确率已达标。</w:t>
      </w:r>
    </w:p>
    <w:p w14:paraId="7582DDA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val="zh-CN"/>
        </w:rPr>
      </w:pPr>
      <w:bookmarkStart w:id="90" w:name="_Toc21469"/>
      <w:bookmarkStart w:id="91" w:name="_Toc26003"/>
      <w:r>
        <w:rPr>
          <w:rFonts w:hint="default" w:ascii="楷体_GB2312" w:hAnsi="楷体_GB2312" w:eastAsia="楷体_GB2312" w:cs="楷体_GB2312"/>
          <w:b/>
          <w:bCs/>
          <w:sz w:val="32"/>
          <w:szCs w:val="32"/>
          <w:lang w:val="zh-CN"/>
        </w:rPr>
        <w:t>四、评价结论及建议</w:t>
      </w:r>
      <w:bookmarkEnd w:id="90"/>
      <w:bookmarkEnd w:id="91"/>
    </w:p>
    <w:p w14:paraId="55CA89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（一）评价结论</w:t>
      </w:r>
    </w:p>
    <w:p w14:paraId="0E9102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2022年部门整体支出开展绩效自评，从评价情况来看，评价准确率已达标，部门整体支出绩效情况如下：</w:t>
      </w:r>
    </w:p>
    <w:p w14:paraId="61DC95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1、本年预算配置控制较好。财政供养人员控制在预算编制以内，“三公”经费支出也控制在预算金额之内。</w:t>
      </w:r>
    </w:p>
    <w:p w14:paraId="6EB98F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2、预算执行方面。支出总额控制在预算总额以内，除专项预算的追加和政策性工资福利预算的追加外，本年部门预算未进行预算相关事项的调整；“三公”经费总体控制是很理想，基本与预算持平</w:t>
      </w:r>
      <w:r>
        <w:rPr>
          <w:rFonts w:hint="default" w:ascii="Times New Roman" w:hAnsi="Times New Roman" w:eastAsia="仿宋_GB2312" w:cs="Times New Roman"/>
          <w:sz w:val="32"/>
          <w:szCs w:val="32"/>
        </w:rPr>
        <w:t>。</w:t>
      </w:r>
    </w:p>
    <w:p w14:paraId="2CDA0C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zh-CN"/>
        </w:rPr>
        <w:t>）存在问题</w:t>
      </w:r>
    </w:p>
    <w:p w14:paraId="797DB6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无</w:t>
      </w:r>
    </w:p>
    <w:p w14:paraId="3BE7EA2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rPr>
        <w:t>）改进建议</w:t>
      </w:r>
    </w:p>
    <w:p w14:paraId="24F2DA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建立健全财务管理制度及内部控制制度，严格政府财务审核制度，在费用报账支付时，按照预算规定及相关文件要求的费用项目和用途进行审核支付等工作，杜绝超支现象的发生。</w:t>
      </w:r>
    </w:p>
    <w:p w14:paraId="2C6FD3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加强财务管理，严格财务审核。在费用报账支付时，按照预算规定的费用项目和用途进行资金使用审核、列报支付、财务核算，杜绝超支现象的发生。</w:t>
      </w:r>
    </w:p>
    <w:p w14:paraId="22EA9D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进一步</w:t>
      </w:r>
      <w:r>
        <w:rPr>
          <w:rFonts w:hint="default" w:ascii="Times New Roman" w:hAnsi="Times New Roman" w:eastAsia="仿宋_GB2312" w:cs="Times New Roman"/>
          <w:sz w:val="32"/>
          <w:szCs w:val="32"/>
          <w:lang w:val="zh-CN"/>
        </w:rPr>
        <w:t>规范财务管理的细节，提高财务管理水平。加强业务培训，提高工作效率。</w:t>
      </w:r>
    </w:p>
    <w:p w14:paraId="3B2E38DB">
      <w:pPr>
        <w:pStyle w:val="8"/>
        <w:outlineLvl w:val="9"/>
        <w:rPr>
          <w:rFonts w:hint="default" w:ascii="Times New Roman" w:hAnsi="Times New Roman" w:eastAsia="仿宋_GB2312" w:cs="Times New Roman"/>
          <w:sz w:val="32"/>
          <w:szCs w:val="32"/>
          <w:lang w:val="zh-CN"/>
        </w:rPr>
      </w:pPr>
    </w:p>
    <w:p w14:paraId="6D9C8924">
      <w:pPr>
        <w:pStyle w:val="8"/>
        <w:outlineLvl w:val="9"/>
        <w:rPr>
          <w:rFonts w:hint="default" w:ascii="Times New Roman" w:hAnsi="Times New Roman" w:eastAsia="仿宋_GB2312" w:cs="Times New Roman"/>
          <w:sz w:val="32"/>
          <w:szCs w:val="32"/>
          <w:lang w:val="zh-CN"/>
        </w:rPr>
      </w:pPr>
    </w:p>
    <w:p w14:paraId="7EAC607D">
      <w:pPr>
        <w:pStyle w:val="8"/>
        <w:outlineLvl w:val="9"/>
        <w:rPr>
          <w:rFonts w:hint="default" w:ascii="Times New Roman" w:hAnsi="Times New Roman" w:eastAsia="仿宋_GB2312" w:cs="Times New Roman"/>
          <w:sz w:val="32"/>
          <w:szCs w:val="32"/>
          <w:lang w:val="zh-CN"/>
        </w:rPr>
      </w:pPr>
    </w:p>
    <w:p w14:paraId="5E16D91C">
      <w:pPr>
        <w:pStyle w:val="8"/>
        <w:outlineLvl w:val="9"/>
        <w:rPr>
          <w:rFonts w:hint="default" w:ascii="Times New Roman" w:hAnsi="Times New Roman" w:eastAsia="仿宋_GB2312" w:cs="Times New Roman"/>
          <w:sz w:val="32"/>
          <w:szCs w:val="32"/>
          <w:lang w:val="zh-CN"/>
        </w:rPr>
      </w:pPr>
    </w:p>
    <w:p w14:paraId="193B2CAF">
      <w:pPr>
        <w:pStyle w:val="8"/>
        <w:outlineLvl w:val="9"/>
        <w:rPr>
          <w:rFonts w:hint="default" w:ascii="Times New Roman" w:hAnsi="Times New Roman" w:eastAsia="仿宋_GB2312" w:cs="Times New Roman"/>
          <w:sz w:val="32"/>
          <w:szCs w:val="32"/>
          <w:lang w:val="zh-CN"/>
        </w:rPr>
      </w:pPr>
    </w:p>
    <w:p w14:paraId="222DD0E7">
      <w:pPr>
        <w:pStyle w:val="8"/>
        <w:outlineLvl w:val="9"/>
        <w:rPr>
          <w:rFonts w:hint="default" w:ascii="Times New Roman" w:hAnsi="Times New Roman" w:eastAsia="仿宋_GB2312" w:cs="Times New Roman"/>
          <w:sz w:val="32"/>
          <w:szCs w:val="32"/>
          <w:lang w:val="zh-CN"/>
        </w:rPr>
      </w:pPr>
    </w:p>
    <w:p w14:paraId="7346F19C">
      <w:pPr>
        <w:pStyle w:val="8"/>
        <w:outlineLvl w:val="9"/>
        <w:rPr>
          <w:rFonts w:hint="default" w:ascii="Times New Roman" w:hAnsi="Times New Roman" w:eastAsia="仿宋_GB2312" w:cs="Times New Roman"/>
          <w:sz w:val="32"/>
          <w:szCs w:val="32"/>
          <w:lang w:val="zh-CN"/>
        </w:rPr>
      </w:pPr>
    </w:p>
    <w:p w14:paraId="0C39E0A6">
      <w:pPr>
        <w:pStyle w:val="8"/>
        <w:outlineLvl w:val="9"/>
        <w:rPr>
          <w:rFonts w:hint="default" w:ascii="Times New Roman" w:hAnsi="Times New Roman" w:eastAsia="仿宋_GB2312" w:cs="Times New Roman"/>
          <w:sz w:val="32"/>
          <w:szCs w:val="32"/>
          <w:lang w:val="zh-CN"/>
        </w:rPr>
      </w:pPr>
    </w:p>
    <w:p w14:paraId="6EA2915E">
      <w:pPr>
        <w:pStyle w:val="8"/>
        <w:outlineLvl w:val="9"/>
        <w:rPr>
          <w:rFonts w:hint="default" w:ascii="Times New Roman" w:hAnsi="Times New Roman" w:eastAsia="仿宋_GB2312" w:cs="Times New Roman"/>
          <w:sz w:val="32"/>
          <w:szCs w:val="32"/>
          <w:lang w:val="zh-CN"/>
        </w:rPr>
      </w:pPr>
    </w:p>
    <w:p w14:paraId="74FE5DA3">
      <w:pPr>
        <w:pStyle w:val="8"/>
        <w:outlineLvl w:val="9"/>
        <w:rPr>
          <w:rFonts w:hint="default" w:ascii="Times New Roman" w:hAnsi="Times New Roman" w:eastAsia="仿宋_GB2312" w:cs="Times New Roman"/>
          <w:sz w:val="32"/>
          <w:szCs w:val="32"/>
          <w:lang w:val="zh-CN"/>
        </w:rPr>
      </w:pPr>
    </w:p>
    <w:p w14:paraId="69CC6846">
      <w:pPr>
        <w:pStyle w:val="8"/>
        <w:outlineLvl w:val="9"/>
        <w:rPr>
          <w:rFonts w:hint="default" w:ascii="Times New Roman" w:hAnsi="Times New Roman" w:eastAsia="仿宋_GB2312" w:cs="Times New Roman"/>
          <w:sz w:val="32"/>
          <w:szCs w:val="32"/>
          <w:lang w:val="zh-CN"/>
        </w:rPr>
      </w:pPr>
    </w:p>
    <w:p w14:paraId="505ABA6B">
      <w:pPr>
        <w:pStyle w:val="8"/>
        <w:outlineLvl w:val="9"/>
        <w:rPr>
          <w:rFonts w:hint="default" w:ascii="Times New Roman" w:hAnsi="Times New Roman" w:eastAsia="仿宋_GB2312" w:cs="Times New Roman"/>
          <w:sz w:val="32"/>
          <w:szCs w:val="32"/>
          <w:lang w:val="zh-CN"/>
        </w:rPr>
      </w:pPr>
    </w:p>
    <w:p w14:paraId="7D14C635">
      <w:pPr>
        <w:pStyle w:val="8"/>
        <w:outlineLvl w:val="9"/>
        <w:rPr>
          <w:rFonts w:hint="default" w:ascii="Times New Roman" w:hAnsi="Times New Roman" w:eastAsia="仿宋_GB2312" w:cs="Times New Roman"/>
          <w:sz w:val="32"/>
          <w:szCs w:val="32"/>
          <w:lang w:val="zh-CN"/>
        </w:rPr>
      </w:pPr>
    </w:p>
    <w:p w14:paraId="54FDB53D">
      <w:pPr>
        <w:pStyle w:val="8"/>
        <w:outlineLvl w:val="9"/>
        <w:rPr>
          <w:rFonts w:hint="default" w:ascii="Times New Roman" w:hAnsi="Times New Roman" w:eastAsia="仿宋_GB2312" w:cs="Times New Roman"/>
          <w:sz w:val="32"/>
          <w:szCs w:val="32"/>
          <w:lang w:val="zh-CN"/>
        </w:rPr>
      </w:pPr>
    </w:p>
    <w:p w14:paraId="2434AB61">
      <w:pPr>
        <w:pStyle w:val="8"/>
        <w:outlineLvl w:val="9"/>
        <w:rPr>
          <w:rFonts w:hint="default" w:ascii="Times New Roman" w:hAnsi="Times New Roman" w:eastAsia="仿宋_GB2312" w:cs="Times New Roman"/>
          <w:sz w:val="32"/>
          <w:szCs w:val="32"/>
          <w:lang w:val="zh-CN"/>
        </w:rPr>
      </w:pPr>
    </w:p>
    <w:p w14:paraId="3BD05716">
      <w:pPr>
        <w:pStyle w:val="8"/>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zh-CN"/>
        </w:rPr>
        <w:t xml:space="preserve"> </w:t>
      </w:r>
      <w:r>
        <w:rPr>
          <w:rFonts w:hint="default" w:ascii="Times New Roman" w:hAnsi="Times New Roman" w:eastAsia="仿宋_GB2312" w:cs="Times New Roman"/>
          <w:color w:val="auto"/>
          <w:kern w:val="0"/>
          <w:sz w:val="32"/>
          <w:szCs w:val="32"/>
          <w:highlight w:val="none"/>
          <w:shd w:val="clear" w:color="auto" w:fill="FFFFFF"/>
          <w:lang w:val="zh-CN"/>
        </w:rPr>
        <w:t>附件</w:t>
      </w:r>
      <w:r>
        <w:rPr>
          <w:rFonts w:hint="default" w:ascii="Times New Roman" w:hAnsi="Times New Roman" w:eastAsia="仿宋_GB2312" w:cs="Times New Roman"/>
          <w:color w:val="auto"/>
          <w:kern w:val="0"/>
          <w:sz w:val="32"/>
          <w:szCs w:val="32"/>
          <w:highlight w:val="none"/>
          <w:shd w:val="clear" w:color="auto" w:fill="FFFFFF"/>
          <w:lang w:val="en-US" w:eastAsia="zh-CN"/>
        </w:rPr>
        <w:t>2</w:t>
      </w:r>
    </w:p>
    <w:p w14:paraId="4869CFCF">
      <w:pPr>
        <w:keepNext w:val="0"/>
        <w:keepLines w:val="0"/>
        <w:pageBreakBefore w:val="0"/>
        <w:widowControl/>
        <w:kinsoku/>
        <w:wordWrap/>
        <w:overflowPunct/>
        <w:topLinePunct w:val="0"/>
        <w:autoSpaceDE/>
        <w:autoSpaceDN/>
        <w:bidi w:val="0"/>
        <w:adjustRightInd w:val="0"/>
        <w:snapToGrid w:val="0"/>
        <w:spacing w:line="700" w:lineRule="exact"/>
        <w:contextualSpacing/>
        <w:jc w:val="center"/>
        <w:textAlignment w:val="auto"/>
        <w:outlineLvl w:val="1"/>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中共壤塘县委组织部</w:t>
      </w:r>
    </w:p>
    <w:p w14:paraId="32ED74B0">
      <w:pPr>
        <w:keepNext w:val="0"/>
        <w:keepLines w:val="0"/>
        <w:pageBreakBefore w:val="0"/>
        <w:widowControl/>
        <w:kinsoku/>
        <w:wordWrap/>
        <w:overflowPunct/>
        <w:topLinePunct w:val="0"/>
        <w:autoSpaceDE/>
        <w:autoSpaceDN/>
        <w:bidi w:val="0"/>
        <w:adjustRightInd w:val="0"/>
        <w:snapToGrid w:val="0"/>
        <w:spacing w:line="700" w:lineRule="exact"/>
        <w:contextualSpacing/>
        <w:jc w:val="center"/>
        <w:textAlignment w:val="auto"/>
        <w:outlineLvl w:val="1"/>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壤塘县干部人才培训项目绩效自评报告</w:t>
      </w:r>
    </w:p>
    <w:p w14:paraId="5D5107B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en-US" w:eastAsia="zh-CN"/>
        </w:rPr>
      </w:pPr>
    </w:p>
    <w:p w14:paraId="1029C9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zh-CN" w:eastAsia="zh-CN"/>
        </w:rPr>
        <w:t>项目概况</w:t>
      </w:r>
    </w:p>
    <w:p w14:paraId="501CFBC8">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（一）项目资金申报及批复情况</w:t>
      </w:r>
    </w:p>
    <w:p w14:paraId="0D06EA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2022年全年下达绵阳援建资金（壤塘县干部人才培训项目）100万元，主要用于县内党政干部、专业技术人才培育，乡镇和村干部培养培训。</w:t>
      </w:r>
    </w:p>
    <w:p w14:paraId="5ACB5E0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zh-CN" w:eastAsia="zh-CN"/>
        </w:rPr>
        <w:t>）项目绩效目标</w:t>
      </w:r>
    </w:p>
    <w:p w14:paraId="3329660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干部人才</w:t>
      </w:r>
      <w:r>
        <w:rPr>
          <w:rFonts w:hint="default" w:ascii="Times New Roman" w:hAnsi="Times New Roman" w:eastAsia="仿宋_GB2312" w:cs="Times New Roman"/>
          <w:sz w:val="32"/>
          <w:szCs w:val="32"/>
          <w:lang w:val="zh-CN" w:eastAsia="zh-CN"/>
        </w:rPr>
        <w:t>是</w:t>
      </w:r>
      <w:r>
        <w:rPr>
          <w:rFonts w:hint="default" w:ascii="Times New Roman" w:hAnsi="Times New Roman" w:eastAsia="仿宋_GB2312" w:cs="Times New Roman"/>
          <w:sz w:val="32"/>
          <w:szCs w:val="32"/>
          <w:lang w:val="en-US" w:eastAsia="zh-CN"/>
        </w:rPr>
        <w:t>全面推进理论武装、能力培训和知识更新的重要保障，通过建立长期的培训机制努力形成更加开放、更具活力、更有实效的培训体系，使广大干部人才理想信念更加坚定、理论素养不断提高、党性修养切实增强、工作作风明显改进、德才素质和履职能力显著提升，为加快建设壤塘提供有力的智力支持和人才保障。</w:t>
      </w:r>
    </w:p>
    <w:p w14:paraId="3239AB40">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zh-CN" w:eastAsia="zh-CN"/>
        </w:rPr>
        <w:t>）项目资金申报相符性</w:t>
      </w:r>
    </w:p>
    <w:p w14:paraId="3C2CE54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是壤塘县委主管干部人才教育培训方面工作的职能部门，全面贯彻落实党的路线、方针、政策和党中央、省委、州委、县委的决策部署。该项目符合我部职能职责设定，与我部职能职责相符合。</w:t>
      </w:r>
    </w:p>
    <w:p w14:paraId="5817A3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二、项目实施及管理情况</w:t>
      </w:r>
    </w:p>
    <w:p w14:paraId="17C028A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sz w:val="32"/>
          <w:szCs w:val="32"/>
          <w:lang w:val="zh-CN" w:eastAsia="zh-CN"/>
        </w:rPr>
        <w:t>（一）资金计划、到位及使用情况</w:t>
      </w:r>
    </w:p>
    <w:p w14:paraId="21A3B5FD">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zh-CN" w:eastAsia="zh-CN"/>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eastAsia="zh-CN"/>
        </w:rPr>
        <w:t>资金计划及到位</w:t>
      </w:r>
      <w:r>
        <w:rPr>
          <w:rFonts w:hint="default" w:ascii="Times New Roman" w:hAnsi="Times New Roman" w:eastAsia="仿宋_GB2312" w:cs="Times New Roman"/>
          <w:b/>
          <w:bCs/>
          <w:sz w:val="32"/>
          <w:szCs w:val="32"/>
          <w:lang w:val="en-US" w:eastAsia="zh-CN"/>
        </w:rPr>
        <w:t>情况</w:t>
      </w:r>
    </w:p>
    <w:p w14:paraId="27E88A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2022年12月31日，共收到绵阳援建资金（壤塘县干部人才培训项目）100万元，目前资金已全部到位。</w:t>
      </w:r>
    </w:p>
    <w:p w14:paraId="2A809A5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zh-CN" w:eastAsia="zh-CN"/>
        </w:rPr>
        <w:t>资金使用</w:t>
      </w:r>
      <w:r>
        <w:rPr>
          <w:rFonts w:hint="default" w:ascii="Times New Roman" w:hAnsi="Times New Roman" w:eastAsia="仿宋_GB2312" w:cs="Times New Roman"/>
          <w:b/>
          <w:bCs/>
          <w:sz w:val="32"/>
          <w:szCs w:val="32"/>
          <w:lang w:val="en-US" w:eastAsia="zh-CN"/>
        </w:rPr>
        <w:t>情况</w:t>
      </w:r>
    </w:p>
    <w:p w14:paraId="330EA83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2022年12月31日，已完成全部培训，已拨付项目资金99.77万元，拨付率99.77%。</w:t>
      </w:r>
    </w:p>
    <w:p w14:paraId="5A05394B">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（二）项目财务管理情况</w:t>
      </w:r>
    </w:p>
    <w:p w14:paraId="7B16C3A2">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zh-CN" w:eastAsia="zh-CN"/>
          <w14:textFill>
            <w14:solidFill>
              <w14:schemeClr w14:val="tx1"/>
            </w14:solidFill>
          </w14:textFill>
        </w:rPr>
        <w:t>管理制度健全性</w:t>
      </w:r>
    </w:p>
    <w:p w14:paraId="14EB0A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根据相关法律法规及规章制度规定，结合单位实际情况，在对单位主要经济活动及业务流程梳理分析的基础上，制定符合的培训资金管理办法。</w:t>
      </w:r>
    </w:p>
    <w:p w14:paraId="62C3F10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zh-CN" w:eastAsia="zh-CN"/>
          <w14:textFill>
            <w14:solidFill>
              <w14:schemeClr w14:val="tx1"/>
            </w14:solidFill>
          </w14:textFill>
        </w:rPr>
        <w:t>2</w:t>
      </w:r>
      <w:r>
        <w:rPr>
          <w:rFonts w:hint="eastAsia" w:eastAsia="仿宋_GB2312" w:cs="Times New Roman"/>
          <w:b/>
          <w:bCs/>
          <w:color w:val="000000" w:themeColor="text1"/>
          <w:sz w:val="32"/>
          <w:szCs w:val="32"/>
          <w:lang w:val="zh-CN"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zh-CN" w:eastAsia="zh-CN"/>
          <w14:textFill>
            <w14:solidFill>
              <w14:schemeClr w14:val="tx1"/>
            </w14:solidFill>
          </w14:textFill>
        </w:rPr>
        <w:t>财务管理以及资金使用合规性</w:t>
      </w:r>
    </w:p>
    <w:p w14:paraId="47A2AF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资金使用过程中严格按照单位财务管理制度要求执行，资金使用的合规性体现在：</w:t>
      </w:r>
    </w:p>
    <w:p w14:paraId="342E9B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报销经费时，经办人使用统一规范的审批单，在审批单上写明用途、经办人员、证明人员、股室负责人、金额、报销日期、单据张数等内容。</w:t>
      </w:r>
    </w:p>
    <w:p w14:paraId="1530AADD">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sz w:val="32"/>
          <w:szCs w:val="32"/>
          <w:lang w:val="zh-CN" w:eastAsia="zh-CN"/>
        </w:rPr>
        <w:t>（三）项目组织实施情况</w:t>
      </w:r>
    </w:p>
    <w:p w14:paraId="6537BB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按照壤塘县干部人才培训项目建设内容及《关于印发〈壤塘县2022年干部人才教育培训实施方案》的通知〉（壤委组〔2022〕39号）要求，有序推行全县干部人才教育培训工作。</w:t>
      </w:r>
    </w:p>
    <w:p w14:paraId="509929E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三、目标完成情况</w:t>
      </w:r>
      <w:r>
        <w:rPr>
          <w:rFonts w:hint="default" w:ascii="Times New Roman" w:hAnsi="Times New Roman" w:eastAsia="黑体" w:cs="Times New Roman"/>
          <w:sz w:val="32"/>
          <w:szCs w:val="32"/>
          <w:lang w:val="zh-CN" w:eastAsia="zh-CN"/>
        </w:rPr>
        <w:tab/>
      </w:r>
    </w:p>
    <w:p w14:paraId="10A9A77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（一）目标任务量完成情况</w:t>
      </w:r>
    </w:p>
    <w:p w14:paraId="15F4F92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2022年12月31日，实施15个培养培训，受益2162人次，完成预定目标任务。</w:t>
      </w:r>
    </w:p>
    <w:p w14:paraId="6D7871A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（二）目标质量完成情况</w:t>
      </w:r>
    </w:p>
    <w:p w14:paraId="44D51D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2022年12月31日，实施15个培养培训，受益2162人次，拨付项目资金99.77万元，拨付率99.77%。</w:t>
      </w:r>
    </w:p>
    <w:p w14:paraId="61982CA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（三）目标进度完成情况</w:t>
      </w:r>
    </w:p>
    <w:p w14:paraId="70F4B50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2022年12月31日，实施15个培养培训，受益2162人次，完成预定目标任务。</w:t>
      </w:r>
    </w:p>
    <w:p w14:paraId="246BAE4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四、项目效益情况</w:t>
      </w:r>
    </w:p>
    <w:p w14:paraId="233F4C0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教育培训</w:t>
      </w:r>
      <w:r>
        <w:rPr>
          <w:rFonts w:hint="default" w:ascii="Times New Roman" w:hAnsi="Times New Roman" w:eastAsia="仿宋_GB2312" w:cs="Times New Roman"/>
          <w:sz w:val="32"/>
          <w:szCs w:val="32"/>
          <w:lang w:val="zh-CN" w:eastAsia="zh-CN"/>
        </w:rPr>
        <w:t>是</w:t>
      </w:r>
      <w:r>
        <w:rPr>
          <w:rFonts w:hint="default" w:ascii="Times New Roman" w:hAnsi="Times New Roman" w:eastAsia="仿宋_GB2312" w:cs="Times New Roman"/>
          <w:sz w:val="32"/>
          <w:szCs w:val="32"/>
          <w:lang w:val="en-US" w:eastAsia="zh-CN"/>
        </w:rPr>
        <w:t>提升干部人才的</w:t>
      </w:r>
      <w:r>
        <w:rPr>
          <w:rFonts w:hint="default" w:ascii="Times New Roman" w:hAnsi="Times New Roman" w:eastAsia="仿宋_GB2312" w:cs="Times New Roman"/>
          <w:sz w:val="32"/>
          <w:szCs w:val="32"/>
          <w:lang w:val="zh-CN" w:eastAsia="zh-CN"/>
        </w:rPr>
        <w:t>重要提能措施，是</w:t>
      </w:r>
      <w:r>
        <w:rPr>
          <w:rFonts w:hint="default" w:ascii="Times New Roman" w:hAnsi="Times New Roman" w:eastAsia="仿宋_GB2312" w:cs="Times New Roman"/>
          <w:sz w:val="32"/>
          <w:szCs w:val="32"/>
          <w:lang w:val="en-US" w:eastAsia="zh-CN"/>
        </w:rPr>
        <w:t>全面推进理论武装、能力培训和知识更新的重要保障，通过建立长期的培训机制形成了更加开放、更具活力、更有实效的培训体系，使广大干部人才理想信念更加坚定、理论素养不断提高、党性修养切实增强、工作作风明显改进、德才素质和履职能力显著提升，为加快建设壤塘县提供有力的智力支持和人才保障。</w:t>
      </w:r>
    </w:p>
    <w:p w14:paraId="55A009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zh-CN" w:eastAsia="zh-CN"/>
        </w:rPr>
        <w:t>五、问题及建议</w:t>
      </w:r>
    </w:p>
    <w:p w14:paraId="4C1B6DA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无</w:t>
      </w:r>
    </w:p>
    <w:p w14:paraId="02A62E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92" w:name="_Toc27025"/>
      <w:bookmarkStart w:id="93" w:name="_Toc15396618"/>
    </w:p>
    <w:p w14:paraId="68F1E31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3678F008">
      <w:pPr>
        <w:pStyle w:val="2"/>
        <w:rPr>
          <w:rFonts w:hint="eastAsia"/>
        </w:rPr>
      </w:pPr>
    </w:p>
    <w:p w14:paraId="3443CC7E">
      <w:pPr>
        <w:spacing w:line="600" w:lineRule="exact"/>
        <w:jc w:val="center"/>
        <w:outlineLvl w:val="0"/>
        <w:rPr>
          <w:rFonts w:hint="eastAsia" w:ascii="仿宋" w:hAnsi="仿宋" w:eastAsia="仿宋" w:cs="仿宋"/>
          <w:b/>
          <w:bCs/>
          <w:sz w:val="36"/>
          <w:szCs w:val="36"/>
        </w:rPr>
      </w:pPr>
    </w:p>
    <w:p w14:paraId="7A88FCCC">
      <w:pPr>
        <w:pStyle w:val="2"/>
        <w:rPr>
          <w:rFonts w:hint="eastAsia"/>
        </w:rPr>
      </w:pPr>
    </w:p>
    <w:p w14:paraId="24391ABA">
      <w:pPr>
        <w:spacing w:line="600" w:lineRule="exact"/>
        <w:jc w:val="center"/>
        <w:outlineLvl w:val="0"/>
        <w:rPr>
          <w:rFonts w:hint="eastAsia" w:ascii="黑体" w:hAnsi="黑体" w:eastAsia="黑体" w:cs="黑体"/>
          <w:b w:val="0"/>
          <w:bCs w:val="0"/>
          <w:sz w:val="32"/>
          <w:szCs w:val="32"/>
        </w:rPr>
      </w:pPr>
    </w:p>
    <w:p w14:paraId="36E4FA1B">
      <w:pPr>
        <w:spacing w:line="600" w:lineRule="exact"/>
        <w:jc w:val="center"/>
        <w:outlineLvl w:val="0"/>
        <w:rPr>
          <w:rFonts w:hint="eastAsia" w:ascii="黑体" w:hAnsi="黑体" w:eastAsia="黑体" w:cs="黑体"/>
          <w:b w:val="0"/>
          <w:bCs w:val="0"/>
          <w:sz w:val="32"/>
          <w:szCs w:val="32"/>
        </w:rPr>
      </w:pPr>
    </w:p>
    <w:p w14:paraId="4E32F7BD">
      <w:pPr>
        <w:spacing w:line="600" w:lineRule="exact"/>
        <w:jc w:val="center"/>
        <w:outlineLvl w:val="0"/>
        <w:rPr>
          <w:rFonts w:hint="eastAsia" w:ascii="黑体" w:hAnsi="黑体" w:eastAsia="黑体" w:cs="黑体"/>
          <w:b w:val="0"/>
          <w:bCs w:val="0"/>
          <w:sz w:val="32"/>
          <w:szCs w:val="32"/>
        </w:rPr>
      </w:pPr>
    </w:p>
    <w:p w14:paraId="4EFEDB9A">
      <w:pPr>
        <w:spacing w:line="600" w:lineRule="exact"/>
        <w:jc w:val="center"/>
        <w:outlineLvl w:val="0"/>
        <w:rPr>
          <w:rFonts w:hint="eastAsia" w:ascii="黑体" w:hAnsi="黑体" w:eastAsia="黑体" w:cs="黑体"/>
          <w:b w:val="0"/>
          <w:bCs w:val="0"/>
          <w:sz w:val="32"/>
          <w:szCs w:val="32"/>
        </w:rPr>
      </w:pPr>
      <w:bookmarkStart w:id="121" w:name="_GoBack"/>
      <w:bookmarkEnd w:id="121"/>
      <w:r>
        <w:rPr>
          <w:rFonts w:hint="eastAsia" w:ascii="黑体" w:hAnsi="黑体" w:eastAsia="黑体" w:cs="黑体"/>
          <w:b w:val="0"/>
          <w:bCs w:val="0"/>
          <w:sz w:val="32"/>
          <w:szCs w:val="32"/>
        </w:rPr>
        <w:t>第</w:t>
      </w:r>
      <w:r>
        <w:rPr>
          <w:rStyle w:val="33"/>
          <w:rFonts w:hint="eastAsia" w:ascii="黑体" w:hAnsi="黑体" w:eastAsia="黑体" w:cs="黑体"/>
          <w:b w:val="0"/>
          <w:bCs w:val="0"/>
          <w:sz w:val="32"/>
          <w:szCs w:val="32"/>
        </w:rPr>
        <w:t>五部分 附表</w:t>
      </w:r>
      <w:bookmarkEnd w:id="74"/>
      <w:bookmarkEnd w:id="92"/>
      <w:bookmarkEnd w:id="93"/>
      <w:bookmarkStart w:id="94" w:name="_Toc15396619"/>
    </w:p>
    <w:p w14:paraId="586B67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 w:hAnsi="仿宋" w:eastAsia="仿宋" w:cs="仿宋"/>
          <w:b w:val="0"/>
          <w:sz w:val="28"/>
          <w:szCs w:val="28"/>
        </w:rPr>
      </w:pPr>
      <w:bookmarkStart w:id="95" w:name="_Toc31464"/>
    </w:p>
    <w:p w14:paraId="6C3587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一、收</w:t>
      </w:r>
      <w:r>
        <w:rPr>
          <w:rStyle w:val="34"/>
          <w:rFonts w:hint="eastAsia" w:ascii="仿宋_GB2312" w:hAnsi="仿宋_GB2312" w:eastAsia="仿宋_GB2312" w:cs="仿宋_GB2312"/>
          <w:b w:val="0"/>
          <w:bCs w:val="0"/>
          <w:sz w:val="28"/>
          <w:szCs w:val="28"/>
        </w:rPr>
        <w:t>入支出决算总表</w:t>
      </w:r>
      <w:bookmarkEnd w:id="94"/>
      <w:bookmarkEnd w:id="95"/>
    </w:p>
    <w:p w14:paraId="40D455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96" w:name="_Toc15396620"/>
      <w:bookmarkStart w:id="97" w:name="_Toc30477"/>
      <w:r>
        <w:rPr>
          <w:rFonts w:hint="eastAsia" w:ascii="仿宋_GB2312" w:hAnsi="仿宋_GB2312" w:eastAsia="仿宋_GB2312" w:cs="仿宋_GB2312"/>
          <w:b w:val="0"/>
          <w:sz w:val="28"/>
          <w:szCs w:val="28"/>
        </w:rPr>
        <w:t>二、收</w:t>
      </w:r>
      <w:r>
        <w:rPr>
          <w:rStyle w:val="34"/>
          <w:rFonts w:hint="eastAsia" w:ascii="仿宋_GB2312" w:hAnsi="仿宋_GB2312" w:eastAsia="仿宋_GB2312" w:cs="仿宋_GB2312"/>
          <w:b w:val="0"/>
          <w:bCs w:val="0"/>
          <w:sz w:val="28"/>
          <w:szCs w:val="28"/>
        </w:rPr>
        <w:t>入决算表</w:t>
      </w:r>
      <w:bookmarkEnd w:id="96"/>
      <w:bookmarkEnd w:id="97"/>
    </w:p>
    <w:p w14:paraId="14693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98" w:name="_Toc15396621"/>
      <w:bookmarkStart w:id="99" w:name="_Toc24080"/>
      <w:r>
        <w:rPr>
          <w:rStyle w:val="34"/>
          <w:rFonts w:hint="eastAsia" w:ascii="仿宋_GB2312" w:hAnsi="仿宋_GB2312" w:eastAsia="仿宋_GB2312" w:cs="仿宋_GB2312"/>
          <w:b w:val="0"/>
          <w:bCs w:val="0"/>
          <w:sz w:val="28"/>
          <w:szCs w:val="28"/>
        </w:rPr>
        <w:t>三、</w:t>
      </w:r>
      <w:r>
        <w:rPr>
          <w:rFonts w:hint="eastAsia" w:ascii="仿宋_GB2312" w:hAnsi="仿宋_GB2312" w:eastAsia="仿宋_GB2312" w:cs="仿宋_GB2312"/>
          <w:b w:val="0"/>
          <w:sz w:val="28"/>
          <w:szCs w:val="28"/>
        </w:rPr>
        <w:t>支</w:t>
      </w:r>
      <w:r>
        <w:rPr>
          <w:rStyle w:val="34"/>
          <w:rFonts w:hint="eastAsia" w:ascii="仿宋_GB2312" w:hAnsi="仿宋_GB2312" w:eastAsia="仿宋_GB2312" w:cs="仿宋_GB2312"/>
          <w:b w:val="0"/>
          <w:bCs w:val="0"/>
          <w:sz w:val="28"/>
          <w:szCs w:val="28"/>
        </w:rPr>
        <w:t>出决算表</w:t>
      </w:r>
      <w:bookmarkEnd w:id="98"/>
      <w:bookmarkEnd w:id="99"/>
    </w:p>
    <w:p w14:paraId="72A122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b w:val="0"/>
          <w:sz w:val="28"/>
          <w:szCs w:val="28"/>
        </w:rPr>
      </w:pPr>
      <w:bookmarkStart w:id="100" w:name="_Toc4835"/>
      <w:bookmarkStart w:id="101" w:name="_Toc15396622"/>
      <w:r>
        <w:rPr>
          <w:rStyle w:val="34"/>
          <w:rFonts w:hint="eastAsia" w:ascii="仿宋_GB2312" w:hAnsi="仿宋_GB2312" w:eastAsia="仿宋_GB2312" w:cs="仿宋_GB2312"/>
          <w:b w:val="0"/>
          <w:bCs w:val="0"/>
          <w:sz w:val="28"/>
          <w:szCs w:val="28"/>
        </w:rPr>
        <w:t>四、</w:t>
      </w:r>
      <w:r>
        <w:rPr>
          <w:rFonts w:hint="eastAsia" w:ascii="仿宋_GB2312" w:hAnsi="仿宋_GB2312" w:eastAsia="仿宋_GB2312" w:cs="仿宋_GB2312"/>
          <w:b w:val="0"/>
          <w:sz w:val="28"/>
          <w:szCs w:val="28"/>
        </w:rPr>
        <w:t>财</w:t>
      </w:r>
      <w:r>
        <w:rPr>
          <w:rStyle w:val="34"/>
          <w:rFonts w:hint="eastAsia" w:ascii="仿宋_GB2312" w:hAnsi="仿宋_GB2312" w:eastAsia="仿宋_GB2312" w:cs="仿宋_GB2312"/>
          <w:b w:val="0"/>
          <w:bCs w:val="0"/>
          <w:sz w:val="28"/>
          <w:szCs w:val="28"/>
        </w:rPr>
        <w:t>政拨款收入支出决算总表</w:t>
      </w:r>
      <w:bookmarkEnd w:id="100"/>
      <w:bookmarkEnd w:id="101"/>
    </w:p>
    <w:p w14:paraId="5732E5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Style w:val="34"/>
          <w:rFonts w:hint="eastAsia" w:ascii="仿宋_GB2312" w:hAnsi="仿宋_GB2312" w:eastAsia="仿宋_GB2312" w:cs="仿宋_GB2312"/>
          <w:b w:val="0"/>
          <w:bCs w:val="0"/>
          <w:sz w:val="28"/>
          <w:szCs w:val="28"/>
        </w:rPr>
      </w:pPr>
      <w:bookmarkStart w:id="102" w:name="_Toc15396623"/>
      <w:bookmarkStart w:id="103" w:name="_Toc583"/>
      <w:r>
        <w:rPr>
          <w:rStyle w:val="34"/>
          <w:rFonts w:hint="eastAsia" w:ascii="仿宋_GB2312" w:hAnsi="仿宋_GB2312" w:eastAsia="仿宋_GB2312" w:cs="仿宋_GB2312"/>
          <w:b w:val="0"/>
          <w:bCs w:val="0"/>
          <w:sz w:val="28"/>
          <w:szCs w:val="28"/>
        </w:rPr>
        <w:t>五、</w:t>
      </w:r>
      <w:r>
        <w:rPr>
          <w:rFonts w:hint="eastAsia" w:ascii="仿宋_GB2312" w:hAnsi="仿宋_GB2312" w:eastAsia="仿宋_GB2312" w:cs="仿宋_GB2312"/>
          <w:b w:val="0"/>
          <w:sz w:val="28"/>
          <w:szCs w:val="28"/>
        </w:rPr>
        <w:t>财</w:t>
      </w:r>
      <w:r>
        <w:rPr>
          <w:rStyle w:val="34"/>
          <w:rFonts w:hint="eastAsia" w:ascii="仿宋_GB2312" w:hAnsi="仿宋_GB2312" w:eastAsia="仿宋_GB2312" w:cs="仿宋_GB2312"/>
          <w:b w:val="0"/>
          <w:bCs w:val="0"/>
          <w:sz w:val="28"/>
          <w:szCs w:val="28"/>
        </w:rPr>
        <w:t>政拨款支出决算明细表</w:t>
      </w:r>
      <w:bookmarkEnd w:id="102"/>
      <w:bookmarkEnd w:id="103"/>
      <w:bookmarkStart w:id="104" w:name="_Toc15396624"/>
    </w:p>
    <w:p w14:paraId="061E30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05" w:name="_Toc26680"/>
      <w:r>
        <w:rPr>
          <w:rStyle w:val="34"/>
          <w:rFonts w:hint="eastAsia" w:ascii="仿宋_GB2312" w:hAnsi="仿宋_GB2312" w:eastAsia="仿宋_GB2312" w:cs="仿宋_GB2312"/>
          <w:b w:val="0"/>
          <w:bCs w:val="0"/>
          <w:sz w:val="28"/>
          <w:szCs w:val="28"/>
        </w:rPr>
        <w:t>六、</w:t>
      </w:r>
      <w:r>
        <w:rPr>
          <w:rFonts w:hint="eastAsia" w:ascii="仿宋_GB2312" w:hAnsi="仿宋_GB2312" w:eastAsia="仿宋_GB2312" w:cs="仿宋_GB2312"/>
          <w:b w:val="0"/>
          <w:sz w:val="28"/>
          <w:szCs w:val="28"/>
        </w:rPr>
        <w:t>一</w:t>
      </w:r>
      <w:r>
        <w:rPr>
          <w:rStyle w:val="34"/>
          <w:rFonts w:hint="eastAsia" w:ascii="仿宋_GB2312" w:hAnsi="仿宋_GB2312" w:eastAsia="仿宋_GB2312" w:cs="仿宋_GB2312"/>
          <w:b w:val="0"/>
          <w:bCs w:val="0"/>
          <w:sz w:val="28"/>
          <w:szCs w:val="28"/>
        </w:rPr>
        <w:t>般公共预算财政拨款支出决算表</w:t>
      </w:r>
      <w:bookmarkEnd w:id="104"/>
      <w:bookmarkEnd w:id="105"/>
    </w:p>
    <w:p w14:paraId="1FFF2A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06" w:name="_Toc15396625"/>
      <w:bookmarkStart w:id="107" w:name="_Toc16638"/>
      <w:r>
        <w:rPr>
          <w:rStyle w:val="34"/>
          <w:rFonts w:hint="eastAsia" w:ascii="仿宋_GB2312" w:hAnsi="仿宋_GB2312" w:eastAsia="仿宋_GB2312" w:cs="仿宋_GB2312"/>
          <w:b w:val="0"/>
          <w:bCs w:val="0"/>
          <w:sz w:val="28"/>
          <w:szCs w:val="28"/>
        </w:rPr>
        <w:t>七、</w:t>
      </w:r>
      <w:r>
        <w:rPr>
          <w:rFonts w:hint="eastAsia" w:ascii="仿宋_GB2312" w:hAnsi="仿宋_GB2312" w:eastAsia="仿宋_GB2312" w:cs="仿宋_GB2312"/>
          <w:b w:val="0"/>
          <w:sz w:val="28"/>
          <w:szCs w:val="28"/>
        </w:rPr>
        <w:t>一</w:t>
      </w:r>
      <w:r>
        <w:rPr>
          <w:rStyle w:val="34"/>
          <w:rFonts w:hint="eastAsia" w:ascii="仿宋_GB2312" w:hAnsi="仿宋_GB2312" w:eastAsia="仿宋_GB2312" w:cs="仿宋_GB2312"/>
          <w:b w:val="0"/>
          <w:bCs w:val="0"/>
          <w:sz w:val="28"/>
          <w:szCs w:val="28"/>
        </w:rPr>
        <w:t>般公共预算财政拨款支出决算明细表</w:t>
      </w:r>
      <w:bookmarkEnd w:id="106"/>
      <w:bookmarkEnd w:id="107"/>
    </w:p>
    <w:p w14:paraId="4CBFB6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08" w:name="_Toc25103"/>
      <w:bookmarkStart w:id="109" w:name="_Toc15396626"/>
      <w:r>
        <w:rPr>
          <w:rStyle w:val="34"/>
          <w:rFonts w:hint="eastAsia" w:ascii="仿宋_GB2312" w:hAnsi="仿宋_GB2312" w:eastAsia="仿宋_GB2312" w:cs="仿宋_GB2312"/>
          <w:b w:val="0"/>
          <w:bCs w:val="0"/>
          <w:sz w:val="28"/>
          <w:szCs w:val="28"/>
        </w:rPr>
        <w:t>八、</w:t>
      </w:r>
      <w:r>
        <w:rPr>
          <w:rFonts w:hint="eastAsia" w:ascii="仿宋_GB2312" w:hAnsi="仿宋_GB2312" w:eastAsia="仿宋_GB2312" w:cs="仿宋_GB2312"/>
          <w:b w:val="0"/>
          <w:sz w:val="28"/>
          <w:szCs w:val="28"/>
        </w:rPr>
        <w:t>一</w:t>
      </w:r>
      <w:r>
        <w:rPr>
          <w:rStyle w:val="34"/>
          <w:rFonts w:hint="eastAsia" w:ascii="仿宋_GB2312" w:hAnsi="仿宋_GB2312" w:eastAsia="仿宋_GB2312" w:cs="仿宋_GB2312"/>
          <w:b w:val="0"/>
          <w:bCs w:val="0"/>
          <w:sz w:val="28"/>
          <w:szCs w:val="28"/>
        </w:rPr>
        <w:t>般公共预算财政拨款基本支出决算表</w:t>
      </w:r>
      <w:bookmarkEnd w:id="108"/>
      <w:bookmarkEnd w:id="109"/>
    </w:p>
    <w:p w14:paraId="384EC5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10" w:name="_Toc15396627"/>
      <w:bookmarkStart w:id="111" w:name="_Toc23325"/>
      <w:r>
        <w:rPr>
          <w:rStyle w:val="34"/>
          <w:rFonts w:hint="eastAsia" w:ascii="仿宋_GB2312" w:hAnsi="仿宋_GB2312" w:eastAsia="仿宋_GB2312" w:cs="仿宋_GB2312"/>
          <w:b w:val="0"/>
          <w:bCs w:val="0"/>
          <w:sz w:val="28"/>
          <w:szCs w:val="28"/>
        </w:rPr>
        <w:t>九、</w:t>
      </w:r>
      <w:r>
        <w:rPr>
          <w:rFonts w:hint="eastAsia" w:ascii="仿宋_GB2312" w:hAnsi="仿宋_GB2312" w:eastAsia="仿宋_GB2312" w:cs="仿宋_GB2312"/>
          <w:b w:val="0"/>
          <w:sz w:val="28"/>
          <w:szCs w:val="28"/>
        </w:rPr>
        <w:t>一</w:t>
      </w:r>
      <w:r>
        <w:rPr>
          <w:rStyle w:val="34"/>
          <w:rFonts w:hint="eastAsia" w:ascii="仿宋_GB2312" w:hAnsi="仿宋_GB2312" w:eastAsia="仿宋_GB2312" w:cs="仿宋_GB2312"/>
          <w:b w:val="0"/>
          <w:bCs w:val="0"/>
          <w:sz w:val="28"/>
          <w:szCs w:val="28"/>
        </w:rPr>
        <w:t>般公共预算财政拨款项目支出决算表</w:t>
      </w:r>
      <w:bookmarkEnd w:id="110"/>
      <w:bookmarkEnd w:id="111"/>
    </w:p>
    <w:p w14:paraId="5EFAA6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12" w:name="_Toc15396628"/>
      <w:bookmarkStart w:id="113" w:name="_Toc32737"/>
      <w:r>
        <w:rPr>
          <w:rStyle w:val="34"/>
          <w:rFonts w:hint="eastAsia" w:ascii="仿宋_GB2312" w:hAnsi="仿宋_GB2312" w:eastAsia="仿宋_GB2312" w:cs="仿宋_GB2312"/>
          <w:b w:val="0"/>
          <w:bCs w:val="0"/>
          <w:sz w:val="28"/>
          <w:szCs w:val="28"/>
        </w:rPr>
        <w:t>十、</w:t>
      </w:r>
      <w:r>
        <w:rPr>
          <w:rFonts w:hint="eastAsia" w:ascii="仿宋_GB2312" w:hAnsi="仿宋_GB2312" w:eastAsia="仿宋_GB2312" w:cs="仿宋_GB2312"/>
          <w:b w:val="0"/>
          <w:sz w:val="28"/>
          <w:szCs w:val="28"/>
        </w:rPr>
        <w:t>一</w:t>
      </w:r>
      <w:r>
        <w:rPr>
          <w:rStyle w:val="34"/>
          <w:rFonts w:hint="eastAsia" w:ascii="仿宋_GB2312" w:hAnsi="仿宋_GB2312" w:eastAsia="仿宋_GB2312" w:cs="仿宋_GB2312"/>
          <w:b w:val="0"/>
          <w:bCs w:val="0"/>
          <w:sz w:val="28"/>
          <w:szCs w:val="28"/>
        </w:rPr>
        <w:t>般公共预算财政拨款“三公”经费支出决算表</w:t>
      </w:r>
      <w:bookmarkEnd w:id="112"/>
      <w:bookmarkEnd w:id="113"/>
    </w:p>
    <w:p w14:paraId="097C05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14" w:name="_Toc15396629"/>
      <w:bookmarkStart w:id="115" w:name="_Toc13249"/>
      <w:r>
        <w:rPr>
          <w:rStyle w:val="34"/>
          <w:rFonts w:hint="eastAsia" w:ascii="仿宋_GB2312" w:hAnsi="仿宋_GB2312" w:eastAsia="仿宋_GB2312" w:cs="仿宋_GB2312"/>
          <w:b w:val="0"/>
          <w:bCs w:val="0"/>
          <w:sz w:val="28"/>
          <w:szCs w:val="28"/>
        </w:rPr>
        <w:t>十一、</w:t>
      </w:r>
      <w:r>
        <w:rPr>
          <w:rFonts w:hint="eastAsia" w:ascii="仿宋_GB2312" w:hAnsi="仿宋_GB2312" w:eastAsia="仿宋_GB2312" w:cs="仿宋_GB2312"/>
          <w:b w:val="0"/>
          <w:sz w:val="28"/>
          <w:szCs w:val="28"/>
        </w:rPr>
        <w:t>政</w:t>
      </w:r>
      <w:r>
        <w:rPr>
          <w:rStyle w:val="34"/>
          <w:rFonts w:hint="eastAsia" w:ascii="仿宋_GB2312" w:hAnsi="仿宋_GB2312" w:eastAsia="仿宋_GB2312" w:cs="仿宋_GB2312"/>
          <w:b w:val="0"/>
          <w:bCs w:val="0"/>
          <w:sz w:val="28"/>
          <w:szCs w:val="28"/>
        </w:rPr>
        <w:t>府性基金预算财政拨款收入支出决算表</w:t>
      </w:r>
      <w:bookmarkEnd w:id="114"/>
      <w:bookmarkEnd w:id="115"/>
    </w:p>
    <w:p w14:paraId="21647E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16" w:name="_Toc31690"/>
      <w:bookmarkStart w:id="117" w:name="_Toc15396630"/>
      <w:r>
        <w:rPr>
          <w:rStyle w:val="34"/>
          <w:rFonts w:hint="eastAsia" w:ascii="仿宋_GB2312" w:hAnsi="仿宋_GB2312" w:eastAsia="仿宋_GB2312" w:cs="仿宋_GB2312"/>
          <w:b w:val="0"/>
          <w:bCs w:val="0"/>
          <w:sz w:val="28"/>
          <w:szCs w:val="28"/>
        </w:rPr>
        <w:t>十二、</w:t>
      </w:r>
      <w:r>
        <w:rPr>
          <w:rFonts w:hint="eastAsia" w:ascii="仿宋_GB2312" w:hAnsi="仿宋_GB2312" w:eastAsia="仿宋_GB2312" w:cs="仿宋_GB2312"/>
          <w:b w:val="0"/>
          <w:sz w:val="28"/>
          <w:szCs w:val="28"/>
        </w:rPr>
        <w:t>政</w:t>
      </w:r>
      <w:r>
        <w:rPr>
          <w:rStyle w:val="34"/>
          <w:rFonts w:hint="eastAsia" w:ascii="仿宋_GB2312" w:hAnsi="仿宋_GB2312" w:eastAsia="仿宋_GB2312" w:cs="仿宋_GB2312"/>
          <w:b w:val="0"/>
          <w:bCs w:val="0"/>
          <w:sz w:val="28"/>
          <w:szCs w:val="28"/>
        </w:rPr>
        <w:t>府性基金预算财政拨款“三公”经费支出决算表</w:t>
      </w:r>
      <w:bookmarkEnd w:id="116"/>
      <w:bookmarkEnd w:id="117"/>
    </w:p>
    <w:p w14:paraId="61DFB3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Style w:val="34"/>
          <w:rFonts w:hint="eastAsia" w:ascii="仿宋_GB2312" w:hAnsi="仿宋_GB2312" w:eastAsia="仿宋_GB2312" w:cs="仿宋_GB2312"/>
          <w:b w:val="0"/>
          <w:bCs w:val="0"/>
          <w:sz w:val="28"/>
          <w:szCs w:val="28"/>
        </w:rPr>
      </w:pPr>
      <w:bookmarkStart w:id="118" w:name="_Toc23075"/>
      <w:bookmarkStart w:id="119" w:name="_Toc15396631"/>
      <w:r>
        <w:rPr>
          <w:rStyle w:val="34"/>
          <w:rFonts w:hint="eastAsia" w:ascii="仿宋_GB2312" w:hAnsi="仿宋_GB2312" w:eastAsia="仿宋_GB2312" w:cs="仿宋_GB2312"/>
          <w:b w:val="0"/>
          <w:bCs w:val="0"/>
          <w:sz w:val="28"/>
          <w:szCs w:val="28"/>
        </w:rPr>
        <w:t>十三、</w:t>
      </w:r>
      <w:r>
        <w:rPr>
          <w:rFonts w:hint="eastAsia" w:ascii="仿宋_GB2312" w:hAnsi="仿宋_GB2312" w:eastAsia="仿宋_GB2312" w:cs="仿宋_GB2312"/>
          <w:b w:val="0"/>
          <w:sz w:val="28"/>
          <w:szCs w:val="28"/>
        </w:rPr>
        <w:t>国</w:t>
      </w:r>
      <w:r>
        <w:rPr>
          <w:rStyle w:val="34"/>
          <w:rFonts w:hint="eastAsia" w:ascii="仿宋_GB2312" w:hAnsi="仿宋_GB2312" w:eastAsia="仿宋_GB2312" w:cs="仿宋_GB2312"/>
          <w:b w:val="0"/>
          <w:bCs w:val="0"/>
          <w:sz w:val="28"/>
          <w:szCs w:val="28"/>
        </w:rPr>
        <w:t>有资本经营预算财政拨款收入支出决算表</w:t>
      </w:r>
      <w:bookmarkEnd w:id="118"/>
      <w:bookmarkEnd w:id="119"/>
    </w:p>
    <w:p w14:paraId="3C5703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仿宋_GB2312" w:hAnsi="仿宋_GB2312" w:eastAsia="仿宋_GB2312" w:cs="仿宋_GB2312"/>
          <w:sz w:val="28"/>
          <w:szCs w:val="28"/>
        </w:rPr>
      </w:pPr>
      <w:bookmarkStart w:id="120" w:name="_Toc14191"/>
      <w:r>
        <w:rPr>
          <w:rStyle w:val="34"/>
          <w:rFonts w:hint="eastAsia" w:ascii="仿宋_GB2312" w:hAnsi="仿宋_GB2312" w:eastAsia="仿宋_GB2312" w:cs="仿宋_GB2312"/>
          <w:b w:val="0"/>
          <w:bCs w:val="0"/>
          <w:sz w:val="28"/>
          <w:szCs w:val="28"/>
        </w:rPr>
        <w:t>十四、国有资本经营预算财政拨款支出决算表</w:t>
      </w:r>
      <w:bookmarkEnd w:id="120"/>
    </w:p>
    <w:sectPr>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C5F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7FFF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17FFF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8CE30B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8EA0">
    <w:pPr>
      <w:pStyle w:val="13"/>
      <w:ind w:firstLine="3780" w:firstLineChars="2100"/>
    </w:pPr>
    <w:r>
      <w:t xml:space="preserve">— </w:t>
    </w:r>
    <w:r>
      <w:fldChar w:fldCharType="begin"/>
    </w:r>
    <w:r>
      <w:instrText xml:space="preserve"> PAGE  \* MERGEFORMAT </w:instrText>
    </w:r>
    <w:r>
      <w:fldChar w:fldCharType="separate"/>
    </w:r>
    <w:r>
      <w:t>4</w:t>
    </w:r>
    <w:r>
      <w:fldChar w:fldCharType="end"/>
    </w:r>
    <w:r>
      <w:t xml:space="preserve"> —</w:t>
    </w:r>
  </w:p>
  <w:p w14:paraId="6D9B095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905A">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2516505</wp:posOffset>
              </wp:positionH>
              <wp:positionV relativeFrom="paragraph">
                <wp:posOffset>0</wp:posOffset>
              </wp:positionV>
              <wp:extent cx="455295" cy="2076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55295"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594FC">
                          <w:pPr>
                            <w:pStyle w:val="1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8.15pt;margin-top:0pt;height:16.35pt;width:35.85pt;mso-position-horizontal-relative:margin;z-index:251660288;mso-width-relative:page;mso-height-relative:page;" filled="f" stroked="f" coordsize="21600,21600" o:gfxdata="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U/9/1gAAAAcBAAAPAAAAAAAAAAEAIAAAACIAAABkcnMvZG93bnJl&#10;di54bWxQSwECFAAUAAAACACHTuJAOuToIjgCAABjBAAADgAAAAAAAAABACAAAAAlAQAAZHJzL2Uy&#10;b0RvYy54bWxQSwUGAAAAAAYABgBZAQAAzwUAAAAA&#10;">
              <v:fill on="f" focussize="0,0"/>
              <v:stroke on="f" weight="0.5pt"/>
              <v:imagedata o:title=""/>
              <o:lock v:ext="edit" aspectratio="f"/>
              <v:textbox inset="0mm,0mm,0mm,0mm">
                <w:txbxContent>
                  <w:p w14:paraId="10D594FC">
                    <w:pPr>
                      <w:pStyle w:val="1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6381C73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ED4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93590"/>
    <w:multiLevelType w:val="singleLevel"/>
    <w:tmpl w:val="BC793590"/>
    <w:lvl w:ilvl="0" w:tentative="0">
      <w:start w:val="9"/>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Zjk4ZmI4YzUyY2NiZTM5YjJkNjVmMjg0M2I1O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65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56C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6830"/>
    <w:rsid w:val="006A3141"/>
    <w:rsid w:val="006A5E34"/>
    <w:rsid w:val="006B2422"/>
    <w:rsid w:val="006B2B9A"/>
    <w:rsid w:val="006B4A29"/>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4374"/>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5DC"/>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385F"/>
    <w:rsid w:val="01B06153"/>
    <w:rsid w:val="01F053F2"/>
    <w:rsid w:val="034874ED"/>
    <w:rsid w:val="03634CCC"/>
    <w:rsid w:val="03824AAC"/>
    <w:rsid w:val="039C7B37"/>
    <w:rsid w:val="03B10C72"/>
    <w:rsid w:val="04055CC3"/>
    <w:rsid w:val="04D058DF"/>
    <w:rsid w:val="04E232D6"/>
    <w:rsid w:val="05BE5915"/>
    <w:rsid w:val="05EF743A"/>
    <w:rsid w:val="063C6EBF"/>
    <w:rsid w:val="06641818"/>
    <w:rsid w:val="066E0107"/>
    <w:rsid w:val="06741A3B"/>
    <w:rsid w:val="06B057F0"/>
    <w:rsid w:val="06F06C3D"/>
    <w:rsid w:val="07996F6E"/>
    <w:rsid w:val="07B054DE"/>
    <w:rsid w:val="07D66E6C"/>
    <w:rsid w:val="08C73957"/>
    <w:rsid w:val="09332F3E"/>
    <w:rsid w:val="09730737"/>
    <w:rsid w:val="09D863A9"/>
    <w:rsid w:val="09F50332"/>
    <w:rsid w:val="09FC4A71"/>
    <w:rsid w:val="0A2032A3"/>
    <w:rsid w:val="0A5B169C"/>
    <w:rsid w:val="0AF76F83"/>
    <w:rsid w:val="0B967806"/>
    <w:rsid w:val="0C103F7E"/>
    <w:rsid w:val="0C773AF4"/>
    <w:rsid w:val="0DEC5472"/>
    <w:rsid w:val="0EDF6BD2"/>
    <w:rsid w:val="0F043B1B"/>
    <w:rsid w:val="0F9E443C"/>
    <w:rsid w:val="0FFA64A5"/>
    <w:rsid w:val="101860EC"/>
    <w:rsid w:val="1097457C"/>
    <w:rsid w:val="10A027B1"/>
    <w:rsid w:val="10B47AA1"/>
    <w:rsid w:val="10C055FF"/>
    <w:rsid w:val="11310D46"/>
    <w:rsid w:val="118107EC"/>
    <w:rsid w:val="11D32CDA"/>
    <w:rsid w:val="12C11B6B"/>
    <w:rsid w:val="13D50BC4"/>
    <w:rsid w:val="14241EA5"/>
    <w:rsid w:val="14914BD1"/>
    <w:rsid w:val="15613335"/>
    <w:rsid w:val="15B63C88"/>
    <w:rsid w:val="169D6E5A"/>
    <w:rsid w:val="16BB723D"/>
    <w:rsid w:val="176A1687"/>
    <w:rsid w:val="185E0C40"/>
    <w:rsid w:val="18BB26C5"/>
    <w:rsid w:val="19545C17"/>
    <w:rsid w:val="196F6360"/>
    <w:rsid w:val="1A327F2F"/>
    <w:rsid w:val="1A5254C0"/>
    <w:rsid w:val="1AAD72B8"/>
    <w:rsid w:val="1B0B43E7"/>
    <w:rsid w:val="1BB22C8F"/>
    <w:rsid w:val="1BB975B4"/>
    <w:rsid w:val="1BDC4D60"/>
    <w:rsid w:val="1BE8440E"/>
    <w:rsid w:val="1C340365"/>
    <w:rsid w:val="1C8274C1"/>
    <w:rsid w:val="1D1303D5"/>
    <w:rsid w:val="1D155CEE"/>
    <w:rsid w:val="1DB15DC6"/>
    <w:rsid w:val="1DE1684E"/>
    <w:rsid w:val="1EBB6803"/>
    <w:rsid w:val="1F040917"/>
    <w:rsid w:val="201B50E5"/>
    <w:rsid w:val="21624E14"/>
    <w:rsid w:val="21641F16"/>
    <w:rsid w:val="219B4DC6"/>
    <w:rsid w:val="22214AA1"/>
    <w:rsid w:val="223B4CCB"/>
    <w:rsid w:val="225304CB"/>
    <w:rsid w:val="22891F67"/>
    <w:rsid w:val="23860B96"/>
    <w:rsid w:val="23B8030D"/>
    <w:rsid w:val="23F20E07"/>
    <w:rsid w:val="240371BF"/>
    <w:rsid w:val="240F186A"/>
    <w:rsid w:val="24140326"/>
    <w:rsid w:val="242668C4"/>
    <w:rsid w:val="24B44B8B"/>
    <w:rsid w:val="25AD37B3"/>
    <w:rsid w:val="25D00ACA"/>
    <w:rsid w:val="26260ED6"/>
    <w:rsid w:val="26811DAB"/>
    <w:rsid w:val="268458FA"/>
    <w:rsid w:val="26D84233"/>
    <w:rsid w:val="288B1760"/>
    <w:rsid w:val="293D6764"/>
    <w:rsid w:val="29F86FC6"/>
    <w:rsid w:val="29FA4AAF"/>
    <w:rsid w:val="29FD04D3"/>
    <w:rsid w:val="2AD86C17"/>
    <w:rsid w:val="2C3C655B"/>
    <w:rsid w:val="2C6809EB"/>
    <w:rsid w:val="2C8A61B5"/>
    <w:rsid w:val="2D6D5613"/>
    <w:rsid w:val="2DE2169B"/>
    <w:rsid w:val="2DF04E50"/>
    <w:rsid w:val="2E3A762C"/>
    <w:rsid w:val="2ED5043C"/>
    <w:rsid w:val="2F680F48"/>
    <w:rsid w:val="305E5F3E"/>
    <w:rsid w:val="30A82DEE"/>
    <w:rsid w:val="30BF3A5B"/>
    <w:rsid w:val="319975AA"/>
    <w:rsid w:val="319F7F4E"/>
    <w:rsid w:val="31E16CCD"/>
    <w:rsid w:val="33910185"/>
    <w:rsid w:val="339A09C0"/>
    <w:rsid w:val="33C81479"/>
    <w:rsid w:val="33DE4053"/>
    <w:rsid w:val="343E79CD"/>
    <w:rsid w:val="35A41B73"/>
    <w:rsid w:val="36AA5135"/>
    <w:rsid w:val="37E16F03"/>
    <w:rsid w:val="382948AD"/>
    <w:rsid w:val="38C829C8"/>
    <w:rsid w:val="392E4D43"/>
    <w:rsid w:val="39722A58"/>
    <w:rsid w:val="39934A04"/>
    <w:rsid w:val="39C27EC2"/>
    <w:rsid w:val="3AAA77CF"/>
    <w:rsid w:val="3B84320A"/>
    <w:rsid w:val="3C125873"/>
    <w:rsid w:val="3C5C6E8F"/>
    <w:rsid w:val="3D98207C"/>
    <w:rsid w:val="3EE743D3"/>
    <w:rsid w:val="3F3F046E"/>
    <w:rsid w:val="3F513BC4"/>
    <w:rsid w:val="3F653868"/>
    <w:rsid w:val="3FE03E8E"/>
    <w:rsid w:val="3FFF1AFD"/>
    <w:rsid w:val="408F0158"/>
    <w:rsid w:val="412F79DD"/>
    <w:rsid w:val="41FD181B"/>
    <w:rsid w:val="429B2AB4"/>
    <w:rsid w:val="42BF1480"/>
    <w:rsid w:val="43F9150C"/>
    <w:rsid w:val="44E268DA"/>
    <w:rsid w:val="458F43B4"/>
    <w:rsid w:val="4610791B"/>
    <w:rsid w:val="475573AE"/>
    <w:rsid w:val="4770576A"/>
    <w:rsid w:val="47E04A0B"/>
    <w:rsid w:val="47FF3CEC"/>
    <w:rsid w:val="493F2D1B"/>
    <w:rsid w:val="49853D65"/>
    <w:rsid w:val="4A627F82"/>
    <w:rsid w:val="4B253FAC"/>
    <w:rsid w:val="4B4F25DA"/>
    <w:rsid w:val="4BE068DB"/>
    <w:rsid w:val="4C0864A5"/>
    <w:rsid w:val="4C9F714A"/>
    <w:rsid w:val="4D577224"/>
    <w:rsid w:val="4D6D1203"/>
    <w:rsid w:val="4DC6493B"/>
    <w:rsid w:val="4E222C70"/>
    <w:rsid w:val="4E71630A"/>
    <w:rsid w:val="4EA13B62"/>
    <w:rsid w:val="4EAB630A"/>
    <w:rsid w:val="4ECE2238"/>
    <w:rsid w:val="4F773B2C"/>
    <w:rsid w:val="4F833828"/>
    <w:rsid w:val="512916D5"/>
    <w:rsid w:val="51351ABF"/>
    <w:rsid w:val="52082CC6"/>
    <w:rsid w:val="528A3D2B"/>
    <w:rsid w:val="54262DD4"/>
    <w:rsid w:val="54653D58"/>
    <w:rsid w:val="548966EF"/>
    <w:rsid w:val="55087906"/>
    <w:rsid w:val="55A84859"/>
    <w:rsid w:val="562675FD"/>
    <w:rsid w:val="566C0BDB"/>
    <w:rsid w:val="56896D8A"/>
    <w:rsid w:val="571250FB"/>
    <w:rsid w:val="57BA6514"/>
    <w:rsid w:val="57CA5E9C"/>
    <w:rsid w:val="586B719A"/>
    <w:rsid w:val="58EE1AA5"/>
    <w:rsid w:val="58F31B0A"/>
    <w:rsid w:val="5AB44DEF"/>
    <w:rsid w:val="5AF92295"/>
    <w:rsid w:val="5BBC0BB6"/>
    <w:rsid w:val="5C5D193E"/>
    <w:rsid w:val="5CC44BE0"/>
    <w:rsid w:val="5CD71FC4"/>
    <w:rsid w:val="5CDF7C98"/>
    <w:rsid w:val="5DFE2D48"/>
    <w:rsid w:val="5E9A3CC2"/>
    <w:rsid w:val="609B58F4"/>
    <w:rsid w:val="60A234AA"/>
    <w:rsid w:val="619026CC"/>
    <w:rsid w:val="655C4D44"/>
    <w:rsid w:val="656B3962"/>
    <w:rsid w:val="65E40B8A"/>
    <w:rsid w:val="665074F0"/>
    <w:rsid w:val="66596817"/>
    <w:rsid w:val="66B8432E"/>
    <w:rsid w:val="66BD4BE1"/>
    <w:rsid w:val="685711FB"/>
    <w:rsid w:val="685C4343"/>
    <w:rsid w:val="687661D0"/>
    <w:rsid w:val="689D0ABA"/>
    <w:rsid w:val="69272501"/>
    <w:rsid w:val="69370D14"/>
    <w:rsid w:val="69410028"/>
    <w:rsid w:val="6A010C46"/>
    <w:rsid w:val="6B14410F"/>
    <w:rsid w:val="6BDF7C36"/>
    <w:rsid w:val="6C177508"/>
    <w:rsid w:val="6C382682"/>
    <w:rsid w:val="6C41402B"/>
    <w:rsid w:val="6C4A05C8"/>
    <w:rsid w:val="6C5B47D0"/>
    <w:rsid w:val="6C63766C"/>
    <w:rsid w:val="6D8C23E9"/>
    <w:rsid w:val="6E044540"/>
    <w:rsid w:val="6E3C1CD6"/>
    <w:rsid w:val="6E7E3605"/>
    <w:rsid w:val="6FD75D88"/>
    <w:rsid w:val="6FF5CC65"/>
    <w:rsid w:val="70AF2306"/>
    <w:rsid w:val="70D420AB"/>
    <w:rsid w:val="715A6588"/>
    <w:rsid w:val="715C0E4B"/>
    <w:rsid w:val="717572E9"/>
    <w:rsid w:val="72153C4D"/>
    <w:rsid w:val="72375CBD"/>
    <w:rsid w:val="72734D90"/>
    <w:rsid w:val="72B06F65"/>
    <w:rsid w:val="72EA3321"/>
    <w:rsid w:val="73AD73D5"/>
    <w:rsid w:val="73B46663"/>
    <w:rsid w:val="73B6EB34"/>
    <w:rsid w:val="740B5187"/>
    <w:rsid w:val="766C4E4A"/>
    <w:rsid w:val="769C1ADE"/>
    <w:rsid w:val="769E6CC2"/>
    <w:rsid w:val="780879A1"/>
    <w:rsid w:val="795C61F7"/>
    <w:rsid w:val="79E644B4"/>
    <w:rsid w:val="79EE5BA4"/>
    <w:rsid w:val="7A894339"/>
    <w:rsid w:val="7A964260"/>
    <w:rsid w:val="7B790349"/>
    <w:rsid w:val="7BC64388"/>
    <w:rsid w:val="7D824146"/>
    <w:rsid w:val="7DE83EC2"/>
    <w:rsid w:val="7E272D5D"/>
    <w:rsid w:val="7EEF11D3"/>
    <w:rsid w:val="7F150482"/>
    <w:rsid w:val="7FA30C79"/>
    <w:rsid w:val="7FC96657"/>
    <w:rsid w:val="7FDE3C0B"/>
    <w:rsid w:val="CCEEB78C"/>
    <w:rsid w:val="D8D6DB89"/>
    <w:rsid w:val="DB6F4CAB"/>
    <w:rsid w:val="DF6F9789"/>
    <w:rsid w:val="E9DF2889"/>
    <w:rsid w:val="FFD33B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6">
    <w:name w:val="Normal Indent"/>
    <w:basedOn w:val="1"/>
    <w:next w:val="1"/>
    <w:qFormat/>
    <w:uiPriority w:val="99"/>
    <w:pPr>
      <w:ind w:firstLine="680"/>
    </w:pPr>
  </w:style>
  <w:style w:type="paragraph" w:styleId="7">
    <w:name w:val="Salutation"/>
    <w:basedOn w:val="1"/>
    <w:next w:val="1"/>
    <w:unhideWhenUsed/>
    <w:qFormat/>
    <w:uiPriority w:val="99"/>
    <w:rPr>
      <w:szCs w:val="24"/>
    </w:rPr>
  </w:style>
  <w:style w:type="paragraph" w:styleId="8">
    <w:name w:val="Body Text"/>
    <w:basedOn w:val="1"/>
    <w:link w:val="31"/>
    <w:qFormat/>
    <w:uiPriority w:val="99"/>
    <w:pPr>
      <w:spacing w:beforeLines="30"/>
    </w:pPr>
    <w:rPr>
      <w:rFonts w:ascii="FangSong_GB2312" w:eastAsia="FangSong_GB2312"/>
      <w:kern w:val="0"/>
      <w:sz w:val="30"/>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
    <w:unhideWhenUsed/>
    <w:qFormat/>
    <w:uiPriority w:val="0"/>
    <w:pPr>
      <w:spacing w:after="0"/>
      <w:ind w:left="0" w:leftChars="0" w:firstLine="200" w:firstLineChars="200"/>
    </w:pPr>
    <w:rPr>
      <w:bCs/>
      <w:kern w:val="0"/>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正文2"/>
    <w:basedOn w:val="1"/>
    <w:next w:val="1"/>
    <w:qFormat/>
    <w:uiPriority w:val="0"/>
    <w:pPr>
      <w:spacing w:line="576" w:lineRule="exact"/>
      <w:ind w:firstLine="200" w:firstLineChars="200"/>
    </w:pPr>
    <w:rPr>
      <w:rFonts w:cs="宋体"/>
      <w:szCs w:val="32"/>
      <w:lang w:bidi="ar-SA"/>
    </w:rPr>
  </w:style>
  <w:style w:type="paragraph" w:customStyle="1" w:styleId="24">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4"/>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3"/>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8"/>
    <w:qFormat/>
    <w:locked/>
    <w:uiPriority w:val="99"/>
    <w:rPr>
      <w:rFonts w:ascii="FangSong_GB2312" w:hAnsi="Times New Roman" w:eastAsia="FangSong_GB2312"/>
      <w:sz w:val="24"/>
    </w:rPr>
  </w:style>
  <w:style w:type="paragraph" w:styleId="32">
    <w:name w:val="List Paragraph"/>
    <w:basedOn w:val="1"/>
    <w:qFormat/>
    <w:uiPriority w:val="34"/>
    <w:pPr>
      <w:ind w:firstLine="420" w:firstLineChars="200"/>
    </w:pPr>
  </w:style>
  <w:style w:type="character" w:customStyle="1" w:styleId="33">
    <w:name w:val="标题 1 Char"/>
    <w:basedOn w:val="19"/>
    <w:link w:val="3"/>
    <w:qFormat/>
    <w:uiPriority w:val="9"/>
    <w:rPr>
      <w:rFonts w:ascii="Times New Roman" w:hAnsi="Times New Roman"/>
      <w:b/>
      <w:bCs/>
      <w:kern w:val="44"/>
      <w:sz w:val="44"/>
      <w:szCs w:val="44"/>
    </w:rPr>
  </w:style>
  <w:style w:type="character" w:customStyle="1" w:styleId="34">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2"/>
    <w:semiHidden/>
    <w:qFormat/>
    <w:uiPriority w:val="99"/>
    <w:rPr>
      <w:rFonts w:ascii="Times New Roman" w:hAnsi="Times New Roman"/>
      <w:kern w:val="2"/>
      <w:sz w:val="18"/>
      <w:szCs w:val="18"/>
    </w:rPr>
  </w:style>
  <w:style w:type="character" w:customStyle="1" w:styleId="37">
    <w:name w:val="标题 3 Char"/>
    <w:basedOn w:val="19"/>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TOC1"/>
    <w:basedOn w:val="1"/>
    <w:next w:val="1"/>
    <w:qFormat/>
    <w:uiPriority w:val="0"/>
    <w:pPr>
      <w:tabs>
        <w:tab w:val="right" w:leader="dot" w:pos="8721"/>
      </w:tabs>
      <w:spacing w:line="360" w:lineRule="auto"/>
      <w:jc w:val="center"/>
      <w:textAlignment w:val="baseline"/>
    </w:pPr>
    <w:rPr>
      <w:rFonts w:ascii="Calibri" w:hAnsi="仿宋"/>
      <w:b/>
      <w:bCs/>
      <w:caps/>
      <w:sz w:val="28"/>
      <w:szCs w:val="28"/>
    </w:rPr>
  </w:style>
  <w:style w:type="character" w:customStyle="1" w:styleId="40">
    <w:name w:val="font21"/>
    <w:basedOn w:val="19"/>
    <w:qFormat/>
    <w:uiPriority w:val="0"/>
    <w:rPr>
      <w:rFonts w:hint="eastAsia" w:ascii="宋体" w:hAnsi="宋体" w:eastAsia="宋体" w:cs="宋体"/>
      <w:color w:val="000000"/>
      <w:sz w:val="24"/>
      <w:szCs w:val="24"/>
      <w:u w:val="none"/>
    </w:rPr>
  </w:style>
  <w:style w:type="paragraph" w:customStyle="1" w:styleId="41">
    <w:name w:val="表格抬头"/>
    <w:basedOn w:val="1"/>
    <w:qFormat/>
    <w:uiPriority w:val="0"/>
    <w:pPr>
      <w:ind w:firstLine="0" w:firstLineChars="0"/>
      <w:jc w:val="center"/>
    </w:pPr>
    <w:rPr>
      <w:rFonts w:eastAsia="楷体"/>
      <w:b/>
      <w:sz w:val="24"/>
      <w:szCs w:val="24"/>
    </w:rPr>
  </w:style>
  <w:style w:type="paragraph" w:customStyle="1" w:styleId="42">
    <w:name w:val="表格文字"/>
    <w:basedOn w:val="1"/>
    <w:qFormat/>
    <w:uiPriority w:val="0"/>
    <w:pPr>
      <w:spacing w:line="240" w:lineRule="auto"/>
      <w:ind w:firstLine="0" w:firstLineChars="0"/>
      <w:jc w:val="center"/>
    </w:pPr>
    <w:rPr>
      <w:bCs/>
      <w:kern w:val="28"/>
      <w:sz w:val="24"/>
      <w:szCs w:val="24"/>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character" w:customStyle="1" w:styleId="45">
    <w:name w:val="NormalCharacter"/>
    <w:semiHidden/>
    <w:qFormat/>
    <w:uiPriority w:val="0"/>
    <w:rPr>
      <w:rFonts w:ascii="Calibri" w:hAnsi="Calibri" w:eastAsia="宋体" w:cs="Times New Roman"/>
      <w:kern w:val="2"/>
      <w:sz w:val="21"/>
      <w:szCs w:val="24"/>
      <w:lang w:val="en-US" w:eastAsia="zh-CN" w:bidi="ar-SA"/>
    </w:rPr>
  </w:style>
  <w:style w:type="paragraph" w:customStyle="1" w:styleId="46">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4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8">
    <w:name w:val="列出段落1"/>
    <w:basedOn w:val="1"/>
    <w:qFormat/>
    <w:uiPriority w:val="34"/>
    <w:pPr>
      <w:ind w:firstLine="420" w:firstLineChars="200"/>
    </w:pPr>
    <w:rPr>
      <w:rFonts w:ascii="Calibri" w:hAnsi="Calibri" w:eastAsia="宋体" w:cs="Times New Roman"/>
    </w:rPr>
  </w:style>
  <w:style w:type="character" w:customStyle="1" w:styleId="49">
    <w:name w:val="font131"/>
    <w:basedOn w:val="19"/>
    <w:qFormat/>
    <w:uiPriority w:val="0"/>
    <w:rPr>
      <w:rFonts w:hint="eastAsia" w:ascii="宋体" w:hAnsi="宋体" w:eastAsia="宋体" w:cs="宋体"/>
      <w:b/>
      <w:bCs/>
      <w:color w:val="000000"/>
      <w:sz w:val="32"/>
      <w:szCs w:val="32"/>
      <w:u w:val="none"/>
    </w:rPr>
  </w:style>
  <w:style w:type="character" w:customStyle="1" w:styleId="50">
    <w:name w:val="font41"/>
    <w:basedOn w:val="19"/>
    <w:qFormat/>
    <w:uiPriority w:val="0"/>
    <w:rPr>
      <w:rFonts w:hint="eastAsia" w:ascii="宋体" w:hAnsi="宋体" w:eastAsia="宋体" w:cs="宋体"/>
      <w:color w:val="000000"/>
      <w:sz w:val="32"/>
      <w:szCs w:val="32"/>
      <w:u w:val="none"/>
    </w:rPr>
  </w:style>
  <w:style w:type="character" w:customStyle="1" w:styleId="51">
    <w:name w:val="font141"/>
    <w:basedOn w:val="19"/>
    <w:qFormat/>
    <w:uiPriority w:val="0"/>
    <w:rPr>
      <w:rFonts w:hint="eastAsia" w:ascii="宋体" w:hAnsi="宋体" w:eastAsia="宋体" w:cs="宋体"/>
      <w:color w:val="000000"/>
      <w:sz w:val="20"/>
      <w:szCs w:val="20"/>
      <w:u w:val="none"/>
    </w:rPr>
  </w:style>
  <w:style w:type="character" w:customStyle="1" w:styleId="52">
    <w:name w:val="font91"/>
    <w:basedOn w:val="19"/>
    <w:qFormat/>
    <w:uiPriority w:val="0"/>
    <w:rPr>
      <w:rFonts w:hint="eastAsia" w:ascii="宋体" w:hAnsi="宋体" w:eastAsia="宋体" w:cs="宋体"/>
      <w:color w:val="000000"/>
      <w:sz w:val="18"/>
      <w:szCs w:val="18"/>
      <w:u w:val="none"/>
    </w:rPr>
  </w:style>
  <w:style w:type="character" w:customStyle="1" w:styleId="53">
    <w:name w:val="font151"/>
    <w:basedOn w:val="19"/>
    <w:qFormat/>
    <w:uiPriority w:val="0"/>
    <w:rPr>
      <w:rFonts w:hint="eastAsia" w:ascii="宋体" w:hAnsi="宋体" w:eastAsia="宋体" w:cs="宋体"/>
      <w:color w:val="000000"/>
      <w:sz w:val="18"/>
      <w:szCs w:val="18"/>
      <w:u w:val="none"/>
    </w:rPr>
  </w:style>
  <w:style w:type="character" w:customStyle="1" w:styleId="54">
    <w:name w:val="font161"/>
    <w:basedOn w:val="19"/>
    <w:qFormat/>
    <w:uiPriority w:val="0"/>
    <w:rPr>
      <w:rFonts w:hint="eastAsia" w:ascii="宋体" w:hAnsi="宋体" w:eastAsia="宋体" w:cs="宋体"/>
      <w:color w:val="000000"/>
      <w:sz w:val="18"/>
      <w:szCs w:val="18"/>
      <w:u w:val="none"/>
    </w:rPr>
  </w:style>
  <w:style w:type="character" w:customStyle="1" w:styleId="55">
    <w:name w:val="font171"/>
    <w:basedOn w:val="19"/>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1635.79</c:v>
                </c:pt>
                <c:pt idx="1">
                  <c:v>1635.79</c:v>
                </c:pt>
              </c:numCache>
            </c:numRef>
          </c:val>
        </c:ser>
        <c:ser>
          <c:idx val="1"/>
          <c:order val="1"/>
          <c:tx>
            <c:strRef>
              <c:f>Sheet1!$C$1</c:f>
              <c:strCache>
                <c:ptCount val="1"/>
                <c:pt idx="0">
                  <c:v>2022年</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1731.19</c:v>
                </c:pt>
                <c:pt idx="1">
                  <c:v>1731.19</c:v>
                </c:pt>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收入</c:v>
                </c:pt>
                <c:pt idx="1">
                  <c:v>支出</c:v>
                </c:pt>
              </c:strCache>
            </c:strRef>
          </c:cat>
          <c:val>
            <c:numRef>
              <c:f>Sheet1!$D$2:$D$3</c:f>
              <c:numCache>
                <c:formatCode>General</c:formatCode>
                <c:ptCount val="2"/>
              </c:numCache>
            </c:numRef>
          </c:val>
        </c:ser>
        <c:dLbls>
          <c:showLegendKey val="0"/>
          <c:showVal val="1"/>
          <c:showCatName val="0"/>
          <c:showSerName val="0"/>
          <c:showPercent val="0"/>
          <c:showBubbleSize val="0"/>
        </c:dLbls>
        <c:gapWidth val="75"/>
        <c:overlap val="-25"/>
        <c:axId val="283647531"/>
        <c:axId val="427499569"/>
      </c:barChart>
      <c:catAx>
        <c:axId val="283647531"/>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27499569"/>
        <c:crosses val="autoZero"/>
        <c:auto val="1"/>
        <c:lblAlgn val="ctr"/>
        <c:lblOffset val="100"/>
        <c:noMultiLvlLbl val="0"/>
      </c:catAx>
      <c:valAx>
        <c:axId val="427499569"/>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283647531"/>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c731f3d3-b3ff-4685-8ddd-aedd2266547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一般公共财政拨款收入</c:v>
                </c:pt>
                <c:pt idx="1">
                  <c:v>其他收入</c:v>
                </c:pt>
                <c:pt idx="2">
                  <c:v>政府基金</c:v>
                </c:pt>
                <c:pt idx="3">
                  <c:v>上级补助</c:v>
                </c:pt>
              </c:strCache>
            </c:strRef>
          </c:cat>
          <c:val>
            <c:numRef>
              <c:f>Sheet1!$B$2:$B$5</c:f>
              <c:numCache>
                <c:formatCode>General</c:formatCode>
                <c:ptCount val="4"/>
                <c:pt idx="0">
                  <c:v>1799.82</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fbfaf2-4361-4a80-9292-24dc1f1fa1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上缴上级支出</c:v>
                </c:pt>
                <c:pt idx="3">
                  <c:v>其他支出</c:v>
                </c:pt>
              </c:strCache>
            </c:strRef>
          </c:cat>
          <c:val>
            <c:numRef>
              <c:f>Sheet1!$B$2:$B$5</c:f>
              <c:numCache>
                <c:formatCode>General</c:formatCode>
                <c:ptCount val="4"/>
                <c:pt idx="0">
                  <c:v>719.11</c:v>
                </c:pt>
                <c:pt idx="1">
                  <c:v>1080.71</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023669-3a79-42b1-93de-6781262712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Sheet1!$A$2:$A$4</c:f>
              <c:strCache>
                <c:ptCount val="3"/>
                <c:pt idx="0">
                  <c:v>财政拨款收入</c:v>
                </c:pt>
                <c:pt idx="1">
                  <c:v>财政拨款支出</c:v>
                </c:pt>
              </c:strCache>
            </c:strRef>
          </c:cat>
          <c:val>
            <c:numRef>
              <c:f>Sheet1!$B$2:$B$4</c:f>
              <c:numCache>
                <c:formatCode>General</c:formatCode>
                <c:ptCount val="3"/>
                <c:pt idx="0">
                  <c:v>1635.79</c:v>
                </c:pt>
                <c:pt idx="1">
                  <c:v>1635.79</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Sheet1!$A$2:$A$4</c:f>
              <c:strCache>
                <c:ptCount val="3"/>
                <c:pt idx="0">
                  <c:v>财政拨款收入</c:v>
                </c:pt>
                <c:pt idx="1">
                  <c:v>财政拨款支出</c:v>
                </c:pt>
              </c:strCache>
            </c:strRef>
          </c:cat>
          <c:val>
            <c:numRef>
              <c:f>Sheet1!$C$2:$C$4</c:f>
              <c:numCache>
                <c:formatCode>General</c:formatCode>
                <c:ptCount val="3"/>
                <c:pt idx="0">
                  <c:v>1799.82</c:v>
                </c:pt>
                <c:pt idx="1">
                  <c:v>1799.82</c:v>
                </c:pt>
              </c:numCache>
            </c:numRef>
          </c:val>
        </c:ser>
        <c:dLbls>
          <c:showLegendKey val="0"/>
          <c:showVal val="0"/>
          <c:showCatName val="0"/>
          <c:showSerName val="0"/>
          <c:showPercent val="0"/>
          <c:showBubbleSize val="0"/>
        </c:dLbls>
        <c:gapWidth val="219"/>
        <c:overlap val="-27"/>
        <c:axId val="723702986"/>
        <c:axId val="184055753"/>
      </c:barChart>
      <c:catAx>
        <c:axId val="7237029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055753"/>
        <c:crosses val="autoZero"/>
        <c:auto val="1"/>
        <c:lblAlgn val="ctr"/>
        <c:lblOffset val="100"/>
        <c:noMultiLvlLbl val="0"/>
      </c:catAx>
      <c:valAx>
        <c:axId val="1840557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37029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04129c-1c3a-454c-b751-cca668f2c2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62"/>
          <c:y val="0.127"/>
          <c:w val="0.8938"/>
          <c:h val="0.7169"/>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一般公共预算财政拨款支出</c:v>
                </c:pt>
              </c:strCache>
            </c:strRef>
          </c:cat>
          <c:val>
            <c:numRef>
              <c:f>Sheet1!$B$2:$B$3</c:f>
              <c:numCache>
                <c:formatCode>General</c:formatCode>
                <c:ptCount val="2"/>
                <c:pt idx="0">
                  <c:v>1767.03</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一般公共预算财政拨款支出</c:v>
                </c:pt>
              </c:strCache>
            </c:strRef>
          </c:cat>
          <c:val>
            <c:numRef>
              <c:f>Sheet1!$C$2:$C$3</c:f>
              <c:numCache>
                <c:formatCode>General</c:formatCode>
                <c:ptCount val="2"/>
                <c:pt idx="0">
                  <c:v>1799.82</c:v>
                </c:pt>
              </c:numCache>
            </c:numRef>
          </c:val>
        </c:ser>
        <c:dLbls>
          <c:showLegendKey val="0"/>
          <c:showVal val="0"/>
          <c:showCatName val="0"/>
          <c:showSerName val="0"/>
          <c:showPercent val="0"/>
          <c:showBubbleSize val="0"/>
        </c:dLbls>
        <c:gapWidth val="219"/>
        <c:overlap val="-27"/>
        <c:axId val="406655999"/>
        <c:axId val="326913198"/>
      </c:barChart>
      <c:catAx>
        <c:axId val="4066559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6913198"/>
        <c:crosses val="autoZero"/>
        <c:auto val="1"/>
        <c:lblAlgn val="ctr"/>
        <c:lblOffset val="100"/>
        <c:noMultiLvlLbl val="0"/>
      </c:catAx>
      <c:valAx>
        <c:axId val="3269131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65599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e91a06-6005-441f-9987-abff03b2a8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一般公共服务支出</c:v>
                </c:pt>
                <c:pt idx="1">
                  <c:v>教育支出</c:v>
                </c:pt>
                <c:pt idx="2">
                  <c:v>社会保障和就业支出</c:v>
                </c:pt>
                <c:pt idx="3">
                  <c:v>节卫生健康支出</c:v>
                </c:pt>
                <c:pt idx="4">
                  <c:v>农林水支出</c:v>
                </c:pt>
                <c:pt idx="5">
                  <c:v>住房保障支出</c:v>
                </c:pt>
                <c:pt idx="6">
                  <c:v>其他支出</c:v>
                </c:pt>
              </c:strCache>
            </c:strRef>
          </c:cat>
          <c:val>
            <c:numRef>
              <c:f>Sheet1!$B$2:$B$8</c:f>
              <c:numCache>
                <c:formatCode>General</c:formatCode>
                <c:ptCount val="7"/>
                <c:pt idx="0">
                  <c:v>1037.45</c:v>
                </c:pt>
                <c:pt idx="1">
                  <c:v>0.3</c:v>
                </c:pt>
                <c:pt idx="2">
                  <c:v>76.67</c:v>
                </c:pt>
                <c:pt idx="3">
                  <c:v>44.14</c:v>
                </c:pt>
                <c:pt idx="4">
                  <c:v>212.68</c:v>
                </c:pt>
                <c:pt idx="5">
                  <c:v>43.95</c:v>
                </c:pt>
                <c:pt idx="6">
                  <c:v>384.61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23394a-3722-4883-b211-3ae0b28829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因公出国出境</c:v>
                </c:pt>
                <c:pt idx="1">
                  <c:v>公务用车运行维护费</c:v>
                </c:pt>
                <c:pt idx="2">
                  <c:v>公务接待费</c:v>
                </c:pt>
              </c:strCache>
            </c:strRef>
          </c:cat>
          <c:val>
            <c:numRef>
              <c:f>Sheet1!$B$2:$B$5</c:f>
              <c:numCache>
                <c:formatCode>General</c:formatCode>
                <c:ptCount val="4"/>
                <c:pt idx="0">
                  <c:v>0</c:v>
                </c:pt>
                <c:pt idx="1">
                  <c:v>22</c:v>
                </c:pt>
                <c:pt idx="2">
                  <c:v>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36cea7-c5b0-460e-bbe3-dd312c735d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583</Words>
  <Characters>607</Characters>
  <Lines>57</Lines>
  <Paragraphs>16</Paragraphs>
  <TotalTime>6</TotalTime>
  <ScaleCrop>false</ScaleCrop>
  <LinksUpToDate>false</LinksUpToDate>
  <CharactersWithSpaces>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2022-08-18T03:00:00Z</dcterms:created>
  <dc:creator>曹颖</dc:creator>
  <cp:lastModifiedBy>雪。</cp:lastModifiedBy>
  <cp:lastPrinted>2022-08-09T09:11:00Z</cp:lastPrinted>
  <dcterms:modified xsi:type="dcterms:W3CDTF">2026-07-10T02:06:04Z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50EBC57693F942B8B41E6CF102FD615B_13</vt:lpwstr>
  </property>
  <property fmtid="{D5CDD505-2E9C-101B-9397-08002B2CF9AE}" pid="4" name="KSOTemplateDocerSaveRecord">
    <vt:lpwstr>eyJoZGlkIjoiN2QzZjk4ZmI4YzUyY2NiZTM5YjJkNjVmMjg0M2I1ODciLCJ1c2VySWQiOiIxMTY3MDI4OTQxIn0=</vt:lpwstr>
  </property>
</Properties>
</file>