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96475"/>
      <w:bookmarkStart w:id="4" w:name="_Toc15378441"/>
      <w:bookmarkStart w:id="5" w:name="_Toc15377193"/>
      <w:bookmarkStart w:id="6" w:name="_Toc85789998"/>
      <w:bookmarkStart w:id="7" w:name="_Toc83822366"/>
      <w:r>
        <w:rPr>
          <w:rFonts w:hint="default" w:ascii="Times New Roman" w:hAnsi="Times New Roman" w:eastAsia="黑体" w:cs="Times New Roman"/>
          <w:color w:val="000000"/>
          <w:sz w:val="72"/>
          <w:szCs w:val="72"/>
          <w:lang w:eastAsia="zh-CN"/>
        </w:rPr>
        <w:t>2021</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Start w:id="8" w:name="_Toc15378442"/>
      <w:bookmarkStart w:id="9" w:name="_Toc15306268"/>
      <w:bookmarkStart w:id="10" w:name="_Toc15396598"/>
      <w:bookmarkStart w:id="11" w:name="_Toc15377194"/>
      <w:bookmarkStart w:id="12" w:name="_Toc15377426"/>
      <w:bookmarkStart w:id="13" w:name="_Toc15396476"/>
      <w:r>
        <w:rPr>
          <w:rFonts w:hint="eastAsia" w:ascii="方正小标宋简体" w:hAnsi="宋体" w:eastAsia="方正小标宋简体"/>
          <w:color w:val="000000"/>
          <w:sz w:val="72"/>
          <w:szCs w:val="72"/>
        </w:rPr>
        <w:t>中共四川省阿坝州壤塘县委员会组织部</w:t>
      </w:r>
      <w:bookmarkEnd w:id="6"/>
      <w:bookmarkEnd w:id="7"/>
    </w:p>
    <w:p>
      <w:pPr>
        <w:adjustRightInd w:val="0"/>
        <w:snapToGrid w:val="0"/>
        <w:spacing w:line="360" w:lineRule="auto"/>
        <w:jc w:val="center"/>
        <w:outlineLvl w:val="0"/>
        <w:rPr>
          <w:rFonts w:ascii="方正小标宋简体" w:hAnsi="宋体" w:eastAsia="方正小标宋简体"/>
          <w:color w:val="000000"/>
          <w:sz w:val="72"/>
          <w:szCs w:val="72"/>
        </w:rPr>
      </w:pPr>
      <w:bookmarkStart w:id="14" w:name="_Toc83822367"/>
      <w:bookmarkStart w:id="15" w:name="_Toc85789999"/>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r>
        <w:rPr>
          <w:rFonts w:hint="eastAsia" w:ascii="方正小标宋简体" w:hAnsi="宋体" w:eastAsia="方正小标宋简体"/>
          <w:color w:val="000000"/>
          <w:sz w:val="72"/>
          <w:szCs w:val="72"/>
        </w:rPr>
        <w:t>编制说明</w:t>
      </w:r>
      <w:bookmarkEnd w:id="14"/>
      <w:bookmarkEnd w:id="15"/>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autoSpaceDE w:val="0"/>
        <w:autoSpaceDN w:val="0"/>
        <w:adjustRightInd w:val="0"/>
        <w:ind w:firstLine="640" w:firstLineChars="200"/>
        <w:jc w:val="left"/>
        <w:rPr>
          <w:rFonts w:ascii="宋体" w:hAnsi="宋体" w:cs="仿宋_GB2312"/>
          <w:sz w:val="32"/>
          <w:szCs w:val="32"/>
        </w:rPr>
      </w:pPr>
    </w:p>
    <w:p>
      <w:pPr>
        <w:widowControl/>
        <w:jc w:val="center"/>
        <w:rPr>
          <w:rFonts w:ascii="黑体" w:hAnsi="黑体" w:eastAsia="黑体"/>
          <w:b/>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color w:val="000000"/>
          <w:sz w:val="48"/>
          <w:szCs w:val="48"/>
        </w:rPr>
        <w:t>目录</w:t>
      </w:r>
    </w:p>
    <w:p>
      <w:pPr>
        <w:pStyle w:val="14"/>
      </w:pPr>
      <w:r>
        <w:rPr>
          <w:rFonts w:hint="eastAsia"/>
        </w:rPr>
        <w:t>公开时间：202</w:t>
      </w:r>
      <w:r>
        <w:rPr>
          <w:rFonts w:hint="eastAsia"/>
          <w:lang w:val="en-US" w:eastAsia="zh-CN"/>
        </w:rPr>
        <w:t>2</w:t>
      </w:r>
      <w:r>
        <w:rPr>
          <w:rFonts w:hint="eastAsia"/>
        </w:rPr>
        <w:t>年</w:t>
      </w:r>
      <w:r>
        <w:t>10</w:t>
      </w:r>
      <w:r>
        <w:rPr>
          <w:rFonts w:hint="eastAsia"/>
        </w:rPr>
        <w:t>月</w:t>
      </w:r>
      <w:r>
        <w:t>25</w:t>
      </w:r>
      <w:r>
        <w:rPr>
          <w:rFonts w:hint="eastAsia"/>
        </w:rPr>
        <w:t>日</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4"/>
        <w:rPr>
          <w:rStyle w:val="21"/>
          <w:rFonts w:ascii="仿宋_GB2312" w:hAnsi="黑体" w:eastAsia="仿宋_GB2312"/>
        </w:rPr>
      </w:pPr>
      <w:r>
        <w:fldChar w:fldCharType="begin"/>
      </w:r>
      <w:r>
        <w:instrText xml:space="preserve"> HYPERLINK \l "_Toc85790000" </w:instrText>
      </w:r>
      <w:r>
        <w:fldChar w:fldCharType="separate"/>
      </w:r>
      <w:r>
        <w:rPr>
          <w:rStyle w:val="21"/>
          <w:rFonts w:hint="eastAsia" w:ascii="仿宋_GB2312" w:hAnsi="黑体" w:eastAsia="仿宋_GB2312"/>
        </w:rPr>
        <w:t>第一部分</w:t>
      </w:r>
      <w:r>
        <w:rPr>
          <w:rStyle w:val="21"/>
          <w:rFonts w:ascii="仿宋_GB2312" w:hAnsi="黑体" w:eastAsia="仿宋_GB2312"/>
        </w:rPr>
        <w:t xml:space="preserve"> </w:t>
      </w:r>
      <w:r>
        <w:rPr>
          <w:rStyle w:val="21"/>
          <w:rFonts w:hint="eastAsia" w:ascii="仿宋_GB2312" w:hAnsi="黑体" w:eastAsia="仿宋_GB2312"/>
        </w:rPr>
        <w:t>部门概况</w:t>
      </w:r>
      <w:r>
        <w:rPr>
          <w:rStyle w:val="21"/>
          <w:rFonts w:ascii="仿宋_GB2312" w:hAnsi="黑体" w:eastAsia="仿宋_GB2312"/>
        </w:rPr>
        <w:tab/>
      </w:r>
      <w:r>
        <w:rPr>
          <w:rStyle w:val="21"/>
          <w:rFonts w:ascii="仿宋_GB2312" w:hAnsi="黑体" w:eastAsia="仿宋_GB2312"/>
        </w:rPr>
        <w:fldChar w:fldCharType="begin"/>
      </w:r>
      <w:r>
        <w:rPr>
          <w:rStyle w:val="21"/>
          <w:rFonts w:ascii="仿宋_GB2312" w:hAnsi="黑体" w:eastAsia="仿宋_GB2312"/>
        </w:rPr>
        <w:instrText xml:space="preserve"> PAGEREF _Toc85790000 \h </w:instrText>
      </w:r>
      <w:r>
        <w:rPr>
          <w:rStyle w:val="21"/>
          <w:rFonts w:ascii="仿宋_GB2312" w:hAnsi="黑体" w:eastAsia="仿宋_GB2312"/>
        </w:rPr>
        <w:fldChar w:fldCharType="separate"/>
      </w:r>
      <w:r>
        <w:rPr>
          <w:rStyle w:val="21"/>
          <w:rFonts w:ascii="仿宋_GB2312" w:hAnsi="黑体" w:eastAsia="仿宋_GB2312"/>
        </w:rPr>
        <w:t>1</w:t>
      </w:r>
      <w:r>
        <w:rPr>
          <w:rStyle w:val="21"/>
          <w:rFonts w:ascii="仿宋_GB2312" w:hAnsi="黑体" w:eastAsia="仿宋_GB2312"/>
        </w:rPr>
        <w:fldChar w:fldCharType="end"/>
      </w:r>
      <w:r>
        <w:rPr>
          <w:rStyle w:val="21"/>
          <w:rFonts w:ascii="仿宋_GB2312" w:hAnsi="黑体" w:eastAsia="仿宋_GB2312"/>
        </w:rPr>
        <w:fldChar w:fldCharType="end"/>
      </w:r>
    </w:p>
    <w:p>
      <w:pPr>
        <w:pStyle w:val="16"/>
        <w:rPr>
          <w:rStyle w:val="21"/>
          <w:rFonts w:ascii="仿宋_GB2312" w:hAnsi="黑体" w:eastAsia="仿宋_GB2312"/>
          <w:sz w:val="28"/>
          <w:szCs w:val="28"/>
        </w:rPr>
      </w:pPr>
      <w:r>
        <w:fldChar w:fldCharType="begin"/>
      </w:r>
      <w:r>
        <w:instrText xml:space="preserve"> HYPERLINK \l "_Toc85790001" </w:instrText>
      </w:r>
      <w:r>
        <w:fldChar w:fldCharType="separate"/>
      </w:r>
      <w:r>
        <w:rPr>
          <w:rStyle w:val="21"/>
          <w:rFonts w:hint="eastAsia" w:ascii="仿宋_GB2312" w:hAnsi="黑体" w:eastAsia="仿宋_GB2312"/>
          <w:sz w:val="28"/>
          <w:szCs w:val="28"/>
        </w:rPr>
        <w:t>一、基本职能及主要工作</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_Toc85790001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"_Toc85790002" </w:instrText>
      </w:r>
      <w:r>
        <w:fldChar w:fldCharType="separate"/>
      </w:r>
      <w:r>
        <w:rPr>
          <w:rStyle w:val="21"/>
          <w:rFonts w:hint="eastAsia" w:ascii="仿宋_GB2312" w:hAnsi="黑体" w:eastAsia="仿宋_GB2312"/>
          <w:sz w:val="28"/>
          <w:szCs w:val="28"/>
        </w:rPr>
        <w:t>二、机构设置</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_Toc85790002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2</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4"/>
        <w:rPr>
          <w:rStyle w:val="21"/>
          <w:rFonts w:ascii="仿宋_GB2312" w:hAnsi="黑体" w:eastAsia="仿宋_GB2312"/>
        </w:rPr>
      </w:pPr>
      <w:r>
        <w:fldChar w:fldCharType="begin"/>
      </w:r>
      <w:r>
        <w:instrText xml:space="preserve"> HYPERLINK \l "_Toc85790003" </w:instrText>
      </w:r>
      <w:r>
        <w:fldChar w:fldCharType="separate"/>
      </w:r>
      <w:r>
        <w:rPr>
          <w:rStyle w:val="21"/>
          <w:rFonts w:hint="eastAsia" w:ascii="仿宋_GB2312" w:hAnsi="黑体" w:eastAsia="仿宋_GB2312"/>
        </w:rPr>
        <w:t>第二部分</w:t>
      </w:r>
      <w:r>
        <w:rPr>
          <w:rStyle w:val="21"/>
          <w:rFonts w:ascii="仿宋_GB2312" w:hAnsi="黑体" w:eastAsia="仿宋_GB2312"/>
        </w:rPr>
        <w:t xml:space="preserve"> </w:t>
      </w:r>
      <w:r>
        <w:rPr>
          <w:rStyle w:val="21"/>
          <w:rFonts w:hint="eastAsia" w:ascii="仿宋_GB2312" w:hAnsi="黑体" w:eastAsia="仿宋_GB2312"/>
          <w:lang w:eastAsia="zh-CN"/>
        </w:rPr>
        <w:t>2021</w:t>
      </w:r>
      <w:r>
        <w:rPr>
          <w:rStyle w:val="21"/>
          <w:rFonts w:hint="eastAsia" w:ascii="仿宋_GB2312" w:hAnsi="黑体" w:eastAsia="仿宋_GB2312"/>
        </w:rPr>
        <w:t>年度部门决算情况说明</w:t>
      </w:r>
      <w:r>
        <w:rPr>
          <w:rStyle w:val="21"/>
          <w:rFonts w:ascii="仿宋_GB2312" w:hAnsi="黑体" w:eastAsia="仿宋_GB2312"/>
        </w:rPr>
        <w:tab/>
      </w:r>
      <w:r>
        <w:rPr>
          <w:rStyle w:val="21"/>
          <w:rFonts w:ascii="仿宋_GB2312" w:hAnsi="黑体" w:eastAsia="仿宋_GB2312"/>
        </w:rPr>
        <w:fldChar w:fldCharType="begin"/>
      </w:r>
      <w:r>
        <w:rPr>
          <w:rStyle w:val="21"/>
          <w:rFonts w:ascii="仿宋_GB2312" w:hAnsi="黑体" w:eastAsia="仿宋_GB2312"/>
        </w:rPr>
        <w:instrText xml:space="preserve"> PAGEREF _Toc85790003 \h </w:instrText>
      </w:r>
      <w:r>
        <w:rPr>
          <w:rStyle w:val="21"/>
          <w:rFonts w:ascii="仿宋_GB2312" w:hAnsi="黑体" w:eastAsia="仿宋_GB2312"/>
        </w:rPr>
        <w:fldChar w:fldCharType="separate"/>
      </w:r>
      <w:r>
        <w:rPr>
          <w:rStyle w:val="21"/>
          <w:rFonts w:ascii="仿宋_GB2312" w:hAnsi="黑体" w:eastAsia="仿宋_GB2312"/>
        </w:rPr>
        <w:t>10</w:t>
      </w:r>
      <w:r>
        <w:rPr>
          <w:rStyle w:val="21"/>
          <w:rFonts w:ascii="仿宋_GB2312" w:hAnsi="黑体" w:eastAsia="仿宋_GB2312"/>
        </w:rPr>
        <w:fldChar w:fldCharType="end"/>
      </w:r>
      <w:r>
        <w:rPr>
          <w:rStyle w:val="21"/>
          <w:rFonts w:ascii="仿宋_GB2312" w:hAnsi="黑体" w:eastAsia="仿宋_GB2312"/>
        </w:rPr>
        <w:fldChar w:fldCharType="end"/>
      </w:r>
    </w:p>
    <w:p>
      <w:pPr>
        <w:pStyle w:val="16"/>
        <w:rPr>
          <w:rStyle w:val="21"/>
          <w:rFonts w:ascii="仿宋_GB2312" w:hAnsi="黑体" w:eastAsia="仿宋_GB2312"/>
          <w:sz w:val="28"/>
          <w:szCs w:val="28"/>
        </w:rPr>
      </w:pPr>
      <w:r>
        <w:fldChar w:fldCharType="begin"/>
      </w:r>
      <w:r>
        <w:instrText xml:space="preserve"> HYPERLINK \l "_Toc85790004" </w:instrText>
      </w:r>
      <w:r>
        <w:fldChar w:fldCharType="separate"/>
      </w:r>
      <w:r>
        <w:rPr>
          <w:rStyle w:val="21"/>
          <w:rFonts w:hint="eastAsia" w:ascii="仿宋_GB2312" w:hAnsi="黑体" w:eastAsia="仿宋_GB2312"/>
          <w:sz w:val="28"/>
          <w:szCs w:val="28"/>
        </w:rPr>
        <w:t>一、收入支出决算总体情况说明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_Toc85790004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10</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"_Toc85790005" </w:instrText>
      </w:r>
      <w:r>
        <w:fldChar w:fldCharType="separate"/>
      </w:r>
      <w:r>
        <w:rPr>
          <w:rStyle w:val="21"/>
          <w:rFonts w:hint="eastAsia" w:ascii="仿宋_GB2312" w:hAnsi="黑体" w:eastAsia="仿宋_GB2312"/>
          <w:sz w:val="28"/>
          <w:szCs w:val="28"/>
        </w:rPr>
        <w:t>二、收入决算情况说明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_Toc85790005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11</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"_Toc85790006" </w:instrText>
      </w:r>
      <w:r>
        <w:fldChar w:fldCharType="separate"/>
      </w:r>
      <w:r>
        <w:rPr>
          <w:rStyle w:val="21"/>
          <w:rFonts w:hint="eastAsia" w:ascii="仿宋_GB2312" w:hAnsi="黑体" w:eastAsia="仿宋_GB2312"/>
          <w:sz w:val="28"/>
          <w:szCs w:val="28"/>
        </w:rPr>
        <w:t>三、支出决算情况说明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_Toc85790006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12</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"_Toc85790007" </w:instrText>
      </w:r>
      <w:r>
        <w:fldChar w:fldCharType="separate"/>
      </w:r>
      <w:r>
        <w:rPr>
          <w:rStyle w:val="21"/>
          <w:rFonts w:hint="eastAsia" w:ascii="仿宋_GB2312" w:hAnsi="黑体" w:eastAsia="仿宋_GB2312"/>
          <w:sz w:val="28"/>
          <w:szCs w:val="28"/>
        </w:rPr>
        <w:t>四、财政拨款收入支出决算总体情况说明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_Toc85790007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12</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"_Toc85790008" </w:instrText>
      </w:r>
      <w:r>
        <w:fldChar w:fldCharType="separate"/>
      </w:r>
      <w:r>
        <w:rPr>
          <w:rStyle w:val="21"/>
          <w:rFonts w:hint="eastAsia" w:ascii="仿宋_GB2312" w:hAnsi="黑体" w:eastAsia="仿宋_GB2312"/>
          <w:sz w:val="28"/>
          <w:szCs w:val="28"/>
        </w:rPr>
        <w:t>五、一般公共预算财政拨款支出决算情况说明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_Toc85790008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12</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"_Toc85790009" </w:instrText>
      </w:r>
      <w:r>
        <w:fldChar w:fldCharType="separate"/>
      </w:r>
      <w:r>
        <w:rPr>
          <w:rStyle w:val="21"/>
          <w:rFonts w:hint="eastAsia" w:ascii="仿宋_GB2312" w:hAnsi="黑体" w:eastAsia="仿宋_GB2312"/>
          <w:sz w:val="28"/>
          <w:szCs w:val="28"/>
        </w:rPr>
        <w:t>六、一般公共预算财政拨款基本支出决算情况说明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_Toc85790009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17</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"_Toc85790010" </w:instrText>
      </w:r>
      <w:r>
        <w:fldChar w:fldCharType="separate"/>
      </w:r>
      <w:r>
        <w:rPr>
          <w:rStyle w:val="21"/>
          <w:rFonts w:hint="eastAsia" w:ascii="仿宋_GB2312" w:hAnsi="黑体" w:eastAsia="仿宋_GB2312"/>
          <w:sz w:val="28"/>
          <w:szCs w:val="28"/>
        </w:rPr>
        <w:t>七、</w:t>
      </w:r>
      <w:r>
        <w:rPr>
          <w:rStyle w:val="21"/>
          <w:rFonts w:ascii="仿宋_GB2312" w:hAnsi="黑体" w:eastAsia="仿宋_GB2312"/>
          <w:sz w:val="28"/>
          <w:szCs w:val="28"/>
        </w:rPr>
        <w:t>“</w:t>
      </w:r>
      <w:r>
        <w:rPr>
          <w:rStyle w:val="21"/>
          <w:rFonts w:hint="eastAsia" w:ascii="仿宋_GB2312" w:hAnsi="黑体" w:eastAsia="仿宋_GB2312"/>
          <w:sz w:val="28"/>
          <w:szCs w:val="28"/>
        </w:rPr>
        <w:t>三公”经费财政拨款支出决算情况说明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_Toc85790010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17</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"_Toc85790011" </w:instrText>
      </w:r>
      <w:r>
        <w:fldChar w:fldCharType="separate"/>
      </w:r>
      <w:r>
        <w:rPr>
          <w:rStyle w:val="21"/>
          <w:rFonts w:hint="eastAsia" w:ascii="仿宋_GB2312" w:hAnsi="黑体" w:eastAsia="仿宋_GB2312"/>
          <w:sz w:val="28"/>
          <w:szCs w:val="28"/>
        </w:rPr>
        <w:t>八、政府性基金预算支出决算情况说明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_Toc85790011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19</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"_Toc85790012" </w:instrText>
      </w:r>
      <w:r>
        <w:fldChar w:fldCharType="separate"/>
      </w:r>
      <w:r>
        <w:rPr>
          <w:rStyle w:val="21"/>
          <w:rFonts w:hint="eastAsia" w:ascii="仿宋_GB2312" w:hAnsi="黑体" w:eastAsia="仿宋_GB2312"/>
          <w:sz w:val="28"/>
          <w:szCs w:val="28"/>
        </w:rPr>
        <w:t>九、 国有资本经营预算支出决算情况说明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_Toc85790012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19</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"_Toc85790013" </w:instrText>
      </w:r>
      <w:r>
        <w:fldChar w:fldCharType="separate"/>
      </w:r>
      <w:r>
        <w:rPr>
          <w:rStyle w:val="21"/>
          <w:rFonts w:hint="eastAsia" w:ascii="仿宋_GB2312" w:hAnsi="黑体" w:eastAsia="仿宋_GB2312"/>
          <w:sz w:val="28"/>
          <w:szCs w:val="28"/>
        </w:rPr>
        <w:t>十、其他重要事项的情况说明</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_Toc85790013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19</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4"/>
        <w:rPr>
          <w:rStyle w:val="21"/>
          <w:rFonts w:ascii="仿宋_GB2312" w:hAnsi="黑体" w:eastAsia="仿宋_GB2312"/>
        </w:rPr>
      </w:pPr>
      <w:r>
        <w:fldChar w:fldCharType="begin"/>
      </w:r>
      <w:r>
        <w:instrText xml:space="preserve"> HYPERLINK \l "_Toc85790014" </w:instrText>
      </w:r>
      <w:r>
        <w:fldChar w:fldCharType="separate"/>
      </w:r>
      <w:r>
        <w:rPr>
          <w:rStyle w:val="21"/>
          <w:rFonts w:hint="eastAsia" w:ascii="仿宋_GB2312" w:hAnsi="黑体" w:eastAsia="仿宋_GB2312"/>
        </w:rPr>
        <w:t>第三部分 名词解释</w:t>
      </w:r>
      <w:r>
        <w:rPr>
          <w:rStyle w:val="21"/>
          <w:rFonts w:ascii="仿宋_GB2312" w:hAnsi="黑体" w:eastAsia="仿宋_GB2312"/>
        </w:rPr>
        <w:tab/>
      </w:r>
      <w:r>
        <w:rPr>
          <w:rStyle w:val="21"/>
          <w:rFonts w:ascii="仿宋_GB2312" w:hAnsi="黑体" w:eastAsia="仿宋_GB2312"/>
        </w:rPr>
        <w:fldChar w:fldCharType="begin"/>
      </w:r>
      <w:r>
        <w:rPr>
          <w:rStyle w:val="21"/>
          <w:rFonts w:ascii="仿宋_GB2312" w:hAnsi="黑体" w:eastAsia="仿宋_GB2312"/>
        </w:rPr>
        <w:instrText xml:space="preserve"> PAGEREF _Toc85790014 \h </w:instrText>
      </w:r>
      <w:r>
        <w:rPr>
          <w:rStyle w:val="21"/>
          <w:rFonts w:ascii="仿宋_GB2312" w:hAnsi="黑体" w:eastAsia="仿宋_GB2312"/>
        </w:rPr>
        <w:fldChar w:fldCharType="separate"/>
      </w:r>
      <w:r>
        <w:rPr>
          <w:rStyle w:val="21"/>
          <w:rFonts w:ascii="仿宋_GB2312" w:hAnsi="黑体" w:eastAsia="仿宋_GB2312"/>
        </w:rPr>
        <w:t>21</w:t>
      </w:r>
      <w:r>
        <w:rPr>
          <w:rStyle w:val="21"/>
          <w:rFonts w:ascii="仿宋_GB2312" w:hAnsi="黑体" w:eastAsia="仿宋_GB2312"/>
        </w:rPr>
        <w:fldChar w:fldCharType="end"/>
      </w:r>
      <w:r>
        <w:rPr>
          <w:rStyle w:val="21"/>
          <w:rFonts w:ascii="仿宋_GB2312" w:hAnsi="黑体" w:eastAsia="仿宋_GB2312"/>
        </w:rPr>
        <w:fldChar w:fldCharType="end"/>
      </w:r>
    </w:p>
    <w:p>
      <w:pPr>
        <w:pStyle w:val="14"/>
        <w:rPr>
          <w:rStyle w:val="21"/>
          <w:rFonts w:ascii="仿宋_GB2312" w:hAnsi="黑体" w:eastAsia="仿宋_GB2312"/>
        </w:rPr>
      </w:pPr>
      <w:r>
        <w:fldChar w:fldCharType="begin"/>
      </w:r>
      <w:r>
        <w:instrText xml:space="preserve"> HYPERLINK \l "_Toc85790015" </w:instrText>
      </w:r>
      <w:r>
        <w:fldChar w:fldCharType="separate"/>
      </w:r>
      <w:r>
        <w:rPr>
          <w:rStyle w:val="21"/>
          <w:rFonts w:hint="eastAsia" w:ascii="仿宋_GB2312" w:hAnsi="黑体" w:eastAsia="仿宋_GB2312"/>
        </w:rPr>
        <w:t>第四部分</w:t>
      </w:r>
      <w:r>
        <w:rPr>
          <w:rStyle w:val="21"/>
          <w:rFonts w:ascii="仿宋_GB2312" w:hAnsi="黑体" w:eastAsia="仿宋_GB2312"/>
        </w:rPr>
        <w:t xml:space="preserve"> </w:t>
      </w:r>
      <w:r>
        <w:rPr>
          <w:rStyle w:val="21"/>
          <w:rFonts w:hint="eastAsia" w:ascii="仿宋_GB2312" w:hAnsi="黑体" w:eastAsia="仿宋_GB2312"/>
        </w:rPr>
        <w:t>附件</w:t>
      </w:r>
      <w:r>
        <w:rPr>
          <w:rStyle w:val="21"/>
          <w:rFonts w:ascii="仿宋_GB2312" w:hAnsi="黑体" w:eastAsia="仿宋_GB2312"/>
        </w:rPr>
        <w:tab/>
      </w:r>
      <w:r>
        <w:rPr>
          <w:rStyle w:val="21"/>
          <w:rFonts w:ascii="仿宋_GB2312" w:hAnsi="黑体" w:eastAsia="仿宋_GB2312"/>
        </w:rPr>
        <w:fldChar w:fldCharType="begin"/>
      </w:r>
      <w:r>
        <w:rPr>
          <w:rStyle w:val="21"/>
          <w:rFonts w:ascii="仿宋_GB2312" w:hAnsi="黑体" w:eastAsia="仿宋_GB2312"/>
        </w:rPr>
        <w:instrText xml:space="preserve"> PAGEREF _Toc85790015 \h </w:instrText>
      </w:r>
      <w:r>
        <w:rPr>
          <w:rStyle w:val="21"/>
          <w:rFonts w:ascii="仿宋_GB2312" w:hAnsi="黑体" w:eastAsia="仿宋_GB2312"/>
        </w:rPr>
        <w:fldChar w:fldCharType="separate"/>
      </w:r>
      <w:r>
        <w:rPr>
          <w:rStyle w:val="21"/>
          <w:rFonts w:ascii="仿宋_GB2312" w:hAnsi="黑体" w:eastAsia="仿宋_GB2312"/>
        </w:rPr>
        <w:t>24</w:t>
      </w:r>
      <w:r>
        <w:rPr>
          <w:rStyle w:val="21"/>
          <w:rFonts w:ascii="仿宋_GB2312" w:hAnsi="黑体" w:eastAsia="仿宋_GB2312"/>
        </w:rPr>
        <w:fldChar w:fldCharType="end"/>
      </w:r>
      <w:r>
        <w:rPr>
          <w:rStyle w:val="21"/>
          <w:rFonts w:ascii="仿宋_GB2312" w:hAnsi="黑体" w:eastAsia="仿宋_GB2312"/>
        </w:rPr>
        <w:fldChar w:fldCharType="end"/>
      </w:r>
    </w:p>
    <w:p>
      <w:pPr>
        <w:pStyle w:val="16"/>
        <w:rPr>
          <w:rStyle w:val="21"/>
          <w:rFonts w:ascii="仿宋_GB2312" w:hAnsi="黑体" w:eastAsia="仿宋_GB2312"/>
          <w:sz w:val="28"/>
          <w:szCs w:val="28"/>
        </w:rPr>
      </w:pPr>
      <w:r>
        <w:fldChar w:fldCharType="begin"/>
      </w:r>
      <w:r>
        <w:instrText xml:space="preserve"> HYPERLINK \l "_Toc85790016" </w:instrText>
      </w:r>
      <w:r>
        <w:fldChar w:fldCharType="separate"/>
      </w:r>
      <w:r>
        <w:rPr>
          <w:rStyle w:val="21"/>
          <w:rFonts w:hint="eastAsia" w:ascii="仿宋_GB2312" w:hAnsi="黑体" w:eastAsia="仿宋_GB2312"/>
          <w:sz w:val="28"/>
          <w:szCs w:val="28"/>
        </w:rPr>
        <w:t>附件</w:t>
      </w:r>
      <w:r>
        <w:rPr>
          <w:rStyle w:val="21"/>
          <w:rFonts w:ascii="仿宋_GB2312" w:hAnsi="黑体" w:eastAsia="仿宋_GB2312"/>
          <w:sz w:val="28"/>
          <w:szCs w:val="28"/>
        </w:rPr>
        <w:t>1</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_Toc85790016 \h </w:instrText>
      </w:r>
      <w:r>
        <w:rPr>
          <w:rStyle w:val="21"/>
          <w:rFonts w:ascii="仿宋_GB2312" w:hAnsi="黑体" w:eastAsia="仿宋_GB2312"/>
          <w:sz w:val="28"/>
          <w:szCs w:val="28"/>
        </w:rPr>
        <w:fldChar w:fldCharType="separate"/>
      </w:r>
      <w:r>
        <w:rPr>
          <w:rStyle w:val="21"/>
          <w:rFonts w:ascii="仿宋_GB2312" w:hAnsi="黑体" w:eastAsia="仿宋_GB2312"/>
          <w:sz w:val="28"/>
          <w:szCs w:val="28"/>
        </w:rPr>
        <w:t>24</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6"/>
        <w:rPr>
          <w:rStyle w:val="21"/>
          <w:rFonts w:ascii="仿宋_GB2312" w:hAnsi="黑体" w:eastAsia="仿宋_GB2312"/>
          <w:sz w:val="28"/>
          <w:szCs w:val="28"/>
        </w:rPr>
      </w:pPr>
      <w:r>
        <w:fldChar w:fldCharType="begin"/>
      </w:r>
      <w:r>
        <w:instrText xml:space="preserve"> HYPERLINK \l "_Toc85790017" </w:instrText>
      </w:r>
      <w:r>
        <w:fldChar w:fldCharType="separate"/>
      </w:r>
      <w:r>
        <w:rPr>
          <w:rStyle w:val="21"/>
          <w:rFonts w:hint="eastAsia" w:ascii="仿宋_GB2312" w:hAnsi="黑体" w:eastAsia="仿宋_GB2312"/>
          <w:sz w:val="28"/>
          <w:szCs w:val="28"/>
        </w:rPr>
        <w:t>附件</w:t>
      </w:r>
      <w:r>
        <w:rPr>
          <w:rStyle w:val="21"/>
          <w:rFonts w:ascii="仿宋_GB2312" w:hAnsi="黑体" w:eastAsia="仿宋_GB2312"/>
          <w:sz w:val="28"/>
          <w:szCs w:val="28"/>
        </w:rPr>
        <w:t>2</w:t>
      </w:r>
      <w:r>
        <w:rPr>
          <w:rStyle w:val="21"/>
          <w:rFonts w:ascii="仿宋_GB2312" w:hAnsi="黑体" w:eastAsia="仿宋_GB2312"/>
          <w:sz w:val="28"/>
          <w:szCs w:val="28"/>
        </w:rPr>
        <w:tab/>
      </w:r>
      <w:r>
        <w:rPr>
          <w:rStyle w:val="21"/>
          <w:rFonts w:ascii="仿宋_GB2312" w:hAnsi="黑体" w:eastAsia="仿宋_GB2312"/>
          <w:sz w:val="28"/>
          <w:szCs w:val="28"/>
        </w:rPr>
        <w:fldChar w:fldCharType="begin"/>
      </w:r>
      <w:r>
        <w:rPr>
          <w:rStyle w:val="21"/>
          <w:rFonts w:ascii="仿宋_GB2312" w:hAnsi="黑体" w:eastAsia="仿宋_GB2312"/>
          <w:sz w:val="28"/>
          <w:szCs w:val="28"/>
        </w:rPr>
        <w:instrText xml:space="preserve"> PAGEREF _Toc85790017 \h </w:instrText>
      </w:r>
      <w:r>
        <w:rPr>
          <w:rStyle w:val="21"/>
          <w:rFonts w:ascii="仿宋_GB2312" w:hAnsi="黑体" w:eastAsia="仿宋_GB2312"/>
          <w:sz w:val="28"/>
          <w:szCs w:val="28"/>
        </w:rPr>
        <w:fldChar w:fldCharType="separate"/>
      </w:r>
      <w:r>
        <w:rPr>
          <w:b/>
        </w:rPr>
        <w:t>错误！未定义书签。</w:t>
      </w:r>
      <w:r>
        <w:rPr>
          <w:rStyle w:val="21"/>
          <w:rFonts w:ascii="仿宋_GB2312" w:hAnsi="黑体" w:eastAsia="仿宋_GB2312"/>
          <w:sz w:val="28"/>
          <w:szCs w:val="28"/>
        </w:rPr>
        <w:fldChar w:fldCharType="end"/>
      </w:r>
      <w:r>
        <w:rPr>
          <w:rStyle w:val="21"/>
          <w:rFonts w:ascii="仿宋_GB2312" w:hAnsi="黑体" w:eastAsia="仿宋_GB2312"/>
          <w:sz w:val="28"/>
          <w:szCs w:val="28"/>
        </w:rPr>
        <w:fldChar w:fldCharType="end"/>
      </w:r>
    </w:p>
    <w:p>
      <w:pPr>
        <w:pStyle w:val="14"/>
        <w:rPr>
          <w:rStyle w:val="21"/>
          <w:rFonts w:ascii="仿宋_GB2312" w:hAnsi="黑体" w:eastAsia="仿宋_GB231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fldChar w:fldCharType="begin"/>
      </w:r>
      <w:r>
        <w:instrText xml:space="preserve"> HYPERLINK \l "_Toc85790018" </w:instrText>
      </w:r>
      <w:r>
        <w:fldChar w:fldCharType="separate"/>
      </w:r>
      <w:r>
        <w:rPr>
          <w:rStyle w:val="21"/>
          <w:rFonts w:hint="eastAsia" w:ascii="仿宋_GB2312" w:hAnsi="黑体" w:eastAsia="仿宋_GB2312"/>
        </w:rPr>
        <w:t>第五部分</w:t>
      </w:r>
      <w:r>
        <w:rPr>
          <w:rStyle w:val="21"/>
          <w:rFonts w:ascii="仿宋_GB2312" w:hAnsi="黑体" w:eastAsia="仿宋_GB2312"/>
        </w:rPr>
        <w:t xml:space="preserve"> </w:t>
      </w:r>
      <w:r>
        <w:rPr>
          <w:rStyle w:val="21"/>
          <w:rFonts w:hint="eastAsia" w:ascii="仿宋_GB2312" w:hAnsi="黑体" w:eastAsia="仿宋_GB2312"/>
        </w:rPr>
        <w:t>附表</w:t>
      </w:r>
      <w:r>
        <w:rPr>
          <w:rStyle w:val="21"/>
          <w:rFonts w:ascii="仿宋_GB2312" w:hAnsi="黑体" w:eastAsia="仿宋_GB2312"/>
        </w:rPr>
        <w:tab/>
      </w:r>
      <w:r>
        <w:rPr>
          <w:rStyle w:val="21"/>
          <w:rFonts w:ascii="仿宋_GB2312" w:hAnsi="黑体" w:eastAsia="仿宋_GB2312"/>
        </w:rPr>
        <w:fldChar w:fldCharType="begin"/>
      </w:r>
      <w:r>
        <w:rPr>
          <w:rStyle w:val="21"/>
          <w:rFonts w:ascii="仿宋_GB2312" w:hAnsi="黑体" w:eastAsia="仿宋_GB2312"/>
        </w:rPr>
        <w:instrText xml:space="preserve"> PAGEREF _Toc85790018 \h </w:instrText>
      </w:r>
      <w:r>
        <w:rPr>
          <w:rStyle w:val="21"/>
          <w:rFonts w:ascii="仿宋_GB2312" w:hAnsi="黑体" w:eastAsia="仿宋_GB2312"/>
        </w:rPr>
        <w:fldChar w:fldCharType="separate"/>
      </w:r>
      <w:r>
        <w:rPr>
          <w:rStyle w:val="21"/>
          <w:rFonts w:ascii="仿宋_GB2312" w:hAnsi="黑体" w:eastAsia="仿宋_GB2312"/>
        </w:rPr>
        <w:t>34</w:t>
      </w:r>
      <w:r>
        <w:rPr>
          <w:rStyle w:val="21"/>
          <w:rFonts w:ascii="仿宋_GB2312" w:hAnsi="黑体" w:eastAsia="仿宋_GB2312"/>
        </w:rPr>
        <w:fldChar w:fldCharType="end"/>
      </w:r>
      <w:r>
        <w:rPr>
          <w:rStyle w:val="21"/>
          <w:rFonts w:ascii="仿宋_GB2312" w:hAnsi="黑体" w:eastAsia="仿宋_GB2312"/>
        </w:rPr>
        <w:fldChar w:fldCharType="end"/>
      </w:r>
    </w:p>
    <w:p>
      <w:pPr>
        <w:pStyle w:val="4"/>
        <w:ind w:right="440"/>
        <w:jc w:val="center"/>
        <w:rPr>
          <w:b w:val="0"/>
          <w:bCs w:val="0"/>
          <w:color w:val="000000"/>
        </w:rPr>
      </w:pPr>
      <w:r>
        <w:rPr>
          <w:rFonts w:ascii="仿宋" w:hAnsi="仿宋" w:eastAsia="仿宋"/>
          <w:color w:val="000000"/>
          <w:sz w:val="24"/>
        </w:rPr>
        <w:fldChar w:fldCharType="end"/>
      </w:r>
      <w:bookmarkStart w:id="16" w:name="_Toc85790000"/>
      <w:bookmarkStart w:id="17" w:name="_Toc15377196"/>
      <w:r>
        <w:rPr>
          <w:rFonts w:hint="eastAsia" w:ascii="仿宋_GB2312" w:hAnsi="黑体" w:eastAsia="仿宋_GB2312"/>
          <w:color w:val="000000"/>
        </w:rPr>
        <w:t xml:space="preserve">第一部分 </w:t>
      </w:r>
      <w:r>
        <w:rPr>
          <w:rFonts w:hint="eastAsia"/>
          <w:bCs w:val="0"/>
          <w:color w:val="000000"/>
        </w:rPr>
        <w:t>部门概况</w:t>
      </w:r>
      <w:bookmarkEnd w:id="16"/>
      <w:bookmarkEnd w:id="17"/>
    </w:p>
    <w:p>
      <w:pPr>
        <w:pStyle w:val="5"/>
        <w:rPr>
          <w:rStyle w:val="31"/>
          <w:rFonts w:hint="eastAsia" w:ascii="黑体" w:hAnsi="黑体" w:eastAsia="黑体" w:cs="黑体"/>
          <w:b w:val="0"/>
          <w:bCs/>
        </w:rPr>
      </w:pPr>
      <w:bookmarkStart w:id="18" w:name="_Toc85790001"/>
      <w:bookmarkStart w:id="19" w:name="_Toc15377197"/>
      <w:r>
        <w:rPr>
          <w:rStyle w:val="31"/>
          <w:rFonts w:hint="eastAsia" w:ascii="黑体" w:hAnsi="黑体" w:eastAsia="黑体" w:cs="黑体"/>
          <w:b w:val="0"/>
          <w:bCs/>
        </w:rPr>
        <w:t>一、基本职能及主要工作</w:t>
      </w:r>
      <w:bookmarkEnd w:id="18"/>
      <w:bookmarkEnd w:id="19"/>
    </w:p>
    <w:p>
      <w:pPr>
        <w:pStyle w:val="8"/>
        <w:adjustRightInd w:val="0"/>
        <w:snapToGrid w:val="0"/>
        <w:spacing w:before="93" w:line="600" w:lineRule="exact"/>
        <w:ind w:firstLine="672" w:firstLineChars="210"/>
        <w:outlineLvl w:val="2"/>
        <w:rPr>
          <w:rFonts w:hAnsi="仿宋"/>
          <w:bCs/>
          <w:color w:val="000000"/>
          <w:sz w:val="32"/>
          <w:szCs w:val="32"/>
        </w:rPr>
      </w:pPr>
      <w:bookmarkStart w:id="20" w:name="_Toc15378445"/>
      <w:bookmarkStart w:id="21" w:name="_Toc15377198"/>
      <w:r>
        <w:rPr>
          <w:rFonts w:hint="eastAsia" w:hAnsi="仿宋"/>
          <w:bCs/>
          <w:color w:val="000000"/>
          <w:sz w:val="32"/>
          <w:szCs w:val="32"/>
        </w:rPr>
        <w:t>（一）主要职能。</w:t>
      </w:r>
      <w:bookmarkEnd w:id="20"/>
      <w:bookmarkEnd w:id="21"/>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认真贯彻执行党的路线、方针、政策和县委的指示、决议，按照新形势下党的建设组织工作的总体部署和目标任务，调查研究有关党建和干部人事工作方面的新情况、新问题，提出实施党的政治路线、组织路线和干部路线的具体措施，并认真贯彻落实。</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 xml:space="preserve"> 2.督促指导全县基层党组织建设工作，特别是农村、机关、企业和新兴领域党的工作，认真贯彻执行党的基层组织工作条例，研究指导基层党组织的设置，党代会的召开，以及县属企事业单位的党建工作；检查督促乡（镇）党委、县级机关各部门党组织、县属企事业党支部贯彻民主集中制，坚持集体领导，健全党内政治生活和党员领导干部坚持过双重组织生活的情况，总结介绍经验，提出改进措施，并向县委作出报告；搞好党员管理和发展党员工作的指导，配合有关部门抓好党员教育和党风廉政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认真贯彻执行《党政领导干部选拔任用工作条例》以及党的干部路线和干部政策，坚持党管干部的原则，做好干部的年度、任期和日常考察，做好各级领导班子的人事安排、调整，配备好基层领导班子，按照德才兼备的标准积极培养选拔优秀年轻干部，搞好后备干部队伍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4.有计划、有步骤地开展全县干部培训，做好全县干部培训的指导和综合协调工作，积极完成上级分配的干部培训、调训任务，积极推荐州拔尖人才，管理县管拔尖人才，督促、指导和做好知识分子工作。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5.积极探索和推进党的建设，干部人事制度改革，加强组织人事工作的宏观管理。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6.加强对老干部工作的领导、督促和指导协调，认真做好老干部工作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发挥“五老”在关心下一代的优势作用</w:t>
      </w:r>
      <w:r>
        <w:rPr>
          <w:rFonts w:hint="eastAsia" w:ascii="仿宋_GB2312" w:hAnsi="仿宋" w:eastAsia="仿宋_GB2312"/>
          <w:sz w:val="32"/>
          <w:szCs w:val="32"/>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7.负责全县党员和党组织的统计，党费的收缴、管理、使用；负责全县干部统计，管好干部档案和本部的文书档案。</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8.做好党员、干部、群众来信来访的接待工作，做好接转党组织关系、外调介绍信的有关工作。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9.搞好本部的思想、作风、组织和业务建设；认真贯彻执行党的组织路线和干部政策。</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10.负责全县干部工作监督职责。</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11.完成县委及州委组织部交办的</w:t>
      </w:r>
      <w:r>
        <w:rPr>
          <w:rFonts w:hint="eastAsia" w:ascii="仿宋_GB2312" w:hAnsi="仿宋" w:eastAsia="仿宋_GB2312"/>
          <w:sz w:val="32"/>
          <w:szCs w:val="32"/>
          <w:lang w:eastAsia="zh-CN"/>
        </w:rPr>
        <w:t>其他</w:t>
      </w:r>
      <w:r>
        <w:rPr>
          <w:rFonts w:hint="eastAsia" w:ascii="仿宋_GB2312" w:hAnsi="仿宋" w:eastAsia="仿宋_GB2312"/>
          <w:sz w:val="32"/>
          <w:szCs w:val="32"/>
        </w:rPr>
        <w:t>任务。</w:t>
      </w:r>
    </w:p>
    <w:p>
      <w:pPr>
        <w:pStyle w:val="8"/>
        <w:adjustRightInd w:val="0"/>
        <w:snapToGrid w:val="0"/>
        <w:spacing w:before="93" w:line="600" w:lineRule="exact"/>
        <w:ind w:firstLine="672" w:firstLineChars="210"/>
        <w:outlineLvl w:val="2"/>
        <w:rPr>
          <w:rFonts w:hAnsi="仿宋"/>
          <w:bCs/>
          <w:color w:val="000000"/>
          <w:sz w:val="32"/>
          <w:szCs w:val="32"/>
        </w:rPr>
      </w:pPr>
      <w:bookmarkStart w:id="22" w:name="_Toc15378446"/>
      <w:bookmarkStart w:id="23" w:name="_Toc15377199"/>
      <w:r>
        <w:rPr>
          <w:rFonts w:hint="eastAsia" w:hAnsi="仿宋"/>
          <w:bCs/>
          <w:color w:val="000000"/>
          <w:sz w:val="32"/>
          <w:szCs w:val="32"/>
        </w:rPr>
        <w:t>（二）</w:t>
      </w:r>
      <w:r>
        <w:rPr>
          <w:rFonts w:hint="eastAsia" w:hAnsi="仿宋"/>
          <w:bCs/>
          <w:color w:val="000000"/>
          <w:sz w:val="32"/>
          <w:szCs w:val="32"/>
          <w:lang w:eastAsia="zh-CN"/>
        </w:rPr>
        <w:t>2021</w:t>
      </w:r>
      <w:r>
        <w:rPr>
          <w:rFonts w:hint="eastAsia" w:hAnsi="仿宋"/>
          <w:bCs/>
          <w:color w:val="000000"/>
          <w:sz w:val="32"/>
          <w:szCs w:val="32"/>
        </w:rPr>
        <w:t>年重点工作完成情况。</w:t>
      </w:r>
      <w:bookmarkEnd w:id="22"/>
      <w:bookmarkEnd w:id="23"/>
    </w:p>
    <w:p>
      <w:pPr>
        <w:pStyle w:val="12"/>
        <w:keepNext w:val="0"/>
        <w:keepLines w:val="0"/>
        <w:pageBreakBefore w:val="0"/>
        <w:widowControl w:val="0"/>
        <w:kinsoku/>
        <w:wordWrap/>
        <w:overflowPunct/>
        <w:topLinePunct w:val="0"/>
        <w:autoSpaceDE/>
        <w:autoSpaceDN/>
        <w:bidi w:val="0"/>
        <w:adjustRightInd/>
        <w:spacing w:line="560" w:lineRule="exact"/>
        <w:ind w:firstLine="611" w:firstLineChars="200"/>
        <w:jc w:val="both"/>
        <w:textAlignment w:val="auto"/>
        <w:outlineLvl w:val="9"/>
        <w:rPr>
          <w:rFonts w:hint="eastAsia" w:ascii="Times New Roman" w:hAnsi="Times New Roman" w:eastAsia="仿宋_GB2312" w:cs="Times New Roman"/>
          <w:color w:val="auto"/>
          <w:sz w:val="32"/>
          <w:szCs w:val="32"/>
          <w:lang w:eastAsia="zh-CN"/>
        </w:rPr>
      </w:pPr>
      <w:bookmarkStart w:id="24" w:name="_Toc15377200"/>
      <w:bookmarkStart w:id="25" w:name="_Toc85790002"/>
      <w:r>
        <w:rPr>
          <w:rFonts w:hint="eastAsia" w:ascii="Times New Roman" w:hAnsi="Times New Roman" w:eastAsia="楷体_GB2312" w:cs="Times New Roman"/>
          <w:b/>
          <w:bCs/>
          <w:color w:val="000000" w:themeColor="text1"/>
          <w:w w:val="95"/>
          <w:kern w:val="2"/>
          <w:sz w:val="32"/>
          <w:szCs w:val="32"/>
          <w:lang w:val="en-US" w:eastAsia="zh-CN" w:bidi="ar-SA"/>
          <w14:textFill>
            <w14:solidFill>
              <w14:schemeClr w14:val="tx1"/>
            </w14:solidFill>
          </w14:textFill>
        </w:rPr>
        <w:t>1、</w:t>
      </w:r>
      <w:r>
        <w:rPr>
          <w:rFonts w:hint="default" w:ascii="Times New Roman" w:hAnsi="Times New Roman" w:eastAsia="楷体_GB2312" w:cs="Times New Roman"/>
          <w:b/>
          <w:bCs/>
          <w:color w:val="000000" w:themeColor="text1"/>
          <w:w w:val="95"/>
          <w:kern w:val="2"/>
          <w:sz w:val="32"/>
          <w:szCs w:val="32"/>
          <w:lang w:val="en-US" w:eastAsia="zh-CN" w:bidi="ar-SA"/>
          <w14:textFill>
            <w14:solidFill>
              <w14:schemeClr w14:val="tx1"/>
            </w14:solidFill>
          </w14:textFill>
        </w:rPr>
        <w:t>围绕“学习更深”，新时代思想凝心铸魂高位推进。</w:t>
      </w:r>
      <w:r>
        <w:rPr>
          <w:rFonts w:hint="default" w:ascii="Times New Roman" w:hAnsi="Times New Roman" w:eastAsia="仿宋_GB2312" w:cs="Times New Roman"/>
          <w:b w:val="0"/>
          <w:bCs w:val="0"/>
          <w:sz w:val="32"/>
          <w:szCs w:val="32"/>
          <w:lang w:val="en-US" w:eastAsia="zh-CN"/>
        </w:rPr>
        <w:t>坚持把政治建设摆在首位，持续深化习近平新时代中国特色社会主义思想学习教育，</w:t>
      </w:r>
      <w:r>
        <w:rPr>
          <w:rFonts w:hint="default" w:ascii="Times New Roman" w:hAnsi="Times New Roman" w:eastAsia="仿宋_GB2312" w:cs="Times New Roman"/>
          <w:kern w:val="2"/>
          <w:sz w:val="32"/>
          <w:szCs w:val="32"/>
          <w:lang w:val="en-US" w:eastAsia="zh-CN" w:bidi="ar-SA"/>
        </w:rPr>
        <w:t>牢牢把握政治方向，不断凝聚工作合力。</w:t>
      </w:r>
      <w:r>
        <w:rPr>
          <w:rFonts w:hint="default" w:ascii="Times New Roman" w:hAnsi="Times New Roman" w:eastAsia="仿宋_GB2312" w:cs="Times New Roman"/>
          <w:sz w:val="32"/>
          <w:szCs w:val="32"/>
          <w:lang w:eastAsia="zh-CN"/>
        </w:rPr>
        <w:t>把开展党史学习教育作为</w:t>
      </w:r>
      <w:r>
        <w:rPr>
          <w:rFonts w:hint="eastAsia" w:ascii="Times New Roman" w:hAnsi="Times New Roman" w:eastAsia="仿宋_GB2312" w:cs="Times New Roman"/>
          <w:sz w:val="32"/>
          <w:szCs w:val="32"/>
          <w:lang w:eastAsia="zh-CN"/>
        </w:rPr>
        <w:t>思想政治建设</w:t>
      </w:r>
      <w:r>
        <w:rPr>
          <w:rFonts w:hint="default" w:ascii="Times New Roman" w:hAnsi="Times New Roman" w:eastAsia="仿宋_GB2312" w:cs="Times New Roman"/>
          <w:sz w:val="32"/>
          <w:szCs w:val="32"/>
          <w:lang w:eastAsia="zh-CN"/>
        </w:rPr>
        <w:t>重要内容，</w:t>
      </w:r>
      <w:r>
        <w:rPr>
          <w:rFonts w:hint="eastAsia" w:ascii="Times New Roman" w:hAnsi="Times New Roman" w:eastAsia="仿宋_GB2312" w:cs="Times New Roman"/>
          <w:sz w:val="32"/>
          <w:szCs w:val="32"/>
          <w:lang w:eastAsia="zh-CN"/>
        </w:rPr>
        <w:t>举办</w:t>
      </w:r>
      <w:r>
        <w:rPr>
          <w:rFonts w:hint="eastAsia" w:ascii="Times New Roman" w:hAnsi="Times New Roman" w:eastAsia="仿宋_GB2312" w:cs="Times New Roman"/>
          <w:sz w:val="32"/>
          <w:szCs w:val="32"/>
          <w:lang w:val="en-US" w:eastAsia="zh-CN"/>
        </w:rPr>
        <w:t>2期</w:t>
      </w:r>
      <w:r>
        <w:rPr>
          <w:rFonts w:hint="eastAsia" w:ascii="Times New Roman" w:hAnsi="Times New Roman" w:eastAsia="仿宋_GB2312" w:cs="Times New Roman"/>
          <w:sz w:val="32"/>
          <w:szCs w:val="32"/>
          <w:lang w:eastAsia="zh-CN"/>
        </w:rPr>
        <w:t>领导干部读书班，</w:t>
      </w:r>
      <w:r>
        <w:rPr>
          <w:rFonts w:hint="eastAsia" w:ascii="Times New Roman" w:hAnsi="Times New Roman" w:eastAsia="仿宋_GB2312" w:cs="Times New Roman"/>
          <w:sz w:val="32"/>
          <w:szCs w:val="32"/>
          <w:lang w:val="en-US" w:eastAsia="zh-CN"/>
        </w:rPr>
        <w:t>学习习近平新时代中国特色社会主义思想、十九届六中全会精神和县十四次党代会精神，科学谋划、提前思考“怎么看、怎么办、怎么干”问题；</w:t>
      </w:r>
      <w:r>
        <w:rPr>
          <w:rFonts w:hint="default" w:ascii="Times New Roman" w:hAnsi="Times New Roman" w:eastAsia="仿宋_GB2312" w:cs="Times New Roman"/>
          <w:color w:val="auto"/>
          <w:spacing w:val="0"/>
          <w:sz w:val="32"/>
          <w:szCs w:val="32"/>
        </w:rPr>
        <w:t>依托</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主题党日</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三会一课</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，各</w:t>
      </w:r>
      <w:r>
        <w:rPr>
          <w:rFonts w:hint="default" w:ascii="Times New Roman" w:hAnsi="Times New Roman" w:eastAsia="仿宋_GB2312" w:cs="Times New Roman"/>
          <w:color w:val="auto"/>
          <w:spacing w:val="0"/>
          <w:sz w:val="32"/>
          <w:szCs w:val="32"/>
          <w:lang w:eastAsia="zh-CN"/>
        </w:rPr>
        <w:t>基层党组织</w:t>
      </w:r>
      <w:r>
        <w:rPr>
          <w:rFonts w:hint="default" w:ascii="Times New Roman" w:hAnsi="Times New Roman" w:eastAsia="仿宋_GB2312" w:cs="Times New Roman"/>
          <w:color w:val="auto"/>
          <w:spacing w:val="0"/>
          <w:sz w:val="32"/>
          <w:szCs w:val="32"/>
        </w:rPr>
        <w:t>开展专题学习研讨80余次、集中学习600余场、专题讲座120余场</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专题</w:t>
      </w:r>
      <w:r>
        <w:rPr>
          <w:rFonts w:hint="default" w:ascii="Times New Roman" w:hAnsi="Times New Roman" w:eastAsia="仿宋_GB2312" w:cs="Times New Roman"/>
          <w:color w:val="auto"/>
          <w:sz w:val="32"/>
          <w:szCs w:val="32"/>
        </w:rPr>
        <w:t>培训班</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期，培训干部</w:t>
      </w:r>
      <w:r>
        <w:rPr>
          <w:rFonts w:hint="eastAsia" w:ascii="Times New Roman" w:hAnsi="Times New Roman" w:eastAsia="仿宋_GB2312" w:cs="Times New Roman"/>
          <w:color w:val="auto"/>
          <w:sz w:val="32"/>
          <w:szCs w:val="32"/>
          <w:lang w:val="en-US" w:eastAsia="zh-CN"/>
        </w:rPr>
        <w:t>950余</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sz w:val="32"/>
          <w:szCs w:val="32"/>
        </w:rPr>
        <w:t>举办党史快问快答26场、演讲比赛15次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lang w:val="en-US" w:eastAsia="zh-CN" w:bidi="ar-SA"/>
        </w:rPr>
        <w:t>编写《我把赞歌唱给党》《浅谈壤塘县改革前后历史性巨变》微党课</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开展“听参战老兵讲党史，厚植爱国主义情怀”为主题的宣讲活动</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rPr>
        <w:t>组建8个县委党史学习教育宣讲队以及“藏汉双语宣讲团”7支宣讲队深入学校、寺庙、农村、企业等</w:t>
      </w:r>
      <w:r>
        <w:rPr>
          <w:rFonts w:hint="eastAsia"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rPr>
        <w:t>系列宣讲活动30余场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sz w:val="32"/>
          <w:szCs w:val="32"/>
        </w:rPr>
        <w:t>利用“村村响”等多种方式开展主题党课，</w:t>
      </w:r>
      <w:r>
        <w:rPr>
          <w:rFonts w:hint="eastAsia" w:ascii="Times New Roman" w:hAnsi="Times New Roman" w:eastAsia="仿宋_GB2312" w:cs="Times New Roman"/>
          <w:color w:val="auto"/>
          <w:spacing w:val="0"/>
          <w:sz w:val="32"/>
          <w:szCs w:val="32"/>
          <w:lang w:eastAsia="zh-CN"/>
        </w:rPr>
        <w:t>确保</w:t>
      </w:r>
      <w:r>
        <w:rPr>
          <w:rFonts w:hint="default" w:ascii="Times New Roman" w:hAnsi="Times New Roman" w:eastAsia="仿宋_GB2312" w:cs="Times New Roman"/>
          <w:color w:val="auto"/>
          <w:spacing w:val="0"/>
          <w:sz w:val="32"/>
          <w:szCs w:val="32"/>
        </w:rPr>
        <w:t>农村党员干部在</w:t>
      </w:r>
      <w:r>
        <w:rPr>
          <w:rFonts w:hint="eastAsia" w:ascii="Times New Roman" w:hAnsi="Times New Roman" w:eastAsia="仿宋_GB2312" w:cs="Times New Roman"/>
          <w:color w:val="auto"/>
          <w:spacing w:val="0"/>
          <w:sz w:val="32"/>
          <w:szCs w:val="32"/>
          <w:lang w:eastAsia="zh-CN"/>
        </w:rPr>
        <w:t>村寨院落</w:t>
      </w:r>
      <w:r>
        <w:rPr>
          <w:rFonts w:hint="default" w:ascii="Times New Roman" w:hAnsi="Times New Roman" w:eastAsia="仿宋_GB2312" w:cs="Times New Roman"/>
          <w:color w:val="auto"/>
          <w:spacing w:val="0"/>
          <w:sz w:val="32"/>
          <w:szCs w:val="32"/>
        </w:rPr>
        <w:t>、田间地头随时随地学党史，</w:t>
      </w:r>
      <w:r>
        <w:rPr>
          <w:rFonts w:hint="eastAsia" w:ascii="Times New Roman" w:hAnsi="Times New Roman" w:eastAsia="仿宋_GB2312" w:cs="Times New Roman"/>
          <w:color w:val="auto"/>
          <w:spacing w:val="0"/>
          <w:sz w:val="32"/>
          <w:szCs w:val="32"/>
          <w:lang w:eastAsia="zh-CN"/>
        </w:rPr>
        <w:t>干部群众“听党话、感党恩、跟党走”意识显著提升。</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bCs/>
          <w:color w:val="000000" w:themeColor="text1"/>
          <w:w w:val="95"/>
          <w:sz w:val="32"/>
          <w:szCs w:val="32"/>
          <w:lang w:val="en-US" w:eastAsia="zh-CN"/>
          <w14:textFill>
            <w14:solidFill>
              <w14:schemeClr w14:val="tx1"/>
            </w14:solidFill>
          </w14:textFill>
        </w:rPr>
        <w:t>2、</w:t>
      </w:r>
      <w:r>
        <w:rPr>
          <w:rFonts w:hint="default" w:ascii="Times New Roman" w:hAnsi="Times New Roman" w:eastAsia="楷体_GB2312" w:cs="Times New Roman"/>
          <w:b/>
          <w:bCs/>
          <w:color w:val="000000" w:themeColor="text1"/>
          <w:w w:val="95"/>
          <w:sz w:val="32"/>
          <w:szCs w:val="32"/>
          <w:lang w:val="en-US" w:eastAsia="zh-CN"/>
          <w14:textFill>
            <w14:solidFill>
              <w14:schemeClr w14:val="tx1"/>
            </w14:solidFill>
          </w14:textFill>
        </w:rPr>
        <w:t>围绕“氛围更浓”，建党百年系列庆祝活动有</w:t>
      </w:r>
      <w:r>
        <w:rPr>
          <w:rFonts w:hint="eastAsia" w:ascii="Times New Roman" w:hAnsi="Times New Roman" w:eastAsia="楷体_GB2312" w:cs="Times New Roman"/>
          <w:b/>
          <w:bCs/>
          <w:color w:val="000000" w:themeColor="text1"/>
          <w:w w:val="95"/>
          <w:sz w:val="32"/>
          <w:szCs w:val="32"/>
          <w:lang w:val="en-US" w:eastAsia="zh-CN"/>
          <w14:textFill>
            <w14:solidFill>
              <w14:schemeClr w14:val="tx1"/>
            </w14:solidFill>
          </w14:textFill>
        </w:rPr>
        <w:t>力</w:t>
      </w:r>
      <w:r>
        <w:rPr>
          <w:rFonts w:hint="default" w:ascii="Times New Roman" w:hAnsi="Times New Roman" w:eastAsia="楷体_GB2312" w:cs="Times New Roman"/>
          <w:b/>
          <w:bCs/>
          <w:color w:val="000000" w:themeColor="text1"/>
          <w:w w:val="95"/>
          <w:sz w:val="32"/>
          <w:szCs w:val="32"/>
          <w:lang w:val="en-US" w:eastAsia="zh-CN"/>
          <w14:textFill>
            <w14:solidFill>
              <w14:schemeClr w14:val="tx1"/>
            </w14:solidFill>
          </w14:textFill>
        </w:rPr>
        <w:t>推进。</w:t>
      </w:r>
      <w:r>
        <w:rPr>
          <w:rFonts w:hint="default" w:ascii="Times New Roman" w:hAnsi="Times New Roman" w:eastAsia="仿宋_GB2312" w:cs="Times New Roman"/>
          <w:color w:val="auto"/>
          <w:sz w:val="32"/>
          <w:szCs w:val="32"/>
          <w:lang w:val="en-US" w:eastAsia="zh-CN"/>
        </w:rPr>
        <w:t>深入开展</w:t>
      </w:r>
      <w:r>
        <w:rPr>
          <w:rFonts w:hint="default" w:ascii="Times New Roman" w:hAnsi="Times New Roman" w:eastAsia="仿宋_GB2312" w:cs="Times New Roman"/>
          <w:b w:val="0"/>
          <w:bCs w:val="0"/>
          <w:color w:val="auto"/>
          <w:w w:val="96"/>
          <w:position w:val="2"/>
          <w:sz w:val="32"/>
          <w:szCs w:val="32"/>
          <w:lang w:val="en-US" w:eastAsia="zh-CN"/>
        </w:rPr>
        <w:t>党史学习教育、</w:t>
      </w:r>
      <w:r>
        <w:rPr>
          <w:rFonts w:hint="default" w:ascii="Times New Roman" w:hAnsi="Times New Roman" w:eastAsia="仿宋_GB2312" w:cs="Times New Roman"/>
          <w:b w:val="0"/>
          <w:bCs w:val="0"/>
          <w:w w:val="100"/>
          <w:sz w:val="32"/>
          <w:szCs w:val="32"/>
          <w:lang w:eastAsia="zh-CN"/>
        </w:rPr>
        <w:t>“党旗在藏寨羌乡高高飘扬</w:t>
      </w:r>
      <w:r>
        <w:rPr>
          <w:rFonts w:hint="eastAsia" w:ascii="Times New Roman" w:hAnsi="Times New Roman" w:eastAsia="仿宋_GB2312" w:cs="Times New Roman"/>
          <w:b w:val="0"/>
          <w:bCs w:val="0"/>
          <w:w w:val="100"/>
          <w:sz w:val="32"/>
          <w:szCs w:val="32"/>
          <w:lang w:eastAsia="zh-CN"/>
        </w:rPr>
        <w:t>—</w:t>
      </w:r>
      <w:r>
        <w:rPr>
          <w:rFonts w:hint="default" w:ascii="Times New Roman" w:hAnsi="Times New Roman" w:eastAsia="仿宋_GB2312" w:cs="Times New Roman"/>
          <w:b w:val="0"/>
          <w:bCs w:val="0"/>
          <w:w w:val="100"/>
          <w:sz w:val="32"/>
          <w:szCs w:val="32"/>
          <w:lang w:val="en-US" w:eastAsia="zh-CN"/>
        </w:rPr>
        <w:t>学先辈先烈、做先锋先进</w:t>
      </w:r>
      <w:r>
        <w:rPr>
          <w:rFonts w:hint="default" w:ascii="Times New Roman" w:hAnsi="Times New Roman" w:eastAsia="仿宋_GB2312" w:cs="Times New Roman"/>
          <w:b w:val="0"/>
          <w:bCs w:val="0"/>
          <w:w w:val="100"/>
          <w:sz w:val="32"/>
          <w:szCs w:val="32"/>
          <w:lang w:eastAsia="zh-CN"/>
        </w:rPr>
        <w:t>”教育实践和</w:t>
      </w:r>
      <w:r>
        <w:rPr>
          <w:rFonts w:hint="default" w:ascii="Times New Roman" w:hAnsi="Times New Roman" w:eastAsia="仿宋_GB2312" w:cs="Times New Roman"/>
          <w:b w:val="0"/>
          <w:bCs w:val="0"/>
          <w:color w:val="auto"/>
          <w:w w:val="100"/>
          <w:position w:val="2"/>
          <w:sz w:val="32"/>
          <w:szCs w:val="32"/>
          <w:lang w:val="en-US" w:eastAsia="zh-CN"/>
        </w:rPr>
        <w:t>“千名党员签名践诺”</w:t>
      </w:r>
      <w:r>
        <w:rPr>
          <w:rFonts w:hint="default" w:ascii="Times New Roman" w:hAnsi="Times New Roman" w:eastAsia="仿宋_GB2312" w:cs="Times New Roman"/>
          <w:b w:val="0"/>
          <w:bCs w:val="0"/>
          <w:color w:val="auto"/>
          <w:position w:val="2"/>
          <w:sz w:val="32"/>
          <w:szCs w:val="32"/>
          <w:lang w:val="en-US" w:eastAsia="zh-CN"/>
        </w:rPr>
        <w:t>等活动。细化“我为群众办实事”项目清单，全县各级党员干部为群众办实事3000余件。开展“四史”主题学习教育100余场次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sz w:val="32"/>
          <w:szCs w:val="32"/>
          <w:lang w:val="en-US" w:eastAsia="zh-CN"/>
        </w:rPr>
        <w:t>细化创建“党员先锋示范岗”为民服务工作</w:t>
      </w:r>
      <w:r>
        <w:rPr>
          <w:rFonts w:hint="eastAsia" w:ascii="Times New Roman" w:hAnsi="Times New Roman" w:eastAsia="仿宋_GB2312" w:cs="Times New Roman"/>
          <w:sz w:val="32"/>
          <w:szCs w:val="32"/>
          <w:lang w:val="en-US" w:eastAsia="zh-CN"/>
        </w:rPr>
        <w:t>措施</w:t>
      </w:r>
      <w:r>
        <w:rPr>
          <w:rFonts w:hint="default" w:ascii="Times New Roman" w:hAnsi="Times New Roman" w:eastAsia="仿宋_GB2312" w:cs="Times New Roman"/>
          <w:sz w:val="32"/>
          <w:szCs w:val="32"/>
          <w:lang w:val="en-US" w:eastAsia="zh-CN"/>
        </w:rPr>
        <w:t>，指导各基层党组织树立先锋模范，设立党员示范岗181个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auto"/>
          <w:sz w:val="32"/>
          <w:szCs w:val="32"/>
          <w:lang w:eastAsia="zh-CN"/>
        </w:rPr>
        <w:t>制作</w:t>
      </w:r>
      <w:r>
        <w:rPr>
          <w:rFonts w:hint="default" w:ascii="Times New Roman" w:hAnsi="Times New Roman" w:eastAsia="仿宋_GB2312" w:cs="Times New Roman"/>
          <w:b w:val="0"/>
          <w:bCs w:val="0"/>
          <w:color w:val="000000"/>
          <w:sz w:val="32"/>
          <w:szCs w:val="32"/>
          <w:lang w:val="en-US" w:eastAsia="zh-CN"/>
        </w:rPr>
        <w:t>《唱支山歌给党听》快闪视频和</w:t>
      </w:r>
      <w:r>
        <w:rPr>
          <w:rFonts w:hint="default" w:ascii="Times New Roman" w:hAnsi="Times New Roman" w:eastAsia="仿宋_GB2312" w:cs="Times New Roman"/>
          <w:b w:val="0"/>
          <w:bCs w:val="0"/>
          <w:color w:val="auto"/>
          <w:position w:val="2"/>
          <w:sz w:val="32"/>
          <w:szCs w:val="32"/>
          <w:lang w:val="en-US" w:eastAsia="zh-CN"/>
        </w:rPr>
        <w:t>《共产党员谈“五感”》专题片</w:t>
      </w:r>
      <w:r>
        <w:rPr>
          <w:rFonts w:hint="eastAsia" w:ascii="Times New Roman" w:hAnsi="Times New Roman" w:eastAsia="仿宋_GB2312" w:cs="Times New Roman"/>
          <w:b w:val="0"/>
          <w:bCs w:val="0"/>
          <w:color w:val="auto"/>
          <w:position w:val="2"/>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圆满召开庆祝建</w:t>
      </w:r>
      <w:r>
        <w:rPr>
          <w:rFonts w:hint="default" w:ascii="Times New Roman" w:hAnsi="Times New Roman" w:eastAsia="仿宋_GB2312" w:cs="Times New Roman"/>
          <w:color w:val="auto"/>
          <w:sz w:val="32"/>
          <w:szCs w:val="32"/>
          <w:lang w:val="en-US" w:eastAsia="zh-CN"/>
        </w:rPr>
        <w:t>党100周年暨表彰大会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隆重表彰在壤塘党建工作中</w:t>
      </w:r>
      <w:r>
        <w:rPr>
          <w:rFonts w:hint="eastAsia" w:ascii="Times New Roman" w:hAnsi="Times New Roman" w:eastAsia="仿宋_GB2312" w:cs="Times New Roman"/>
          <w:color w:val="auto"/>
          <w:sz w:val="32"/>
          <w:szCs w:val="32"/>
          <w:highlight w:val="none"/>
          <w:lang w:val="en-US" w:eastAsia="zh-CN"/>
        </w:rPr>
        <w:t>做出</w:t>
      </w:r>
      <w:r>
        <w:rPr>
          <w:rFonts w:hint="default" w:ascii="Times New Roman" w:hAnsi="Times New Roman" w:eastAsia="仿宋_GB2312" w:cs="Times New Roman"/>
          <w:color w:val="auto"/>
          <w:sz w:val="32"/>
          <w:szCs w:val="32"/>
          <w:lang w:val="en-US" w:eastAsia="zh-CN"/>
        </w:rPr>
        <w:t>突出贡献的“先进基层党组织、优秀共产党员、优秀党务工作者”以及优秀第一书记、优秀驻村工作队员，共产党</w:t>
      </w:r>
      <w:r>
        <w:rPr>
          <w:rFonts w:hint="eastAsia" w:ascii="Times New Roman" w:hAnsi="Times New Roman" w:eastAsia="仿宋_GB2312" w:cs="Times New Roman"/>
          <w:color w:val="auto"/>
          <w:sz w:val="32"/>
          <w:szCs w:val="32"/>
          <w:lang w:val="en-US" w:eastAsia="zh-CN"/>
        </w:rPr>
        <w:t>员</w:t>
      </w:r>
      <w:r>
        <w:rPr>
          <w:rFonts w:hint="default" w:ascii="Times New Roman" w:hAnsi="Times New Roman" w:eastAsia="仿宋_GB2312" w:cs="Times New Roman"/>
          <w:color w:val="auto"/>
          <w:sz w:val="32"/>
          <w:szCs w:val="32"/>
          <w:lang w:val="en-US" w:eastAsia="zh-CN"/>
        </w:rPr>
        <w:t>荣誉感和自豪感进一步增强。</w:t>
      </w:r>
    </w:p>
    <w:p>
      <w:pPr>
        <w:pStyle w:val="12"/>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3、</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围绕“纪律更严”，县乡村三级换届工作</w:t>
      </w: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平稳</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推进。</w:t>
      </w:r>
      <w:r>
        <w:rPr>
          <w:rFonts w:hint="default" w:ascii="Times New Roman" w:hAnsi="Times New Roman" w:eastAsia="仿宋_GB2312" w:cs="Times New Roman"/>
          <w:b/>
          <w:bCs/>
          <w:color w:val="auto"/>
          <w:sz w:val="32"/>
          <w:szCs w:val="32"/>
          <w:lang w:val="en-US" w:eastAsia="zh-CN"/>
        </w:rPr>
        <w:t>严肃换届纪律，确保风清气正。</w:t>
      </w:r>
      <w:r>
        <w:rPr>
          <w:rFonts w:hint="default" w:ascii="Times New Roman" w:hAnsi="Times New Roman" w:eastAsia="仿宋_GB2312" w:cs="Times New Roman"/>
          <w:color w:val="auto"/>
          <w:sz w:val="32"/>
          <w:szCs w:val="32"/>
          <w:lang w:val="en-US" w:eastAsia="zh-CN"/>
        </w:rPr>
        <w:t>观看《警钟长鸣》专题警示教育片28场次2000余人，发放换届宣传资料5400余份，签订严肃换届纪律承诺书2200余份，开展换届风气巡回督查5轮11场次；聚焦退出领导岗位干部、差额考察人选、代表委员等重点对象，开展攻心式谈心谈话36人次，开展“七必谈”1300余人次，有力有效确保换届风气清新、清正。</w:t>
      </w:r>
      <w:r>
        <w:rPr>
          <w:rFonts w:hint="default" w:ascii="Times New Roman" w:hAnsi="Times New Roman" w:eastAsia="仿宋_GB2312" w:cs="Times New Roman"/>
          <w:b/>
          <w:bCs/>
          <w:color w:val="auto"/>
          <w:sz w:val="32"/>
          <w:szCs w:val="32"/>
          <w:lang w:val="en-US" w:eastAsia="zh-CN"/>
        </w:rPr>
        <w:t>突出政治考察，严把任用关口。</w:t>
      </w:r>
      <w:r>
        <w:rPr>
          <w:rFonts w:hint="default" w:ascii="Times New Roman" w:hAnsi="Times New Roman" w:eastAsia="仿宋_GB2312" w:cs="Times New Roman"/>
          <w:color w:val="auto"/>
          <w:sz w:val="32"/>
          <w:szCs w:val="32"/>
          <w:lang w:val="en-US" w:eastAsia="zh-CN"/>
        </w:rPr>
        <w:t>注重对领导班子贯彻落实习近平总书记重要指示批示精神，中央、省委、州委和县委决策部署以及贯彻新发展理念、融入新发展格局、推动高质量发展进行综合评价，对领导干部履职尽责、发挥作用等情况进行深入了解，严格执行“凡提四必”，乡镇领导班子换届</w:t>
      </w:r>
      <w:r>
        <w:rPr>
          <w:rFonts w:hint="eastAsia" w:ascii="Times New Roman" w:hAnsi="Times New Roman" w:eastAsia="仿宋_GB2312" w:cs="Times New Roman"/>
          <w:color w:val="auto"/>
          <w:sz w:val="32"/>
          <w:szCs w:val="32"/>
          <w:lang w:val="en-US" w:eastAsia="zh-CN"/>
        </w:rPr>
        <w:t>过程中，及时</w:t>
      </w:r>
      <w:r>
        <w:rPr>
          <w:rFonts w:hint="default" w:ascii="Times New Roman" w:hAnsi="Times New Roman" w:eastAsia="仿宋_GB2312" w:cs="Times New Roman"/>
          <w:color w:val="auto"/>
          <w:sz w:val="32"/>
          <w:szCs w:val="32"/>
          <w:lang w:val="en-US" w:eastAsia="zh-CN"/>
        </w:rPr>
        <w:t>放下2人。</w:t>
      </w:r>
      <w:r>
        <w:rPr>
          <w:rFonts w:hint="default" w:ascii="Times New Roman" w:hAnsi="Times New Roman" w:eastAsia="仿宋_GB2312" w:cs="Times New Roman"/>
          <w:b/>
          <w:bCs/>
          <w:color w:val="auto"/>
          <w:sz w:val="32"/>
          <w:szCs w:val="32"/>
          <w:lang w:val="en-US" w:eastAsia="zh-CN"/>
        </w:rPr>
        <w:t>坚持选优配强，提升整体功能。</w:t>
      </w:r>
      <w:r>
        <w:rPr>
          <w:rFonts w:hint="default" w:ascii="Times New Roman" w:hAnsi="Times New Roman" w:eastAsia="仿宋_GB2312" w:cs="Times New Roman"/>
          <w:color w:val="auto"/>
          <w:sz w:val="32"/>
          <w:szCs w:val="32"/>
          <w:lang w:val="en-US" w:eastAsia="zh-CN"/>
        </w:rPr>
        <w:t>实施干部交流“源泉工程”，选派67名优秀年轻干部和（含11名“五方面人员”）进入乡（镇）领导班子。本次乡镇党委换届党委委员35岁以下的53名，占总数的53.5%，党委委员平均年龄34.7岁，纪委委员平均年龄31.4岁，实现了学历</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年龄的“一升一降”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形成</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专精结合、搭配合理</w:t>
      </w:r>
      <w:r>
        <w:rPr>
          <w:rFonts w:hint="eastAsia" w:ascii="Times New Roman" w:hAnsi="Times New Roman" w:eastAsia="仿宋_GB2312" w:cs="Times New Roman"/>
          <w:color w:val="auto"/>
          <w:sz w:val="32"/>
          <w:szCs w:val="32"/>
          <w:lang w:val="en-US" w:eastAsia="zh-CN"/>
        </w:rPr>
        <w:t>、优势互补</w:t>
      </w:r>
      <w:r>
        <w:rPr>
          <w:rFonts w:hint="default" w:ascii="Times New Roman" w:hAnsi="Times New Roman" w:eastAsia="仿宋_GB2312" w:cs="Times New Roman"/>
          <w:color w:val="auto"/>
          <w:sz w:val="32"/>
          <w:szCs w:val="32"/>
          <w:lang w:val="en-US" w:eastAsia="zh-CN"/>
        </w:rPr>
        <w:t>的领导班子结构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精细谋划推进，圆满实现组织意图。</w:t>
      </w:r>
      <w:r>
        <w:rPr>
          <w:rFonts w:hint="default" w:ascii="Times New Roman" w:hAnsi="Times New Roman" w:eastAsia="仿宋_GB2312" w:cs="Times New Roman"/>
          <w:color w:val="auto"/>
          <w:sz w:val="32"/>
          <w:szCs w:val="32"/>
          <w:lang w:val="en-US" w:eastAsia="zh-CN"/>
        </w:rPr>
        <w:t>高质量完成壤塘县第十四次党代会</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选举工作，选举产生新一届县委委员26名、候补委员5名、县纪委委员25名，各候选人得票率均</w:t>
      </w:r>
      <w:r>
        <w:rPr>
          <w:rFonts w:hint="eastAsia" w:ascii="Times New Roman" w:hAnsi="Times New Roman" w:eastAsia="仿宋_GB2312" w:cs="Times New Roman"/>
          <w:color w:val="auto"/>
          <w:sz w:val="32"/>
          <w:szCs w:val="32"/>
          <w:lang w:val="en-US" w:eastAsia="zh-CN"/>
        </w:rPr>
        <w:t>达</w:t>
      </w:r>
      <w:r>
        <w:rPr>
          <w:rFonts w:hint="default" w:ascii="Times New Roman" w:hAnsi="Times New Roman" w:eastAsia="仿宋_GB2312" w:cs="Times New Roman"/>
          <w:color w:val="auto"/>
          <w:sz w:val="32"/>
          <w:szCs w:val="32"/>
          <w:lang w:val="en-US" w:eastAsia="zh-CN"/>
        </w:rPr>
        <w:t>100%</w:t>
      </w:r>
      <w:r>
        <w:rPr>
          <w:rFonts w:hint="eastAsia" w:ascii="Times New Roman" w:hAnsi="Times New Roman" w:eastAsia="仿宋_GB2312" w:cs="Times New Roman"/>
          <w:color w:val="auto"/>
          <w:sz w:val="32"/>
          <w:szCs w:val="32"/>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4、</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围绕“基础更牢”，基层组织建设工作稳中有进。</w:t>
      </w:r>
      <w:r>
        <w:rPr>
          <w:rFonts w:hint="eastAsia" w:ascii="Times New Roman" w:hAnsi="Times New Roman" w:eastAsia="仿宋_GB2312" w:cs="Times New Roman"/>
          <w:b/>
          <w:bCs/>
          <w:color w:val="auto"/>
          <w:kern w:val="0"/>
          <w:sz w:val="31"/>
          <w:szCs w:val="31"/>
          <w:lang w:val="en-US" w:eastAsia="zh-CN" w:bidi="ar"/>
        </w:rPr>
        <w:t>持续</w:t>
      </w:r>
      <w:r>
        <w:rPr>
          <w:rFonts w:hint="default" w:ascii="Times New Roman" w:hAnsi="Times New Roman" w:eastAsia="仿宋_GB2312" w:cs="Times New Roman"/>
          <w:b/>
          <w:bCs/>
          <w:color w:val="auto"/>
          <w:kern w:val="0"/>
          <w:sz w:val="31"/>
          <w:szCs w:val="31"/>
          <w:lang w:val="en-US" w:eastAsia="zh-CN" w:bidi="ar"/>
        </w:rPr>
        <w:t>加强</w:t>
      </w:r>
      <w:r>
        <w:rPr>
          <w:rFonts w:hint="eastAsia" w:ascii="Times New Roman" w:hAnsi="Times New Roman" w:eastAsia="仿宋_GB2312" w:cs="Times New Roman"/>
          <w:b/>
          <w:bCs/>
          <w:color w:val="auto"/>
          <w:kern w:val="0"/>
          <w:sz w:val="31"/>
          <w:szCs w:val="31"/>
          <w:lang w:val="en-US" w:eastAsia="zh-CN" w:bidi="ar"/>
        </w:rPr>
        <w:t>党建引领基层治理。</w:t>
      </w:r>
      <w:r>
        <w:rPr>
          <w:rFonts w:hint="eastAsia" w:ascii="Times New Roman" w:hAnsi="Times New Roman" w:eastAsia="仿宋_GB2312" w:cs="Times New Roman"/>
          <w:b w:val="0"/>
          <w:bCs w:val="0"/>
          <w:color w:val="auto"/>
          <w:kern w:val="0"/>
          <w:sz w:val="31"/>
          <w:szCs w:val="31"/>
          <w:lang w:val="en-US" w:eastAsia="zh-CN" w:bidi="ar"/>
        </w:rPr>
        <w:t>扎实</w:t>
      </w:r>
      <w:r>
        <w:rPr>
          <w:rFonts w:hint="default" w:ascii="Times New Roman" w:hAnsi="Times New Roman" w:eastAsia="仿宋_GB2312" w:cs="Times New Roman"/>
          <w:b w:val="0"/>
          <w:bCs w:val="0"/>
          <w:sz w:val="32"/>
          <w:szCs w:val="32"/>
          <w:lang w:eastAsia="zh-CN"/>
        </w:rPr>
        <w:t>推进省州县乡村“五级”交界地基层党组织联建共建，成立</w:t>
      </w:r>
      <w:r>
        <w:rPr>
          <w:rFonts w:hint="default" w:ascii="Times New Roman" w:hAnsi="Times New Roman" w:eastAsia="仿宋_GB2312" w:cs="Times New Roman"/>
          <w:b w:val="0"/>
          <w:bCs w:val="0"/>
          <w:sz w:val="32"/>
          <w:szCs w:val="32"/>
          <w:highlight w:val="none"/>
          <w:lang w:eastAsia="zh-CN"/>
        </w:rPr>
        <w:t>边界联合</w:t>
      </w:r>
      <w:r>
        <w:rPr>
          <w:rFonts w:hint="default" w:ascii="Times New Roman" w:hAnsi="Times New Roman" w:eastAsia="仿宋_GB2312" w:cs="Times New Roman"/>
          <w:b w:val="0"/>
          <w:bCs w:val="0"/>
          <w:sz w:val="32"/>
          <w:szCs w:val="32"/>
          <w:lang w:eastAsia="zh-CN"/>
        </w:rPr>
        <w:t>党工委</w:t>
      </w:r>
      <w:r>
        <w:rPr>
          <w:rFonts w:hint="default" w:ascii="Times New Roman" w:hAnsi="Times New Roman" w:eastAsia="仿宋_GB2312" w:cs="Times New Roman"/>
          <w:b w:val="0"/>
          <w:bCs w:val="0"/>
          <w:sz w:val="32"/>
          <w:szCs w:val="32"/>
          <w:lang w:val="en-US" w:eastAsia="zh-CN"/>
        </w:rPr>
        <w:t>5个，草山、药山、远牧点党小组2个，在县内成立3个片区大党委，</w:t>
      </w:r>
      <w:r>
        <w:rPr>
          <w:rFonts w:hint="default" w:ascii="Times New Roman" w:hAnsi="Times New Roman" w:eastAsia="仿宋_GB2312" w:cs="Times New Roman"/>
          <w:b w:val="0"/>
          <w:bCs w:val="0"/>
          <w:sz w:val="32"/>
          <w:szCs w:val="32"/>
        </w:rPr>
        <w:t>着力构建上下贯通、协同高效的</w:t>
      </w:r>
      <w:r>
        <w:rPr>
          <w:rFonts w:hint="default" w:ascii="Times New Roman" w:hAnsi="Times New Roman" w:eastAsia="仿宋_GB2312" w:cs="Times New Roman"/>
          <w:b w:val="0"/>
          <w:bCs w:val="0"/>
          <w:sz w:val="32"/>
          <w:szCs w:val="32"/>
          <w:lang w:eastAsia="zh-CN"/>
        </w:rPr>
        <w:t>涉</w:t>
      </w:r>
      <w:r>
        <w:rPr>
          <w:rFonts w:hint="default" w:ascii="Times New Roman" w:hAnsi="Times New Roman" w:eastAsia="仿宋_GB2312" w:cs="Times New Roman"/>
          <w:b w:val="0"/>
          <w:bCs w:val="0"/>
          <w:sz w:val="32"/>
          <w:szCs w:val="32"/>
        </w:rPr>
        <w:t>藏</w:t>
      </w:r>
      <w:r>
        <w:rPr>
          <w:rFonts w:hint="default" w:ascii="Times New Roman" w:hAnsi="Times New Roman" w:eastAsia="仿宋_GB2312" w:cs="Times New Roman"/>
          <w:b w:val="0"/>
          <w:bCs w:val="0"/>
          <w:sz w:val="32"/>
          <w:szCs w:val="32"/>
          <w:lang w:eastAsia="zh-CN"/>
        </w:rPr>
        <w:t>地</w:t>
      </w:r>
      <w:r>
        <w:rPr>
          <w:rFonts w:hint="default" w:ascii="Times New Roman" w:hAnsi="Times New Roman" w:eastAsia="仿宋_GB2312" w:cs="Times New Roman"/>
          <w:b w:val="0"/>
          <w:bCs w:val="0"/>
          <w:sz w:val="32"/>
          <w:szCs w:val="32"/>
        </w:rPr>
        <w:t>区基层治理体系，</w:t>
      </w:r>
      <w:r>
        <w:rPr>
          <w:rFonts w:hint="default" w:ascii="Times New Roman" w:hAnsi="Times New Roman" w:eastAsia="仿宋_GB2312" w:cs="Times New Roman"/>
          <w:sz w:val="32"/>
          <w:szCs w:val="32"/>
        </w:rPr>
        <w:t>坚持自治法治德治相结合，修订完善村规民约，</w:t>
      </w:r>
      <w:r>
        <w:rPr>
          <w:rFonts w:hint="default" w:ascii="Times New Roman" w:hAnsi="Times New Roman" w:eastAsia="仿宋_GB2312" w:cs="Times New Roman"/>
          <w:b w:val="0"/>
          <w:bCs/>
          <w:color w:val="auto"/>
          <w:kern w:val="2"/>
          <w:sz w:val="32"/>
          <w:szCs w:val="32"/>
          <w:lang w:val="en-US" w:eastAsia="zh-CN" w:bidi="ar"/>
        </w:rPr>
        <w:t>健全述职评廉评议、诫勉谈话、免职罢免等制度</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b w:val="0"/>
          <w:bCs/>
          <w:color w:val="auto"/>
          <w:kern w:val="2"/>
          <w:sz w:val="32"/>
          <w:szCs w:val="32"/>
          <w:lang w:val="en-US" w:eastAsia="zh-CN" w:bidi="ar"/>
        </w:rPr>
        <w:t>建立健全党组织领导下的“四位一体”网络监督机制，确保监督有章可循、务实管用。</w:t>
      </w:r>
      <w:r>
        <w:rPr>
          <w:rFonts w:hint="eastAsia" w:ascii="Times New Roman" w:hAnsi="Times New Roman" w:eastAsia="仿宋_GB2312" w:cs="Times New Roman"/>
          <w:b/>
          <w:bCs/>
          <w:color w:val="auto"/>
          <w:kern w:val="0"/>
          <w:sz w:val="31"/>
          <w:szCs w:val="31"/>
          <w:lang w:val="en-US" w:eastAsia="zh-CN" w:bidi="ar"/>
        </w:rPr>
        <w:t>持续提高党员发展和管理。</w:t>
      </w:r>
      <w:r>
        <w:rPr>
          <w:rFonts w:hint="eastAsia" w:ascii="仿宋_GB2312" w:hAnsi="仿宋_GB2312" w:eastAsia="仿宋_GB2312" w:cs="仿宋_GB2312"/>
          <w:color w:val="000000"/>
          <w:sz w:val="32"/>
          <w:szCs w:val="24"/>
          <w:lang w:val="en-US" w:eastAsia="zh-CN"/>
        </w:rPr>
        <w:t>举办入党积极分子培训班2期，新发展党员208人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24"/>
          <w:lang w:val="en-US" w:eastAsia="zh-CN"/>
        </w:rPr>
        <w:t>党员结构逐步优化；</w:t>
      </w:r>
      <w:r>
        <w:rPr>
          <w:rFonts w:hint="default" w:ascii="Times New Roman" w:hAnsi="Times New Roman" w:eastAsia="仿宋_GB2312" w:cs="Times New Roman"/>
          <w:kern w:val="0"/>
          <w:sz w:val="32"/>
          <w:szCs w:val="32"/>
          <w:lang w:val="en-US" w:eastAsia="zh-CN" w:bidi="ar-SA"/>
        </w:rPr>
        <w:t>深入实施优秀农民工回引培养工程，储备优秀农民工447人，</w:t>
      </w:r>
      <w:r>
        <w:rPr>
          <w:rFonts w:hint="eastAsia" w:ascii="Times New Roman" w:hAnsi="Times New Roman" w:eastAsia="仿宋_GB2312" w:cs="Times New Roman"/>
          <w:kern w:val="0"/>
          <w:sz w:val="32"/>
          <w:szCs w:val="32"/>
          <w:lang w:val="en-US" w:eastAsia="zh-CN" w:bidi="ar-SA"/>
        </w:rPr>
        <w:t>增强农村党员后备力量；</w:t>
      </w:r>
      <w:r>
        <w:rPr>
          <w:rFonts w:hint="default" w:ascii="Times New Roman" w:hAnsi="Times New Roman" w:eastAsia="仿宋_GB2312" w:cs="Times New Roman"/>
          <w:sz w:val="32"/>
          <w:szCs w:val="32"/>
          <w:lang w:eastAsia="zh-CN"/>
        </w:rPr>
        <w:t>调整村（社区）干部基本报酬补助标准，</w:t>
      </w:r>
      <w:r>
        <w:rPr>
          <w:rFonts w:hint="default" w:ascii="Times New Roman" w:hAnsi="Times New Roman" w:eastAsia="仿宋_GB2312" w:cs="Times New Roman"/>
          <w:sz w:val="32"/>
          <w:szCs w:val="32"/>
          <w:lang w:val="en-US" w:eastAsia="zh-CN"/>
        </w:rPr>
        <w:t>推行村（社区）干部“基本报酬+考核绩效+集体经济发展创收奖励”的报酬制度</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持</w:t>
      </w:r>
      <w:r>
        <w:rPr>
          <w:rFonts w:hint="eastAsia" w:ascii="Times New Roman" w:hAnsi="Times New Roman" w:eastAsia="仿宋_GB2312" w:cs="Times New Roman"/>
          <w:b/>
          <w:bCs/>
          <w:color w:val="auto"/>
          <w:kern w:val="0"/>
          <w:sz w:val="31"/>
          <w:szCs w:val="31"/>
          <w:lang w:val="en-US" w:eastAsia="zh-CN" w:bidi="ar"/>
        </w:rPr>
        <w:t>续</w:t>
      </w:r>
      <w:r>
        <w:rPr>
          <w:rFonts w:hint="default" w:ascii="Times New Roman" w:hAnsi="Times New Roman" w:eastAsia="仿宋_GB2312" w:cs="Times New Roman"/>
          <w:b/>
          <w:bCs/>
          <w:color w:val="auto"/>
          <w:kern w:val="0"/>
          <w:sz w:val="31"/>
          <w:szCs w:val="31"/>
          <w:lang w:val="en-US" w:eastAsia="zh-CN" w:bidi="ar"/>
        </w:rPr>
        <w:t>加强</w:t>
      </w:r>
      <w:r>
        <w:rPr>
          <w:rFonts w:hint="default" w:ascii="Times New Roman" w:hAnsi="Times New Roman" w:eastAsia="仿宋_GB2312" w:cs="Times New Roman"/>
          <w:b/>
          <w:bCs/>
          <w:color w:val="auto"/>
          <w:sz w:val="32"/>
          <w:szCs w:val="32"/>
          <w:lang w:val="en-US" w:eastAsia="zh-CN"/>
        </w:rPr>
        <w:t>推先示范带动</w:t>
      </w:r>
      <w:r>
        <w:rPr>
          <w:rFonts w:hint="eastAsia" w:ascii="Times New Roman" w:hAnsi="Times New Roman" w:eastAsia="仿宋_GB2312" w:cs="Times New Roman"/>
          <w:b/>
          <w:bCs/>
          <w:color w:val="auto"/>
          <w:sz w:val="32"/>
          <w:szCs w:val="32"/>
          <w:lang w:val="en-US" w:eastAsia="zh-CN"/>
        </w:rPr>
        <w:t>作用发挥。</w:t>
      </w:r>
      <w:r>
        <w:rPr>
          <w:rFonts w:hint="eastAsia" w:ascii="仿宋_GB2312" w:hAnsi="仿宋_GB2312" w:eastAsia="仿宋_GB2312" w:cs="仿宋_GB2312"/>
          <w:b w:val="0"/>
          <w:bCs w:val="0"/>
          <w:i w:val="0"/>
          <w:iCs w:val="0"/>
          <w:color w:val="000000"/>
          <w:sz w:val="32"/>
          <w:szCs w:val="24"/>
          <w:lang w:val="en-US" w:eastAsia="zh-CN"/>
        </w:rPr>
        <w:t>推荐省级先进基层党组1个、州级先进党组织2个、州级优秀共产党员4名、州级优秀党务工作者2名，营造创先争优良好氛围。</w:t>
      </w:r>
      <w:r>
        <w:rPr>
          <w:rFonts w:hint="eastAsia" w:ascii="仿宋_GB2312" w:hAnsi="仿宋_GB2312" w:eastAsia="仿宋_GB2312" w:cs="仿宋_GB2312"/>
          <w:kern w:val="0"/>
          <w:sz w:val="32"/>
          <w:szCs w:val="32"/>
          <w:lang w:val="en-US" w:eastAsia="zh-CN" w:bidi="ar-SA"/>
        </w:rPr>
        <w:t>发动全县161个基层党组织组建志愿服务队，成功应对“6.20”尕古玛沟山洪灾害，开展扶贫帮困、环境整治、抗洪抢险、疫情防控等志愿服务活动1000余场次，以实实在在的成效提高了群众的认可度和满意率。</w:t>
      </w:r>
      <w:r>
        <w:rPr>
          <w:rFonts w:hint="eastAsia" w:ascii="Times New Roman" w:hAnsi="Times New Roman" w:eastAsia="仿宋_GB2312" w:cs="Times New Roman"/>
          <w:b/>
          <w:bCs/>
          <w:color w:val="000000"/>
          <w:kern w:val="0"/>
          <w:sz w:val="32"/>
          <w:szCs w:val="32"/>
          <w:lang w:val="en-US" w:eastAsia="zh-CN" w:bidi="ar"/>
        </w:rPr>
        <w:t>持续强化</w:t>
      </w:r>
      <w:r>
        <w:rPr>
          <w:rFonts w:hint="default" w:ascii="Times New Roman" w:hAnsi="Times New Roman" w:eastAsia="仿宋_GB2312" w:cs="Times New Roman"/>
          <w:b/>
          <w:bCs/>
          <w:color w:val="000000"/>
          <w:spacing w:val="4"/>
          <w:sz w:val="32"/>
          <w:szCs w:val="32"/>
          <w:lang w:val="en-US" w:eastAsia="zh-CN"/>
        </w:rPr>
        <w:t>村级干部履职技能培训。</w:t>
      </w:r>
      <w:r>
        <w:rPr>
          <w:rFonts w:hint="default" w:ascii="Times New Roman" w:hAnsi="Times New Roman" w:eastAsia="仿宋_GB2312" w:cs="Times New Roman"/>
          <w:kern w:val="0"/>
          <w:sz w:val="32"/>
          <w:szCs w:val="32"/>
          <w:lang w:val="en-US" w:eastAsia="zh-CN" w:bidi="ar-SA"/>
        </w:rPr>
        <w:t>深化村级党组织带头人整体学历优化提升行动，以“理论培训+考察学习”的模式对村（社区）“两委”干部开展理论培训8期440余人次，外出考察学习5期280余人次，实现村干部培训常态化。</w:t>
      </w:r>
      <w:r>
        <w:rPr>
          <w:rFonts w:hint="eastAsia" w:ascii="Times New Roman" w:hAnsi="Times New Roman" w:eastAsia="仿宋_GB2312" w:cs="Times New Roman"/>
          <w:b/>
          <w:bCs/>
          <w:sz w:val="32"/>
          <w:szCs w:val="32"/>
          <w:lang w:val="en-US" w:eastAsia="zh-CN"/>
        </w:rPr>
        <w:t>持续完善</w:t>
      </w:r>
      <w:r>
        <w:rPr>
          <w:rFonts w:hint="default" w:ascii="Times New Roman" w:hAnsi="Times New Roman" w:eastAsia="仿宋_GB2312" w:cs="Times New Roman"/>
          <w:b/>
          <w:bCs/>
          <w:sz w:val="32"/>
          <w:szCs w:val="32"/>
          <w:lang w:val="en-US" w:eastAsia="zh-CN"/>
        </w:rPr>
        <w:t>党群活动中心基础和配套设施建设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kern w:val="0"/>
          <w:sz w:val="32"/>
          <w:szCs w:val="32"/>
          <w:lang w:val="en-US" w:eastAsia="zh-CN" w:bidi="ar-SA"/>
        </w:rPr>
        <w:t>争取省内外援建资金236.3万元，完善18个村党群活动中心基础和配套设施建设</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75个现代党员干部远程教育站点维修维护项目和网络运行</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b/>
          <w:bCs/>
          <w:kern w:val="0"/>
          <w:sz w:val="32"/>
          <w:szCs w:val="32"/>
          <w:lang w:val="en-US" w:eastAsia="zh-CN" w:bidi="ar-SA"/>
        </w:rPr>
        <w:t>持续</w:t>
      </w:r>
      <w:r>
        <w:rPr>
          <w:rFonts w:hint="default" w:ascii="Times New Roman" w:hAnsi="Times New Roman" w:eastAsia="仿宋_GB2312" w:cs="Times New Roman"/>
          <w:b/>
          <w:bCs/>
          <w:kern w:val="0"/>
          <w:sz w:val="32"/>
          <w:szCs w:val="32"/>
          <w:lang w:val="en-US" w:eastAsia="zh-CN" w:bidi="ar-SA"/>
        </w:rPr>
        <w:t>深化“两新”组织有效覆盖。</w:t>
      </w:r>
      <w:r>
        <w:rPr>
          <w:rFonts w:hint="default" w:ascii="Times New Roman" w:hAnsi="Times New Roman" w:eastAsia="仿宋_GB2312" w:cs="Times New Roman"/>
          <w:kern w:val="0"/>
          <w:sz w:val="32"/>
          <w:szCs w:val="32"/>
          <w:lang w:val="en-US" w:eastAsia="zh-CN" w:bidi="ar-SA"/>
        </w:rPr>
        <w:t>深入推进非公企业党建工作，</w:t>
      </w:r>
      <w:r>
        <w:rPr>
          <w:rFonts w:hint="eastAsia" w:ascii="Times New Roman" w:hAnsi="Times New Roman" w:eastAsia="仿宋_GB2312" w:cs="Times New Roman"/>
          <w:kern w:val="0"/>
          <w:sz w:val="32"/>
          <w:szCs w:val="32"/>
          <w:lang w:val="en-US" w:eastAsia="zh-CN" w:bidi="ar-SA"/>
        </w:rPr>
        <w:t>通过</w:t>
      </w:r>
      <w:r>
        <w:rPr>
          <w:rFonts w:hint="default" w:ascii="Times New Roman" w:hAnsi="Times New Roman" w:eastAsia="仿宋_GB2312" w:cs="Times New Roman"/>
          <w:kern w:val="0"/>
          <w:sz w:val="32"/>
          <w:szCs w:val="32"/>
          <w:lang w:val="en-US" w:eastAsia="zh-CN" w:bidi="ar-SA"/>
        </w:rPr>
        <w:t>实地</w:t>
      </w:r>
      <w:r>
        <w:rPr>
          <w:rFonts w:hint="eastAsia" w:ascii="Times New Roman" w:hAnsi="Times New Roman" w:eastAsia="仿宋_GB2312" w:cs="Times New Roman"/>
          <w:kern w:val="0"/>
          <w:sz w:val="32"/>
          <w:szCs w:val="32"/>
          <w:lang w:val="en-US" w:eastAsia="zh-CN" w:bidi="ar-SA"/>
        </w:rPr>
        <w:t>考察、电话沟通</w:t>
      </w:r>
      <w:r>
        <w:rPr>
          <w:rFonts w:hint="default" w:ascii="Times New Roman" w:hAnsi="Times New Roman" w:eastAsia="仿宋_GB2312" w:cs="Times New Roman"/>
          <w:kern w:val="0"/>
          <w:sz w:val="32"/>
          <w:szCs w:val="32"/>
          <w:lang w:val="en-US" w:eastAsia="zh-CN" w:bidi="ar-SA"/>
        </w:rPr>
        <w:t>等方式，对全县155家企业做到“五个清”，新建壤巴拉非遗传习所党支部</w:t>
      </w:r>
      <w:r>
        <w:rPr>
          <w:rFonts w:hint="eastAsia" w:ascii="Times New Roman" w:hAnsi="Times New Roman" w:eastAsia="仿宋_GB2312" w:cs="Times New Roman"/>
          <w:kern w:val="0"/>
          <w:sz w:val="32"/>
          <w:szCs w:val="32"/>
          <w:lang w:val="en-US" w:eastAsia="zh-CN" w:bidi="ar-SA"/>
        </w:rPr>
        <w:t>和</w:t>
      </w:r>
      <w:r>
        <w:rPr>
          <w:rFonts w:hint="default" w:ascii="Times New Roman" w:hAnsi="Times New Roman" w:eastAsia="仿宋_GB2312" w:cs="Times New Roman"/>
          <w:kern w:val="0"/>
          <w:sz w:val="32"/>
          <w:szCs w:val="32"/>
          <w:lang w:val="en-US" w:eastAsia="zh-CN" w:bidi="ar-SA"/>
        </w:rPr>
        <w:t>壤塘县国有企业有限责任公司党支部</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将6名“两新”党建指导员纳入培训计划，提高党建指导员队伍的综合素质和专业水平。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color w:val="000000" w:themeColor="text1"/>
          <w:w w:val="100"/>
          <w:kern w:val="2"/>
          <w:sz w:val="32"/>
          <w:szCs w:val="32"/>
          <w:lang w:val="en-US" w:eastAsia="zh-CN" w:bidi="ar-SA"/>
          <w14:textFill>
            <w14:solidFill>
              <w14:schemeClr w14:val="tx1"/>
            </w14:solidFill>
          </w14:textFill>
        </w:rPr>
        <w:t>5、</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围绕“效果更实”，“联户联情”群众工作</w:t>
      </w: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用情</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推进。</w:t>
      </w:r>
      <w:r>
        <w:rPr>
          <w:rFonts w:hint="default" w:ascii="Times New Roman" w:hAnsi="Times New Roman" w:eastAsia="仿宋_GB2312" w:cs="Times New Roman"/>
          <w:b w:val="0"/>
          <w:bCs w:val="0"/>
          <w:color w:val="auto"/>
          <w:sz w:val="32"/>
          <w:szCs w:val="32"/>
          <w:lang w:val="en-US" w:eastAsia="zh-CN"/>
        </w:rPr>
        <w:t>深入贯彻落实州委“联户联情”</w:t>
      </w:r>
      <w:r>
        <w:rPr>
          <w:rFonts w:hint="eastAsia" w:ascii="Times New Roman" w:hAnsi="Times New Roman" w:eastAsia="仿宋_GB2312" w:cs="Times New Roman"/>
          <w:b w:val="0"/>
          <w:bCs w:val="0"/>
          <w:color w:val="auto"/>
          <w:sz w:val="32"/>
          <w:szCs w:val="32"/>
          <w:lang w:val="en-US" w:eastAsia="zh-CN"/>
        </w:rPr>
        <w:t>群众工作</w:t>
      </w:r>
      <w:r>
        <w:rPr>
          <w:rFonts w:hint="default" w:ascii="Times New Roman" w:hAnsi="Times New Roman" w:eastAsia="仿宋_GB2312" w:cs="Times New Roman"/>
          <w:b w:val="0"/>
          <w:bCs w:val="0"/>
          <w:color w:val="auto"/>
          <w:sz w:val="32"/>
          <w:szCs w:val="32"/>
          <w:lang w:val="en-US" w:eastAsia="zh-CN"/>
        </w:rPr>
        <w:t>全覆盖总体要求，以“四大五访”活动为载体，把“联户联情”群众工作</w:t>
      </w:r>
      <w:r>
        <w:rPr>
          <w:rFonts w:hint="eastAsia" w:ascii="Times New Roman" w:hAnsi="Times New Roman" w:eastAsia="仿宋_GB2312" w:cs="Times New Roman"/>
          <w:b w:val="0"/>
          <w:bCs w:val="0"/>
          <w:color w:val="auto"/>
          <w:sz w:val="32"/>
          <w:szCs w:val="32"/>
          <w:lang w:val="en-US" w:eastAsia="zh-CN"/>
        </w:rPr>
        <w:t>放在</w:t>
      </w:r>
      <w:r>
        <w:rPr>
          <w:rFonts w:hint="default" w:ascii="Times New Roman" w:hAnsi="Times New Roman" w:eastAsia="仿宋_GB2312" w:cs="Times New Roman"/>
          <w:b w:val="0"/>
          <w:bCs w:val="0"/>
          <w:color w:val="auto"/>
          <w:sz w:val="32"/>
          <w:szCs w:val="32"/>
          <w:lang w:val="en-US" w:eastAsia="zh-CN"/>
        </w:rPr>
        <w:t>核心位置</w:t>
      </w:r>
      <w:r>
        <w:rPr>
          <w:rFonts w:hint="eastAsia" w:ascii="Times New Roman" w:hAnsi="Times New Roman" w:eastAsia="仿宋_GB2312" w:cs="Times New Roman"/>
          <w:b w:val="0"/>
          <w:bCs w:val="0"/>
          <w:color w:val="auto"/>
          <w:sz w:val="32"/>
          <w:szCs w:val="32"/>
          <w:lang w:val="en-US" w:eastAsia="zh-CN"/>
        </w:rPr>
        <w:t>用情推进</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bCs/>
          <w:color w:val="auto"/>
          <w:kern w:val="2"/>
          <w:sz w:val="32"/>
          <w:szCs w:val="32"/>
          <w:lang w:val="en-US" w:eastAsia="zh-CN" w:bidi="ar-SA"/>
        </w:rPr>
        <w:t>着力实现</w:t>
      </w:r>
      <w:r>
        <w:rPr>
          <w:rFonts w:hint="default" w:ascii="Times New Roman" w:hAnsi="Times New Roman" w:eastAsia="仿宋_GB2312" w:cs="Times New Roman"/>
          <w:b/>
          <w:bCs/>
          <w:color w:val="auto"/>
          <w:kern w:val="2"/>
          <w:sz w:val="32"/>
          <w:szCs w:val="32"/>
          <w:lang w:val="en-US" w:eastAsia="zh-CN" w:bidi="ar-SA"/>
        </w:rPr>
        <w:t>联系群众“零距离”。</w:t>
      </w:r>
      <w:r>
        <w:rPr>
          <w:rFonts w:hint="eastAsia" w:ascii="Times New Roman" w:hAnsi="Times New Roman" w:eastAsia="仿宋_GB2312" w:cs="Times New Roman"/>
          <w:color w:val="auto"/>
          <w:kern w:val="2"/>
          <w:sz w:val="32"/>
          <w:szCs w:val="32"/>
          <w:lang w:val="en-US" w:eastAsia="zh-CN" w:bidi="ar-SA"/>
        </w:rPr>
        <w:t>扎实</w:t>
      </w:r>
      <w:r>
        <w:rPr>
          <w:rFonts w:hint="default" w:ascii="Times New Roman" w:hAnsi="Times New Roman" w:eastAsia="仿宋_GB2312" w:cs="Times New Roman"/>
          <w:color w:val="auto"/>
          <w:kern w:val="2"/>
          <w:sz w:val="32"/>
          <w:szCs w:val="32"/>
          <w:lang w:val="en-US" w:eastAsia="zh-CN" w:bidi="ar-SA"/>
        </w:rPr>
        <w:t>推进“联户联情”群众工作和“我为群众办实事”实践活动，县、乡、村三级2750余名党员干部，全覆盖结对联系8760余户</w:t>
      </w:r>
      <w:r>
        <w:rPr>
          <w:rFonts w:hint="eastAsia" w:ascii="Times New Roman" w:hAnsi="Times New Roman" w:eastAsia="仿宋_GB2312" w:cs="Times New Roman"/>
          <w:color w:val="auto"/>
          <w:kern w:val="2"/>
          <w:sz w:val="32"/>
          <w:szCs w:val="32"/>
          <w:lang w:val="en-US" w:eastAsia="zh-CN" w:bidi="ar-SA"/>
        </w:rPr>
        <w:t>农牧民</w:t>
      </w:r>
      <w:r>
        <w:rPr>
          <w:rFonts w:hint="default" w:ascii="Times New Roman" w:hAnsi="Times New Roman" w:eastAsia="仿宋_GB2312" w:cs="Times New Roman"/>
          <w:color w:val="auto"/>
          <w:kern w:val="2"/>
          <w:sz w:val="32"/>
          <w:szCs w:val="32"/>
          <w:lang w:val="en-US" w:eastAsia="zh-CN" w:bidi="ar-SA"/>
        </w:rPr>
        <w:t>群众</w:t>
      </w:r>
      <w:r>
        <w:rPr>
          <w:rFonts w:hint="eastAsia" w:ascii="Times New Roman" w:hAnsi="Times New Roman" w:eastAsia="仿宋_GB2312" w:cs="Times New Roman"/>
          <w:color w:val="auto"/>
          <w:kern w:val="2"/>
          <w:sz w:val="32"/>
          <w:szCs w:val="32"/>
          <w:lang w:val="en-US" w:eastAsia="zh-CN" w:bidi="ar-SA"/>
        </w:rPr>
        <w:t>，干群关系进一步延伸、群众基础进一步夯实。</w:t>
      </w:r>
      <w:r>
        <w:rPr>
          <w:rFonts w:hint="eastAsia" w:ascii="Times New Roman" w:hAnsi="Times New Roman" w:eastAsia="仿宋_GB2312" w:cs="Times New Roman"/>
          <w:b/>
          <w:bCs/>
          <w:color w:val="auto"/>
          <w:kern w:val="2"/>
          <w:sz w:val="32"/>
          <w:szCs w:val="32"/>
          <w:lang w:val="en-US" w:eastAsia="zh-CN" w:bidi="ar-SA"/>
        </w:rPr>
        <w:t>着力实现</w:t>
      </w:r>
      <w:r>
        <w:rPr>
          <w:rFonts w:hint="default" w:ascii="Times New Roman" w:hAnsi="Times New Roman" w:eastAsia="仿宋_GB2312" w:cs="Times New Roman"/>
          <w:b/>
          <w:bCs/>
          <w:color w:val="auto"/>
          <w:kern w:val="2"/>
          <w:sz w:val="32"/>
          <w:szCs w:val="32"/>
          <w:lang w:val="en-US" w:eastAsia="zh-CN" w:bidi="ar-SA"/>
        </w:rPr>
        <w:t>服务群众“零障碍”。</w:t>
      </w:r>
      <w:r>
        <w:rPr>
          <w:rFonts w:hint="default" w:ascii="Times New Roman" w:hAnsi="Times New Roman" w:eastAsia="仿宋_GB2312" w:cs="Times New Roman"/>
          <w:color w:val="auto"/>
          <w:kern w:val="2"/>
          <w:sz w:val="32"/>
          <w:szCs w:val="32"/>
          <w:lang w:val="en-US" w:eastAsia="zh-CN" w:bidi="ar-SA"/>
        </w:rPr>
        <w:t>组织联户干部分批次、分时段走村进寨入户到寺庙访扎康赴远牧联系群众，实现村情户情、户情民情、期盼愿望、困难问题“四个知晓”，有针对性地提供知识、技术、产品信息和用工需求等方面服务，力所能及地解决上学、医疗、就业、增收等方面实际困难，</w:t>
      </w:r>
      <w:r>
        <w:rPr>
          <w:rFonts w:hint="eastAsia" w:ascii="Times New Roman" w:hAnsi="Times New Roman" w:eastAsia="仿宋_GB2312" w:cs="Times New Roman"/>
          <w:color w:val="auto"/>
          <w:kern w:val="2"/>
          <w:sz w:val="32"/>
          <w:szCs w:val="32"/>
          <w:lang w:val="en-US" w:eastAsia="zh-CN" w:bidi="ar-SA"/>
        </w:rPr>
        <w:t>截至目前</w:t>
      </w:r>
      <w:r>
        <w:rPr>
          <w:rFonts w:hint="default" w:ascii="Times New Roman" w:hAnsi="Times New Roman" w:eastAsia="仿宋_GB2312" w:cs="Times New Roman"/>
          <w:color w:val="auto"/>
          <w:kern w:val="2"/>
          <w:sz w:val="32"/>
          <w:szCs w:val="32"/>
          <w:lang w:val="en-US" w:eastAsia="zh-CN" w:bidi="ar-SA"/>
        </w:rPr>
        <w:t>累计提供各类服务5419次。</w:t>
      </w:r>
      <w:r>
        <w:rPr>
          <w:rFonts w:hint="eastAsia" w:ascii="Times New Roman" w:hAnsi="Times New Roman" w:eastAsia="仿宋_GB2312" w:cs="Times New Roman"/>
          <w:b/>
          <w:bCs/>
          <w:color w:val="auto"/>
          <w:kern w:val="2"/>
          <w:sz w:val="32"/>
          <w:szCs w:val="32"/>
          <w:lang w:val="en-US" w:eastAsia="zh-CN" w:bidi="ar-SA"/>
        </w:rPr>
        <w:t>着力实现</w:t>
      </w:r>
      <w:r>
        <w:rPr>
          <w:rFonts w:hint="default" w:ascii="Times New Roman" w:hAnsi="Times New Roman" w:eastAsia="仿宋_GB2312" w:cs="Times New Roman"/>
          <w:b/>
          <w:bCs/>
          <w:color w:val="auto"/>
          <w:kern w:val="2"/>
          <w:sz w:val="32"/>
          <w:szCs w:val="32"/>
          <w:lang w:val="en-US" w:eastAsia="zh-CN" w:bidi="ar-SA"/>
        </w:rPr>
        <w:t>帮困解难“零折扣”。</w:t>
      </w:r>
      <w:r>
        <w:rPr>
          <w:rFonts w:hint="default" w:ascii="Times New Roman" w:hAnsi="Times New Roman" w:eastAsia="仿宋_GB2312" w:cs="Times New Roman"/>
          <w:color w:val="auto"/>
          <w:kern w:val="2"/>
          <w:sz w:val="32"/>
          <w:szCs w:val="32"/>
          <w:lang w:val="en-US" w:eastAsia="zh-CN" w:bidi="ar-SA"/>
        </w:rPr>
        <w:t>注重在一线发现问题、一线解决问题，自“我为群众办实事”实践活动开展以来，党员干部参与人数达1</w:t>
      </w:r>
      <w:r>
        <w:rPr>
          <w:rFonts w:hint="eastAsia" w:ascii="Times New Roman" w:hAnsi="Times New Roman" w:eastAsia="仿宋_GB2312" w:cs="Times New Roman"/>
          <w:color w:val="auto"/>
          <w:kern w:val="2"/>
          <w:sz w:val="32"/>
          <w:szCs w:val="32"/>
          <w:lang w:val="en-US" w:eastAsia="zh-CN" w:bidi="ar-SA"/>
        </w:rPr>
        <w:t>.1万</w:t>
      </w:r>
      <w:r>
        <w:rPr>
          <w:rFonts w:hint="default" w:ascii="Times New Roman" w:hAnsi="Times New Roman" w:eastAsia="仿宋_GB2312" w:cs="Times New Roman"/>
          <w:color w:val="auto"/>
          <w:kern w:val="2"/>
          <w:sz w:val="32"/>
          <w:szCs w:val="32"/>
          <w:lang w:val="en-US" w:eastAsia="zh-CN" w:bidi="ar-SA"/>
        </w:rPr>
        <w:t>余人次，走访群众1.8万余户收集群众诉求2276条，解决实际困难1992个，提出处理意见建议2104条，现场解释答复问题3851个</w:t>
      </w:r>
      <w:r>
        <w:rPr>
          <w:rFonts w:hint="eastAsia" w:ascii="Times New Roman" w:hAnsi="Times New Roman" w:eastAsia="仿宋_GB2312" w:cs="Times New Roman"/>
          <w:color w:val="auto"/>
          <w:kern w:val="2"/>
          <w:sz w:val="32"/>
          <w:szCs w:val="32"/>
          <w:lang w:val="en-US" w:eastAsia="zh-CN" w:bidi="ar-SA"/>
        </w:rPr>
        <w:t>，实现事事有回应、件件能落实</w:t>
      </w:r>
      <w:r>
        <w:rPr>
          <w:rFonts w:hint="default" w:ascii="Times New Roman" w:hAnsi="Times New Roman" w:eastAsia="仿宋_GB2312" w:cs="Times New Roman"/>
          <w:color w:val="auto"/>
          <w:kern w:val="2"/>
          <w:sz w:val="32"/>
          <w:szCs w:val="32"/>
          <w:lang w:val="en-US" w:eastAsia="zh-CN" w:bidi="ar-SA"/>
        </w:rPr>
        <w:t>；摸排梳理化解矛盾纠纷563余起；组织“藏汉双语”宣讲队力量，深入田间地头、寺庙扎康、边远牧场一线，宣讲惠民利民政策2100余场次。6月26日，组织全县机关单位、“两新”组织、企业等各行业的千名党员，开展“千名党员签名践诺”活动，动员广大党员干部以党性进行承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践行初心使命。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6、</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围绕“</w:t>
      </w: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机制更全</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”，人才干部队伍建设协调推进。</w:t>
      </w:r>
      <w:r>
        <w:rPr>
          <w:rFonts w:hint="default" w:ascii="Times New Roman" w:hAnsi="Times New Roman" w:eastAsia="仿宋_GB2312" w:cs="Times New Roman"/>
          <w:b/>
          <w:bCs/>
          <w:color w:val="auto"/>
          <w:kern w:val="2"/>
          <w:sz w:val="32"/>
          <w:szCs w:val="32"/>
          <w:lang w:val="en-US" w:eastAsia="zh-CN" w:bidi="ar-SA"/>
        </w:rPr>
        <w:t>聚焦发展需求树立正确用人导向。</w:t>
      </w:r>
      <w:r>
        <w:rPr>
          <w:rFonts w:hint="default" w:ascii="Times New Roman" w:hAnsi="Times New Roman" w:eastAsia="仿宋_GB2312" w:cs="Times New Roman"/>
          <w:color w:val="auto"/>
          <w:kern w:val="2"/>
          <w:sz w:val="32"/>
          <w:szCs w:val="32"/>
          <w:lang w:val="en-US" w:eastAsia="zh-CN" w:bidi="ar-SA"/>
        </w:rPr>
        <w:t>累计调整干部6批次339人次，乡镇党政班子换届继任人选调整1批次109人，各级领导班子配备不断得到优化升级。</w:t>
      </w:r>
      <w:r>
        <w:rPr>
          <w:rFonts w:hint="default" w:ascii="Times New Roman" w:hAnsi="Times New Roman" w:eastAsia="仿宋_GB2312" w:cs="Times New Roman"/>
          <w:b/>
          <w:bCs/>
          <w:color w:val="auto"/>
          <w:kern w:val="2"/>
          <w:sz w:val="32"/>
          <w:szCs w:val="32"/>
          <w:lang w:val="en-US" w:eastAsia="zh-CN" w:bidi="ar-SA"/>
        </w:rPr>
        <w:t>聚焦职级晋升加强关心关爱。</w:t>
      </w:r>
      <w:r>
        <w:rPr>
          <w:rFonts w:hint="default" w:ascii="Times New Roman" w:hAnsi="Times New Roman" w:eastAsia="仿宋_GB2312" w:cs="Times New Roman"/>
          <w:color w:val="auto"/>
          <w:kern w:val="2"/>
          <w:sz w:val="32"/>
          <w:szCs w:val="32"/>
          <w:lang w:val="en-US" w:eastAsia="zh-CN" w:bidi="ar-SA"/>
        </w:rPr>
        <w:t>认真履行组织部门统一管理公务员职级晋升职责，对标《阿坝州公务员职务与职级并行制度实施方案》规定精神，扎实推进公务员职务与职级并行工作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一年来，累计晋升2批次118人。</w:t>
      </w:r>
      <w:r>
        <w:rPr>
          <w:rFonts w:hint="default" w:ascii="Times New Roman" w:hAnsi="Times New Roman" w:eastAsia="仿宋_GB2312" w:cs="Times New Roman"/>
          <w:b/>
          <w:bCs/>
          <w:color w:val="auto"/>
          <w:kern w:val="2"/>
          <w:sz w:val="32"/>
          <w:szCs w:val="32"/>
          <w:lang w:val="en-US" w:eastAsia="zh-CN" w:bidi="ar-SA"/>
        </w:rPr>
        <w:t>聚焦正向激励细化容错情形。</w:t>
      </w:r>
      <w:r>
        <w:rPr>
          <w:rFonts w:hint="default" w:ascii="Times New Roman" w:hAnsi="Times New Roman" w:eastAsia="仿宋_GB2312" w:cs="Times New Roman"/>
          <w:color w:val="auto"/>
          <w:kern w:val="2"/>
          <w:sz w:val="32"/>
          <w:szCs w:val="32"/>
          <w:lang w:val="en-US" w:eastAsia="zh-CN" w:bidi="ar-SA"/>
        </w:rPr>
        <w:t>用好容错纠错机制，完善发展考核评价体系，对干部在基层一线的探索、工作中的失误，应容尽容，让 “吃苦的人吃香、实干的人实惠、有为的人有位”，让广大干部在干事创业中求进步、求发展，有盼头、有劲头，更好地把好干部选拔“源头水”。</w:t>
      </w:r>
      <w:r>
        <w:rPr>
          <w:rFonts w:hint="default" w:ascii="Times New Roman" w:hAnsi="Times New Roman" w:eastAsia="仿宋_GB2312" w:cs="Times New Roman"/>
          <w:b/>
          <w:bCs/>
          <w:color w:val="auto"/>
          <w:kern w:val="2"/>
          <w:sz w:val="32"/>
          <w:szCs w:val="32"/>
          <w:lang w:val="en-US" w:eastAsia="zh-CN" w:bidi="ar-SA"/>
        </w:rPr>
        <w:t>聚焦</w:t>
      </w:r>
      <w:r>
        <w:rPr>
          <w:rFonts w:hint="eastAsia" w:ascii="Times New Roman" w:hAnsi="Times New Roman" w:eastAsia="仿宋_GB2312" w:cs="Times New Roman"/>
          <w:b/>
          <w:bCs/>
          <w:color w:val="auto"/>
          <w:kern w:val="2"/>
          <w:sz w:val="32"/>
          <w:szCs w:val="32"/>
          <w:lang w:val="en-US" w:eastAsia="zh-CN" w:bidi="ar-SA"/>
        </w:rPr>
        <w:t>把</w:t>
      </w:r>
      <w:r>
        <w:rPr>
          <w:rFonts w:hint="default" w:ascii="Times New Roman" w:hAnsi="Times New Roman" w:eastAsia="仿宋_GB2312" w:cs="Times New Roman"/>
          <w:b/>
          <w:bCs/>
          <w:color w:val="auto"/>
          <w:kern w:val="2"/>
          <w:sz w:val="32"/>
          <w:szCs w:val="32"/>
          <w:lang w:val="en-US" w:eastAsia="zh-CN" w:bidi="ar-SA"/>
        </w:rPr>
        <w:t>从严管理</w:t>
      </w:r>
      <w:r>
        <w:rPr>
          <w:rFonts w:hint="eastAsia" w:ascii="Times New Roman" w:hAnsi="Times New Roman" w:eastAsia="仿宋_GB2312" w:cs="Times New Roman"/>
          <w:b/>
          <w:bCs/>
          <w:color w:val="auto"/>
          <w:kern w:val="2"/>
          <w:sz w:val="32"/>
          <w:szCs w:val="32"/>
          <w:lang w:val="en-US" w:eastAsia="zh-CN" w:bidi="ar-SA"/>
        </w:rPr>
        <w:t>贯穿选任全过程</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加强对编制、干部、人才工作的领导管理，规范人事调动和抽借调管理，从严管理干部职工出国（境）证件，深入开展干部人事档案专项审核。</w:t>
      </w:r>
      <w:r>
        <w:rPr>
          <w:rFonts w:hint="eastAsia" w:ascii="Times New Roman" w:hAnsi="Times New Roman" w:eastAsia="仿宋_GB2312" w:cs="Times New Roman"/>
          <w:b/>
          <w:bCs/>
          <w:color w:val="auto"/>
          <w:kern w:val="2"/>
          <w:sz w:val="32"/>
          <w:szCs w:val="32"/>
          <w:lang w:val="en-US" w:eastAsia="zh-CN" w:bidi="ar-SA"/>
        </w:rPr>
        <w:t>聚焦</w:t>
      </w:r>
      <w:r>
        <w:rPr>
          <w:rFonts w:hint="default" w:ascii="Times New Roman" w:hAnsi="Times New Roman" w:eastAsia="仿宋_GB2312" w:cs="Times New Roman"/>
          <w:b/>
          <w:bCs/>
          <w:color w:val="auto"/>
          <w:kern w:val="2"/>
          <w:sz w:val="32"/>
          <w:szCs w:val="32"/>
          <w:lang w:val="en-US" w:eastAsia="zh-CN" w:bidi="ar-SA"/>
        </w:rPr>
        <w:t>人才交流服务。</w:t>
      </w:r>
      <w:r>
        <w:rPr>
          <w:rFonts w:hint="default" w:ascii="Times New Roman" w:hAnsi="Times New Roman" w:eastAsia="仿宋_GB2312" w:cs="Times New Roman"/>
          <w:color w:val="auto"/>
          <w:kern w:val="2"/>
          <w:sz w:val="32"/>
          <w:szCs w:val="32"/>
          <w:lang w:val="en-US" w:eastAsia="zh-CN" w:bidi="ar-SA"/>
        </w:rPr>
        <w:t>组织开展人才交流3场次200余人次，招引各类人才100名，35名州、县高层次人才纳入英才C卡服务范围， 8人次“科技下乡万里行”专家服务团到壤开展援助服务，签订2名急需紧缺专业大学本科生免费定向生培养计划，为高效衔接脱贫巩固和乡村振兴提供了坚强的科技和人才支撑。</w:t>
      </w:r>
      <w:r>
        <w:rPr>
          <w:rFonts w:hint="eastAsia" w:ascii="Times New Roman" w:hAnsi="Times New Roman" w:eastAsia="仿宋_GB2312" w:cs="Times New Roman"/>
          <w:b/>
          <w:bCs/>
          <w:color w:val="auto"/>
          <w:kern w:val="2"/>
          <w:sz w:val="32"/>
          <w:szCs w:val="32"/>
          <w:lang w:val="en-US" w:eastAsia="zh-CN" w:bidi="ar-SA"/>
        </w:rPr>
        <w:t>聚焦</w:t>
      </w:r>
      <w:r>
        <w:rPr>
          <w:rFonts w:hint="default" w:ascii="Times New Roman" w:hAnsi="Times New Roman" w:eastAsia="仿宋_GB2312" w:cs="Times New Roman"/>
          <w:b/>
          <w:bCs/>
          <w:color w:val="auto"/>
          <w:kern w:val="2"/>
          <w:sz w:val="32"/>
          <w:szCs w:val="32"/>
          <w:lang w:val="en-US" w:eastAsia="zh-CN" w:bidi="ar-SA"/>
        </w:rPr>
        <w:t>硕博人才服务管理。</w:t>
      </w:r>
      <w:r>
        <w:rPr>
          <w:rFonts w:hint="default" w:ascii="Times New Roman" w:hAnsi="Times New Roman" w:eastAsia="仿宋_GB2312" w:cs="Times New Roman"/>
          <w:color w:val="auto"/>
          <w:kern w:val="2"/>
          <w:sz w:val="32"/>
          <w:szCs w:val="32"/>
          <w:lang w:val="en-US" w:eastAsia="zh-CN" w:bidi="ar-SA"/>
        </w:rPr>
        <w:t>有序推进人才服务站建设，落实43套人才公寓，“双向”选择合理配备人才资源，做到“人岗相适”；采取量化考核、工作述职机制，激发人才创新活力，营造尊重知识、尊重人才的浓厚氛围，实现引进人才“拎包入住”“舒心生活”“安心工作”。</w:t>
      </w:r>
      <w:r>
        <w:rPr>
          <w:rFonts w:hint="eastAsia" w:ascii="Times New Roman" w:hAnsi="Times New Roman" w:eastAsia="仿宋_GB2312" w:cs="Times New Roman"/>
          <w:b/>
          <w:bCs/>
          <w:color w:val="auto"/>
          <w:kern w:val="2"/>
          <w:sz w:val="32"/>
          <w:szCs w:val="32"/>
          <w:lang w:val="en-US" w:eastAsia="zh-CN" w:bidi="ar-SA"/>
        </w:rPr>
        <w:t>聚焦</w:t>
      </w:r>
      <w:r>
        <w:rPr>
          <w:rFonts w:hint="default" w:ascii="Times New Roman" w:hAnsi="Times New Roman" w:eastAsia="仿宋_GB2312" w:cs="Times New Roman"/>
          <w:b/>
          <w:bCs/>
          <w:color w:val="auto"/>
          <w:kern w:val="2"/>
          <w:sz w:val="32"/>
          <w:szCs w:val="32"/>
          <w:lang w:val="en-US" w:eastAsia="zh-CN" w:bidi="ar-SA"/>
        </w:rPr>
        <w:t>干部教育在职培训。</w:t>
      </w:r>
      <w:r>
        <w:rPr>
          <w:rFonts w:hint="default" w:ascii="Times New Roman" w:hAnsi="Times New Roman" w:eastAsia="仿宋_GB2312" w:cs="Times New Roman"/>
          <w:color w:val="auto"/>
          <w:kern w:val="2"/>
          <w:sz w:val="32"/>
          <w:szCs w:val="32"/>
          <w:lang w:val="en-US" w:eastAsia="zh-CN" w:bidi="ar-SA"/>
        </w:rPr>
        <w:t>以“新时代治蜀兴川执政骨干递进培养计划”为统领，统筹推进“一把手”提能工程、专业化队伍建设、年轻干部铸魂工程，开展干部教育培训37期2300余人次，培养23县本级优秀年轻后备干部，输送400余人次干部人才赴浙江</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绵阳学习取经。</w:t>
      </w:r>
      <w:r>
        <w:rPr>
          <w:rFonts w:hint="default" w:ascii="Times New Roman" w:hAnsi="Times New Roman" w:eastAsia="仿宋_GB2312" w:cs="Times New Roman"/>
          <w:b/>
          <w:bCs/>
          <w:color w:val="auto"/>
          <w:kern w:val="2"/>
          <w:sz w:val="32"/>
          <w:szCs w:val="32"/>
          <w:lang w:val="en-US" w:eastAsia="zh-CN" w:bidi="ar-SA"/>
        </w:rPr>
        <w:t>健全人才对口支援帮扶机制。</w:t>
      </w:r>
      <w:r>
        <w:rPr>
          <w:rFonts w:hint="default" w:ascii="Times New Roman" w:hAnsi="Times New Roman" w:eastAsia="仿宋_GB2312" w:cs="Times New Roman"/>
          <w:color w:val="auto"/>
          <w:kern w:val="2"/>
          <w:sz w:val="32"/>
          <w:szCs w:val="32"/>
          <w:lang w:val="en-US" w:eastAsia="zh-CN" w:bidi="ar-SA"/>
        </w:rPr>
        <w:t>接收95名援藏干部到我县开展援助服务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依托组团式人才帮扶，引进10名高层次人才，持续推进医</w:t>
      </w:r>
      <w:r>
        <w:rPr>
          <w:rFonts w:hint="eastAsia" w:ascii="Times New Roman" w:hAnsi="Times New Roman" w:eastAsia="仿宋_GB2312" w:cs="Times New Roman"/>
          <w:color w:val="auto"/>
          <w:kern w:val="2"/>
          <w:sz w:val="32"/>
          <w:szCs w:val="32"/>
          <w:lang w:val="en-US" w:eastAsia="zh-CN" w:bidi="ar-SA"/>
        </w:rPr>
        <w:t>联体</w:t>
      </w:r>
      <w:r>
        <w:rPr>
          <w:rFonts w:hint="default" w:ascii="Times New Roman" w:hAnsi="Times New Roman" w:eastAsia="仿宋_GB2312" w:cs="Times New Roman"/>
          <w:color w:val="auto"/>
          <w:kern w:val="2"/>
          <w:sz w:val="32"/>
          <w:szCs w:val="32"/>
          <w:lang w:val="en-US" w:eastAsia="zh-CN" w:bidi="ar-SA"/>
        </w:rPr>
        <w:t>、校联体建设；选派</w:t>
      </w:r>
      <w:r>
        <w:rPr>
          <w:rFonts w:hint="default" w:ascii="Times New Roman" w:hAnsi="Times New Roman" w:eastAsia="仿宋_GB2312" w:cs="Times New Roman"/>
          <w:b w:val="0"/>
          <w:bCs w:val="0"/>
          <w:color w:val="auto"/>
          <w:sz w:val="32"/>
          <w:szCs w:val="32"/>
          <w:lang w:val="en-US" w:eastAsia="zh-CN"/>
        </w:rPr>
        <w:t>24名党政干部</w:t>
      </w:r>
      <w:r>
        <w:rPr>
          <w:rFonts w:hint="default" w:ascii="Times New Roman" w:hAnsi="Times New Roman" w:eastAsia="仿宋_GB2312" w:cs="Times New Roman"/>
          <w:color w:val="auto"/>
          <w:kern w:val="2"/>
          <w:sz w:val="32"/>
          <w:szCs w:val="32"/>
          <w:lang w:val="en-US" w:eastAsia="zh-CN" w:bidi="ar-SA"/>
        </w:rPr>
        <w:t>外</w:t>
      </w:r>
      <w:r>
        <w:rPr>
          <w:rFonts w:hint="eastAsia" w:ascii="Times New Roman" w:hAnsi="Times New Roman" w:eastAsia="仿宋_GB2312" w:cs="Times New Roman"/>
          <w:color w:val="auto"/>
          <w:kern w:val="2"/>
          <w:sz w:val="32"/>
          <w:szCs w:val="32"/>
          <w:lang w:val="en-US" w:eastAsia="zh-CN" w:bidi="ar-SA"/>
        </w:rPr>
        <w:t>出</w:t>
      </w:r>
      <w:r>
        <w:rPr>
          <w:rFonts w:hint="default" w:ascii="Times New Roman" w:hAnsi="Times New Roman" w:eastAsia="仿宋_GB2312" w:cs="Times New Roman"/>
          <w:color w:val="auto"/>
          <w:kern w:val="2"/>
          <w:sz w:val="32"/>
          <w:szCs w:val="32"/>
          <w:lang w:val="en-US" w:eastAsia="zh-CN" w:bidi="ar-SA"/>
        </w:rPr>
        <w:t>挂职锻炼</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交流学习；采取“一对一”“一对多”形式，66名援藏干部与138名本土年轻干部形成结对帮扶关系。</w:t>
      </w:r>
      <w:r>
        <w:rPr>
          <w:rFonts w:hint="eastAsia" w:ascii="Times New Roman" w:hAnsi="Times New Roman" w:eastAsia="仿宋_GB2312" w:cs="Times New Roman"/>
          <w:b/>
          <w:bCs/>
          <w:color w:val="auto"/>
          <w:kern w:val="2"/>
          <w:sz w:val="32"/>
          <w:szCs w:val="32"/>
          <w:lang w:val="en-US" w:eastAsia="zh-CN" w:bidi="ar-SA"/>
        </w:rPr>
        <w:t>聚力老干部服务工作。</w:t>
      </w:r>
      <w:r>
        <w:rPr>
          <w:rFonts w:hint="eastAsia" w:ascii="Times New Roman" w:hAnsi="Times New Roman" w:eastAsia="仿宋_GB2312" w:cs="Times New Roman"/>
          <w:color w:val="auto"/>
          <w:kern w:val="2"/>
          <w:sz w:val="32"/>
          <w:szCs w:val="32"/>
          <w:lang w:val="en-US" w:eastAsia="zh-CN" w:bidi="ar-SA"/>
        </w:rPr>
        <w:t>把“让党放心，让老干部满意”作为工作的出发点和落脚点，紧扣老干部所需和老干部局所能的结合点来谋划和推进工作。积极发</w:t>
      </w:r>
      <w:r>
        <w:rPr>
          <w:rFonts w:hint="eastAsia" w:ascii="仿宋_GB2312" w:eastAsia="仿宋_GB2312"/>
          <w:sz w:val="32"/>
          <w:szCs w:val="32"/>
        </w:rPr>
        <w:t>挥老干部党支部和老年协会的作用，</w:t>
      </w:r>
      <w:r>
        <w:rPr>
          <w:rFonts w:hint="eastAsia" w:ascii="仿宋_GB2312" w:eastAsia="仿宋_GB2312"/>
          <w:sz w:val="32"/>
          <w:szCs w:val="32"/>
          <w:lang w:eastAsia="zh-CN"/>
        </w:rPr>
        <w:t>以老干部宣讲队为平台深入牧区、学校、寺庙宣讲</w:t>
      </w:r>
      <w:r>
        <w:rPr>
          <w:rFonts w:hint="eastAsia" w:ascii="仿宋_GB2312" w:eastAsia="仿宋_GB2312"/>
          <w:sz w:val="32"/>
          <w:szCs w:val="32"/>
          <w:lang w:val="en-US" w:eastAsia="zh-CN"/>
        </w:rPr>
        <w:t>20余次</w:t>
      </w:r>
      <w:r>
        <w:rPr>
          <w:rFonts w:hint="eastAsia" w:ascii="仿宋_GB2312" w:eastAsia="仿宋_GB2312"/>
          <w:sz w:val="32"/>
          <w:szCs w:val="32"/>
          <w:lang w:eastAsia="zh-CN"/>
        </w:rPr>
        <w:t>；</w:t>
      </w:r>
      <w:r>
        <w:rPr>
          <w:rFonts w:hint="eastAsia" w:ascii="仿宋_GB2312" w:eastAsia="仿宋_GB2312"/>
          <w:sz w:val="32"/>
          <w:szCs w:val="32"/>
        </w:rPr>
        <w:t>落实</w:t>
      </w:r>
      <w:r>
        <w:rPr>
          <w:rFonts w:hint="eastAsia" w:ascii="仿宋_GB2312" w:eastAsia="仿宋_GB2312"/>
          <w:sz w:val="32"/>
          <w:szCs w:val="32"/>
          <w:lang w:eastAsia="zh-CN"/>
        </w:rPr>
        <w:t>老干部活动经费、党组织活动经费、体检</w:t>
      </w:r>
      <w:bookmarkStart w:id="174" w:name="_GoBack"/>
      <w:bookmarkEnd w:id="174"/>
      <w:r>
        <w:rPr>
          <w:rFonts w:hint="eastAsia" w:ascii="仿宋_GB2312" w:eastAsia="仿宋_GB2312"/>
          <w:sz w:val="32"/>
          <w:szCs w:val="32"/>
          <w:lang w:eastAsia="zh-CN"/>
        </w:rPr>
        <w:t>经费、春节慰问经费等</w:t>
      </w:r>
      <w:r>
        <w:rPr>
          <w:rFonts w:hint="eastAsia" w:ascii="仿宋_GB2312" w:eastAsia="仿宋_GB2312"/>
          <w:sz w:val="32"/>
          <w:szCs w:val="32"/>
        </w:rPr>
        <w:t>专项资金</w:t>
      </w:r>
      <w:r>
        <w:rPr>
          <w:rFonts w:hint="eastAsia" w:ascii="仿宋_GB2312" w:eastAsia="仿宋_GB2312"/>
          <w:sz w:val="32"/>
          <w:szCs w:val="32"/>
          <w:lang w:val="en-US" w:eastAsia="zh-CN"/>
        </w:rPr>
        <w:t>210</w:t>
      </w:r>
      <w:r>
        <w:rPr>
          <w:rFonts w:hint="eastAsia" w:ascii="仿宋_GB2312" w:eastAsia="仿宋_GB2312"/>
          <w:sz w:val="32"/>
          <w:szCs w:val="32"/>
        </w:rPr>
        <w:t>余万元</w:t>
      </w:r>
      <w:r>
        <w:rPr>
          <w:rFonts w:hint="eastAsia" w:ascii="仿宋_GB2312" w:eastAsia="仿宋_GB2312"/>
          <w:sz w:val="32"/>
          <w:szCs w:val="32"/>
          <w:lang w:eastAsia="zh-CN"/>
        </w:rPr>
        <w:t>，</w:t>
      </w:r>
      <w:r>
        <w:rPr>
          <w:rFonts w:hint="eastAsia" w:ascii="仿宋_GB2312" w:eastAsia="仿宋_GB2312"/>
          <w:sz w:val="32"/>
          <w:szCs w:val="32"/>
        </w:rPr>
        <w:t>走访慰问老干部1</w:t>
      </w:r>
      <w:r>
        <w:rPr>
          <w:rFonts w:hint="eastAsia" w:ascii="仿宋_GB2312" w:eastAsia="仿宋_GB2312"/>
          <w:sz w:val="32"/>
          <w:szCs w:val="32"/>
          <w:lang w:val="en-US" w:eastAsia="zh-CN"/>
        </w:rPr>
        <w:t>52</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组织全县819名机关事业离退休干部参加体检；</w:t>
      </w:r>
      <w:r>
        <w:rPr>
          <w:rFonts w:hint="eastAsia" w:ascii="仿宋_GB2312" w:eastAsia="仿宋_GB2312"/>
          <w:sz w:val="32"/>
          <w:szCs w:val="32"/>
        </w:rPr>
        <w:t>受理老同志维权、生活照顾等问题的来信来电来访</w:t>
      </w:r>
      <w:r>
        <w:rPr>
          <w:rFonts w:hint="eastAsia" w:ascii="仿宋_GB2312" w:eastAsia="仿宋_GB2312"/>
          <w:sz w:val="32"/>
          <w:szCs w:val="32"/>
          <w:lang w:val="en-US" w:eastAsia="zh-CN"/>
        </w:rPr>
        <w:t>75</w:t>
      </w:r>
      <w:r>
        <w:rPr>
          <w:rFonts w:hint="eastAsia" w:ascii="仿宋_GB2312" w:eastAsia="仿宋_GB2312"/>
          <w:sz w:val="32"/>
          <w:szCs w:val="32"/>
        </w:rPr>
        <w:t>件</w:t>
      </w:r>
      <w:r>
        <w:rPr>
          <w:rFonts w:hint="eastAsia" w:ascii="仿宋_GB2312" w:eastAsia="仿宋_GB2312"/>
          <w:sz w:val="32"/>
          <w:szCs w:val="32"/>
          <w:lang w:val="en-US" w:eastAsia="zh-CN"/>
        </w:rPr>
        <w:t>132</w:t>
      </w:r>
      <w:r>
        <w:rPr>
          <w:rFonts w:hint="eastAsia" w:ascii="仿宋_GB2312" w:eastAsia="仿宋_GB2312"/>
          <w:sz w:val="32"/>
          <w:szCs w:val="32"/>
        </w:rPr>
        <w:t>余人次，办结率达100%。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i w:val="0"/>
          <w:caps w:val="0"/>
          <w:color w:val="333333"/>
          <w:spacing w:val="8"/>
          <w:sz w:val="32"/>
          <w:szCs w:val="32"/>
          <w:shd w:val="clear" w:fill="FFFFFF"/>
          <w:lang w:val="en-US" w:eastAsia="zh-CN"/>
        </w:rPr>
      </w:pP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7、</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围绕“</w:t>
      </w: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作风更优</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w:t>
      </w:r>
      <w:r>
        <w:rPr>
          <w:rFonts w:hint="eastAsia" w:ascii="Times New Roman" w:hAnsi="Times New Roman" w:eastAsia="楷体_GB2312" w:cs="Times New Roman"/>
          <w:b/>
          <w:bCs/>
          <w:color w:val="000000" w:themeColor="text1"/>
          <w:w w:val="100"/>
          <w:sz w:val="32"/>
          <w:szCs w:val="32"/>
          <w:lang w:val="en-US" w:eastAsia="zh-CN"/>
          <w14:textFill>
            <w14:solidFill>
              <w14:schemeClr w14:val="tx1"/>
            </w14:solidFill>
          </w14:textFill>
        </w:rPr>
        <w:t>部门自身建设严实推进</w:t>
      </w:r>
      <w:r>
        <w:rPr>
          <w:rFonts w:hint="default" w:ascii="Times New Roman" w:hAnsi="Times New Roman" w:eastAsia="楷体_GB2312" w:cs="Times New Roman"/>
          <w:b/>
          <w:bCs/>
          <w:color w:val="000000" w:themeColor="text1"/>
          <w:w w:val="100"/>
          <w:sz w:val="32"/>
          <w:szCs w:val="32"/>
          <w:lang w:val="en-US" w:eastAsia="zh-CN"/>
          <w14:textFill>
            <w14:solidFill>
              <w14:schemeClr w14:val="tx1"/>
            </w14:solidFill>
          </w14:textFill>
        </w:rPr>
        <w:t>。</w:t>
      </w:r>
      <w:r>
        <w:rPr>
          <w:rFonts w:hint="default" w:ascii="仿宋_GB2312" w:eastAsia="仿宋_GB2312"/>
          <w:sz w:val="32"/>
          <w:szCs w:val="32"/>
          <w:lang w:val="en-US" w:eastAsia="zh-CN"/>
        </w:rPr>
        <w:t>围绕</w:t>
      </w:r>
      <w:r>
        <w:rPr>
          <w:rFonts w:hint="eastAsia" w:ascii="仿宋_GB2312" w:hAnsi="仿宋_GB2312" w:eastAsia="仿宋_GB2312" w:cs="仿宋_GB2312"/>
          <w:sz w:val="32"/>
          <w:szCs w:val="32"/>
          <w:lang w:val="en-US" w:eastAsia="zh-CN"/>
        </w:rPr>
        <w:t>“讲政治、重公道、业务精、作风好”</w:t>
      </w:r>
      <w:r>
        <w:rPr>
          <w:rFonts w:hint="eastAsia" w:ascii="仿宋_GB2312" w:eastAsia="仿宋_GB2312"/>
          <w:sz w:val="32"/>
          <w:szCs w:val="32"/>
          <w:lang w:val="en-US" w:eastAsia="zh-CN"/>
        </w:rPr>
        <w:t>目标，着力建设</w:t>
      </w:r>
      <w:r>
        <w:rPr>
          <w:rFonts w:hint="default" w:ascii="仿宋_GB2312" w:eastAsia="仿宋_GB2312"/>
          <w:sz w:val="32"/>
          <w:szCs w:val="32"/>
          <w:lang w:val="en-US" w:eastAsia="zh-CN"/>
        </w:rPr>
        <w:t>模范部门和过硬队伍</w:t>
      </w:r>
      <w:r>
        <w:rPr>
          <w:rFonts w:hint="eastAsia" w:ascii="仿宋_GB2312" w:eastAsia="仿宋_GB2312"/>
          <w:sz w:val="32"/>
          <w:szCs w:val="32"/>
          <w:lang w:val="en-US" w:eastAsia="zh-CN"/>
        </w:rPr>
        <w:t>。认真落实领导议事决策、机关党组织“三会一课”全面落实“AB”角补位、轮岗锻炼制度等党内生活制度。截至目前，依托党史学习教育为，围绕中央、省、州重要会议专题学习26次，在省级媒体发表各类稿件11篇、州级刊发组工信息38篇，撰写有影响力网评文章15篇。2021年度，荣获四川关心下一代工作先进集体、阿坝州先进基层党组织、阿坝州“联户联情”工作先进集体等荣誉。</w:t>
      </w:r>
    </w:p>
    <w:p>
      <w:pPr>
        <w:pStyle w:val="5"/>
        <w:rPr>
          <w:rStyle w:val="31"/>
          <w:rFonts w:hint="eastAsia" w:ascii="黑体" w:hAnsi="黑体" w:eastAsia="黑体" w:cs="黑体"/>
          <w:b w:val="0"/>
          <w:bCs/>
        </w:rPr>
      </w:pPr>
      <w:r>
        <w:rPr>
          <w:rStyle w:val="31"/>
          <w:rFonts w:hint="eastAsia" w:ascii="黑体" w:hAnsi="黑体" w:eastAsia="黑体" w:cs="黑体"/>
          <w:b w:val="0"/>
          <w:bCs/>
        </w:rPr>
        <w:t>二、机构设置</w:t>
      </w:r>
      <w:bookmarkEnd w:id="24"/>
      <w:bookmarkEnd w:id="25"/>
    </w:p>
    <w:p>
      <w:pPr>
        <w:ind w:firstLine="640" w:firstLineChars="200"/>
        <w:rPr>
          <w:rFonts w:ascii="仿宋_GB2312" w:hAnsi="仿宋" w:eastAsia="仿宋_GB2312"/>
          <w:sz w:val="32"/>
          <w:szCs w:val="32"/>
        </w:rPr>
      </w:pPr>
      <w:r>
        <w:rPr>
          <w:rFonts w:hint="eastAsia" w:ascii="仿宋_GB2312" w:hAnsi="仿宋" w:eastAsia="仿宋_GB2312"/>
          <w:sz w:val="32"/>
          <w:szCs w:val="32"/>
        </w:rPr>
        <w:t>中共壤塘县委组织部下属二级单位</w:t>
      </w:r>
      <w:r>
        <w:rPr>
          <w:rFonts w:ascii="仿宋_GB2312" w:hAnsi="仿宋" w:eastAsia="仿宋_GB2312"/>
          <w:sz w:val="32"/>
          <w:szCs w:val="32"/>
        </w:rPr>
        <w:t>0</w:t>
      </w:r>
      <w:r>
        <w:rPr>
          <w:rFonts w:hint="eastAsia" w:ascii="仿宋_GB2312" w:hAnsi="仿宋" w:eastAsia="仿宋_GB2312"/>
          <w:sz w:val="32"/>
          <w:szCs w:val="32"/>
        </w:rPr>
        <w:t>个，我单位属</w:t>
      </w:r>
      <w:r>
        <w:rPr>
          <w:rFonts w:ascii="仿宋_GB2312" w:hAnsi="仿宋" w:eastAsia="仿宋_GB2312"/>
          <w:sz w:val="32"/>
          <w:szCs w:val="32"/>
        </w:rPr>
        <w:t>行政单位。</w:t>
      </w:r>
    </w:p>
    <w:p>
      <w:pPr>
        <w:ind w:firstLine="640" w:firstLineChars="200"/>
        <w:rPr>
          <w:rFonts w:ascii="仿宋_GB2312" w:hAnsi="仿宋" w:eastAsia="仿宋_GB2312"/>
          <w:sz w:val="32"/>
          <w:szCs w:val="32"/>
        </w:rPr>
      </w:pPr>
    </w:p>
    <w:p>
      <w:pPr>
        <w:ind w:firstLine="640" w:firstLineChars="200"/>
        <w:rPr>
          <w:rFonts w:ascii="仿宋_GB2312" w:hAnsi="仿宋" w:eastAsia="仿宋_GB2312"/>
          <w:color w:val="FF0000"/>
          <w:sz w:val="32"/>
          <w:szCs w:val="32"/>
        </w:rPr>
      </w:pPr>
    </w:p>
    <w:p>
      <w:pPr>
        <w:pStyle w:val="2"/>
        <w:rPr>
          <w:rFonts w:ascii="仿宋_GB2312" w:hAnsi="仿宋" w:eastAsia="仿宋_GB2312"/>
          <w:color w:val="FF0000"/>
          <w:sz w:val="32"/>
          <w:szCs w:val="32"/>
        </w:rPr>
      </w:pPr>
    </w:p>
    <w:p>
      <w:pPr>
        <w:rPr>
          <w:rFonts w:ascii="仿宋_GB2312" w:hAnsi="仿宋" w:eastAsia="仿宋_GB2312"/>
          <w:color w:val="FF0000"/>
          <w:sz w:val="32"/>
          <w:szCs w:val="32"/>
        </w:rPr>
      </w:pPr>
    </w:p>
    <w:p>
      <w:pPr>
        <w:pStyle w:val="2"/>
        <w:rPr>
          <w:rFonts w:ascii="仿宋_GB2312" w:hAnsi="仿宋" w:eastAsia="仿宋_GB2312"/>
          <w:color w:val="FF0000"/>
          <w:sz w:val="32"/>
          <w:szCs w:val="32"/>
        </w:rPr>
      </w:pPr>
    </w:p>
    <w:p>
      <w:pPr>
        <w:rPr>
          <w:rFonts w:ascii="仿宋_GB2312" w:hAnsi="仿宋" w:eastAsia="仿宋_GB2312"/>
          <w:color w:val="FF0000"/>
          <w:sz w:val="32"/>
          <w:szCs w:val="32"/>
        </w:rPr>
      </w:pPr>
    </w:p>
    <w:p>
      <w:pPr>
        <w:pStyle w:val="2"/>
        <w:rPr>
          <w:rFonts w:ascii="仿宋_GB2312" w:hAnsi="仿宋" w:eastAsia="仿宋_GB2312"/>
          <w:color w:val="FF0000"/>
          <w:sz w:val="32"/>
          <w:szCs w:val="32"/>
        </w:rPr>
      </w:pPr>
    </w:p>
    <w:p>
      <w:pPr>
        <w:rPr>
          <w:rFonts w:ascii="仿宋_GB2312" w:hAnsi="仿宋" w:eastAsia="仿宋_GB2312"/>
          <w:color w:val="FF0000"/>
          <w:sz w:val="32"/>
          <w:szCs w:val="32"/>
        </w:rPr>
      </w:pPr>
    </w:p>
    <w:p>
      <w:pPr>
        <w:pStyle w:val="2"/>
        <w:rPr>
          <w:rFonts w:ascii="仿宋_GB2312" w:hAnsi="仿宋" w:eastAsia="仿宋_GB2312"/>
          <w:color w:val="FF0000"/>
          <w:sz w:val="32"/>
          <w:szCs w:val="32"/>
        </w:rPr>
      </w:pPr>
    </w:p>
    <w:p>
      <w:pPr>
        <w:rPr>
          <w:rFonts w:ascii="仿宋_GB2312" w:hAnsi="仿宋" w:eastAsia="仿宋_GB2312"/>
          <w:color w:val="FF0000"/>
          <w:sz w:val="32"/>
          <w:szCs w:val="32"/>
        </w:rPr>
      </w:pPr>
    </w:p>
    <w:p>
      <w:pPr>
        <w:pStyle w:val="2"/>
        <w:rPr>
          <w:rFonts w:ascii="仿宋_GB2312" w:hAnsi="仿宋" w:eastAsia="仿宋_GB2312"/>
          <w:color w:val="FF0000"/>
          <w:sz w:val="32"/>
          <w:szCs w:val="32"/>
        </w:rPr>
      </w:pPr>
    </w:p>
    <w:p/>
    <w:p>
      <w:pPr>
        <w:pStyle w:val="4"/>
        <w:ind w:right="440"/>
        <w:jc w:val="center"/>
        <w:rPr>
          <w:rFonts w:ascii="仿宋_GB2312" w:hAnsi="黑体" w:eastAsia="仿宋_GB2312"/>
          <w:bCs w:val="0"/>
        </w:rPr>
      </w:pPr>
      <w:bookmarkStart w:id="26" w:name="_Toc15377204"/>
      <w:r>
        <w:rPr>
          <w:rFonts w:hint="eastAsia" w:ascii="仿宋_GB2312" w:hAnsi="黑体" w:eastAsia="仿宋_GB2312"/>
          <w:color w:val="000000"/>
        </w:rPr>
        <w:t xml:space="preserve">  </w:t>
      </w:r>
      <w:bookmarkStart w:id="27" w:name="_Toc85790003"/>
      <w:r>
        <w:rPr>
          <w:rFonts w:hint="eastAsia" w:ascii="仿宋_GB2312" w:hAnsi="黑体" w:eastAsia="仿宋_GB2312"/>
          <w:color w:val="000000"/>
        </w:rPr>
        <w:t xml:space="preserve">第二部分 </w:t>
      </w:r>
      <w:r>
        <w:rPr>
          <w:rStyle w:val="30"/>
          <w:rFonts w:hint="eastAsia" w:ascii="仿宋_GB2312" w:hAnsi="黑体" w:eastAsia="仿宋_GB2312"/>
          <w:b/>
          <w:bCs w:val="0"/>
          <w:lang w:eastAsia="zh-CN"/>
        </w:rPr>
        <w:t>2021</w:t>
      </w:r>
      <w:r>
        <w:rPr>
          <w:rStyle w:val="30"/>
          <w:rFonts w:hint="eastAsia" w:ascii="仿宋_GB2312" w:hAnsi="黑体" w:eastAsia="仿宋_GB2312"/>
          <w:b/>
          <w:bCs w:val="0"/>
        </w:rPr>
        <w:t>年度部门决算情况说明</w:t>
      </w:r>
      <w:bookmarkEnd w:id="26"/>
      <w:bookmarkEnd w:id="27"/>
    </w:p>
    <w:p>
      <w:pPr>
        <w:pStyle w:val="29"/>
        <w:numPr>
          <w:ilvl w:val="0"/>
          <w:numId w:val="1"/>
        </w:numPr>
        <w:spacing w:line="600" w:lineRule="exact"/>
        <w:ind w:firstLineChars="0"/>
        <w:outlineLvl w:val="1"/>
        <w:rPr>
          <w:rFonts w:hint="eastAsia" w:ascii="黑体" w:hAnsi="黑体" w:eastAsia="黑体" w:cs="黑体"/>
          <w:b w:val="0"/>
          <w:bCs/>
          <w:color w:val="000000"/>
          <w:sz w:val="32"/>
          <w:szCs w:val="32"/>
        </w:rPr>
      </w:pPr>
      <w:bookmarkStart w:id="28" w:name="_Toc85790004"/>
      <w:bookmarkStart w:id="29" w:name="_Toc15377205"/>
      <w:r>
        <w:rPr>
          <w:rFonts w:hint="eastAsia" w:ascii="黑体" w:hAnsi="黑体" w:eastAsia="黑体" w:cs="黑体"/>
          <w:b w:val="0"/>
          <w:bCs/>
          <w:color w:val="000000"/>
          <w:sz w:val="32"/>
          <w:szCs w:val="32"/>
        </w:rPr>
        <w:t>收入支出决算总体情况说明</w:t>
      </w:r>
      <w:bookmarkEnd w:id="28"/>
      <w:bookmarkEnd w:id="29"/>
    </w:p>
    <w:p>
      <w:pPr>
        <w:spacing w:line="60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年度收入总计1635.79万元，与</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增加598.15</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增长36.57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随着本地区政治经济快速发展，组织事务增多，财政拨款增加。</w:t>
      </w:r>
      <w:r>
        <w:rPr>
          <w:rFonts w:hint="eastAsia" w:ascii="仿宋_GB2312" w:hAnsi="仿宋" w:eastAsia="仿宋_GB2312"/>
          <w:color w:val="000000"/>
          <w:sz w:val="32"/>
          <w:szCs w:val="32"/>
        </w:rPr>
        <w:t>支出总计</w:t>
      </w:r>
      <w:r>
        <w:rPr>
          <w:rFonts w:hint="eastAsia" w:ascii="仿宋_GB2312" w:hAnsi="仿宋" w:eastAsia="仿宋_GB2312"/>
          <w:color w:val="000000"/>
          <w:sz w:val="32"/>
          <w:szCs w:val="32"/>
          <w:lang w:val="en-US" w:eastAsia="zh-CN"/>
        </w:rPr>
        <w:t>1767.03</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与20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增加349.50</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增长19.78</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随着本地区政治经济快速发展，组织事务增多，支出增加。</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（图1：收、支决算总计变动情况图）（柱状图）</w:t>
      </w:r>
    </w:p>
    <w:p>
      <w:pPr>
        <w:jc w:val="left"/>
        <w:rPr>
          <w:rFonts w:ascii="仿宋_GB2312" w:eastAsia="仿宋_GB2312"/>
          <w:color w:val="000000"/>
          <w:sz w:val="32"/>
          <w:szCs w:val="32"/>
        </w:rPr>
      </w:pPr>
      <w:r>
        <w:drawing>
          <wp:inline distT="0" distB="0" distL="114300" distR="114300">
            <wp:extent cx="4571365" cy="3000375"/>
            <wp:effectExtent l="4445" t="4445" r="11430" b="12700"/>
            <wp:docPr id="151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仿宋_GB2312" w:eastAsia="仿宋_GB2312"/>
          <w:color w:val="000000"/>
          <w:sz w:val="32"/>
          <w:szCs w:val="32"/>
        </w:rPr>
      </w:pPr>
    </w:p>
    <w:p>
      <w:pPr>
        <w:jc w:val="left"/>
        <w:rPr>
          <w:rFonts w:ascii="仿宋_GB2312" w:eastAsia="仿宋_GB2312"/>
          <w:color w:val="000000"/>
          <w:sz w:val="32"/>
          <w:szCs w:val="32"/>
        </w:rPr>
      </w:pPr>
      <w:r>
        <w:drawing>
          <wp:inline distT="0" distB="0" distL="114300" distR="114300">
            <wp:extent cx="4571365" cy="3000375"/>
            <wp:effectExtent l="4445" t="4445" r="11430" b="1270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Fonts w:hint="eastAsia" w:ascii="黑体" w:hAnsi="黑体" w:eastAsia="黑体" w:cs="黑体"/>
          <w:b w:val="0"/>
          <w:bCs/>
          <w:color w:val="000000"/>
        </w:rPr>
      </w:pPr>
      <w:bookmarkStart w:id="30" w:name="_Toc85790005"/>
      <w:bookmarkStart w:id="31" w:name="_Toc15377206"/>
      <w:r>
        <w:rPr>
          <w:rFonts w:hint="eastAsia" w:ascii="黑体" w:hAnsi="黑体" w:eastAsia="黑体" w:cs="黑体"/>
          <w:b w:val="0"/>
          <w:bCs/>
          <w:color w:val="000000"/>
          <w:sz w:val="32"/>
          <w:szCs w:val="32"/>
        </w:rPr>
        <w:t>二、收入决算情况说明</w:t>
      </w:r>
      <w:bookmarkEnd w:id="30"/>
      <w:bookmarkEnd w:id="31"/>
    </w:p>
    <w:p>
      <w:pPr>
        <w:pStyle w:val="37"/>
        <w:ind w:firstLine="640" w:firstLineChars="200"/>
        <w:rPr>
          <w:rFonts w:ascii="仿宋_GB2312" w:hAnsi="仿宋" w:eastAsia="仿宋_GB2312"/>
          <w:color w:val="000000"/>
          <w:kern w:val="2"/>
          <w:sz w:val="32"/>
          <w:szCs w:val="32"/>
        </w:rPr>
      </w:pPr>
      <w:r>
        <w:rPr>
          <w:rFonts w:hint="eastAsia" w:ascii="仿宋_GB2312" w:hAnsi="仿宋" w:eastAsia="仿宋_GB2312"/>
          <w:color w:val="000000"/>
          <w:kern w:val="2"/>
          <w:sz w:val="32"/>
          <w:szCs w:val="32"/>
          <w:lang w:eastAsia="zh-CN"/>
        </w:rPr>
        <w:t>2021</w:t>
      </w:r>
      <w:r>
        <w:rPr>
          <w:rFonts w:hint="eastAsia" w:ascii="仿宋_GB2312" w:hAnsi="仿宋" w:eastAsia="仿宋_GB2312"/>
          <w:color w:val="000000"/>
          <w:kern w:val="2"/>
          <w:sz w:val="32"/>
          <w:szCs w:val="32"/>
        </w:rPr>
        <w:t>年本年收入合计1635.79万元，其中：一般公共预算财政拨款收入1635.79万元，占</w:t>
      </w:r>
      <w:r>
        <w:rPr>
          <w:rFonts w:ascii="仿宋_GB2312" w:hAnsi="仿宋" w:eastAsia="仿宋_GB2312"/>
          <w:color w:val="000000"/>
          <w:kern w:val="2"/>
          <w:sz w:val="32"/>
          <w:szCs w:val="32"/>
        </w:rPr>
        <w:t>100</w:t>
      </w:r>
      <w:r>
        <w:rPr>
          <w:rFonts w:hint="eastAsia" w:ascii="仿宋_GB2312" w:hAnsi="仿宋" w:eastAsia="仿宋_GB2312"/>
          <w:color w:val="000000"/>
          <w:kern w:val="2"/>
          <w:sz w:val="32"/>
          <w:szCs w:val="32"/>
        </w:rPr>
        <w:t>%；政府性基金预算财政拨款收入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万元；国有资本经营预算财政拨款收入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万元；事业收入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万元；经营收入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万元；附属单位上缴收入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万元；其他收入</w:t>
      </w:r>
      <w:r>
        <w:rPr>
          <w:rFonts w:ascii="仿宋_GB2312" w:hAnsi="仿宋" w:eastAsia="仿宋_GB2312"/>
          <w:color w:val="000000"/>
          <w:kern w:val="2"/>
          <w:sz w:val="32"/>
          <w:szCs w:val="32"/>
        </w:rPr>
        <w:t>0</w:t>
      </w:r>
      <w:r>
        <w:rPr>
          <w:rFonts w:hint="eastAsia" w:ascii="仿宋_GB2312" w:hAnsi="仿宋" w:eastAsia="仿宋_GB2312"/>
          <w:color w:val="000000"/>
          <w:kern w:val="2"/>
          <w:sz w:val="32"/>
          <w:szCs w:val="32"/>
        </w:rPr>
        <w:t>万元。</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rPr>
        <w:t>（图2：收入决算结构图）（</w:t>
      </w:r>
      <w:r>
        <w:rPr>
          <w:rFonts w:hint="eastAsia" w:ascii="仿宋_GB2312" w:hAnsi="仿宋" w:eastAsia="仿宋_GB2312"/>
          <w:color w:val="000000" w:themeColor="text1"/>
          <w:sz w:val="32"/>
          <w:szCs w:val="32"/>
          <w14:textFill>
            <w14:solidFill>
              <w14:schemeClr w14:val="tx1"/>
            </w14:solidFill>
          </w14:textFill>
        </w:rPr>
        <w:t>饼状图）</w:t>
      </w:r>
    </w:p>
    <w:p>
      <w:pPr>
        <w:rPr>
          <w:rFonts w:ascii="仿宋_GB2312" w:eastAsia="仿宋_GB2312"/>
          <w:color w:val="FF0000"/>
          <w:sz w:val="32"/>
          <w:szCs w:val="32"/>
        </w:rPr>
      </w:pPr>
      <w:r>
        <w:drawing>
          <wp:inline distT="0" distB="0" distL="114300" distR="114300">
            <wp:extent cx="4570095" cy="2743200"/>
            <wp:effectExtent l="4445" t="4445" r="12700" b="1079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hint="eastAsia" w:ascii="黑体" w:hAnsi="黑体" w:eastAsia="黑体" w:cs="黑体"/>
          <w:b w:val="0"/>
          <w:bCs/>
          <w:color w:val="000000"/>
          <w:sz w:val="32"/>
          <w:szCs w:val="32"/>
        </w:rPr>
      </w:pPr>
      <w:bookmarkStart w:id="32" w:name="_Toc85790006"/>
      <w:bookmarkStart w:id="33" w:name="_Toc15377207"/>
      <w:r>
        <w:rPr>
          <w:rFonts w:hint="eastAsia" w:ascii="黑体" w:hAnsi="黑体" w:eastAsia="黑体" w:cs="黑体"/>
          <w:b w:val="0"/>
          <w:bCs/>
          <w:color w:val="000000"/>
          <w:sz w:val="32"/>
          <w:szCs w:val="32"/>
        </w:rPr>
        <w:t>三、支出决算情况说明</w:t>
      </w:r>
      <w:bookmarkEnd w:id="32"/>
      <w:bookmarkEnd w:id="33"/>
    </w:p>
    <w:p>
      <w:pPr>
        <w:spacing w:line="600" w:lineRule="exact"/>
        <w:ind w:firstLine="640"/>
        <w:rPr>
          <w:rFonts w:ascii="仿宋_GB2312" w:hAnsi="仿宋" w:eastAsia="仿宋_GB2312"/>
          <w:color w:val="000000"/>
          <w:sz w:val="32"/>
          <w:szCs w:val="32"/>
          <w:shd w:val="pct10" w:color="auto" w:fill="FFFFFF"/>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年本年支出合计</w:t>
      </w:r>
      <w:r>
        <w:rPr>
          <w:rFonts w:hint="eastAsia" w:ascii="仿宋_GB2312" w:hAnsi="仿宋" w:eastAsia="仿宋_GB2312"/>
          <w:color w:val="000000"/>
          <w:sz w:val="32"/>
          <w:szCs w:val="32"/>
          <w:lang w:val="en-US" w:eastAsia="zh-CN"/>
        </w:rPr>
        <w:t>1767.03</w:t>
      </w:r>
      <w:r>
        <w:rPr>
          <w:rFonts w:hint="eastAsia" w:ascii="仿宋_GB2312" w:hAnsi="仿宋" w:eastAsia="仿宋_GB2312"/>
          <w:color w:val="000000"/>
          <w:sz w:val="32"/>
          <w:szCs w:val="32"/>
        </w:rPr>
        <w:t>万元，其中：基本支出</w:t>
      </w:r>
      <w:r>
        <w:rPr>
          <w:rFonts w:hint="eastAsia" w:ascii="仿宋_GB2312" w:hAnsi="仿宋" w:eastAsia="仿宋_GB2312"/>
          <w:color w:val="000000"/>
          <w:sz w:val="32"/>
          <w:szCs w:val="32"/>
          <w:lang w:val="en-US" w:eastAsia="zh-CN"/>
        </w:rPr>
        <w:t>723.21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40.93</w:t>
      </w:r>
      <w:r>
        <w:rPr>
          <w:rFonts w:hint="eastAsia" w:ascii="仿宋_GB2312" w:hAnsi="仿宋" w:eastAsia="仿宋_GB2312"/>
          <w:color w:val="000000"/>
          <w:sz w:val="32"/>
          <w:szCs w:val="32"/>
        </w:rPr>
        <w:t>%；项目支出1043.82万元，占</w:t>
      </w:r>
      <w:r>
        <w:rPr>
          <w:rFonts w:hint="eastAsia" w:ascii="仿宋_GB2312" w:hAnsi="仿宋" w:eastAsia="仿宋_GB2312"/>
          <w:color w:val="000000"/>
          <w:sz w:val="32"/>
          <w:szCs w:val="32"/>
          <w:lang w:val="en-US" w:eastAsia="zh-CN"/>
        </w:rPr>
        <w:t>59.07</w:t>
      </w:r>
      <w:r>
        <w:rPr>
          <w:rFonts w:hint="eastAsia" w:ascii="仿宋_GB2312" w:hAnsi="仿宋" w:eastAsia="仿宋_GB2312"/>
          <w:color w:val="000000"/>
          <w:sz w:val="32"/>
          <w:szCs w:val="32"/>
        </w:rPr>
        <w:t>%；上缴上级支出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（图3：支出决算结构图）（饼状图）</w:t>
      </w:r>
    </w:p>
    <w:p>
      <w:pPr>
        <w:pStyle w:val="2"/>
      </w:pPr>
      <w:r>
        <w:drawing>
          <wp:inline distT="0" distB="0" distL="114300" distR="114300">
            <wp:extent cx="4570095" cy="2743200"/>
            <wp:effectExtent l="4445" t="4445" r="12700"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s="黑体"/>
          <w:b w:val="0"/>
          <w:bCs/>
          <w:color w:val="000000"/>
          <w:sz w:val="32"/>
          <w:szCs w:val="32"/>
        </w:rPr>
      </w:pPr>
      <w:bookmarkStart w:id="34" w:name="_Toc85790007"/>
      <w:bookmarkStart w:id="35" w:name="_Toc15377208"/>
      <w:r>
        <w:rPr>
          <w:rFonts w:hint="eastAsia" w:ascii="黑体" w:hAnsi="黑体" w:eastAsia="黑体" w:cs="黑体"/>
          <w:b w:val="0"/>
          <w:bCs/>
          <w:color w:val="000000"/>
          <w:sz w:val="32"/>
          <w:szCs w:val="32"/>
        </w:rPr>
        <w:t>四、财政拨款收入支出决算总体情况说明</w:t>
      </w:r>
      <w:bookmarkEnd w:id="34"/>
      <w:bookmarkEnd w:id="35"/>
    </w:p>
    <w:p>
      <w:pPr>
        <w:spacing w:line="600" w:lineRule="exact"/>
        <w:ind w:firstLine="640" w:firstLineChars="200"/>
        <w:rPr>
          <w:rFonts w:hint="eastAsia" w:ascii="仿宋_GB2312" w:hAnsi="仿宋" w:eastAsia="仿宋_GB2312"/>
          <w:color w:val="000000"/>
          <w:sz w:val="32"/>
          <w:szCs w:val="32"/>
          <w:lang w:val="en-US" w:eastAsia="zh-CN"/>
        </w:rPr>
      </w:pPr>
      <w:bookmarkStart w:id="36" w:name="_Toc15377209"/>
      <w:bookmarkStart w:id="37" w:name="_Toc85790008"/>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年度</w:t>
      </w:r>
      <w:r>
        <w:rPr>
          <w:rFonts w:hint="eastAsia" w:ascii="仿宋_GB2312" w:hAnsi="仿宋" w:eastAsia="仿宋_GB2312"/>
          <w:color w:val="000000"/>
          <w:sz w:val="32"/>
          <w:szCs w:val="32"/>
          <w:lang w:val="en-US" w:eastAsia="zh-CN"/>
        </w:rPr>
        <w:t>财政拨款</w:t>
      </w:r>
      <w:r>
        <w:rPr>
          <w:rFonts w:hint="eastAsia" w:ascii="仿宋_GB2312" w:hAnsi="仿宋" w:eastAsia="仿宋_GB2312"/>
          <w:color w:val="000000"/>
          <w:sz w:val="32"/>
          <w:szCs w:val="32"/>
        </w:rPr>
        <w:t>收入总计1635.79万元，与</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增加598.15</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增长36.57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随着本地区政治经济快速发展，组织事务增多，财政拨款收入增加。</w:t>
      </w:r>
    </w:p>
    <w:p>
      <w:pPr>
        <w:spacing w:line="60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财政拨款</w:t>
      </w:r>
      <w:r>
        <w:rPr>
          <w:rFonts w:hint="eastAsia" w:ascii="仿宋_GB2312" w:hAnsi="仿宋" w:eastAsia="仿宋_GB2312"/>
          <w:color w:val="000000"/>
          <w:sz w:val="32"/>
          <w:szCs w:val="32"/>
        </w:rPr>
        <w:t>支出总计</w:t>
      </w:r>
      <w:r>
        <w:rPr>
          <w:rFonts w:hint="eastAsia" w:ascii="仿宋_GB2312" w:hAnsi="仿宋" w:eastAsia="仿宋_GB2312"/>
          <w:color w:val="000000"/>
          <w:sz w:val="32"/>
          <w:szCs w:val="32"/>
          <w:lang w:val="en-US" w:eastAsia="zh-CN"/>
        </w:rPr>
        <w:t>1767.03</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与20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年相比，</w:t>
      </w:r>
      <w:r>
        <w:rPr>
          <w:rFonts w:hint="eastAsia" w:ascii="仿宋_GB2312" w:hAnsi="仿宋" w:eastAsia="仿宋_GB2312"/>
          <w:color w:val="000000"/>
          <w:sz w:val="32"/>
          <w:szCs w:val="32"/>
          <w:lang w:val="en-US" w:eastAsia="zh-CN"/>
        </w:rPr>
        <w:t>增加349.50</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增长19.78</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随着本地区政治经济快速发展，组织事务增多，支出增加。</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财政拨款</w:t>
      </w:r>
      <w:r>
        <w:rPr>
          <w:rFonts w:hint="eastAsia" w:ascii="仿宋_GB2312" w:hAnsi="仿宋" w:eastAsia="仿宋_GB2312"/>
          <w:color w:val="000000" w:themeColor="text1"/>
          <w:sz w:val="32"/>
          <w:szCs w:val="32"/>
          <w14:textFill>
            <w14:solidFill>
              <w14:schemeClr w14:val="tx1"/>
            </w14:solidFill>
          </w14:textFill>
        </w:rPr>
        <w:t>收、支决算总计变动情况图）（柱状图）</w:t>
      </w:r>
    </w:p>
    <w:p>
      <w:pPr>
        <w:jc w:val="left"/>
      </w:pPr>
      <w:r>
        <w:drawing>
          <wp:inline distT="0" distB="0" distL="114300" distR="114300">
            <wp:extent cx="4571365" cy="3000375"/>
            <wp:effectExtent l="4445" t="4445" r="11430" b="12700"/>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pPr>
    </w:p>
    <w:p/>
    <w:p>
      <w:pPr>
        <w:pStyle w:val="2"/>
      </w:pPr>
    </w:p>
    <w:p>
      <w:r>
        <w:drawing>
          <wp:inline distT="0" distB="0" distL="114300" distR="114300">
            <wp:extent cx="4571365" cy="3000375"/>
            <wp:effectExtent l="4445" t="4445" r="11430" b="12700"/>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_GB2312" w:eastAsia="仿宋_GB2312"/>
          <w:color w:val="000000"/>
          <w:sz w:val="32"/>
          <w:szCs w:val="32"/>
        </w:rPr>
      </w:pPr>
    </w:p>
    <w:p>
      <w:pPr>
        <w:spacing w:line="600" w:lineRule="exact"/>
        <w:ind w:firstLine="420" w:firstLineChars="200"/>
        <w:outlineLvl w:val="1"/>
      </w:pPr>
    </w:p>
    <w:p>
      <w:pPr>
        <w:spacing w:line="600" w:lineRule="exact"/>
        <w:ind w:firstLine="640" w:firstLineChars="200"/>
        <w:outlineLvl w:val="1"/>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五、一般公共预算财政拨款支出决算情况说明</w:t>
      </w:r>
      <w:bookmarkEnd w:id="36"/>
      <w:bookmarkEnd w:id="37"/>
    </w:p>
    <w:p>
      <w:pPr>
        <w:spacing w:line="600" w:lineRule="exact"/>
        <w:ind w:firstLine="643" w:firstLineChars="200"/>
        <w:outlineLvl w:val="2"/>
        <w:rPr>
          <w:rFonts w:ascii="仿宋_GB2312" w:hAnsi="仿宋" w:eastAsia="仿宋_GB2312"/>
          <w:b/>
          <w:color w:val="000000"/>
          <w:sz w:val="32"/>
          <w:szCs w:val="32"/>
        </w:rPr>
      </w:pPr>
      <w:bookmarkStart w:id="38" w:name="_Toc15377210"/>
      <w:r>
        <w:rPr>
          <w:rFonts w:hint="eastAsia" w:ascii="仿宋_GB2312" w:hAnsi="仿宋" w:eastAsia="仿宋_GB2312"/>
          <w:b/>
          <w:color w:val="000000"/>
          <w:sz w:val="32"/>
          <w:szCs w:val="32"/>
        </w:rPr>
        <w:t>（一）一般公共预算财政拨款支出决算总体情况</w:t>
      </w:r>
      <w:bookmarkEnd w:id="38"/>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年一般公共预算财政拨款支出1767.03万元，占本年支出合计的</w:t>
      </w:r>
      <w:r>
        <w:rPr>
          <w:rFonts w:ascii="仿宋_GB2312" w:hAnsi="仿宋" w:eastAsia="仿宋_GB2312"/>
          <w:color w:val="000000"/>
          <w:sz w:val="32"/>
          <w:szCs w:val="32"/>
        </w:rPr>
        <w:t>100</w:t>
      </w:r>
      <w:r>
        <w:rPr>
          <w:rFonts w:hint="eastAsia" w:ascii="仿宋_GB2312" w:hAnsi="仿宋" w:eastAsia="仿宋_GB2312"/>
          <w:color w:val="000000"/>
          <w:sz w:val="32"/>
          <w:szCs w:val="32"/>
        </w:rPr>
        <w:t>%。与</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年相比，一般公共预算财政拨款</w:t>
      </w:r>
      <w:r>
        <w:rPr>
          <w:rFonts w:hint="eastAsia" w:ascii="仿宋_GB2312" w:hAnsi="仿宋" w:eastAsia="仿宋_GB2312"/>
          <w:color w:val="000000"/>
          <w:sz w:val="32"/>
          <w:szCs w:val="32"/>
          <w:lang w:val="en-US" w:eastAsia="zh-CN"/>
        </w:rPr>
        <w:t>增加377.88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增长21.39</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随着本地区政治经济快速发展，组织事务增多，支出增加</w:t>
      </w:r>
      <w:r>
        <w:rPr>
          <w:rFonts w:hint="eastAsia" w:ascii="仿宋_GB2312" w:hAnsi="仿宋" w:eastAsia="仿宋_GB2312"/>
          <w:color w:val="000000"/>
          <w:sz w:val="32"/>
          <w:szCs w:val="32"/>
        </w:rPr>
        <w:t>。</w:t>
      </w:r>
    </w:p>
    <w:p>
      <w:pPr>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（图5：一般公共预算财政拨款支出决算变动情况）（柱状图）</w:t>
      </w:r>
    </w:p>
    <w:p>
      <w:pPr>
        <w:rPr>
          <w:rFonts w:ascii="仿宋_GB2312" w:hAnsi="仿宋" w:eastAsia="仿宋_GB2312"/>
          <w:color w:val="000000" w:themeColor="text1"/>
          <w:sz w:val="32"/>
          <w:szCs w:val="32"/>
          <w14:textFill>
            <w14:solidFill>
              <w14:schemeClr w14:val="tx1"/>
            </w14:solidFill>
          </w14:textFill>
        </w:rPr>
      </w:pPr>
      <w:r>
        <w:drawing>
          <wp:inline distT="0" distB="0" distL="114300" distR="114300">
            <wp:extent cx="4571365" cy="3000375"/>
            <wp:effectExtent l="4445" t="4445" r="11430" b="12700"/>
            <wp:docPr id="152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ascii="仿宋_GB2312" w:hAnsi="仿宋" w:eastAsia="仿宋_GB2312"/>
          <w:b/>
          <w:color w:val="000000"/>
          <w:sz w:val="32"/>
          <w:szCs w:val="32"/>
        </w:rPr>
      </w:pPr>
      <w:bookmarkStart w:id="39" w:name="_Toc15377211"/>
      <w:r>
        <w:rPr>
          <w:rFonts w:hint="eastAsia" w:ascii="仿宋_GB2312" w:hAnsi="仿宋" w:eastAsia="仿宋_GB2312"/>
          <w:b/>
          <w:color w:val="000000"/>
          <w:sz w:val="32"/>
          <w:szCs w:val="32"/>
        </w:rPr>
        <w:t>（二）一般公共预算财政拨款支出决算结构情况</w:t>
      </w:r>
      <w:bookmarkEnd w:id="39"/>
    </w:p>
    <w:p>
      <w:pPr>
        <w:spacing w:line="600" w:lineRule="exact"/>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sz w:val="32"/>
          <w:szCs w:val="32"/>
        </w:rPr>
        <w:t>1767.03</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b/>
          <w:color w:val="000000" w:themeColor="text1"/>
          <w:sz w:val="32"/>
          <w:szCs w:val="32"/>
          <w14:textFill>
            <w14:solidFill>
              <w14:schemeClr w14:val="tx1"/>
            </w14:solidFill>
          </w14:textFill>
        </w:rPr>
        <w:t>一般公共服务（类）</w:t>
      </w:r>
      <w:r>
        <w:rPr>
          <w:rFonts w:hint="eastAsia" w:ascii="仿宋_GB2312" w:hAnsi="仿宋" w:eastAsia="仿宋_GB2312"/>
          <w:color w:val="000000" w:themeColor="text1"/>
          <w:sz w:val="32"/>
          <w:szCs w:val="32"/>
          <w14:textFill>
            <w14:solidFill>
              <w14:schemeClr w14:val="tx1"/>
            </w14:solidFill>
          </w14:textFill>
        </w:rPr>
        <w:t>支出1073.13万元，占</w:t>
      </w:r>
      <w:r>
        <w:rPr>
          <w:rFonts w:ascii="仿宋_GB2312" w:hAnsi="仿宋"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lang w:val="en-US" w:eastAsia="zh-CN"/>
          <w14:textFill>
            <w14:solidFill>
              <w14:schemeClr w14:val="tx1"/>
            </w14:solidFill>
          </w14:textFill>
        </w:rPr>
        <w:t>0.73</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14:textFill>
            <w14:solidFill>
              <w14:schemeClr w14:val="tx1"/>
            </w14:solidFill>
          </w14:textFill>
        </w:rPr>
        <w:t>教育支出（类）</w:t>
      </w:r>
      <w:r>
        <w:rPr>
          <w:rFonts w:hint="eastAsia" w:ascii="仿宋_GB2312" w:hAnsi="仿宋" w:eastAsia="仿宋_GB2312"/>
          <w:color w:val="000000" w:themeColor="text1"/>
          <w:sz w:val="32"/>
          <w:szCs w:val="32"/>
          <w:lang w:val="en-US" w:eastAsia="zh-CN"/>
          <w14:textFill>
            <w14:solidFill>
              <w14:schemeClr w14:val="tx1"/>
            </w14:solidFill>
          </w14:textFill>
        </w:rPr>
        <w:t>0.20</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占0.01%</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支出62.93万元，占</w:t>
      </w:r>
      <w:r>
        <w:rPr>
          <w:rFonts w:hint="eastAsia" w:ascii="仿宋_GB2312" w:hAnsi="仿宋" w:eastAsia="仿宋_GB2312"/>
          <w:color w:val="000000" w:themeColor="text1"/>
          <w:sz w:val="32"/>
          <w:szCs w:val="32"/>
          <w:lang w:val="en-US" w:eastAsia="zh-CN"/>
          <w14:textFill>
            <w14:solidFill>
              <w14:schemeClr w14:val="tx1"/>
            </w14:solidFill>
          </w14:textFill>
        </w:rPr>
        <w:t>3.56</w:t>
      </w:r>
      <w:r>
        <w:rPr>
          <w:rFonts w:hint="eastAsia" w:ascii="仿宋_GB2312" w:hAnsi="仿宋" w:eastAsia="仿宋_GB2312"/>
          <w:color w:val="000000" w:themeColor="text1"/>
          <w:sz w:val="32"/>
          <w:szCs w:val="32"/>
          <w14:textFill>
            <w14:solidFill>
              <w14:schemeClr w14:val="tx1"/>
            </w14:solidFill>
          </w14:textFill>
        </w:rPr>
        <w:t>%；医疗卫生支出27.46万元，占</w:t>
      </w:r>
      <w:r>
        <w:rPr>
          <w:rFonts w:hint="eastAsia" w:ascii="仿宋_GB2312" w:hAnsi="仿宋" w:eastAsia="仿宋_GB2312"/>
          <w:color w:val="000000" w:themeColor="text1"/>
          <w:sz w:val="32"/>
          <w:szCs w:val="32"/>
          <w:lang w:val="en-US" w:eastAsia="zh-CN"/>
          <w14:textFill>
            <w14:solidFill>
              <w14:schemeClr w14:val="tx1"/>
            </w14:solidFill>
          </w14:textFill>
        </w:rPr>
        <w:t>1.55</w:t>
      </w:r>
      <w:r>
        <w:rPr>
          <w:rFonts w:hint="eastAsia" w:ascii="仿宋_GB2312" w:hAnsi="仿宋" w:eastAsia="仿宋_GB2312"/>
          <w:color w:val="000000" w:themeColor="text1"/>
          <w:sz w:val="32"/>
          <w:szCs w:val="32"/>
          <w14:textFill>
            <w14:solidFill>
              <w14:schemeClr w14:val="tx1"/>
            </w14:solidFill>
          </w14:textFill>
        </w:rPr>
        <w:t>%；农林水</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类</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支出559.67万元</w:t>
      </w:r>
      <w:r>
        <w:rPr>
          <w:rFonts w:ascii="仿宋_GB2312" w:hAnsi="仿宋" w:eastAsia="仿宋_GB2312"/>
          <w:color w:val="000000" w:themeColor="text1"/>
          <w:sz w:val="32"/>
          <w:szCs w:val="32"/>
          <w14:textFill>
            <w14:solidFill>
              <w14:schemeClr w14:val="tx1"/>
            </w14:solidFill>
          </w14:textFill>
        </w:rPr>
        <w:t>，占</w:t>
      </w:r>
      <w:r>
        <w:rPr>
          <w:rFonts w:hint="eastAsia" w:ascii="仿宋_GB2312" w:hAnsi="仿宋" w:eastAsia="仿宋_GB2312"/>
          <w:color w:val="000000" w:themeColor="text1"/>
          <w:sz w:val="32"/>
          <w:szCs w:val="32"/>
          <w:lang w:val="en-US" w:eastAsia="zh-CN"/>
          <w14:textFill>
            <w14:solidFill>
              <w14:schemeClr w14:val="tx1"/>
            </w14:solidFill>
          </w14:textFill>
        </w:rPr>
        <w:t>31.67</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住房保障支出43.64万元，占</w:t>
      </w:r>
      <w:r>
        <w:rPr>
          <w:rFonts w:hint="eastAsia" w:ascii="仿宋_GB2312" w:hAnsi="仿宋" w:eastAsia="仿宋_GB2312"/>
          <w:color w:val="000000" w:themeColor="text1"/>
          <w:sz w:val="32"/>
          <w:szCs w:val="32"/>
          <w:lang w:val="en-US" w:eastAsia="zh-CN"/>
          <w14:textFill>
            <w14:solidFill>
              <w14:schemeClr w14:val="tx1"/>
            </w14:solidFill>
          </w14:textFill>
        </w:rPr>
        <w:t>2.47</w:t>
      </w:r>
      <w:r>
        <w:rPr>
          <w:rFonts w:hint="eastAsia" w:ascii="仿宋_GB2312" w:hAnsi="仿宋"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（图6：一般公共预算财政拨款支出决算结构）（饼状图）</w:t>
      </w:r>
    </w:p>
    <w:p>
      <w:pPr>
        <w:rPr>
          <w:rFonts w:ascii="仿宋_GB2312" w:hAnsi="仿宋" w:eastAsia="仿宋_GB2312"/>
          <w:color w:val="000000"/>
          <w:sz w:val="32"/>
          <w:szCs w:val="32"/>
        </w:rPr>
      </w:pPr>
    </w:p>
    <w:p>
      <w:pPr>
        <w:pStyle w:val="2"/>
      </w:pPr>
      <w:r>
        <w:drawing>
          <wp:inline distT="0" distB="0" distL="114300" distR="114300">
            <wp:extent cx="4572000" cy="2763520"/>
            <wp:effectExtent l="4445" t="4445" r="1079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
      <w:pPr>
        <w:spacing w:line="600" w:lineRule="exact"/>
        <w:ind w:firstLine="643" w:firstLineChars="200"/>
        <w:outlineLvl w:val="2"/>
        <w:rPr>
          <w:rFonts w:ascii="仿宋_GB2312" w:hAnsi="仿宋" w:eastAsia="仿宋_GB2312"/>
          <w:b/>
          <w:color w:val="000000"/>
          <w:sz w:val="32"/>
          <w:szCs w:val="32"/>
        </w:rPr>
      </w:pPr>
      <w:bookmarkStart w:id="40" w:name="_Toc15377212"/>
      <w:r>
        <w:rPr>
          <w:rFonts w:hint="eastAsia" w:ascii="仿宋_GB2312" w:hAnsi="仿宋" w:eastAsia="仿宋_GB2312"/>
          <w:b/>
          <w:color w:val="000000"/>
          <w:sz w:val="32"/>
          <w:szCs w:val="32"/>
        </w:rPr>
        <w:t>（三）一般公共预算财政拨款支出决算具体情况</w:t>
      </w:r>
      <w:bookmarkEnd w:id="40"/>
    </w:p>
    <w:p>
      <w:pPr>
        <w:ind w:firstLine="643" w:firstLineChars="200"/>
        <w:rPr>
          <w:color w:val="FF0000"/>
        </w:rPr>
      </w:pPr>
      <w:bookmarkStart w:id="41" w:name="_Toc15378460"/>
      <w:bookmarkStart w:id="42" w:name="_Toc15377213"/>
      <w:bookmarkStart w:id="43" w:name="_Toc15377444"/>
      <w:r>
        <w:rPr>
          <w:rStyle w:val="20"/>
          <w:rFonts w:hint="eastAsia" w:ascii="仿宋_GB2312" w:hAnsi="仿宋" w:eastAsia="仿宋_GB2312"/>
          <w:bCs/>
          <w:color w:val="000000"/>
          <w:sz w:val="32"/>
          <w:szCs w:val="32"/>
          <w:lang w:eastAsia="zh-CN"/>
        </w:rPr>
        <w:t>2021</w:t>
      </w:r>
      <w:r>
        <w:rPr>
          <w:rStyle w:val="20"/>
          <w:rFonts w:hint="eastAsia" w:ascii="仿宋_GB2312" w:hAnsi="仿宋" w:eastAsia="仿宋_GB2312"/>
          <w:bCs/>
          <w:color w:val="000000"/>
          <w:sz w:val="32"/>
          <w:szCs w:val="32"/>
        </w:rPr>
        <w:t>年般公共预算支出决算数为</w:t>
      </w:r>
      <w:r>
        <w:rPr>
          <w:rStyle w:val="20"/>
          <w:rFonts w:hint="eastAsia" w:ascii="仿宋_GB2312" w:hAnsi="仿宋" w:eastAsia="仿宋_GB2312"/>
          <w:bCs/>
          <w:color w:val="000000"/>
          <w:sz w:val="32"/>
          <w:szCs w:val="32"/>
          <w:lang w:val="en-US" w:eastAsia="zh-CN"/>
        </w:rPr>
        <w:t>1767.03</w:t>
      </w:r>
      <w:r>
        <w:rPr>
          <w:rStyle w:val="20"/>
          <w:rFonts w:hint="eastAsia" w:ascii="仿宋_GB2312" w:hAnsi="仿宋" w:eastAsia="仿宋_GB2312"/>
          <w:bCs/>
          <w:color w:val="000000"/>
          <w:sz w:val="32"/>
          <w:szCs w:val="32"/>
        </w:rPr>
        <w:t>万元，完</w:t>
      </w:r>
      <w:r>
        <w:rPr>
          <w:rStyle w:val="20"/>
          <w:rFonts w:hint="eastAsia" w:ascii="仿宋_GB2312" w:hAnsi="仿宋" w:eastAsia="仿宋_GB2312"/>
          <w:bCs/>
          <w:color w:val="000000" w:themeColor="text1"/>
          <w:sz w:val="32"/>
          <w:szCs w:val="32"/>
          <w14:textFill>
            <w14:solidFill>
              <w14:schemeClr w14:val="tx1"/>
            </w14:solidFill>
          </w14:textFill>
        </w:rPr>
        <w:t>成</w:t>
      </w:r>
      <w:r>
        <w:rPr>
          <w:rStyle w:val="20"/>
          <w:rFonts w:hint="eastAsia" w:ascii="仿宋_GB2312" w:hAnsi="仿宋" w:eastAsia="仿宋_GB2312"/>
          <w:bCs/>
          <w:color w:val="000000"/>
          <w:sz w:val="32"/>
          <w:szCs w:val="32"/>
        </w:rPr>
        <w:t>预算</w:t>
      </w:r>
      <w:r>
        <w:rPr>
          <w:rStyle w:val="20"/>
          <w:rFonts w:hint="eastAsia" w:ascii="仿宋_GB2312" w:hAnsi="仿宋" w:eastAsia="仿宋_GB2312"/>
          <w:bCs/>
          <w:color w:val="000000"/>
          <w:sz w:val="32"/>
          <w:szCs w:val="32"/>
          <w:lang w:val="en-US" w:eastAsia="zh-CN"/>
        </w:rPr>
        <w:t>100</w:t>
      </w:r>
      <w:r>
        <w:rPr>
          <w:rStyle w:val="20"/>
          <w:rFonts w:hint="eastAsia" w:ascii="仿宋_GB2312" w:hAnsi="仿宋" w:eastAsia="仿宋_GB2312"/>
          <w:bCs/>
          <w:color w:val="000000"/>
          <w:sz w:val="32"/>
          <w:szCs w:val="32"/>
        </w:rPr>
        <w:t>%。其中：</w:t>
      </w:r>
      <w:bookmarkEnd w:id="41"/>
      <w:bookmarkEnd w:id="42"/>
      <w:bookmarkEnd w:id="43"/>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1</w:t>
      </w:r>
      <w:r>
        <w:rPr>
          <w:rStyle w:val="20"/>
          <w:rFonts w:hint="eastAsia" w:ascii="仿宋_GB2312" w:hAnsi="仿宋" w:eastAsia="仿宋_GB2312"/>
          <w:bCs/>
          <w:color w:val="000000"/>
          <w:sz w:val="32"/>
          <w:szCs w:val="32"/>
        </w:rPr>
        <w:t>.一般公共服务（类）组织事务（款）行政运行（项）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589.18</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2</w:t>
      </w:r>
      <w:r>
        <w:rPr>
          <w:rStyle w:val="20"/>
          <w:rFonts w:hint="eastAsia" w:ascii="仿宋_GB2312" w:hAnsi="仿宋" w:eastAsia="仿宋_GB2312"/>
          <w:bCs/>
          <w:color w:val="000000"/>
          <w:sz w:val="32"/>
          <w:szCs w:val="32"/>
        </w:rPr>
        <w:t>.一般公共服务（类）组织事务（款）一般行政管理事务（项）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460.53</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hint="eastAsia"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3</w:t>
      </w:r>
      <w:r>
        <w:rPr>
          <w:rStyle w:val="20"/>
          <w:rFonts w:hint="eastAsia" w:ascii="仿宋_GB2312" w:hAnsi="仿宋" w:eastAsia="仿宋_GB2312"/>
          <w:bCs/>
          <w:color w:val="000000"/>
          <w:sz w:val="32"/>
          <w:szCs w:val="32"/>
        </w:rPr>
        <w:t>.一般公共服务（类）组织事务（款）其他组织事务支出（项）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7.07</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4</w:t>
      </w:r>
      <w:r>
        <w:rPr>
          <w:rStyle w:val="20"/>
          <w:rFonts w:hint="eastAsia" w:ascii="仿宋_GB2312" w:hAnsi="仿宋" w:eastAsia="仿宋_GB2312"/>
          <w:bCs/>
          <w:color w:val="000000"/>
          <w:sz w:val="32"/>
          <w:szCs w:val="32"/>
        </w:rPr>
        <w:t>.一般公共服务（类）</w:t>
      </w:r>
      <w:r>
        <w:rPr>
          <w:rStyle w:val="20"/>
          <w:rFonts w:hint="eastAsia" w:ascii="仿宋_GB2312" w:hAnsi="仿宋" w:eastAsia="仿宋_GB2312"/>
          <w:bCs/>
          <w:color w:val="000000"/>
          <w:sz w:val="32"/>
          <w:szCs w:val="32"/>
          <w:lang w:val="en-US" w:eastAsia="zh-CN"/>
        </w:rPr>
        <w:t>教育支出</w:t>
      </w:r>
      <w:r>
        <w:rPr>
          <w:rStyle w:val="20"/>
          <w:rFonts w:hint="eastAsia" w:ascii="仿宋_GB2312" w:hAnsi="仿宋" w:eastAsia="仿宋_GB2312"/>
          <w:bCs/>
          <w:color w:val="000000"/>
          <w:sz w:val="32"/>
          <w:szCs w:val="32"/>
        </w:rPr>
        <w:t>（款）其他</w:t>
      </w:r>
      <w:r>
        <w:rPr>
          <w:rStyle w:val="20"/>
          <w:rFonts w:hint="eastAsia" w:ascii="仿宋_GB2312" w:hAnsi="仿宋" w:eastAsia="仿宋_GB2312"/>
          <w:bCs/>
          <w:color w:val="000000"/>
          <w:sz w:val="32"/>
          <w:szCs w:val="32"/>
          <w:lang w:val="en-US" w:eastAsia="zh-CN"/>
        </w:rPr>
        <w:t>教育</w:t>
      </w:r>
      <w:r>
        <w:rPr>
          <w:rStyle w:val="20"/>
          <w:rFonts w:hint="eastAsia" w:ascii="仿宋_GB2312" w:hAnsi="仿宋" w:eastAsia="仿宋_GB2312"/>
          <w:bCs/>
          <w:color w:val="000000"/>
          <w:sz w:val="32"/>
          <w:szCs w:val="32"/>
        </w:rPr>
        <w:t>支出（项）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0.2</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pStyle w:val="2"/>
      </w:pP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5</w:t>
      </w:r>
      <w:r>
        <w:rPr>
          <w:rStyle w:val="20"/>
          <w:rFonts w:hint="eastAsia" w:ascii="仿宋_GB2312" w:hAnsi="仿宋" w:eastAsia="仿宋_GB2312"/>
          <w:bCs/>
          <w:color w:val="000000"/>
          <w:sz w:val="32"/>
          <w:szCs w:val="32"/>
        </w:rPr>
        <w:t>.社会保障和就业（类）行政事业单位养老支出（款）机关事业单位基本养老保险缴费支出（项）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41.90</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6</w:t>
      </w:r>
      <w:r>
        <w:rPr>
          <w:rStyle w:val="20"/>
          <w:rFonts w:hint="eastAsia" w:ascii="仿宋_GB2312" w:hAnsi="仿宋" w:eastAsia="仿宋_GB2312"/>
          <w:bCs/>
          <w:color w:val="000000"/>
          <w:sz w:val="32"/>
          <w:szCs w:val="32"/>
        </w:rPr>
        <w:t>.社会保障和就业（类）行政事业单位养老支出（款）机关事业单位职业年金缴费支出（项）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21.02</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hint="eastAsia"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7</w:t>
      </w:r>
      <w:r>
        <w:rPr>
          <w:rStyle w:val="20"/>
          <w:rFonts w:hint="eastAsia" w:ascii="仿宋_GB2312" w:hAnsi="仿宋" w:eastAsia="仿宋_GB2312"/>
          <w:bCs/>
          <w:color w:val="000000"/>
          <w:sz w:val="32"/>
          <w:szCs w:val="32"/>
        </w:rPr>
        <w:t>.卫生</w:t>
      </w:r>
      <w:r>
        <w:rPr>
          <w:rStyle w:val="20"/>
          <w:rFonts w:hint="eastAsia" w:ascii="仿宋_GB2312" w:hAnsi="仿宋" w:eastAsia="仿宋_GB2312"/>
          <w:bCs/>
          <w:color w:val="000000"/>
          <w:sz w:val="32"/>
          <w:szCs w:val="32"/>
          <w:lang w:val="en-US" w:eastAsia="zh-CN"/>
        </w:rPr>
        <w:t>健康支出</w:t>
      </w:r>
      <w:r>
        <w:rPr>
          <w:rStyle w:val="20"/>
          <w:rFonts w:hint="eastAsia" w:ascii="仿宋_GB2312" w:hAnsi="仿宋" w:eastAsia="仿宋_GB2312"/>
          <w:bCs/>
          <w:color w:val="000000"/>
          <w:sz w:val="32"/>
          <w:szCs w:val="32"/>
        </w:rPr>
        <w:t>（类）行政事业单位医疗（款）行政单位医疗（项）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ascii="仿宋_GB2312" w:hAnsi="仿宋" w:eastAsia="仿宋_GB2312"/>
          <w:b w:val="0"/>
          <w:bCs/>
          <w:color w:val="000000"/>
          <w:sz w:val="32"/>
          <w:szCs w:val="32"/>
        </w:rPr>
        <w:t>2</w:t>
      </w:r>
      <w:r>
        <w:rPr>
          <w:rStyle w:val="20"/>
          <w:rFonts w:hint="eastAsia" w:ascii="仿宋_GB2312" w:hAnsi="仿宋" w:eastAsia="仿宋_GB2312"/>
          <w:b w:val="0"/>
          <w:bCs/>
          <w:color w:val="000000"/>
          <w:sz w:val="32"/>
          <w:szCs w:val="32"/>
          <w:lang w:val="en-US" w:eastAsia="zh-CN"/>
        </w:rPr>
        <w:t>0.84</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pStyle w:val="2"/>
        <w:ind w:left="0" w:leftChars="0" w:firstLine="643" w:firstLineChars="200"/>
      </w:pPr>
      <w:r>
        <w:rPr>
          <w:rStyle w:val="20"/>
          <w:rFonts w:hint="eastAsia" w:ascii="仿宋_GB2312" w:hAnsi="仿宋" w:eastAsia="仿宋_GB2312"/>
          <w:bCs/>
          <w:color w:val="000000"/>
          <w:sz w:val="32"/>
          <w:szCs w:val="32"/>
          <w:lang w:val="en-US" w:eastAsia="zh-CN"/>
        </w:rPr>
        <w:t>8</w:t>
      </w:r>
      <w:r>
        <w:rPr>
          <w:rStyle w:val="20"/>
          <w:rFonts w:hint="eastAsia" w:ascii="仿宋_GB2312" w:hAnsi="仿宋" w:eastAsia="仿宋_GB2312"/>
          <w:bCs/>
          <w:color w:val="000000"/>
          <w:sz w:val="32"/>
          <w:szCs w:val="32"/>
        </w:rPr>
        <w:t>.卫生</w:t>
      </w:r>
      <w:r>
        <w:rPr>
          <w:rStyle w:val="20"/>
          <w:rFonts w:hint="eastAsia" w:ascii="仿宋_GB2312" w:hAnsi="仿宋" w:eastAsia="仿宋_GB2312"/>
          <w:bCs/>
          <w:color w:val="000000"/>
          <w:sz w:val="32"/>
          <w:szCs w:val="32"/>
          <w:lang w:val="en-US" w:eastAsia="zh-CN"/>
        </w:rPr>
        <w:t>健康支出</w:t>
      </w:r>
      <w:r>
        <w:rPr>
          <w:rStyle w:val="20"/>
          <w:rFonts w:hint="eastAsia" w:ascii="仿宋_GB2312" w:hAnsi="仿宋" w:eastAsia="仿宋_GB2312"/>
          <w:bCs/>
          <w:color w:val="000000"/>
          <w:sz w:val="32"/>
          <w:szCs w:val="32"/>
        </w:rPr>
        <w:t>（类）行政事业单位医疗（款）</w:t>
      </w:r>
      <w:r>
        <w:rPr>
          <w:rStyle w:val="20"/>
          <w:rFonts w:hint="eastAsia" w:ascii="仿宋_GB2312" w:hAnsi="仿宋" w:eastAsia="仿宋_GB2312"/>
          <w:bCs/>
          <w:color w:val="000000"/>
          <w:sz w:val="32"/>
          <w:szCs w:val="32"/>
          <w:lang w:val="en-US" w:eastAsia="zh-CN"/>
        </w:rPr>
        <w:t>公务员医疗补助</w:t>
      </w:r>
      <w:r>
        <w:rPr>
          <w:rStyle w:val="20"/>
          <w:rFonts w:hint="eastAsia" w:ascii="仿宋_GB2312" w:hAnsi="仿宋" w:eastAsia="仿宋_GB2312"/>
          <w:bCs/>
          <w:color w:val="000000"/>
          <w:sz w:val="32"/>
          <w:szCs w:val="32"/>
        </w:rPr>
        <w:t>（项）</w:t>
      </w:r>
      <w:r>
        <w:rPr>
          <w:rStyle w:val="20"/>
          <w:rFonts w:hint="eastAsia" w:ascii="仿宋_GB2312" w:hAnsi="仿宋" w:eastAsia="仿宋_GB2312"/>
          <w:bCs/>
          <w:color w:val="000000"/>
          <w:sz w:val="32"/>
          <w:szCs w:val="32"/>
          <w:lang w:eastAsia="zh-CN"/>
        </w:rPr>
        <w:t>：</w:t>
      </w:r>
      <w:r>
        <w:rPr>
          <w:rStyle w:val="20"/>
          <w:rFonts w:hint="eastAsia" w:ascii="仿宋_GB2312" w:hAnsi="仿宋" w:eastAsia="仿宋_GB2312"/>
          <w:b w:val="0"/>
          <w:bCs/>
          <w:color w:val="000000"/>
          <w:sz w:val="32"/>
          <w:szCs w:val="32"/>
        </w:rPr>
        <w:t>支出决算为</w:t>
      </w:r>
      <w:r>
        <w:rPr>
          <w:rStyle w:val="20"/>
          <w:rFonts w:hint="eastAsia" w:ascii="仿宋_GB2312" w:hAnsi="仿宋" w:eastAsia="仿宋_GB2312"/>
          <w:b w:val="0"/>
          <w:bCs/>
          <w:color w:val="000000"/>
          <w:sz w:val="32"/>
          <w:szCs w:val="32"/>
          <w:lang w:val="en-US" w:eastAsia="zh-CN"/>
        </w:rPr>
        <w:t>6.62</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9</w:t>
      </w:r>
      <w:r>
        <w:rPr>
          <w:rStyle w:val="20"/>
          <w:rFonts w:hint="eastAsia" w:ascii="仿宋_GB2312" w:hAnsi="仿宋" w:eastAsia="仿宋_GB2312"/>
          <w:bCs/>
          <w:color w:val="000000"/>
          <w:sz w:val="32"/>
          <w:szCs w:val="32"/>
        </w:rPr>
        <w:t>.农林水</w:t>
      </w:r>
      <w:r>
        <w:rPr>
          <w:rStyle w:val="20"/>
          <w:rFonts w:hint="eastAsia" w:ascii="仿宋_GB2312" w:hAnsi="仿宋" w:eastAsia="仿宋_GB2312"/>
          <w:bCs/>
          <w:color w:val="000000"/>
          <w:sz w:val="32"/>
          <w:szCs w:val="32"/>
          <w:lang w:val="en-US" w:eastAsia="zh-CN"/>
        </w:rPr>
        <w:t>支出</w:t>
      </w:r>
      <w:r>
        <w:rPr>
          <w:rStyle w:val="20"/>
          <w:rFonts w:hint="eastAsia" w:ascii="仿宋_GB2312" w:hAnsi="仿宋" w:eastAsia="仿宋_GB2312"/>
          <w:bCs/>
          <w:color w:val="000000"/>
          <w:sz w:val="32"/>
          <w:szCs w:val="32"/>
        </w:rPr>
        <w:t>（类）扶贫（款）其他扶贫支出（项）:</w:t>
      </w:r>
      <w:r>
        <w:rPr>
          <w:rStyle w:val="20"/>
          <w:rFonts w:hint="eastAsia" w:ascii="仿宋_GB2312" w:hAnsi="仿宋" w:eastAsia="仿宋_GB2312"/>
          <w:b w:val="0"/>
          <w:bCs/>
          <w:color w:val="000000"/>
          <w:sz w:val="32"/>
          <w:szCs w:val="32"/>
        </w:rPr>
        <w:t xml:space="preserve"> 支出决算为</w:t>
      </w:r>
      <w:r>
        <w:rPr>
          <w:rStyle w:val="20"/>
          <w:rFonts w:hint="eastAsia" w:ascii="仿宋_GB2312" w:hAnsi="仿宋" w:eastAsia="仿宋_GB2312"/>
          <w:b w:val="0"/>
          <w:bCs/>
          <w:color w:val="000000"/>
          <w:sz w:val="32"/>
          <w:szCs w:val="32"/>
          <w:lang w:val="en-US" w:eastAsia="zh-CN"/>
        </w:rPr>
        <w:t>509.03</w:t>
      </w:r>
      <w:r>
        <w:rPr>
          <w:rStyle w:val="20"/>
          <w:rFonts w:hint="eastAsia" w:ascii="仿宋_GB2312" w:hAnsi="仿宋" w:eastAsia="仿宋_GB2312"/>
          <w:b w:val="0"/>
          <w:bCs/>
          <w:color w:val="000000"/>
          <w:sz w:val="32"/>
          <w:szCs w:val="32"/>
        </w:rPr>
        <w:t>万元，完成预算</w:t>
      </w:r>
      <w:r>
        <w:rPr>
          <w:rStyle w:val="20"/>
          <w:rFonts w:hint="eastAsia" w:ascii="仿宋_GB2312" w:hAnsi="仿宋" w:eastAsia="仿宋_GB2312"/>
          <w:b w:val="0"/>
          <w:bCs/>
          <w:color w:val="000000"/>
          <w:sz w:val="32"/>
          <w:szCs w:val="32"/>
          <w:lang w:val="en-US" w:eastAsia="zh-CN"/>
        </w:rPr>
        <w:t>100</w:t>
      </w:r>
      <w:r>
        <w:rPr>
          <w:rStyle w:val="20"/>
          <w:rFonts w:hint="eastAsia" w:ascii="仿宋_GB2312" w:hAnsi="仿宋" w:eastAsia="仿宋_GB2312"/>
          <w:b w:val="0"/>
          <w:bCs/>
          <w:color w:val="000000"/>
          <w:sz w:val="32"/>
          <w:szCs w:val="32"/>
        </w:rPr>
        <w:t>%，决算数</w:t>
      </w:r>
      <w:r>
        <w:rPr>
          <w:rStyle w:val="20"/>
          <w:rFonts w:hint="eastAsia" w:ascii="仿宋_GB2312" w:hAnsi="仿宋" w:eastAsia="仿宋_GB2312"/>
          <w:b w:val="0"/>
          <w:bCs/>
          <w:color w:val="000000"/>
          <w:sz w:val="32"/>
          <w:szCs w:val="32"/>
          <w:lang w:val="en-US" w:eastAsia="zh-CN"/>
        </w:rPr>
        <w:t>等于</w:t>
      </w:r>
      <w:r>
        <w:rPr>
          <w:rStyle w:val="20"/>
          <w:rFonts w:hint="eastAsia" w:ascii="仿宋_GB2312" w:hAnsi="仿宋" w:eastAsia="仿宋_GB2312"/>
          <w:b w:val="0"/>
          <w:bCs/>
          <w:color w:val="000000"/>
          <w:sz w:val="32"/>
          <w:szCs w:val="32"/>
        </w:rPr>
        <w:t>预算数。</w:t>
      </w:r>
    </w:p>
    <w:p>
      <w:pPr>
        <w:spacing w:line="600" w:lineRule="exact"/>
        <w:ind w:firstLine="643" w:firstLineChars="200"/>
        <w:rPr>
          <w:rStyle w:val="20"/>
          <w:rFonts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10</w:t>
      </w:r>
      <w:r>
        <w:rPr>
          <w:rStyle w:val="20"/>
          <w:rFonts w:hint="eastAsia" w:ascii="仿宋_GB2312" w:hAnsi="仿宋" w:eastAsia="仿宋_GB2312"/>
          <w:bCs/>
          <w:color w:val="000000"/>
          <w:sz w:val="32"/>
          <w:szCs w:val="32"/>
        </w:rPr>
        <w:t>.农林水</w:t>
      </w:r>
      <w:r>
        <w:rPr>
          <w:rStyle w:val="20"/>
          <w:rFonts w:hint="eastAsia" w:ascii="仿宋_GB2312" w:hAnsi="仿宋" w:eastAsia="仿宋_GB2312"/>
          <w:bCs/>
          <w:color w:val="000000"/>
          <w:sz w:val="32"/>
          <w:szCs w:val="32"/>
          <w:lang w:val="en-US" w:eastAsia="zh-CN"/>
        </w:rPr>
        <w:t>支出</w:t>
      </w:r>
      <w:r>
        <w:rPr>
          <w:rStyle w:val="20"/>
          <w:rFonts w:hint="eastAsia" w:ascii="仿宋_GB2312" w:hAnsi="仿宋" w:eastAsia="仿宋_GB2312"/>
          <w:bCs/>
          <w:color w:val="000000"/>
          <w:sz w:val="32"/>
          <w:szCs w:val="32"/>
        </w:rPr>
        <w:t>（类）</w:t>
      </w:r>
      <w:r>
        <w:rPr>
          <w:rStyle w:val="20"/>
          <w:rFonts w:hint="eastAsia" w:ascii="仿宋_GB2312" w:hAnsi="仿宋" w:eastAsia="仿宋_GB2312"/>
          <w:bCs/>
          <w:color w:val="000000"/>
          <w:sz w:val="32"/>
          <w:szCs w:val="32"/>
          <w:lang w:val="en-US" w:eastAsia="zh-CN"/>
        </w:rPr>
        <w:t>农村综合改革</w:t>
      </w:r>
      <w:r>
        <w:rPr>
          <w:rStyle w:val="20"/>
          <w:rFonts w:hint="eastAsia" w:ascii="仿宋_GB2312" w:hAnsi="仿宋" w:eastAsia="仿宋_GB2312"/>
          <w:bCs/>
          <w:color w:val="000000"/>
          <w:sz w:val="32"/>
          <w:szCs w:val="32"/>
        </w:rPr>
        <w:t>（款）对村民委员会和村党支部的补助（项）:</w:t>
      </w:r>
      <w:r>
        <w:rPr>
          <w:rStyle w:val="20"/>
          <w:rFonts w:hint="eastAsia" w:ascii="仿宋_GB2312" w:hAnsi="仿宋" w:eastAsia="仿宋_GB2312"/>
          <w:b w:val="0"/>
          <w:bCs/>
          <w:color w:val="000000"/>
          <w:sz w:val="32"/>
          <w:szCs w:val="32"/>
        </w:rPr>
        <w:t xml:space="preserve"> 支出决算为</w:t>
      </w:r>
      <w:r>
        <w:rPr>
          <w:rStyle w:val="20"/>
          <w:rFonts w:hint="eastAsia" w:ascii="仿宋_GB2312" w:hAnsi="仿宋" w:eastAsia="仿宋_GB2312"/>
          <w:b w:val="0"/>
          <w:bCs/>
          <w:color w:val="000000"/>
          <w:sz w:val="32"/>
          <w:szCs w:val="32"/>
          <w:lang w:val="en-US" w:eastAsia="zh-CN"/>
        </w:rPr>
        <w:t>50.64</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hint="eastAsia"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11</w:t>
      </w:r>
      <w:r>
        <w:rPr>
          <w:rStyle w:val="20"/>
          <w:rFonts w:hint="eastAsia" w:ascii="仿宋_GB2312" w:hAnsi="仿宋" w:eastAsia="仿宋_GB2312"/>
          <w:bCs/>
          <w:color w:val="000000"/>
          <w:sz w:val="32"/>
          <w:szCs w:val="32"/>
        </w:rPr>
        <w:t>.</w:t>
      </w:r>
      <w:r>
        <w:rPr>
          <w:rFonts w:hint="eastAsia"/>
        </w:rPr>
        <w:t xml:space="preserve"> </w:t>
      </w:r>
      <w:r>
        <w:rPr>
          <w:rStyle w:val="20"/>
          <w:rFonts w:hint="eastAsia" w:ascii="仿宋_GB2312" w:hAnsi="仿宋" w:eastAsia="仿宋_GB2312"/>
          <w:bCs/>
          <w:color w:val="000000"/>
          <w:sz w:val="32"/>
          <w:szCs w:val="32"/>
        </w:rPr>
        <w:t>住房保障（类）住房改革支出（款）住房公积金（项）:</w:t>
      </w:r>
      <w:r>
        <w:rPr>
          <w:rStyle w:val="20"/>
          <w:rFonts w:hint="eastAsia" w:ascii="仿宋_GB2312" w:hAnsi="仿宋" w:eastAsia="仿宋_GB2312"/>
          <w:b w:val="0"/>
          <w:bCs/>
          <w:color w:val="000000"/>
          <w:sz w:val="32"/>
          <w:szCs w:val="32"/>
        </w:rPr>
        <w:t xml:space="preserve"> 支出决算为</w:t>
      </w:r>
      <w:r>
        <w:rPr>
          <w:rStyle w:val="20"/>
          <w:rFonts w:hint="eastAsia" w:ascii="仿宋_GB2312" w:hAnsi="仿宋" w:eastAsia="仿宋_GB2312"/>
          <w:b w:val="0"/>
          <w:bCs/>
          <w:color w:val="000000"/>
          <w:sz w:val="32"/>
          <w:szCs w:val="32"/>
          <w:lang w:val="en-US" w:eastAsia="zh-CN"/>
        </w:rPr>
        <w:t>42.44</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spacing w:line="600" w:lineRule="exact"/>
        <w:ind w:firstLine="643" w:firstLineChars="200"/>
        <w:rPr>
          <w:rStyle w:val="20"/>
          <w:rFonts w:hint="eastAsia" w:ascii="仿宋_GB2312" w:hAnsi="仿宋" w:eastAsia="仿宋_GB2312"/>
          <w:b w:val="0"/>
          <w:bCs/>
          <w:color w:val="000000"/>
          <w:sz w:val="32"/>
          <w:szCs w:val="32"/>
        </w:rPr>
      </w:pPr>
      <w:r>
        <w:rPr>
          <w:rStyle w:val="20"/>
          <w:rFonts w:hint="eastAsia" w:ascii="仿宋_GB2312" w:hAnsi="仿宋" w:eastAsia="仿宋_GB2312"/>
          <w:bCs/>
          <w:color w:val="000000"/>
          <w:sz w:val="32"/>
          <w:szCs w:val="32"/>
          <w:lang w:val="en-US" w:eastAsia="zh-CN"/>
        </w:rPr>
        <w:t>12</w:t>
      </w:r>
      <w:r>
        <w:rPr>
          <w:rStyle w:val="20"/>
          <w:rFonts w:hint="eastAsia" w:ascii="仿宋_GB2312" w:hAnsi="仿宋" w:eastAsia="仿宋_GB2312"/>
          <w:bCs/>
          <w:color w:val="000000"/>
          <w:sz w:val="32"/>
          <w:szCs w:val="32"/>
        </w:rPr>
        <w:t>.</w:t>
      </w:r>
      <w:r>
        <w:rPr>
          <w:rFonts w:hint="eastAsia"/>
        </w:rPr>
        <w:t xml:space="preserve"> </w:t>
      </w:r>
      <w:r>
        <w:rPr>
          <w:rStyle w:val="20"/>
          <w:rFonts w:hint="eastAsia" w:ascii="仿宋_GB2312" w:hAnsi="仿宋" w:eastAsia="仿宋_GB2312"/>
          <w:bCs/>
          <w:color w:val="000000"/>
          <w:sz w:val="32"/>
          <w:szCs w:val="32"/>
        </w:rPr>
        <w:t>住房保障（类）住房改革支出（款）</w:t>
      </w:r>
      <w:r>
        <w:rPr>
          <w:rStyle w:val="20"/>
          <w:rFonts w:hint="eastAsia" w:ascii="仿宋_GB2312" w:hAnsi="仿宋" w:eastAsia="仿宋_GB2312"/>
          <w:bCs/>
          <w:color w:val="000000"/>
          <w:sz w:val="32"/>
          <w:szCs w:val="32"/>
          <w:lang w:val="en-US" w:eastAsia="zh-CN"/>
        </w:rPr>
        <w:t>购房补贴</w:t>
      </w:r>
      <w:r>
        <w:rPr>
          <w:rStyle w:val="20"/>
          <w:rFonts w:hint="eastAsia" w:ascii="仿宋_GB2312" w:hAnsi="仿宋" w:eastAsia="仿宋_GB2312"/>
          <w:bCs/>
          <w:color w:val="000000"/>
          <w:sz w:val="32"/>
          <w:szCs w:val="32"/>
        </w:rPr>
        <w:t>（项）:</w:t>
      </w:r>
      <w:r>
        <w:rPr>
          <w:rStyle w:val="20"/>
          <w:rFonts w:hint="eastAsia" w:ascii="仿宋_GB2312" w:hAnsi="仿宋" w:eastAsia="仿宋_GB2312"/>
          <w:b w:val="0"/>
          <w:bCs/>
          <w:color w:val="000000"/>
          <w:sz w:val="32"/>
          <w:szCs w:val="32"/>
        </w:rPr>
        <w:t xml:space="preserve"> 支出决算为</w:t>
      </w:r>
      <w:r>
        <w:rPr>
          <w:rStyle w:val="20"/>
          <w:rFonts w:hint="eastAsia" w:ascii="仿宋_GB2312" w:hAnsi="仿宋" w:eastAsia="仿宋_GB2312"/>
          <w:b w:val="0"/>
          <w:bCs/>
          <w:color w:val="000000"/>
          <w:sz w:val="32"/>
          <w:szCs w:val="32"/>
          <w:lang w:val="en-US" w:eastAsia="zh-CN"/>
        </w:rPr>
        <w:t>1.20</w:t>
      </w:r>
      <w:r>
        <w:rPr>
          <w:rStyle w:val="20"/>
          <w:rFonts w:hint="eastAsia" w:ascii="仿宋_GB2312" w:hAnsi="仿宋" w:eastAsia="仿宋_GB2312"/>
          <w:b w:val="0"/>
          <w:bCs/>
          <w:color w:val="000000"/>
          <w:sz w:val="32"/>
          <w:szCs w:val="32"/>
        </w:rPr>
        <w:t>万元，完成预算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%，决算数等于预算数。</w:t>
      </w:r>
    </w:p>
    <w:p>
      <w:pPr>
        <w:pStyle w:val="2"/>
      </w:pPr>
    </w:p>
    <w:p>
      <w:pPr>
        <w:pStyle w:val="2"/>
      </w:pPr>
    </w:p>
    <w:p>
      <w:pPr>
        <w:tabs>
          <w:tab w:val="right" w:pos="8306"/>
        </w:tabs>
        <w:spacing w:line="600" w:lineRule="exact"/>
        <w:ind w:firstLine="640"/>
        <w:outlineLvl w:val="1"/>
        <w:rPr>
          <w:rStyle w:val="31"/>
          <w:rFonts w:ascii="仿宋_GB2312" w:eastAsia="仿宋_GB2312"/>
        </w:rPr>
      </w:pPr>
      <w:bookmarkStart w:id="44" w:name="_Toc15377214"/>
      <w:bookmarkStart w:id="45" w:name="_Toc85790009"/>
      <w:r>
        <w:rPr>
          <w:rFonts w:hint="eastAsia" w:ascii="黑体" w:hAnsi="黑体" w:eastAsia="黑体" w:cs="黑体"/>
          <w:b w:val="0"/>
          <w:bCs/>
          <w:color w:val="000000"/>
          <w:sz w:val="32"/>
          <w:szCs w:val="32"/>
        </w:rPr>
        <w:t>六、一般公共预算财政拨款基本支出决算情况说明</w:t>
      </w:r>
      <w:bookmarkEnd w:id="44"/>
      <w:bookmarkEnd w:id="45"/>
      <w:r>
        <w:rPr>
          <w:rStyle w:val="31"/>
          <w:rFonts w:hint="eastAsia" w:ascii="仿宋_GB2312" w:hAnsi="黑体" w:eastAsia="仿宋_GB2312"/>
          <w:b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723.21</w:t>
      </w:r>
      <w:r>
        <w:rPr>
          <w:rFonts w:hint="eastAsia" w:ascii="仿宋_GB2312" w:hAnsi="仿宋" w:eastAsia="仿宋_GB2312"/>
          <w:color w:val="000000"/>
          <w:sz w:val="32"/>
          <w:szCs w:val="32"/>
        </w:rPr>
        <w:t>万元，其中：</w:t>
      </w:r>
    </w:p>
    <w:p>
      <w:pPr>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人员经费663.86万元，主要包括：基本工资、津贴补贴、奖金、机关事业单位基本养老保险缴费、职业年金缴费、职工基本医疗保险缴费、其他社会保障缴费、生活补助、医疗费补助、奖励金、住房公积金等。</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公用经费59.35万元，主要包括：办公费、印刷费、手续费、水费、电费、邮电费、物业管理费、差旅费、维修（护）费、公务接待费、公务用车运行维护费等。</w:t>
      </w:r>
    </w:p>
    <w:p>
      <w:pPr>
        <w:tabs>
          <w:tab w:val="right" w:pos="8306"/>
        </w:tabs>
        <w:spacing w:line="600" w:lineRule="exact"/>
        <w:ind w:firstLine="640"/>
        <w:outlineLvl w:val="1"/>
        <w:rPr>
          <w:rFonts w:hint="eastAsia" w:ascii="黑体" w:hAnsi="黑体" w:eastAsia="黑体" w:cs="黑体"/>
          <w:b w:val="0"/>
          <w:bCs/>
          <w:color w:val="000000"/>
          <w:sz w:val="32"/>
          <w:szCs w:val="32"/>
        </w:rPr>
      </w:pPr>
      <w:bookmarkStart w:id="46" w:name="_Toc85790010"/>
      <w:bookmarkStart w:id="47" w:name="_Toc15377215"/>
      <w:r>
        <w:rPr>
          <w:rFonts w:hint="eastAsia" w:ascii="黑体" w:hAnsi="黑体" w:eastAsia="黑体" w:cs="黑体"/>
          <w:b w:val="0"/>
          <w:bCs/>
          <w:color w:val="000000"/>
          <w:sz w:val="32"/>
          <w:szCs w:val="32"/>
        </w:rPr>
        <w:t>七、“三公”经费财政拨款支出决算情况说明</w:t>
      </w:r>
      <w:bookmarkEnd w:id="46"/>
      <w:bookmarkEnd w:id="47"/>
    </w:p>
    <w:p>
      <w:pPr>
        <w:spacing w:line="600" w:lineRule="exact"/>
        <w:ind w:firstLine="640"/>
        <w:outlineLvl w:val="2"/>
        <w:rPr>
          <w:rFonts w:ascii="仿宋_GB2312" w:hAnsi="仿宋" w:eastAsia="仿宋_GB2312"/>
          <w:b/>
          <w:color w:val="000000"/>
          <w:sz w:val="32"/>
          <w:szCs w:val="32"/>
        </w:rPr>
      </w:pPr>
      <w:bookmarkStart w:id="48" w:name="_Toc15377216"/>
      <w:r>
        <w:rPr>
          <w:rFonts w:hint="eastAsia" w:ascii="仿宋_GB2312" w:hAnsi="仿宋" w:eastAsia="仿宋_GB2312"/>
          <w:b/>
          <w:color w:val="000000"/>
          <w:sz w:val="32"/>
          <w:szCs w:val="32"/>
        </w:rPr>
        <w:t>（一）“三公”经费财政拨款支出决算总体情况说明</w:t>
      </w:r>
      <w:bookmarkEnd w:id="48"/>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27.99</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640"/>
        <w:outlineLvl w:val="2"/>
        <w:rPr>
          <w:rFonts w:ascii="仿宋_GB2312" w:hAnsi="仿宋" w:eastAsia="仿宋_GB2312"/>
          <w:b/>
          <w:color w:val="000000"/>
          <w:sz w:val="32"/>
          <w:szCs w:val="32"/>
        </w:rPr>
      </w:pPr>
      <w:bookmarkStart w:id="49" w:name="_Toc15377217"/>
      <w:r>
        <w:rPr>
          <w:rFonts w:hint="eastAsia" w:ascii="仿宋_GB2312" w:hAnsi="仿宋" w:eastAsia="仿宋_GB2312"/>
          <w:b/>
          <w:color w:val="000000"/>
          <w:sz w:val="32"/>
          <w:szCs w:val="32"/>
        </w:rPr>
        <w:t>（二）“三公”经费财政拨款支出决算具体情况说明</w:t>
      </w:r>
      <w:bookmarkEnd w:id="49"/>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2021</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hint="eastAsia" w:ascii="仿宋_GB2312" w:hAnsi="仿宋" w:eastAsia="仿宋_GB2312"/>
          <w:color w:val="000000"/>
          <w:sz w:val="32"/>
          <w:szCs w:val="32"/>
          <w:lang w:val="en-US" w:eastAsia="zh-CN"/>
        </w:rPr>
        <w:t>27.69</w:t>
      </w:r>
      <w:r>
        <w:rPr>
          <w:rFonts w:hint="eastAsia" w:ascii="仿宋_GB2312" w:hAnsi="仿宋" w:eastAsia="仿宋_GB2312"/>
          <w:color w:val="000000"/>
          <w:sz w:val="32"/>
          <w:szCs w:val="32"/>
        </w:rPr>
        <w:t>万元，占</w:t>
      </w:r>
      <w:r>
        <w:rPr>
          <w:rFonts w:ascii="仿宋_GB2312" w:hAnsi="仿宋" w:eastAsia="仿宋_GB2312"/>
          <w:color w:val="000000"/>
          <w:sz w:val="32"/>
          <w:szCs w:val="32"/>
        </w:rPr>
        <w:t>9</w:t>
      </w:r>
      <w:r>
        <w:rPr>
          <w:rFonts w:hint="eastAsia" w:ascii="仿宋_GB2312" w:hAnsi="仿宋" w:eastAsia="仿宋_GB2312"/>
          <w:color w:val="000000"/>
          <w:sz w:val="32"/>
          <w:szCs w:val="32"/>
          <w:lang w:val="en-US" w:eastAsia="zh-CN"/>
        </w:rPr>
        <w:t>8.93</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1.07</w:t>
      </w:r>
      <w:r>
        <w:rPr>
          <w:rFonts w:hint="eastAsia" w:ascii="仿宋_GB2312" w:hAnsi="仿宋" w:eastAsia="仿宋_GB2312"/>
          <w:color w:val="000000"/>
          <w:sz w:val="32"/>
          <w:szCs w:val="32"/>
        </w:rPr>
        <w:t>%。具体情况如下：</w:t>
      </w:r>
    </w:p>
    <w:p>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（图8：“三公”经费财政拨款支出结构）（饼状图）</w:t>
      </w:r>
    </w:p>
    <w:p>
      <w:pPr>
        <w:pStyle w:val="2"/>
        <w:rPr>
          <w:rFonts w:hint="eastAsia" w:ascii="仿宋_GB2312" w:hAnsi="仿宋" w:eastAsia="仿宋_GB2312"/>
          <w:color w:val="000000"/>
          <w:sz w:val="32"/>
          <w:szCs w:val="32"/>
        </w:rPr>
      </w:pPr>
    </w:p>
    <w:p>
      <w:r>
        <w:drawing>
          <wp:inline distT="0" distB="0" distL="114300" distR="114300">
            <wp:extent cx="4569460" cy="2743835"/>
            <wp:effectExtent l="4445" t="4445" r="13335" b="10160"/>
            <wp:docPr id="15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center"/>
        <w:rPr>
          <w:rFonts w:ascii="仿宋_GB2312" w:hAnsi="仿宋" w:eastAsia="仿宋_GB2312"/>
          <w:color w:val="000000"/>
          <w:sz w:val="32"/>
          <w:szCs w:val="32"/>
        </w:rPr>
      </w:pP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r>
        <w:rPr>
          <w:rStyle w:val="20"/>
          <w:rFonts w:hint="eastAsia" w:ascii="仿宋_GB2312" w:hAnsi="仿宋" w:eastAsia="仿宋_GB2312"/>
          <w:b w:val="0"/>
          <w:bCs/>
          <w:color w:val="000000"/>
          <w:sz w:val="32"/>
          <w:szCs w:val="32"/>
        </w:rPr>
        <w:t>。</w:t>
      </w:r>
      <w:r>
        <w:rPr>
          <w:rFonts w:hint="eastAsia" w:ascii="仿宋_GB2312" w:eastAsia="仿宋_GB2312"/>
          <w:color w:val="000000"/>
          <w:sz w:val="32"/>
          <w:szCs w:val="32"/>
        </w:rPr>
        <w:t>全年安排因公出国（境）团组0次，出国（境）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年增加/减少</w:t>
      </w:r>
      <w:r>
        <w:rPr>
          <w:rFonts w:ascii="仿宋_GB2312" w:eastAsia="仿宋_GB2312"/>
          <w:color w:val="000000"/>
          <w:sz w:val="32"/>
          <w:szCs w:val="32"/>
        </w:rPr>
        <w:t>0</w:t>
      </w:r>
      <w:r>
        <w:rPr>
          <w:rFonts w:hint="eastAsia" w:ascii="仿宋_GB2312" w:eastAsia="仿宋_GB2312"/>
          <w:color w:val="000000"/>
          <w:sz w:val="32"/>
          <w:szCs w:val="32"/>
        </w:rPr>
        <w:t>万元。主要原因是我单位未</w:t>
      </w:r>
      <w:r>
        <w:rPr>
          <w:rFonts w:ascii="仿宋_GB2312" w:eastAsia="仿宋_GB2312"/>
          <w:color w:val="000000"/>
          <w:sz w:val="32"/>
          <w:szCs w:val="32"/>
        </w:rPr>
        <w:t>涉及因公出国</w:t>
      </w:r>
      <w:r>
        <w:rPr>
          <w:rFonts w:hint="eastAsia" w:ascii="仿宋_GB2312" w:eastAsia="仿宋_GB2312"/>
          <w:color w:val="000000"/>
          <w:sz w:val="32"/>
          <w:szCs w:val="32"/>
        </w:rPr>
        <w:t>（境）的</w:t>
      </w:r>
      <w:r>
        <w:rPr>
          <w:rFonts w:ascii="仿宋_GB2312" w:eastAsia="仿宋_GB2312"/>
          <w:color w:val="000000"/>
          <w:sz w:val="32"/>
          <w:szCs w:val="32"/>
        </w:rPr>
        <w:t>工作</w:t>
      </w:r>
      <w:r>
        <w:rPr>
          <w:rFonts w:hint="eastAsia" w:ascii="仿宋_GB2312" w:eastAsia="仿宋_GB2312"/>
          <w:color w:val="000000"/>
          <w:sz w:val="32"/>
          <w:szCs w:val="32"/>
        </w:rPr>
        <w:t>。</w:t>
      </w:r>
    </w:p>
    <w:p>
      <w:pPr>
        <w:spacing w:line="600" w:lineRule="exact"/>
        <w:ind w:firstLine="640"/>
        <w:rPr>
          <w:rFonts w:hint="default" w:ascii="仿宋_GB2312" w:eastAsia="仿宋_GB2312"/>
          <w:b/>
          <w:color w:val="000000"/>
          <w:sz w:val="32"/>
          <w:szCs w:val="32"/>
          <w:lang w:val="en-US" w:eastAsia="zh-CN"/>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27.69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0"/>
          <w:rFonts w:hint="eastAsia" w:ascii="仿宋_GB2312" w:hAnsi="仿宋" w:eastAsia="仿宋_GB2312"/>
          <w:b w:val="0"/>
          <w:bCs/>
          <w:color w:val="000000"/>
          <w:sz w:val="32"/>
          <w:szCs w:val="32"/>
        </w:rPr>
        <w:t>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r>
        <w:rPr>
          <w:rFonts w:hint="eastAsia" w:ascii="仿宋_GB2312" w:eastAsia="仿宋_GB2312"/>
          <w:color w:val="000000"/>
          <w:sz w:val="32"/>
          <w:szCs w:val="32"/>
        </w:rPr>
        <w:t>公务用车购置及运行维护费支出决算比20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增加4.78</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增长20.86</w:t>
      </w:r>
      <w:r>
        <w:rPr>
          <w:rFonts w:hint="eastAsia" w:ascii="仿宋_GB2312" w:eastAsia="仿宋_GB2312"/>
          <w:color w:val="000000"/>
          <w:sz w:val="32"/>
          <w:szCs w:val="32"/>
        </w:rPr>
        <w:t>%。主要原因是20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汽车油费上涨。</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年12月底，单位共有公务用车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3</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27.69</w:t>
      </w:r>
      <w:r>
        <w:rPr>
          <w:rFonts w:hint="eastAsia" w:ascii="仿宋_GB2312" w:eastAsia="仿宋_GB2312"/>
          <w:color w:val="000000"/>
          <w:sz w:val="32"/>
          <w:szCs w:val="32"/>
        </w:rPr>
        <w:t>万元。主要用于因公出差</w:t>
      </w:r>
      <w:r>
        <w:rPr>
          <w:rFonts w:ascii="仿宋_GB2312" w:eastAsia="仿宋_GB2312"/>
          <w:color w:val="000000"/>
          <w:sz w:val="32"/>
          <w:szCs w:val="32"/>
        </w:rPr>
        <w:t>、老干部慰问</w:t>
      </w:r>
      <w:r>
        <w:rPr>
          <w:rFonts w:hint="eastAsia" w:ascii="仿宋_GB2312" w:eastAsia="仿宋_GB2312"/>
          <w:color w:val="000000"/>
          <w:sz w:val="32"/>
          <w:szCs w:val="32"/>
        </w:rPr>
        <w:t>等所需的公务用车燃料费、维修费、过路过桥费、保险费等支出。</w:t>
      </w: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万元，</w:t>
      </w:r>
      <w:r>
        <w:rPr>
          <w:rStyle w:val="20"/>
          <w:rFonts w:hint="eastAsia" w:ascii="仿宋_GB2312" w:hAnsi="仿宋" w:eastAsia="仿宋_GB2312"/>
          <w:b w:val="0"/>
          <w:bCs/>
          <w:color w:val="000000"/>
          <w:sz w:val="32"/>
          <w:szCs w:val="32"/>
        </w:rPr>
        <w:t>完成预算</w:t>
      </w:r>
      <w:r>
        <w:rPr>
          <w:rStyle w:val="20"/>
          <w:rFonts w:ascii="仿宋_GB2312" w:hAnsi="仿宋" w:eastAsia="仿宋_GB2312"/>
          <w:b w:val="0"/>
          <w:bCs/>
          <w:color w:val="000000"/>
          <w:sz w:val="32"/>
          <w:szCs w:val="32"/>
        </w:rPr>
        <w:t>100</w:t>
      </w:r>
      <w:r>
        <w:rPr>
          <w:rStyle w:val="20"/>
          <w:rFonts w:hint="eastAsia" w:ascii="仿宋_GB2312" w:hAnsi="仿宋" w:eastAsia="仿宋_GB2312"/>
          <w:b w:val="0"/>
          <w:bCs/>
          <w:color w:val="000000"/>
          <w:sz w:val="32"/>
          <w:szCs w:val="32"/>
        </w:rPr>
        <w:t>%。</w:t>
      </w:r>
      <w:r>
        <w:rPr>
          <w:rFonts w:hint="eastAsia" w:ascii="仿宋_GB2312" w:eastAsia="仿宋_GB2312"/>
          <w:color w:val="000000"/>
          <w:sz w:val="32"/>
          <w:szCs w:val="32"/>
        </w:rPr>
        <w:t>公务接待费支出决算比20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w:t>
      </w:r>
      <w:r>
        <w:rPr>
          <w:rFonts w:ascii="仿宋_GB2312" w:eastAsia="仿宋_GB2312"/>
          <w:color w:val="000000"/>
          <w:sz w:val="32"/>
          <w:szCs w:val="32"/>
        </w:rPr>
        <w:t>0.</w:t>
      </w:r>
      <w:r>
        <w:rPr>
          <w:rFonts w:hint="eastAsia" w:ascii="仿宋_GB2312" w:eastAsia="仿宋_GB2312"/>
          <w:color w:val="000000"/>
          <w:sz w:val="32"/>
          <w:szCs w:val="32"/>
          <w:lang w:val="en-US" w:eastAsia="zh-CN"/>
        </w:rPr>
        <w:t>1</w:t>
      </w:r>
      <w:r>
        <w:rPr>
          <w:rFonts w:ascii="仿宋_GB2312" w:eastAsia="仿宋_GB2312"/>
          <w:color w:val="000000"/>
          <w:sz w:val="32"/>
          <w:szCs w:val="32"/>
        </w:rPr>
        <w:t>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增长57.89</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本年接待人次增加</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highlight w:val="none"/>
        </w:rPr>
      </w:pPr>
      <w:r>
        <w:rPr>
          <w:rFonts w:hint="eastAsia" w:ascii="仿宋" w:hAnsi="仿宋" w:eastAsia="仿宋"/>
          <w:b/>
          <w:color w:val="000000"/>
          <w:sz w:val="32"/>
          <w:szCs w:val="32"/>
        </w:rPr>
        <w:t>国内公务接待支出</w:t>
      </w:r>
      <w:r>
        <w:rPr>
          <w:rFonts w:ascii="仿宋_GB2312" w:eastAsia="仿宋_GB2312"/>
          <w:color w:val="000000"/>
          <w:sz w:val="32"/>
          <w:szCs w:val="32"/>
        </w:rPr>
        <w:t>0.</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国内公务接待</w:t>
      </w: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26</w:t>
      </w:r>
      <w:r>
        <w:rPr>
          <w:rFonts w:hint="eastAsia" w:ascii="仿宋_GB2312" w:eastAsia="仿宋_GB2312"/>
          <w:color w:val="000000"/>
          <w:sz w:val="32"/>
          <w:szCs w:val="32"/>
          <w:highlight w:val="none"/>
        </w:rPr>
        <w:t>人次（不包括陪同人员），共计支出</w:t>
      </w:r>
      <w:r>
        <w:rPr>
          <w:rFonts w:ascii="仿宋_GB2312" w:eastAsia="仿宋_GB2312"/>
          <w:color w:val="000000"/>
          <w:sz w:val="32"/>
          <w:szCs w:val="32"/>
          <w:highlight w:val="none"/>
        </w:rPr>
        <w:t>0</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tabs>
          <w:tab w:val="right" w:pos="8306"/>
        </w:tabs>
        <w:spacing w:line="600" w:lineRule="exact"/>
        <w:ind w:firstLine="640"/>
        <w:outlineLvl w:val="1"/>
        <w:rPr>
          <w:rFonts w:hint="eastAsia" w:ascii="黑体" w:hAnsi="黑体" w:eastAsia="黑体" w:cs="黑体"/>
          <w:b w:val="0"/>
          <w:bCs/>
          <w:color w:val="000000"/>
          <w:sz w:val="32"/>
          <w:szCs w:val="32"/>
        </w:rPr>
      </w:pPr>
      <w:bookmarkStart w:id="50" w:name="_Toc15377218"/>
      <w:bookmarkStart w:id="51" w:name="_Toc85790011"/>
      <w:r>
        <w:rPr>
          <w:rFonts w:hint="eastAsia" w:ascii="黑体" w:hAnsi="黑体" w:eastAsia="黑体" w:cs="黑体"/>
          <w:b w:val="0"/>
          <w:bCs/>
          <w:color w:val="000000"/>
          <w:sz w:val="32"/>
          <w:szCs w:val="32"/>
        </w:rPr>
        <w:t>八、政府性基金预算支出决算情况说明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tabs>
          <w:tab w:val="right" w:pos="8306"/>
        </w:tabs>
        <w:spacing w:line="600" w:lineRule="exact"/>
        <w:ind w:firstLine="640"/>
        <w:outlineLvl w:val="1"/>
        <w:rPr>
          <w:rFonts w:hint="eastAsia" w:ascii="黑体" w:hAnsi="黑体" w:eastAsia="黑体" w:cs="黑体"/>
          <w:b w:val="0"/>
          <w:bCs/>
          <w:color w:val="000000"/>
          <w:sz w:val="32"/>
          <w:szCs w:val="32"/>
        </w:rPr>
      </w:pPr>
      <w:bookmarkStart w:id="52" w:name="_Toc15377219"/>
      <w:bookmarkStart w:id="53" w:name="_Toc85790012"/>
      <w:r>
        <w:rPr>
          <w:rFonts w:hint="eastAsia" w:ascii="黑体" w:hAnsi="黑体" w:eastAsia="黑体" w:cs="黑体"/>
          <w:b w:val="0"/>
          <w:bCs/>
          <w:color w:val="000000"/>
          <w:sz w:val="32"/>
          <w:szCs w:val="32"/>
          <w:lang w:eastAsia="zh-CN"/>
        </w:rPr>
        <w:t>九、</w:t>
      </w:r>
      <w:r>
        <w:rPr>
          <w:rFonts w:hint="eastAsia" w:ascii="黑体" w:hAnsi="黑体" w:eastAsia="黑体" w:cs="黑体"/>
          <w:b w:val="0"/>
          <w:bCs/>
          <w:color w:val="000000"/>
          <w:sz w:val="32"/>
          <w:szCs w:val="32"/>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tabs>
          <w:tab w:val="right" w:pos="8306"/>
        </w:tabs>
        <w:spacing w:line="600" w:lineRule="exact"/>
        <w:ind w:firstLine="640"/>
        <w:outlineLvl w:val="1"/>
        <w:rPr>
          <w:rFonts w:hint="eastAsia" w:ascii="黑体" w:hAnsi="黑体" w:eastAsia="黑体" w:cs="黑体"/>
          <w:b w:val="0"/>
          <w:bCs/>
          <w:color w:val="000000"/>
          <w:sz w:val="32"/>
          <w:szCs w:val="32"/>
        </w:rPr>
      </w:pPr>
      <w:bookmarkStart w:id="54" w:name="_Toc85790013"/>
      <w:bookmarkStart w:id="55" w:name="_Toc15377221"/>
      <w:r>
        <w:rPr>
          <w:rFonts w:hint="eastAsia" w:ascii="黑体" w:hAnsi="黑体" w:eastAsia="黑体" w:cs="黑体"/>
          <w:b w:val="0"/>
          <w:bCs/>
          <w:color w:val="000000"/>
          <w:sz w:val="32"/>
          <w:szCs w:val="32"/>
        </w:rPr>
        <w:t>十、其他重要事项的情况说明</w:t>
      </w:r>
      <w:bookmarkEnd w:id="54"/>
      <w:bookmarkEnd w:id="55"/>
    </w:p>
    <w:p>
      <w:pPr>
        <w:spacing w:line="600" w:lineRule="exact"/>
        <w:ind w:firstLine="643" w:firstLineChars="200"/>
        <w:outlineLvl w:val="2"/>
        <w:rPr>
          <w:rFonts w:ascii="仿宋_GB2312" w:hAnsi="仿宋" w:eastAsia="仿宋_GB2312"/>
          <w:color w:val="000000"/>
          <w:sz w:val="32"/>
          <w:szCs w:val="32"/>
        </w:rPr>
      </w:pPr>
      <w:bookmarkStart w:id="56" w:name="_Toc15377222"/>
      <w:r>
        <w:rPr>
          <w:rFonts w:hint="eastAsia" w:ascii="仿宋_GB2312" w:hAnsi="仿宋" w:eastAsia="仿宋_GB2312"/>
          <w:b/>
          <w:color w:val="000000"/>
          <w:sz w:val="32"/>
          <w:szCs w:val="32"/>
        </w:rPr>
        <w:t>（一）机关运行经费支出情况</w:t>
      </w:r>
      <w:bookmarkEnd w:id="56"/>
    </w:p>
    <w:p>
      <w:pPr>
        <w:spacing w:line="600" w:lineRule="exact"/>
        <w:ind w:firstLine="640" w:firstLineChars="200"/>
        <w:rPr>
          <w:rFonts w:hint="default" w:ascii="仿宋_GB2312" w:hAnsi="仿宋" w:eastAsia="仿宋_GB2312"/>
          <w:b/>
          <w:color w:val="000000"/>
          <w:sz w:val="32"/>
          <w:szCs w:val="32"/>
          <w:lang w:val="en-US" w:eastAsia="zh-CN"/>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w:t>
      </w:r>
      <w:r>
        <w:rPr>
          <w:rFonts w:hint="eastAsia" w:ascii="仿宋_GB2312" w:hAnsi="仿宋" w:eastAsia="仿宋_GB2312"/>
          <w:sz w:val="32"/>
          <w:szCs w:val="32"/>
        </w:rPr>
        <w:t>中共壤塘县委组织部</w:t>
      </w:r>
      <w:r>
        <w:rPr>
          <w:rFonts w:hint="eastAsia" w:ascii="仿宋_GB2312" w:eastAsia="仿宋_GB2312"/>
          <w:color w:val="000000"/>
          <w:sz w:val="32"/>
          <w:szCs w:val="32"/>
        </w:rPr>
        <w:t>机关运行经费支出59.35万元，比20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增加20.17</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增长33.98</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主要原因是因</w:t>
      </w:r>
      <w:r>
        <w:rPr>
          <w:rFonts w:hint="eastAsia" w:ascii="仿宋_GB2312" w:eastAsia="仿宋_GB2312"/>
          <w:color w:val="000000" w:themeColor="text1"/>
          <w:sz w:val="32"/>
          <w:szCs w:val="32"/>
          <w:lang w:val="en-US" w:eastAsia="zh-CN"/>
          <w14:textFill>
            <w14:solidFill>
              <w14:schemeClr w14:val="tx1"/>
            </w14:solidFill>
          </w14:textFill>
        </w:rPr>
        <w:t>组织事务增加、人员增加，导致</w:t>
      </w:r>
      <w:r>
        <w:rPr>
          <w:rFonts w:hint="eastAsia" w:ascii="仿宋_GB2312" w:eastAsia="仿宋_GB2312"/>
          <w:color w:val="000000"/>
          <w:sz w:val="32"/>
          <w:szCs w:val="32"/>
        </w:rPr>
        <w:t>机关运行经费支出</w:t>
      </w:r>
      <w:r>
        <w:rPr>
          <w:rFonts w:hint="eastAsia" w:ascii="仿宋_GB2312" w:eastAsia="仿宋_GB2312"/>
          <w:color w:val="000000" w:themeColor="text1"/>
          <w:sz w:val="32"/>
          <w:szCs w:val="32"/>
          <w:lang w:val="en-US" w:eastAsia="zh-CN"/>
          <w14:textFill>
            <w14:solidFill>
              <w14:schemeClr w14:val="tx1"/>
            </w14:solidFill>
          </w14:textFill>
        </w:rPr>
        <w:t>增加。</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57" w:name="_Toc15377223"/>
      <w:r>
        <w:rPr>
          <w:rFonts w:hint="eastAsia" w:ascii="仿宋_GB2312" w:hAnsi="仿宋" w:eastAsia="仿宋_GB2312"/>
          <w:b/>
          <w:color w:val="000000"/>
          <w:sz w:val="32"/>
          <w:szCs w:val="32"/>
        </w:rPr>
        <w:t>（二）政府采购支出情况</w:t>
      </w:r>
      <w:bookmarkEnd w:id="57"/>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w:t>
      </w:r>
      <w:r>
        <w:rPr>
          <w:rFonts w:hint="eastAsia" w:ascii="仿宋_GB2312" w:hAnsi="仿宋" w:eastAsia="仿宋_GB2312"/>
          <w:sz w:val="32"/>
          <w:szCs w:val="32"/>
        </w:rPr>
        <w:t>中共壤塘县委组织部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 xml:space="preserve">707.89 </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707.89</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707.89</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58" w:name="_Toc15377224"/>
      <w:r>
        <w:rPr>
          <w:rFonts w:hint="eastAsia" w:ascii="仿宋_GB2312" w:hAnsi="仿宋" w:eastAsia="仿宋_GB2312"/>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年12月31日，</w:t>
      </w:r>
      <w:r>
        <w:rPr>
          <w:rFonts w:hint="eastAsia" w:ascii="仿宋_GB2312" w:hAnsi="仿宋" w:eastAsia="仿宋_GB2312"/>
          <w:sz w:val="32"/>
          <w:szCs w:val="32"/>
        </w:rPr>
        <w:t>中共壤塘县委组织部</w:t>
      </w:r>
      <w:r>
        <w:rPr>
          <w:rFonts w:hint="eastAsia" w:ascii="仿宋_GB2312" w:eastAsia="仿宋_GB2312"/>
          <w:color w:val="000000"/>
          <w:sz w:val="32"/>
          <w:szCs w:val="32"/>
        </w:rPr>
        <w:t>共有车辆</w:t>
      </w:r>
      <w:r>
        <w:rPr>
          <w:rFonts w:ascii="仿宋_GB2312" w:eastAsia="仿宋_GB2312"/>
          <w:color w:val="000000"/>
          <w:sz w:val="32"/>
          <w:szCs w:val="32"/>
        </w:rPr>
        <w:t>3</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3</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其他用车主要是用于公务</w:t>
      </w:r>
      <w:r>
        <w:rPr>
          <w:rFonts w:ascii="仿宋_GB2312" w:eastAsia="仿宋_GB2312"/>
          <w:color w:val="000000" w:themeColor="text1"/>
          <w:sz w:val="32"/>
          <w:szCs w:val="32"/>
          <w14:textFill>
            <w14:solidFill>
              <w14:schemeClr w14:val="tx1"/>
            </w14:solidFill>
          </w14:textFill>
        </w:rPr>
        <w:t>出差、老干部慰问</w:t>
      </w:r>
      <w:r>
        <w:rPr>
          <w:rFonts w:hint="eastAsia" w:ascii="仿宋_GB2312" w:eastAsia="仿宋_GB2312"/>
          <w:color w:val="000000" w:themeColor="text1"/>
          <w:sz w:val="32"/>
          <w:szCs w:val="32"/>
          <w14:textFill>
            <w14:solidFill>
              <w14:schemeClr w14:val="tx1"/>
            </w14:solidFill>
          </w14:textFill>
        </w:rPr>
        <w:t>。单价50万元以上通用设备</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台，单价100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9" w:name="_Toc79163628"/>
      <w:bookmarkStart w:id="60" w:name="_Toc26064"/>
      <w:r>
        <w:rPr>
          <w:rFonts w:hint="eastAsia" w:ascii="仿宋" w:hAnsi="仿宋" w:eastAsia="仿宋"/>
          <w:b/>
          <w:color w:val="000000"/>
          <w:sz w:val="32"/>
          <w:szCs w:val="32"/>
        </w:rPr>
        <w:t>（四）预算绩效管理情况</w:t>
      </w:r>
      <w:bookmarkEnd w:id="59"/>
      <w:bookmarkEnd w:id="6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年初预算编制阶段，无专项项目资金，本年无项目支出绩效自评。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年部门整体支出开展绩效自评，从评价情况来看，我单位</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年目标任务基本完成，预算执行情况较好。</w:t>
      </w:r>
    </w:p>
    <w:p>
      <w:pPr>
        <w:numPr>
          <w:ilvl w:val="0"/>
          <w:numId w:val="3"/>
        </w:numPr>
        <w:spacing w:line="58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本年度无项目绩效。</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 w:eastAsia="仿宋_GB2312"/>
          <w:sz w:val="32"/>
          <w:szCs w:val="32"/>
        </w:rPr>
        <w:t>中共壤塘县委组织部</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年部门整体支出绩效评价报告》见附件（附件1）。</w:t>
      </w:r>
      <w:r>
        <w:rPr>
          <w:rFonts w:ascii="仿宋_GB2312" w:eastAsia="仿宋_GB2312"/>
          <w:b/>
          <w:color w:val="000000"/>
          <w:sz w:val="32"/>
          <w:szCs w:val="32"/>
        </w:rPr>
        <w:br w:type="page"/>
      </w:r>
    </w:p>
    <w:p>
      <w:pPr>
        <w:numPr>
          <w:ilvl w:val="0"/>
          <w:numId w:val="4"/>
        </w:numPr>
        <w:spacing w:line="600" w:lineRule="exact"/>
        <w:ind w:firstLine="663" w:firstLineChars="150"/>
        <w:jc w:val="center"/>
        <w:outlineLvl w:val="0"/>
        <w:rPr>
          <w:rStyle w:val="30"/>
          <w:rFonts w:ascii="仿宋_GB2312" w:hAnsi="黑体" w:eastAsia="仿宋_GB2312"/>
          <w:bCs w:val="0"/>
        </w:rPr>
      </w:pPr>
      <w:bookmarkStart w:id="61" w:name="_Toc15377225"/>
      <w:bookmarkStart w:id="62" w:name="_Toc85790014"/>
      <w:r>
        <w:rPr>
          <w:rStyle w:val="30"/>
          <w:rFonts w:hint="eastAsia" w:ascii="仿宋_GB2312" w:hAnsi="黑体" w:eastAsia="仿宋_GB2312"/>
          <w:bCs w:val="0"/>
        </w:rPr>
        <w:t>名词解释</w:t>
      </w:r>
      <w:bookmarkEnd w:id="61"/>
      <w:bookmarkEnd w:id="62"/>
    </w:p>
    <w:p>
      <w:pPr>
        <w:spacing w:line="600" w:lineRule="exact"/>
        <w:jc w:val="left"/>
        <w:rPr>
          <w:rFonts w:ascii="仿宋_GB2312" w:eastAsia="仿宋_GB2312"/>
          <w:b/>
          <w:color w:val="000000"/>
          <w:sz w:val="32"/>
          <w:szCs w:val="32"/>
        </w:rPr>
      </w:pP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hAnsi="仿宋" w:eastAsia="仿宋_GB2312"/>
          <w:bCs/>
          <w:color w:val="000000"/>
          <w:sz w:val="32"/>
          <w:szCs w:val="32"/>
        </w:rPr>
      </w:pPr>
      <w:r>
        <w:rPr>
          <w:rStyle w:val="20"/>
          <w:rFonts w:ascii="仿宋_GB2312" w:hAnsi="仿宋" w:eastAsia="仿宋_GB2312"/>
          <w:b w:val="0"/>
          <w:bCs/>
          <w:color w:val="000000"/>
          <w:sz w:val="32"/>
          <w:szCs w:val="32"/>
        </w:rPr>
        <w:t>5</w:t>
      </w:r>
      <w:r>
        <w:rPr>
          <w:rStyle w:val="20"/>
          <w:rFonts w:hint="eastAsia" w:ascii="仿宋_GB2312" w:hAnsi="仿宋" w:eastAsia="仿宋_GB2312"/>
          <w:b w:val="0"/>
          <w:bCs/>
          <w:color w:val="000000"/>
          <w:sz w:val="32"/>
          <w:szCs w:val="32"/>
        </w:rPr>
        <w:t>.一般公共服务（类）人力资源事务（款）引进人才费用（项）: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反映</w:t>
      </w:r>
      <w:r>
        <w:rPr>
          <w:rStyle w:val="20"/>
          <w:rFonts w:ascii="仿宋_GB2312" w:hAnsi="仿宋" w:eastAsia="仿宋_GB2312"/>
          <w:b w:val="0"/>
          <w:bCs/>
          <w:color w:val="000000"/>
          <w:sz w:val="32"/>
          <w:szCs w:val="32"/>
        </w:rPr>
        <w:t>用于引进外国专家补助、引</w:t>
      </w:r>
      <w:r>
        <w:rPr>
          <w:rStyle w:val="20"/>
          <w:rFonts w:hint="eastAsia" w:ascii="仿宋_GB2312" w:hAnsi="仿宋" w:eastAsia="仿宋_GB2312"/>
          <w:b w:val="0"/>
          <w:bCs/>
          <w:color w:val="000000"/>
          <w:sz w:val="32"/>
          <w:szCs w:val="32"/>
        </w:rPr>
        <w:t>智成果</w:t>
      </w:r>
      <w:r>
        <w:rPr>
          <w:rStyle w:val="20"/>
          <w:rFonts w:ascii="仿宋_GB2312" w:hAnsi="仿宋" w:eastAsia="仿宋_GB2312"/>
          <w:b w:val="0"/>
          <w:bCs/>
          <w:color w:val="000000"/>
          <w:sz w:val="32"/>
          <w:szCs w:val="32"/>
        </w:rPr>
        <w:t>推广等方面的支出</w:t>
      </w:r>
    </w:p>
    <w:p>
      <w:pPr>
        <w:spacing w:line="600"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6</w:t>
      </w:r>
      <w:r>
        <w:rPr>
          <w:rStyle w:val="20"/>
          <w:rFonts w:hint="eastAsia" w:ascii="仿宋_GB2312" w:hAnsi="仿宋" w:eastAsia="仿宋_GB2312"/>
          <w:b w:val="0"/>
          <w:bCs/>
          <w:color w:val="000000"/>
          <w:sz w:val="32"/>
          <w:szCs w:val="32"/>
        </w:rPr>
        <w:t>.一般公共服务（类）组织事务（款）行政运行（项）: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反映</w:t>
      </w:r>
      <w:r>
        <w:rPr>
          <w:rStyle w:val="20"/>
          <w:rFonts w:ascii="仿宋_GB2312" w:hAnsi="仿宋" w:eastAsia="仿宋_GB2312"/>
          <w:b w:val="0"/>
          <w:bCs/>
          <w:color w:val="000000"/>
          <w:sz w:val="32"/>
          <w:szCs w:val="32"/>
        </w:rPr>
        <w:t>行政单位（</w:t>
      </w:r>
      <w:r>
        <w:rPr>
          <w:rStyle w:val="20"/>
          <w:rFonts w:hint="eastAsia" w:ascii="仿宋_GB2312" w:hAnsi="仿宋" w:eastAsia="仿宋_GB2312"/>
          <w:b w:val="0"/>
          <w:bCs/>
          <w:color w:val="000000"/>
          <w:sz w:val="32"/>
          <w:szCs w:val="32"/>
        </w:rPr>
        <w:t>包括实行</w:t>
      </w:r>
      <w:r>
        <w:rPr>
          <w:rStyle w:val="20"/>
          <w:rFonts w:ascii="仿宋_GB2312" w:hAnsi="仿宋" w:eastAsia="仿宋_GB2312"/>
          <w:b w:val="0"/>
          <w:bCs/>
          <w:color w:val="000000"/>
          <w:sz w:val="32"/>
          <w:szCs w:val="32"/>
        </w:rPr>
        <w:t>公务员管理的事业单位）</w:t>
      </w:r>
      <w:r>
        <w:rPr>
          <w:rStyle w:val="20"/>
          <w:rFonts w:hint="eastAsia" w:ascii="仿宋_GB2312" w:hAnsi="仿宋" w:eastAsia="仿宋_GB2312"/>
          <w:b w:val="0"/>
          <w:bCs/>
          <w:color w:val="000000"/>
          <w:sz w:val="32"/>
          <w:szCs w:val="32"/>
        </w:rPr>
        <w:t>的</w:t>
      </w:r>
      <w:r>
        <w:rPr>
          <w:rStyle w:val="20"/>
          <w:rFonts w:ascii="仿宋_GB2312" w:hAnsi="仿宋" w:eastAsia="仿宋_GB2312"/>
          <w:b w:val="0"/>
          <w:bCs/>
          <w:color w:val="000000"/>
          <w:sz w:val="32"/>
          <w:szCs w:val="32"/>
        </w:rPr>
        <w:t>基本支出。</w:t>
      </w:r>
    </w:p>
    <w:p>
      <w:pPr>
        <w:spacing w:line="600"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7</w:t>
      </w:r>
      <w:r>
        <w:rPr>
          <w:rStyle w:val="20"/>
          <w:rFonts w:hint="eastAsia" w:ascii="仿宋_GB2312" w:hAnsi="仿宋" w:eastAsia="仿宋_GB2312"/>
          <w:b w:val="0"/>
          <w:bCs/>
          <w:color w:val="000000"/>
          <w:sz w:val="32"/>
          <w:szCs w:val="32"/>
        </w:rPr>
        <w:t>.一般公共服务（类）组织事务（款）一般行政管理事务（项）: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反映</w:t>
      </w:r>
      <w:r>
        <w:rPr>
          <w:rStyle w:val="20"/>
          <w:rFonts w:ascii="仿宋_GB2312" w:hAnsi="仿宋" w:eastAsia="仿宋_GB2312"/>
          <w:b w:val="0"/>
          <w:bCs/>
          <w:color w:val="000000"/>
          <w:sz w:val="32"/>
          <w:szCs w:val="32"/>
        </w:rPr>
        <w:t>行政单位（</w:t>
      </w:r>
      <w:r>
        <w:rPr>
          <w:rStyle w:val="20"/>
          <w:rFonts w:hint="eastAsia" w:ascii="仿宋_GB2312" w:hAnsi="仿宋" w:eastAsia="仿宋_GB2312"/>
          <w:b w:val="0"/>
          <w:bCs/>
          <w:color w:val="000000"/>
          <w:sz w:val="32"/>
          <w:szCs w:val="32"/>
        </w:rPr>
        <w:t>包括实行</w:t>
      </w:r>
      <w:r>
        <w:rPr>
          <w:rStyle w:val="20"/>
          <w:rFonts w:ascii="仿宋_GB2312" w:hAnsi="仿宋" w:eastAsia="仿宋_GB2312"/>
          <w:b w:val="0"/>
          <w:bCs/>
          <w:color w:val="000000"/>
          <w:sz w:val="32"/>
          <w:szCs w:val="32"/>
        </w:rPr>
        <w:t>公务员管理的事业单位）</w:t>
      </w:r>
      <w:r>
        <w:rPr>
          <w:rStyle w:val="20"/>
          <w:rFonts w:hint="eastAsia" w:ascii="仿宋_GB2312" w:hAnsi="仿宋" w:eastAsia="仿宋_GB2312"/>
          <w:b w:val="0"/>
          <w:bCs/>
          <w:color w:val="000000"/>
          <w:sz w:val="32"/>
          <w:szCs w:val="32"/>
        </w:rPr>
        <w:t>未单独</w:t>
      </w:r>
      <w:r>
        <w:rPr>
          <w:rStyle w:val="20"/>
          <w:rFonts w:ascii="仿宋_GB2312" w:hAnsi="仿宋" w:eastAsia="仿宋_GB2312"/>
          <w:b w:val="0"/>
          <w:bCs/>
          <w:color w:val="000000"/>
          <w:sz w:val="32"/>
          <w:szCs w:val="32"/>
        </w:rPr>
        <w:t>设置项级科目的其他项目支出。</w:t>
      </w:r>
    </w:p>
    <w:p>
      <w:pPr>
        <w:spacing w:line="600"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8</w:t>
      </w:r>
      <w:r>
        <w:rPr>
          <w:rStyle w:val="20"/>
          <w:rFonts w:hint="eastAsia" w:ascii="仿宋_GB2312" w:hAnsi="仿宋" w:eastAsia="仿宋_GB2312"/>
          <w:b w:val="0"/>
          <w:bCs/>
          <w:color w:val="000000"/>
          <w:sz w:val="32"/>
          <w:szCs w:val="32"/>
        </w:rPr>
        <w:t>.一般公共服务（类）组织事务（款）公务员事务（项）: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反映</w:t>
      </w:r>
      <w:r>
        <w:rPr>
          <w:rStyle w:val="20"/>
          <w:rFonts w:ascii="仿宋_GB2312" w:hAnsi="仿宋" w:eastAsia="仿宋_GB2312"/>
          <w:b w:val="0"/>
          <w:bCs/>
          <w:color w:val="000000"/>
          <w:sz w:val="32"/>
          <w:szCs w:val="32"/>
        </w:rPr>
        <w:t>公务员考核、公务员</w:t>
      </w:r>
      <w:r>
        <w:rPr>
          <w:rStyle w:val="20"/>
          <w:rFonts w:hint="eastAsia" w:ascii="仿宋_GB2312" w:hAnsi="仿宋" w:eastAsia="仿宋_GB2312"/>
          <w:b w:val="0"/>
          <w:bCs/>
          <w:color w:val="000000"/>
          <w:sz w:val="32"/>
          <w:szCs w:val="32"/>
        </w:rPr>
        <w:t>招考</w:t>
      </w:r>
      <w:r>
        <w:rPr>
          <w:rStyle w:val="20"/>
          <w:rFonts w:ascii="仿宋_GB2312" w:hAnsi="仿宋" w:eastAsia="仿宋_GB2312"/>
          <w:b w:val="0"/>
          <w:bCs/>
          <w:color w:val="000000"/>
          <w:sz w:val="32"/>
          <w:szCs w:val="32"/>
        </w:rPr>
        <w:t>、公务员管理、公务员履职能力提升</w:t>
      </w:r>
      <w:r>
        <w:rPr>
          <w:rStyle w:val="20"/>
          <w:rFonts w:hint="eastAsia" w:ascii="仿宋_GB2312" w:hAnsi="仿宋" w:eastAsia="仿宋_GB2312"/>
          <w:b w:val="0"/>
          <w:bCs/>
          <w:color w:val="000000"/>
          <w:sz w:val="32"/>
          <w:szCs w:val="32"/>
        </w:rPr>
        <w:t>等</w:t>
      </w:r>
      <w:r>
        <w:rPr>
          <w:rStyle w:val="20"/>
          <w:rFonts w:ascii="仿宋_GB2312" w:hAnsi="仿宋" w:eastAsia="仿宋_GB2312"/>
          <w:b w:val="0"/>
          <w:bCs/>
          <w:color w:val="000000"/>
          <w:sz w:val="32"/>
          <w:szCs w:val="32"/>
        </w:rPr>
        <w:t>方面的支出。</w:t>
      </w:r>
    </w:p>
    <w:p>
      <w:pPr>
        <w:spacing w:line="600"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9</w:t>
      </w:r>
      <w:r>
        <w:rPr>
          <w:rStyle w:val="20"/>
          <w:rFonts w:hint="eastAsia" w:ascii="仿宋_GB2312" w:hAnsi="仿宋" w:eastAsia="仿宋_GB2312"/>
          <w:b w:val="0"/>
          <w:bCs/>
          <w:color w:val="000000"/>
          <w:sz w:val="32"/>
          <w:szCs w:val="32"/>
        </w:rPr>
        <w:t>.一般公共服务（类）组织事务（款）其他组织事务支出（项）:</w:t>
      </w:r>
      <w:r>
        <w:rPr>
          <w:rStyle w:val="20"/>
          <w:rFonts w:ascii="仿宋_GB2312" w:hAnsi="仿宋" w:eastAsia="仿宋_GB2312"/>
          <w:b w:val="0"/>
          <w:bCs/>
          <w:color w:val="000000"/>
          <w:sz w:val="32"/>
          <w:szCs w:val="32"/>
        </w:rPr>
        <w:t xml:space="preserve"> </w:t>
      </w:r>
      <w:r>
        <w:rPr>
          <w:rStyle w:val="20"/>
          <w:rFonts w:hint="eastAsia" w:ascii="仿宋_GB2312" w:hAnsi="仿宋" w:eastAsia="仿宋_GB2312"/>
          <w:b w:val="0"/>
          <w:bCs/>
          <w:color w:val="000000"/>
          <w:sz w:val="32"/>
          <w:szCs w:val="32"/>
        </w:rPr>
        <w:t>反映</w:t>
      </w:r>
      <w:r>
        <w:rPr>
          <w:rStyle w:val="20"/>
          <w:rFonts w:ascii="仿宋_GB2312" w:hAnsi="仿宋" w:eastAsia="仿宋_GB2312"/>
          <w:b w:val="0"/>
          <w:bCs/>
          <w:color w:val="000000"/>
          <w:sz w:val="32"/>
          <w:szCs w:val="32"/>
        </w:rPr>
        <w:t>除上述项目以外其他用于中国共产党组织部门的</w:t>
      </w:r>
      <w:r>
        <w:rPr>
          <w:rStyle w:val="20"/>
          <w:rFonts w:hint="eastAsia" w:ascii="仿宋_GB2312" w:hAnsi="仿宋" w:eastAsia="仿宋_GB2312"/>
          <w:b w:val="0"/>
          <w:bCs/>
          <w:color w:val="000000"/>
          <w:sz w:val="32"/>
          <w:szCs w:val="32"/>
        </w:rPr>
        <w:t>事务</w:t>
      </w:r>
      <w:r>
        <w:rPr>
          <w:rStyle w:val="20"/>
          <w:rFonts w:ascii="仿宋_GB2312" w:hAnsi="仿宋" w:eastAsia="仿宋_GB2312"/>
          <w:b w:val="0"/>
          <w:bCs/>
          <w:color w:val="000000"/>
          <w:sz w:val="32"/>
          <w:szCs w:val="32"/>
        </w:rPr>
        <w:t>支出。</w:t>
      </w:r>
    </w:p>
    <w:p>
      <w:pPr>
        <w:spacing w:line="600" w:lineRule="exact"/>
        <w:ind w:firstLine="640" w:firstLineChars="200"/>
        <w:rPr>
          <w:rFonts w:ascii="仿宋_GB2312" w:hAnsi="仿宋" w:eastAsia="仿宋_GB2312"/>
          <w:bCs/>
          <w:color w:val="000000"/>
          <w:sz w:val="32"/>
          <w:szCs w:val="32"/>
        </w:rPr>
      </w:pPr>
      <w:r>
        <w:rPr>
          <w:rStyle w:val="20"/>
          <w:rFonts w:ascii="仿宋_GB2312" w:hAnsi="仿宋" w:eastAsia="仿宋_GB2312"/>
          <w:b w:val="0"/>
          <w:bCs/>
          <w:color w:val="000000"/>
          <w:sz w:val="32"/>
          <w:szCs w:val="32"/>
        </w:rPr>
        <w:t>10</w:t>
      </w:r>
      <w:r>
        <w:rPr>
          <w:rStyle w:val="20"/>
          <w:rFonts w:hint="eastAsia" w:ascii="仿宋_GB2312" w:hAnsi="仿宋" w:eastAsia="仿宋_GB2312"/>
          <w:b w:val="0"/>
          <w:bCs/>
          <w:color w:val="000000"/>
          <w:sz w:val="32"/>
          <w:szCs w:val="32"/>
        </w:rPr>
        <w:t>.</w:t>
      </w:r>
      <w:r>
        <w:rPr>
          <w:rStyle w:val="20"/>
          <w:rFonts w:ascii="仿宋_GB2312" w:hAnsi="仿宋" w:eastAsia="仿宋_GB2312"/>
          <w:b w:val="0"/>
          <w:bCs/>
          <w:color w:val="000000"/>
          <w:sz w:val="32"/>
          <w:szCs w:val="32"/>
        </w:rPr>
        <w:t xml:space="preserve"> </w:t>
      </w:r>
      <w:r>
        <w:rPr>
          <w:rFonts w:hint="eastAsia" w:ascii="仿宋_GB2312" w:eastAsia="仿宋_GB2312"/>
          <w:sz w:val="32"/>
          <w:szCs w:val="32"/>
        </w:rPr>
        <w:t>社会保障和就业（类）行政事业</w:t>
      </w:r>
      <w:r>
        <w:rPr>
          <w:rFonts w:ascii="仿宋_GB2312" w:eastAsia="仿宋_GB2312"/>
          <w:sz w:val="32"/>
          <w:szCs w:val="32"/>
        </w:rPr>
        <w:t>单位养老支出</w:t>
      </w:r>
      <w:r>
        <w:rPr>
          <w:rFonts w:hint="eastAsia" w:ascii="仿宋_GB2312" w:eastAsia="仿宋_GB2312"/>
          <w:sz w:val="32"/>
          <w:szCs w:val="32"/>
        </w:rPr>
        <w:t>（款）机关事业单位基本养老保险缴费支出（项）：</w:t>
      </w:r>
      <w:r>
        <w:rPr>
          <w:rFonts w:ascii="仿宋_GB2312" w:eastAsia="仿宋_GB2312"/>
          <w:sz w:val="32"/>
          <w:szCs w:val="32"/>
        </w:rPr>
        <w:t>指</w:t>
      </w:r>
      <w:r>
        <w:rPr>
          <w:rFonts w:hint="eastAsia" w:ascii="仿宋_GB2312" w:eastAsia="仿宋_GB2312"/>
          <w:sz w:val="32"/>
          <w:szCs w:val="32"/>
        </w:rPr>
        <w:t>单位</w:t>
      </w:r>
      <w:r>
        <w:rPr>
          <w:rFonts w:ascii="仿宋_GB2312" w:eastAsia="仿宋_GB2312"/>
          <w:sz w:val="32"/>
          <w:szCs w:val="32"/>
        </w:rPr>
        <w:t>实施养老保险制度由单位缴纳的基本养老保险支出。</w:t>
      </w:r>
    </w:p>
    <w:p>
      <w:pPr>
        <w:pStyle w:val="28"/>
        <w:spacing w:line="560" w:lineRule="exact"/>
        <w:ind w:firstLine="640" w:firstLineChars="200"/>
        <w:rPr>
          <w:rStyle w:val="20"/>
          <w:rFonts w:ascii="仿宋_GB2312" w:eastAsia="仿宋_GB2312"/>
          <w:b w:val="0"/>
          <w:sz w:val="32"/>
          <w:szCs w:val="32"/>
        </w:rPr>
      </w:pPr>
      <w:r>
        <w:rPr>
          <w:rFonts w:ascii="仿宋_GB2312" w:eastAsia="仿宋_GB2312"/>
          <w:sz w:val="32"/>
          <w:szCs w:val="32"/>
        </w:rPr>
        <w:t>11</w:t>
      </w:r>
      <w:r>
        <w:rPr>
          <w:rFonts w:hint="eastAsia" w:ascii="仿宋_GB2312" w:eastAsia="仿宋_GB2312"/>
          <w:sz w:val="32"/>
          <w:szCs w:val="32"/>
        </w:rPr>
        <w:t>.社会保障和就业（类）行政事业</w:t>
      </w:r>
      <w:r>
        <w:rPr>
          <w:rFonts w:ascii="仿宋_GB2312" w:eastAsia="仿宋_GB2312"/>
          <w:sz w:val="32"/>
          <w:szCs w:val="32"/>
        </w:rPr>
        <w:t>单位养老支出</w:t>
      </w:r>
      <w:r>
        <w:rPr>
          <w:rFonts w:hint="eastAsia" w:ascii="仿宋_GB2312" w:eastAsia="仿宋_GB2312"/>
          <w:sz w:val="32"/>
          <w:szCs w:val="32"/>
        </w:rPr>
        <w:t>（款）  机关事业单位职业年金缴费支出（项）：</w:t>
      </w:r>
      <w:r>
        <w:rPr>
          <w:rFonts w:ascii="仿宋_GB2312" w:eastAsia="仿宋_GB2312"/>
          <w:sz w:val="32"/>
          <w:szCs w:val="32"/>
        </w:rPr>
        <w:t>指</w:t>
      </w:r>
      <w:r>
        <w:rPr>
          <w:rFonts w:hint="eastAsia" w:ascii="仿宋_GB2312" w:eastAsia="仿宋_GB2312"/>
          <w:sz w:val="32"/>
          <w:szCs w:val="32"/>
        </w:rPr>
        <w:t>单位</w:t>
      </w:r>
      <w:r>
        <w:rPr>
          <w:rFonts w:ascii="仿宋_GB2312" w:eastAsia="仿宋_GB2312"/>
          <w:sz w:val="32"/>
          <w:szCs w:val="32"/>
        </w:rPr>
        <w:t>实施养老保险制度由单位</w:t>
      </w:r>
      <w:r>
        <w:rPr>
          <w:rFonts w:hint="eastAsia" w:ascii="仿宋_GB2312" w:eastAsia="仿宋_GB2312"/>
          <w:sz w:val="32"/>
          <w:szCs w:val="32"/>
        </w:rPr>
        <w:t>实际</w:t>
      </w:r>
      <w:r>
        <w:rPr>
          <w:rFonts w:ascii="仿宋_GB2312" w:eastAsia="仿宋_GB2312"/>
          <w:sz w:val="32"/>
          <w:szCs w:val="32"/>
        </w:rPr>
        <w:t>缴纳的</w:t>
      </w:r>
      <w:r>
        <w:rPr>
          <w:rFonts w:hint="eastAsia" w:ascii="仿宋_GB2312" w:eastAsia="仿宋_GB2312"/>
          <w:sz w:val="32"/>
          <w:szCs w:val="32"/>
        </w:rPr>
        <w:t>职业年金支</w:t>
      </w:r>
      <w:r>
        <w:rPr>
          <w:rFonts w:ascii="仿宋_GB2312" w:eastAsia="仿宋_GB2312"/>
          <w:sz w:val="32"/>
          <w:szCs w:val="32"/>
        </w:rPr>
        <w:t>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.医疗卫生与计划生育（类）行政事业</w:t>
      </w:r>
      <w:r>
        <w:rPr>
          <w:rFonts w:ascii="仿宋_GB2312" w:eastAsia="仿宋_GB2312"/>
          <w:color w:val="000000"/>
          <w:sz w:val="32"/>
          <w:szCs w:val="32"/>
        </w:rPr>
        <w:t>单位医疗</w:t>
      </w:r>
      <w:r>
        <w:rPr>
          <w:rFonts w:hint="eastAsia" w:ascii="仿宋_GB2312" w:eastAsia="仿宋_GB2312"/>
          <w:color w:val="000000"/>
          <w:sz w:val="32"/>
          <w:szCs w:val="32"/>
        </w:rPr>
        <w:t>（款）行政</w:t>
      </w:r>
      <w:r>
        <w:rPr>
          <w:rFonts w:ascii="仿宋_GB2312" w:eastAsia="仿宋_GB2312"/>
          <w:color w:val="000000"/>
          <w:sz w:val="32"/>
          <w:szCs w:val="32"/>
        </w:rPr>
        <w:t>单位医疗</w:t>
      </w:r>
      <w:r>
        <w:rPr>
          <w:rFonts w:hint="eastAsia" w:ascii="仿宋_GB2312" w:eastAsia="仿宋_GB2312"/>
          <w:color w:val="000000"/>
          <w:sz w:val="32"/>
          <w:szCs w:val="32"/>
        </w:rPr>
        <w:t>（项）：指财政部门安排的</w:t>
      </w:r>
      <w:r>
        <w:rPr>
          <w:rFonts w:ascii="仿宋_GB2312" w:eastAsia="仿宋_GB2312"/>
          <w:color w:val="000000"/>
          <w:sz w:val="32"/>
          <w:szCs w:val="32"/>
        </w:rPr>
        <w:t>行政单位（</w:t>
      </w:r>
      <w:r>
        <w:rPr>
          <w:rFonts w:hint="eastAsia" w:ascii="仿宋_GB2312" w:eastAsia="仿宋_GB2312"/>
          <w:color w:val="000000"/>
          <w:sz w:val="32"/>
          <w:szCs w:val="32"/>
        </w:rPr>
        <w:t>包括</w:t>
      </w:r>
      <w:r>
        <w:rPr>
          <w:rFonts w:ascii="仿宋_GB2312" w:eastAsia="仿宋_GB2312"/>
          <w:color w:val="000000"/>
          <w:sz w:val="32"/>
          <w:szCs w:val="32"/>
        </w:rPr>
        <w:t>试行</w:t>
      </w:r>
      <w:r>
        <w:rPr>
          <w:rFonts w:hint="eastAsia" w:ascii="仿宋_GB2312" w:eastAsia="仿宋_GB2312"/>
          <w:color w:val="000000"/>
          <w:sz w:val="32"/>
          <w:szCs w:val="32"/>
        </w:rPr>
        <w:t>公务员</w:t>
      </w:r>
      <w:r>
        <w:rPr>
          <w:rFonts w:ascii="仿宋_GB2312" w:eastAsia="仿宋_GB2312"/>
          <w:color w:val="000000"/>
          <w:sz w:val="32"/>
          <w:szCs w:val="32"/>
        </w:rPr>
        <w:t>管理的事业单位，下同）</w:t>
      </w:r>
      <w:r>
        <w:rPr>
          <w:rFonts w:hint="eastAsia" w:ascii="仿宋_GB2312" w:eastAsia="仿宋_GB2312"/>
          <w:color w:val="000000"/>
          <w:sz w:val="32"/>
          <w:szCs w:val="32"/>
        </w:rPr>
        <w:t>基本</w:t>
      </w:r>
      <w:r>
        <w:rPr>
          <w:rFonts w:ascii="仿宋_GB2312" w:eastAsia="仿宋_GB2312"/>
          <w:color w:val="000000"/>
          <w:sz w:val="32"/>
          <w:szCs w:val="32"/>
        </w:rPr>
        <w:t>医疗保险缴纳经费，未参加医疗保险的行政单位的</w:t>
      </w:r>
      <w:r>
        <w:rPr>
          <w:rFonts w:hint="eastAsia" w:ascii="仿宋_GB2312" w:eastAsia="仿宋_GB2312"/>
          <w:color w:val="000000"/>
          <w:sz w:val="32"/>
          <w:szCs w:val="32"/>
        </w:rPr>
        <w:t>公费</w:t>
      </w:r>
      <w:r>
        <w:rPr>
          <w:rFonts w:ascii="仿宋_GB2312" w:eastAsia="仿宋_GB2312"/>
          <w:color w:val="000000"/>
          <w:sz w:val="32"/>
          <w:szCs w:val="32"/>
        </w:rPr>
        <w:t>医疗经费，按照国家规定</w:t>
      </w:r>
      <w:r>
        <w:rPr>
          <w:rFonts w:hint="eastAsia" w:ascii="仿宋_GB2312" w:eastAsia="仿宋_GB2312"/>
          <w:color w:val="000000"/>
          <w:sz w:val="32"/>
          <w:szCs w:val="32"/>
        </w:rPr>
        <w:t>享受</w:t>
      </w:r>
      <w:r>
        <w:rPr>
          <w:rFonts w:ascii="仿宋_GB2312" w:eastAsia="仿宋_GB2312"/>
          <w:color w:val="000000"/>
          <w:sz w:val="32"/>
          <w:szCs w:val="32"/>
        </w:rPr>
        <w:t>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Style w:val="20"/>
          <w:rFonts w:ascii="仿宋_GB2312" w:hAnsi="仿宋" w:eastAsia="仿宋_GB2312"/>
          <w:b w:val="0"/>
          <w:bCs/>
          <w:color w:val="000000"/>
          <w:sz w:val="32"/>
          <w:szCs w:val="32"/>
        </w:rPr>
        <w:t>13</w:t>
      </w:r>
      <w:r>
        <w:rPr>
          <w:rStyle w:val="20"/>
          <w:rFonts w:hint="eastAsia" w:ascii="仿宋_GB2312" w:hAnsi="仿宋" w:eastAsia="仿宋_GB2312"/>
          <w:b w:val="0"/>
          <w:bCs/>
          <w:color w:val="000000"/>
          <w:sz w:val="32"/>
          <w:szCs w:val="32"/>
        </w:rPr>
        <w:t>.农林水（类）扶贫（款）其他扶贫支出（项）:</w:t>
      </w:r>
      <w:r>
        <w:rPr>
          <w:rFonts w:hint="eastAsia" w:ascii="仿宋_GB2312" w:eastAsia="仿宋_GB2312"/>
          <w:b/>
          <w:color w:val="000000"/>
          <w:sz w:val="32"/>
          <w:szCs w:val="32"/>
        </w:rPr>
        <w:t xml:space="preserve"> </w:t>
      </w:r>
      <w:r>
        <w:rPr>
          <w:rFonts w:hint="eastAsia" w:ascii="仿宋_GB2312" w:eastAsia="仿宋_GB2312"/>
          <w:color w:val="000000"/>
          <w:sz w:val="32"/>
          <w:szCs w:val="32"/>
        </w:rPr>
        <w:t>指除上述</w:t>
      </w:r>
      <w:r>
        <w:rPr>
          <w:rFonts w:ascii="仿宋_GB2312" w:eastAsia="仿宋_GB2312"/>
          <w:color w:val="000000"/>
          <w:sz w:val="32"/>
          <w:szCs w:val="32"/>
        </w:rPr>
        <w:t>项目之外其他用于扶贫方面的支出</w:t>
      </w:r>
      <w:r>
        <w:rPr>
          <w:rFonts w:hint="eastAsia" w:ascii="仿宋_GB2312" w:eastAsia="仿宋_GB2312"/>
          <w:color w:val="000000"/>
          <w:sz w:val="32"/>
          <w:szCs w:val="32"/>
        </w:rPr>
        <w:t>。</w:t>
      </w:r>
    </w:p>
    <w:p>
      <w:pPr>
        <w:spacing w:line="600" w:lineRule="exact"/>
        <w:ind w:firstLine="640" w:firstLineChars="200"/>
        <w:rPr>
          <w:rStyle w:val="20"/>
          <w:rFonts w:ascii="仿宋_GB2312" w:hAnsi="仿宋" w:eastAsia="仿宋_GB2312"/>
          <w:b w:val="0"/>
          <w:bCs/>
          <w:color w:val="000000"/>
          <w:sz w:val="32"/>
          <w:szCs w:val="32"/>
        </w:rPr>
      </w:pPr>
      <w:r>
        <w:rPr>
          <w:rStyle w:val="20"/>
          <w:rFonts w:ascii="仿宋_GB2312" w:hAnsi="仿宋" w:eastAsia="仿宋_GB2312"/>
          <w:b w:val="0"/>
          <w:bCs/>
          <w:color w:val="000000"/>
          <w:sz w:val="32"/>
          <w:szCs w:val="32"/>
        </w:rPr>
        <w:t>14</w:t>
      </w:r>
      <w:r>
        <w:rPr>
          <w:rStyle w:val="20"/>
          <w:rFonts w:hint="eastAsia" w:ascii="仿宋_GB2312" w:hAnsi="仿宋" w:eastAsia="仿宋_GB2312"/>
          <w:b w:val="0"/>
          <w:bCs/>
          <w:color w:val="000000"/>
          <w:sz w:val="32"/>
          <w:szCs w:val="32"/>
        </w:rPr>
        <w:t>.农林水（类）扶贫（款）对村民委员会和村党支部的补助（项）: 反映</w:t>
      </w:r>
      <w:r>
        <w:rPr>
          <w:rStyle w:val="20"/>
          <w:rFonts w:ascii="仿宋_GB2312" w:hAnsi="仿宋" w:eastAsia="仿宋_GB2312"/>
          <w:b w:val="0"/>
          <w:bCs/>
          <w:color w:val="000000"/>
          <w:sz w:val="32"/>
          <w:szCs w:val="32"/>
        </w:rPr>
        <w:t>各级财政对村民委员会和村党支部的补助支出，以及支持建立县级基本财力</w:t>
      </w:r>
      <w:r>
        <w:rPr>
          <w:rStyle w:val="20"/>
          <w:rFonts w:hint="eastAsia" w:ascii="仿宋_GB2312" w:hAnsi="仿宋" w:eastAsia="仿宋_GB2312"/>
          <w:b w:val="0"/>
          <w:bCs/>
          <w:color w:val="000000"/>
          <w:sz w:val="32"/>
          <w:szCs w:val="32"/>
        </w:rPr>
        <w:t>保障</w:t>
      </w:r>
      <w:r>
        <w:rPr>
          <w:rStyle w:val="20"/>
          <w:rFonts w:ascii="仿宋_GB2312" w:hAnsi="仿宋" w:eastAsia="仿宋_GB2312"/>
          <w:b w:val="0"/>
          <w:bCs/>
          <w:color w:val="000000"/>
          <w:sz w:val="32"/>
          <w:szCs w:val="32"/>
        </w:rPr>
        <w:t>机制安排的村级组织运转奖</w:t>
      </w:r>
      <w:r>
        <w:rPr>
          <w:rStyle w:val="20"/>
          <w:rFonts w:hint="eastAsia" w:ascii="仿宋_GB2312" w:hAnsi="仿宋" w:eastAsia="仿宋_GB2312"/>
          <w:b w:val="0"/>
          <w:bCs/>
          <w:color w:val="000000"/>
          <w:sz w:val="32"/>
          <w:szCs w:val="32"/>
        </w:rPr>
        <w:t>补</w:t>
      </w:r>
      <w:r>
        <w:rPr>
          <w:rStyle w:val="20"/>
          <w:rFonts w:ascii="仿宋_GB2312" w:hAnsi="仿宋" w:eastAsia="仿宋_GB2312"/>
          <w:b w:val="0"/>
          <w:bCs/>
          <w:color w:val="000000"/>
          <w:sz w:val="32"/>
          <w:szCs w:val="32"/>
        </w:rPr>
        <w:t>资金。</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.住房保障</w:t>
      </w:r>
      <w:r>
        <w:rPr>
          <w:rFonts w:ascii="仿宋_GB2312" w:eastAsia="仿宋_GB2312"/>
          <w:color w:val="000000"/>
          <w:sz w:val="32"/>
          <w:szCs w:val="32"/>
        </w:rPr>
        <w:t>支出</w:t>
      </w:r>
      <w:r>
        <w:rPr>
          <w:rFonts w:hint="eastAsia" w:ascii="仿宋_GB2312" w:eastAsia="仿宋_GB2312"/>
          <w:color w:val="000000"/>
          <w:sz w:val="32"/>
          <w:szCs w:val="32"/>
        </w:rPr>
        <w:t>（类）住房改革</w:t>
      </w:r>
      <w:r>
        <w:rPr>
          <w:rFonts w:ascii="仿宋_GB2312" w:eastAsia="仿宋_GB2312"/>
          <w:color w:val="000000"/>
          <w:sz w:val="32"/>
          <w:szCs w:val="32"/>
        </w:rPr>
        <w:t>支出</w:t>
      </w:r>
      <w:r>
        <w:rPr>
          <w:rFonts w:hint="eastAsia" w:ascii="仿宋_GB2312" w:eastAsia="仿宋_GB2312"/>
          <w:color w:val="000000"/>
          <w:sz w:val="32"/>
          <w:szCs w:val="32"/>
        </w:rPr>
        <w:t>（款）住房公积金（项）</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指单位</w:t>
      </w:r>
      <w:r>
        <w:rPr>
          <w:rFonts w:ascii="仿宋_GB2312" w:eastAsia="仿宋_GB2312"/>
          <w:color w:val="000000"/>
          <w:sz w:val="32"/>
          <w:szCs w:val="32"/>
        </w:rPr>
        <w:t>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ascii="仿宋_GB2312" w:eastAsia="仿宋_GB2312"/>
          <w:sz w:val="32"/>
          <w:szCs w:val="32"/>
        </w:rPr>
      </w:pPr>
    </w:p>
    <w:p>
      <w:pPr>
        <w:pStyle w:val="28"/>
        <w:spacing w:line="560" w:lineRule="exact"/>
        <w:ind w:firstLine="640" w:firstLineChars="200"/>
        <w:rPr>
          <w:rFonts w:ascii="仿宋_GB2312" w:eastAsia="仿宋_GB2312"/>
          <w:sz w:val="32"/>
          <w:szCs w:val="32"/>
        </w:rPr>
      </w:pPr>
    </w:p>
    <w:p>
      <w:pPr>
        <w:pStyle w:val="28"/>
        <w:spacing w:line="560" w:lineRule="exact"/>
        <w:ind w:firstLine="640" w:firstLineChars="200"/>
        <w:rPr>
          <w:rFonts w:ascii="仿宋_GB2312" w:eastAsia="仿宋_GB2312"/>
          <w:sz w:val="32"/>
          <w:szCs w:val="32"/>
        </w:rPr>
      </w:pPr>
    </w:p>
    <w:p>
      <w:pPr>
        <w:pStyle w:val="28"/>
        <w:spacing w:line="560" w:lineRule="exact"/>
        <w:ind w:firstLine="640" w:firstLineChars="200"/>
        <w:rPr>
          <w:rFonts w:ascii="仿宋_GB2312" w:eastAsia="仿宋_GB2312" w:cs="黑体"/>
          <w:sz w:val="32"/>
          <w:szCs w:val="32"/>
        </w:rPr>
      </w:pPr>
    </w:p>
    <w:p>
      <w:pPr>
        <w:pStyle w:val="4"/>
        <w:jc w:val="center"/>
        <w:rPr>
          <w:bCs w:val="0"/>
        </w:rPr>
      </w:pPr>
      <w:bookmarkStart w:id="63" w:name="_Toc85785835"/>
      <w:bookmarkStart w:id="64" w:name="_Toc85790015"/>
      <w:bookmarkStart w:id="65" w:name="_Toc85788642"/>
      <w:r>
        <w:rPr>
          <w:rFonts w:hint="eastAsia"/>
          <w:bCs w:val="0"/>
        </w:rPr>
        <w:t>第四部分 附件</w:t>
      </w:r>
      <w:bookmarkEnd w:id="63"/>
      <w:bookmarkEnd w:id="64"/>
      <w:bookmarkEnd w:id="65"/>
    </w:p>
    <w:p>
      <w:pPr>
        <w:pStyle w:val="5"/>
        <w:rPr>
          <w:rFonts w:ascii="方正小标宋简体" w:hAnsi="方正小标宋简体" w:eastAsia="方正小标宋简体" w:cs="方正小标宋简体"/>
        </w:rPr>
      </w:pPr>
      <w:bookmarkStart w:id="66" w:name="_Toc85790016"/>
      <w:bookmarkStart w:id="67" w:name="_Toc79163631"/>
      <w:bookmarkStart w:id="68" w:name="_Toc85785836"/>
      <w:bookmarkStart w:id="69" w:name="_Toc17676"/>
      <w:bookmarkStart w:id="70" w:name="_Toc85788643"/>
      <w:r>
        <w:rPr>
          <w:rFonts w:hint="eastAsia"/>
        </w:rPr>
        <w:t>附件</w:t>
      </w:r>
      <w:r>
        <w:t>1</w:t>
      </w:r>
      <w:bookmarkEnd w:id="66"/>
      <w:bookmarkEnd w:id="67"/>
      <w:bookmarkEnd w:id="68"/>
      <w:bookmarkEnd w:id="69"/>
      <w:bookmarkEnd w:id="70"/>
      <w:r>
        <w:rPr>
          <w:rFonts w:hint="eastAsia" w:ascii="方正小标宋简体" w:hAnsi="方正小标宋简体" w:eastAsia="方正小标宋简体" w:cs="方正小标宋简体"/>
        </w:rPr>
        <w:t xml:space="preserve"> </w:t>
      </w:r>
    </w:p>
    <w:p>
      <w:pPr>
        <w:spacing w:line="360" w:lineRule="auto"/>
        <w:jc w:val="center"/>
        <w:outlineLvl w:val="0"/>
        <w:rPr>
          <w:rFonts w:hint="eastAsia" w:asciiTheme="minorEastAsia" w:hAnsiTheme="minorEastAsia" w:cstheme="minorEastAsia"/>
          <w:b/>
          <w:bCs/>
          <w:kern w:val="0"/>
          <w:sz w:val="44"/>
          <w:szCs w:val="44"/>
          <w:lang w:val="en-US" w:eastAsia="zh-CN"/>
        </w:rPr>
      </w:pPr>
      <w:r>
        <w:rPr>
          <w:rFonts w:hint="eastAsia" w:asciiTheme="minorEastAsia" w:hAnsiTheme="minorEastAsia" w:cstheme="minorEastAsia"/>
          <w:b/>
          <w:bCs/>
          <w:kern w:val="0"/>
          <w:sz w:val="44"/>
          <w:szCs w:val="44"/>
          <w:lang w:val="en-US" w:eastAsia="zh-CN"/>
        </w:rPr>
        <w:t>中共壤塘县委员会组织部</w:t>
      </w:r>
    </w:p>
    <w:p>
      <w:pPr>
        <w:spacing w:line="360" w:lineRule="auto"/>
        <w:jc w:val="center"/>
        <w:outlineLvl w:val="0"/>
        <w:rPr>
          <w:rFonts w:asciiTheme="minorEastAsia" w:hAnsiTheme="minorEastAsia" w:cstheme="minorEastAsia"/>
          <w:b/>
          <w:bCs/>
          <w:kern w:val="0"/>
          <w:sz w:val="44"/>
          <w:szCs w:val="44"/>
        </w:rPr>
      </w:pPr>
      <w:r>
        <w:rPr>
          <w:rFonts w:hint="eastAsia" w:asciiTheme="minorEastAsia" w:hAnsiTheme="minorEastAsia" w:cstheme="minorEastAsia"/>
          <w:b/>
          <w:bCs/>
          <w:kern w:val="0"/>
          <w:sz w:val="44"/>
          <w:szCs w:val="44"/>
        </w:rPr>
        <w:t>20</w:t>
      </w:r>
      <w:r>
        <w:rPr>
          <w:rFonts w:hint="eastAsia" w:asciiTheme="minorEastAsia" w:hAnsiTheme="minorEastAsia" w:cstheme="minorEastAsia"/>
          <w:b/>
          <w:bCs/>
          <w:kern w:val="0"/>
          <w:sz w:val="44"/>
          <w:szCs w:val="44"/>
          <w:lang w:val="en-US" w:eastAsia="zh-CN"/>
        </w:rPr>
        <w:t>21</w:t>
      </w:r>
      <w:r>
        <w:rPr>
          <w:rFonts w:hint="eastAsia" w:asciiTheme="minorEastAsia" w:hAnsiTheme="minorEastAsia" w:cstheme="minorEastAsia"/>
          <w:b/>
          <w:bCs/>
          <w:kern w:val="0"/>
          <w:sz w:val="44"/>
          <w:szCs w:val="44"/>
        </w:rPr>
        <w:t>年度部门整体支出绩效评价</w:t>
      </w:r>
    </w:p>
    <w:p>
      <w:pPr>
        <w:spacing w:line="360" w:lineRule="auto"/>
        <w:jc w:val="center"/>
        <w:outlineLvl w:val="0"/>
        <w:rPr>
          <w:rFonts w:asciiTheme="minorEastAsia" w:hAnsiTheme="minorEastAsia" w:cstheme="minorEastAsia"/>
          <w:b/>
          <w:bCs/>
          <w:kern w:val="0"/>
          <w:sz w:val="44"/>
          <w:szCs w:val="44"/>
        </w:rPr>
      </w:pPr>
      <w:r>
        <w:rPr>
          <w:rFonts w:hint="eastAsia" w:asciiTheme="minorEastAsia" w:hAnsiTheme="minorEastAsia" w:cstheme="minorEastAsia"/>
          <w:b/>
          <w:bCs/>
          <w:kern w:val="0"/>
          <w:sz w:val="44"/>
          <w:szCs w:val="44"/>
        </w:rPr>
        <w:t>自评报告</w:t>
      </w:r>
    </w:p>
    <w:p>
      <w:pPr>
        <w:spacing w:line="360" w:lineRule="auto"/>
        <w:rPr>
          <w:rFonts w:asciiTheme="minorEastAsia" w:hAnsiTheme="minorEastAsia" w:cstheme="minorEastAsia"/>
          <w:kern w:val="0"/>
          <w:szCs w:val="21"/>
        </w:rPr>
      </w:pPr>
    </w:p>
    <w:p>
      <w:pPr>
        <w:tabs>
          <w:tab w:val="right" w:pos="8306"/>
        </w:tabs>
        <w:spacing w:line="600" w:lineRule="exact"/>
        <w:ind w:firstLine="640"/>
        <w:outlineLvl w:val="1"/>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rPr>
        <w:t>部门（单位）概况</w:t>
      </w:r>
    </w:p>
    <w:p>
      <w:pPr>
        <w:spacing w:line="360" w:lineRule="auto"/>
        <w:ind w:firstLine="640" w:firstLineChars="200"/>
        <w:rPr>
          <w:rFonts w:hint="eastAsia" w:ascii="仿宋_GB2312" w:hAnsi="仿宋_GB2312" w:eastAsia="仿宋_GB2312" w:cs="仿宋_GB2312"/>
          <w:b w:val="0"/>
          <w:bCs w:val="0"/>
          <w:color w:val="auto"/>
          <w:sz w:val="32"/>
          <w:szCs w:val="32"/>
          <w:highlight w:val="none"/>
          <w:shd w:val="clear" w:color="FFFFFF" w:fill="D9D9D9"/>
          <w:lang w:val="en-US" w:eastAsia="zh-CN"/>
        </w:rPr>
      </w:pPr>
      <w:r>
        <w:rPr>
          <w:rFonts w:hint="eastAsia" w:ascii="仿宋_GB2312" w:hAnsi="仿宋_GB2312" w:eastAsia="仿宋_GB2312" w:cs="仿宋_GB2312"/>
          <w:kern w:val="2"/>
          <w:sz w:val="32"/>
          <w:szCs w:val="32"/>
          <w:lang w:val="en-US" w:eastAsia="zh-CN" w:bidi="ar-SA"/>
        </w:rPr>
        <w:t>中共壤塘县委员会组织部，机构性质：行政，机构地址：四川省阿坝州壤塘县岗木达镇罗吾塘中街90号</w:t>
      </w:r>
      <w:r>
        <w:rPr>
          <w:rFonts w:hint="eastAsia" w:ascii="仿宋_GB2312" w:hAnsi="仿宋_GB2312" w:eastAsia="仿宋_GB2312" w:cs="仿宋_GB2312"/>
          <w:color w:val="auto"/>
          <w:kern w:val="2"/>
          <w:sz w:val="32"/>
          <w:szCs w:val="32"/>
          <w:lang w:val="en-US" w:eastAsia="zh-CN" w:bidi="ar-SA"/>
        </w:rPr>
        <w:t>，负责人：刘兴林。</w:t>
      </w:r>
    </w:p>
    <w:p>
      <w:pPr>
        <w:pStyle w:val="29"/>
        <w:numPr>
          <w:ilvl w:val="0"/>
          <w:numId w:val="5"/>
        </w:numPr>
        <w:spacing w:line="360" w:lineRule="auto"/>
        <w:ind w:firstLineChars="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机构组成</w:t>
      </w:r>
    </w:p>
    <w:p>
      <w:pPr>
        <w:pStyle w:val="38"/>
        <w:ind w:left="0" w:leftChars="0" w:firstLine="640" w:firstLineChars="200"/>
        <w:rPr>
          <w:rFonts w:hint="eastAsia" w:ascii="仿宋_GB2312" w:hAnsi="仿宋_GB2312" w:eastAsia="仿宋_GB2312" w:cs="仿宋_GB2312"/>
          <w:b/>
          <w:bCs/>
          <w:color w:val="FF0000"/>
          <w:kern w:val="0"/>
          <w:sz w:val="32"/>
          <w:szCs w:val="32"/>
          <w:lang w:eastAsia="zh-CN"/>
        </w:rPr>
      </w:pPr>
      <w:r>
        <w:rPr>
          <w:rFonts w:hint="eastAsia" w:ascii="仿宋_GB2312" w:hAnsi="仿宋_GB2312" w:eastAsia="仿宋_GB2312" w:cs="仿宋_GB2312"/>
          <w:sz w:val="32"/>
          <w:szCs w:val="32"/>
          <w:lang w:eastAsia="zh-CN"/>
        </w:rPr>
        <w:t>中共壤塘县委员会组织部</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中共壤塘县委</w:t>
      </w:r>
      <w:r>
        <w:rPr>
          <w:rFonts w:hint="eastAsia" w:ascii="仿宋_GB2312" w:hAnsi="仿宋_GB2312" w:eastAsia="仿宋_GB2312" w:cs="仿宋_GB2312"/>
          <w:sz w:val="32"/>
          <w:szCs w:val="32"/>
        </w:rPr>
        <w:t>工作部门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下设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股室</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办公室、组织科、干部科），所属事业单位4个（县委党员干部远程教育中心、壤塘县都江堰干休所、信息中心、干部档案管理中心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numPr>
          <w:ilvl w:val="0"/>
          <w:numId w:val="6"/>
        </w:numPr>
        <w:spacing w:line="360" w:lineRule="auto"/>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机构职能</w:t>
      </w:r>
    </w:p>
    <w:p>
      <w:pPr>
        <w:pStyle w:val="3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中共阿坝州壤塘县委员会组织部</w:t>
      </w:r>
      <w:r>
        <w:rPr>
          <w:rFonts w:hint="eastAsia" w:ascii="仿宋_GB2312" w:hAnsi="仿宋_GB2312" w:eastAsia="仿宋_GB2312" w:cs="仿宋_GB2312"/>
          <w:sz w:val="32"/>
          <w:szCs w:val="32"/>
        </w:rPr>
        <w:t>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县委组织部贯彻落实党和国家关于组织工作的方针政策和决策部署，全面落实省、州、县关于组织工作的部署要求，在履行职责过程中坚持和加强党对组织工作的集中统一领导。主要职责是：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1.贯彻落实习近平新时代中国特色社会主义思想和新时代党的组织路线，执行中央、省、市、县关于组织人事工作的方针、政策和法律规定。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lang w:val="en-US" w:eastAsia="zh-CN"/>
        </w:rPr>
        <w:t>2.负责全县组织人事制度改革的规划、部署、组织实施和宏观管理。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负责全县干部队伍建设的宏观管理，制订或参与制订干部队伍管理的重要政策、规定、制度，并对典型经验进行总结推介。组织研究制订适应现代企业制度要求的国有企业领导班子和企业经营管理者队伍建设的政策及有关规定，提出加强宏观指导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负责对县委管理的领导班子进行考察了解，并向县委提出调整配备的意见和建议；负责县委管理干部的考察、任免、工资、待遇、出国（境）、离退休审批手续的办理；指导机构编制部门拟定副科级以上单位领导班子职数；协助上级做好援藏援疆干部选派工作；负责规划、部署、组织实施青年干部、妇女干部、党外干部的培养、选拔、任用工作；协助管理垂直管理单位领导班子和领导干部，对领导班子建设和领导干部选拔任用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5.负责全县干部信息、干部统计、党内统计、人事档案等工作的综合指导。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负责干部监督工作的宏观指导，负责组织人事工作的督促检查，及时向县委和上级有关部门反映重要情况，对反映领导班子和领导干部的重要问题进行调查了解和督查督办；负责对党政领导干部的选拔任用工作进行监督，对有关监督制度的落实情况进行督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7.负责全县干部教育培训的宏观管理，制订全县干部教育工作规划和制度，组织、协调市管、县管干部和部分中青年干部的培训；指导、协调、检查乡镇和县直机关的干部教育工作。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8.组织拟订全县人才发展规划并组织实施，组织拟订全县人才工作政策及其配套措施，组织实施全县重大人才工程和人才工作重大专项计划，指导协调全县各类人才队伍建设，负责全县人才考核管理。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负责研究和指导党组织建设，制订加强党的工作制度、党内生活制度的规定和意见；会同有关部门对乡镇党委（工委）和县直机关党组织换届选举及民主生活会进行指导；研究指导党的基层组织建设以及党组织的设置原则、隶属关系和活动内容、工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10.研究、指导党员队伍建设，主管党员管理和发展工作，指导、协调党员教育工作；组织和开展新时期党的建设的理论研究；负责党费的收缴管理；指导全县党员电化教育。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11.会同有关单位部门做好各级党代表、人大代表、政协委员的推荐、提名和选举工作；做好各级党代表的联络、管理和服务工作。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12.负责全县组织人事工作的调查研究，及时向上级组织部门报告党的组织人事工作的重要情况；负责全县党员、干部的来信来访工作。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13.负责县派驻村帮扶工作队、结对帮扶工作及其责任人管理和考核。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负责全县机关公务员和参照公务员法管理单位工作人员录用计划申报、考试录用、调配（调任）、培训、考核等工作；负责全县机关公务员和参照公务员法管理单位工作人员工资、奖金、津贴补贴管理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15.负责全县离退休干部工作。贯彻执行上级有关离退休干部工作的方针、政策，制定全县离退休干部管理工作规划制度，指导、监督、协调各单位做好离退休干部管理和服务工作。</w:t>
      </w:r>
    </w:p>
    <w:p>
      <w:pPr>
        <w:pStyle w:val="17"/>
        <w:shd w:val="clear" w:fill="FFFFFF"/>
        <w:spacing w:beforeAutospacing="0" w:afterAutospacing="0"/>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16.承办县委和上级部门交办的其他事项。</w:t>
      </w:r>
    </w:p>
    <w:p>
      <w:pPr>
        <w:pStyle w:val="17"/>
        <w:shd w:val="clear" w:fill="FFFFFF"/>
        <w:spacing w:beforeAutospacing="0" w:afterAutospacing="0"/>
        <w:ind w:left="0"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kern w:val="0"/>
          <w:sz w:val="32"/>
          <w:szCs w:val="32"/>
        </w:rPr>
        <w:t>人员概况</w:t>
      </w:r>
    </w:p>
    <w:p>
      <w:pPr>
        <w:pStyle w:val="8"/>
        <w:adjustRightInd w:val="0"/>
        <w:snapToGrid w:val="0"/>
        <w:spacing w:before="0" w:beforeAutospacing="0" w:after="0" w:afterAutospacing="0" w:line="24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中共阿坝州壤塘县委员会组织部，总编制32名</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其中</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行政编制10人、行政工勤2人、参公公务员法管理事业人员14人、事业管理人员4人。</w:t>
      </w:r>
    </w:p>
    <w:p>
      <w:pPr>
        <w:tabs>
          <w:tab w:val="right" w:pos="8306"/>
        </w:tabs>
        <w:spacing w:line="600" w:lineRule="exact"/>
        <w:ind w:firstLine="640"/>
        <w:outlineLvl w:val="1"/>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二、预算管理情况：</w:t>
      </w:r>
    </w:p>
    <w:p>
      <w:pPr>
        <w:numPr>
          <w:ilvl w:val="0"/>
          <w:numId w:val="0"/>
        </w:num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1.预算编制情况：</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财政下达</w:t>
      </w:r>
      <w:r>
        <w:rPr>
          <w:rFonts w:hint="eastAsia" w:ascii="仿宋_GB2312" w:hAnsi="仿宋_GB2312" w:eastAsia="仿宋_GB2312" w:cs="仿宋_GB2312"/>
          <w:sz w:val="32"/>
          <w:szCs w:val="32"/>
          <w:lang w:eastAsia="zh-CN"/>
        </w:rPr>
        <w:t>中共阿坝州壤塘县委员会组织部</w:t>
      </w:r>
      <w:r>
        <w:rPr>
          <w:rFonts w:hint="eastAsia" w:ascii="仿宋_GB2312" w:hAnsi="仿宋_GB2312" w:eastAsia="仿宋_GB2312" w:cs="仿宋_GB2312"/>
          <w:sz w:val="32"/>
          <w:szCs w:val="32"/>
        </w:rPr>
        <w:t>年初预算收入</w:t>
      </w:r>
      <w:r>
        <w:rPr>
          <w:rFonts w:hint="eastAsia" w:ascii="仿宋_GB2312" w:hAnsi="仿宋_GB2312" w:eastAsia="仿宋_GB2312" w:cs="仿宋_GB2312"/>
          <w:sz w:val="32"/>
          <w:szCs w:val="32"/>
          <w:lang w:val="en-US" w:eastAsia="zh-CN"/>
        </w:rPr>
        <w:t>总额1018.20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其中上年结转结余资金28.37万元）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总计1018.21万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530.58</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487.62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2021年全年实际收入总计为1767.03万元，调增收入748.83万元。</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2.预算执行情况：</w:t>
      </w:r>
    </w:p>
    <w:p>
      <w:pPr>
        <w:numPr>
          <w:ilvl w:val="0"/>
          <w:numId w:val="0"/>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2021年全年</w:t>
      </w:r>
      <w:r>
        <w:rPr>
          <w:rFonts w:hint="eastAsia" w:ascii="仿宋_GB2312" w:hAnsi="仿宋_GB2312" w:eastAsia="仿宋_GB2312" w:cs="仿宋_GB2312"/>
          <w:sz w:val="32"/>
          <w:szCs w:val="32"/>
          <w:lang w:eastAsia="zh-CN"/>
        </w:rPr>
        <w:t>中共阿坝州壤塘县委员会组织部</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支出总额</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1767.03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723.21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1043.82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项目收入实际收到</w:t>
      </w:r>
      <w:r>
        <w:rPr>
          <w:rFonts w:hint="eastAsia" w:ascii="仿宋_GB2312" w:hAnsi="仿宋_GB2312" w:eastAsia="仿宋_GB2312" w:cs="仿宋_GB2312"/>
          <w:sz w:val="32"/>
          <w:szCs w:val="32"/>
          <w:lang w:val="en-US" w:eastAsia="zh-CN"/>
        </w:rPr>
        <w:t>1043.82</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1043.82</w:t>
      </w:r>
      <w:r>
        <w:rPr>
          <w:rFonts w:hint="eastAsia" w:ascii="仿宋_GB2312" w:hAnsi="仿宋_GB2312" w:eastAsia="仿宋_GB2312" w:cs="仿宋_GB2312"/>
          <w:sz w:val="32"/>
          <w:szCs w:val="32"/>
        </w:rPr>
        <w:t>万元。</w:t>
      </w:r>
    </w:p>
    <w:p>
      <w:pPr>
        <w:tabs>
          <w:tab w:val="right" w:pos="8306"/>
        </w:tabs>
        <w:spacing w:line="600" w:lineRule="exact"/>
        <w:ind w:firstLine="640"/>
        <w:outlineLvl w:val="1"/>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三、部门整体预算绩效管理情况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643" w:firstLineChars="200"/>
        <w:textAlignment w:val="auto"/>
        <w:rPr>
          <w:rFonts w:hint="eastAsia" w:ascii="仿宋_GB2312" w:hAnsi="仿宋_GB2312" w:eastAsia="仿宋_GB2312" w:cs="仿宋_GB2312"/>
          <w:b/>
          <w:bCs/>
          <w:kern w:val="0"/>
          <w:sz w:val="32"/>
          <w:szCs w:val="32"/>
          <w:lang w:val="zh-CN" w:eastAsia="zh-CN" w:bidi="ar-SA"/>
        </w:rPr>
      </w:pPr>
      <w:r>
        <w:rPr>
          <w:rFonts w:hint="eastAsia" w:ascii="仿宋_GB2312" w:hAnsi="仿宋_GB2312" w:eastAsia="仿宋_GB2312" w:cs="仿宋_GB2312"/>
          <w:b/>
          <w:bCs/>
          <w:kern w:val="0"/>
          <w:sz w:val="32"/>
          <w:szCs w:val="32"/>
          <w:lang w:val="zh-CN" w:eastAsia="zh-CN" w:bidi="ar-SA"/>
        </w:rPr>
        <w:t>（一）部门预算管理</w:t>
      </w:r>
    </w:p>
    <w:p>
      <w:pPr>
        <w:pStyle w:val="8"/>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1.绩效目标制定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bidi="ar-SA"/>
        </w:rPr>
        <w:t>按照预算绩效管理要求，本部门对2021年一般公共预算项</w:t>
      </w:r>
      <w:r>
        <w:rPr>
          <w:rFonts w:hint="eastAsia" w:ascii="仿宋_GB2312" w:hAnsi="宋体" w:eastAsia="仿宋_GB2312" w:cs="仿宋_GB2312"/>
          <w:kern w:val="0"/>
          <w:sz w:val="32"/>
          <w:szCs w:val="32"/>
          <w:lang w:val="en-US" w:eastAsia="zh-CN"/>
        </w:rPr>
        <w:t>目支出开展了绩效目标管理，共编制绩效目标覆盖率达到100%。</w:t>
      </w:r>
    </w:p>
    <w:p>
      <w:pPr>
        <w:widowControl/>
        <w:adjustRightInd w:val="0"/>
        <w:snapToGrid w:val="0"/>
        <w:spacing w:line="560" w:lineRule="exact"/>
        <w:ind w:firstLine="640" w:firstLineChars="200"/>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2.2021年整体目标如下：</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right="0" w:rightChars="0" w:firstLine="640" w:firstLineChars="200"/>
        <w:textAlignment w:val="auto"/>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（1）</w:t>
      </w:r>
      <w:r>
        <w:rPr>
          <w:rFonts w:hint="default" w:ascii="仿宋_GB2312" w:hAnsi="宋体" w:eastAsia="仿宋_GB2312" w:cs="仿宋_GB2312"/>
          <w:kern w:val="0"/>
          <w:sz w:val="32"/>
          <w:szCs w:val="32"/>
          <w:lang w:val="en-US" w:eastAsia="zh-CN" w:bidi="ar-SA"/>
        </w:rPr>
        <w:t>围绕“学习更深”，新时代思想凝心铸魂高位推进。</w:t>
      </w:r>
    </w:p>
    <w:p>
      <w:pPr>
        <w:pStyle w:val="7"/>
        <w:numPr>
          <w:ilvl w:val="0"/>
          <w:numId w:val="0"/>
        </w:numPr>
        <w:ind w:left="638" w:leftChars="304" w:firstLine="0" w:firstLineChars="0"/>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（2）</w:t>
      </w:r>
      <w:r>
        <w:rPr>
          <w:rFonts w:hint="default" w:ascii="仿宋_GB2312" w:hAnsi="宋体" w:eastAsia="仿宋_GB2312" w:cs="仿宋_GB2312"/>
          <w:kern w:val="0"/>
          <w:sz w:val="30"/>
          <w:szCs w:val="30"/>
          <w:lang w:val="en-US" w:eastAsia="zh-CN" w:bidi="ar-SA"/>
        </w:rPr>
        <w:t>围绕“氛围更浓”，建党百年系列庆祝活动有</w:t>
      </w:r>
      <w:r>
        <w:rPr>
          <w:rFonts w:hint="eastAsia" w:ascii="仿宋_GB2312" w:hAnsi="宋体" w:eastAsia="仿宋_GB2312" w:cs="仿宋_GB2312"/>
          <w:kern w:val="0"/>
          <w:sz w:val="30"/>
          <w:szCs w:val="30"/>
          <w:lang w:val="en-US" w:eastAsia="zh-CN" w:bidi="ar-SA"/>
        </w:rPr>
        <w:t>力</w:t>
      </w:r>
      <w:r>
        <w:rPr>
          <w:rFonts w:hint="default" w:ascii="仿宋_GB2312" w:hAnsi="宋体" w:eastAsia="仿宋_GB2312" w:cs="仿宋_GB2312"/>
          <w:kern w:val="0"/>
          <w:sz w:val="30"/>
          <w:szCs w:val="30"/>
          <w:lang w:val="en-US" w:eastAsia="zh-CN" w:bidi="ar-SA"/>
        </w:rPr>
        <w:t>推进。</w:t>
      </w:r>
      <w:r>
        <w:rPr>
          <w:rFonts w:hint="eastAsia" w:ascii="仿宋_GB2312" w:hAnsi="宋体" w:eastAsia="仿宋_GB2312" w:cs="仿宋_GB2312"/>
          <w:kern w:val="0"/>
          <w:sz w:val="32"/>
          <w:szCs w:val="32"/>
          <w:lang w:val="en-US" w:eastAsia="zh-CN" w:bidi="ar-SA"/>
        </w:rPr>
        <w:t>（3）</w:t>
      </w:r>
      <w:r>
        <w:rPr>
          <w:rFonts w:hint="default" w:ascii="仿宋_GB2312" w:hAnsi="宋体" w:eastAsia="仿宋_GB2312" w:cs="仿宋_GB2312"/>
          <w:kern w:val="0"/>
          <w:sz w:val="30"/>
          <w:szCs w:val="30"/>
          <w:lang w:val="en-US" w:eastAsia="zh-CN" w:bidi="ar-SA"/>
        </w:rPr>
        <w:t>围绕“纪律更严”</w:t>
      </w:r>
      <w:r>
        <w:rPr>
          <w:rFonts w:hint="eastAsia" w:ascii="仿宋_GB2312" w:hAnsi="宋体" w:eastAsia="仿宋_GB2312" w:cs="仿宋_GB2312"/>
          <w:kern w:val="0"/>
          <w:sz w:val="30"/>
          <w:szCs w:val="30"/>
          <w:lang w:val="en-US" w:eastAsia="zh-CN" w:bidi="ar-SA"/>
        </w:rPr>
        <w:t>，</w:t>
      </w:r>
      <w:r>
        <w:rPr>
          <w:rFonts w:hint="default" w:ascii="仿宋_GB2312" w:hAnsi="宋体" w:eastAsia="仿宋_GB2312" w:cs="仿宋_GB2312"/>
          <w:kern w:val="0"/>
          <w:sz w:val="30"/>
          <w:szCs w:val="30"/>
          <w:lang w:val="en-US" w:eastAsia="zh-CN" w:bidi="ar-SA"/>
        </w:rPr>
        <w:t>县乡村三级换届工作</w:t>
      </w:r>
      <w:r>
        <w:rPr>
          <w:rFonts w:hint="eastAsia" w:ascii="仿宋_GB2312" w:hAnsi="宋体" w:eastAsia="仿宋_GB2312" w:cs="仿宋_GB2312"/>
          <w:kern w:val="0"/>
          <w:sz w:val="30"/>
          <w:szCs w:val="30"/>
          <w:lang w:val="en-US" w:eastAsia="zh-CN" w:bidi="ar-SA"/>
        </w:rPr>
        <w:t>平稳</w:t>
      </w:r>
      <w:r>
        <w:rPr>
          <w:rFonts w:hint="default" w:ascii="仿宋_GB2312" w:hAnsi="宋体" w:eastAsia="仿宋_GB2312" w:cs="仿宋_GB2312"/>
          <w:kern w:val="0"/>
          <w:sz w:val="30"/>
          <w:szCs w:val="30"/>
          <w:lang w:val="en-US" w:eastAsia="zh-CN" w:bidi="ar-SA"/>
        </w:rPr>
        <w:t>推进。</w:t>
      </w:r>
      <w:r>
        <w:rPr>
          <w:rFonts w:hint="eastAsia" w:ascii="仿宋_GB2312" w:hAnsi="宋体" w:eastAsia="仿宋_GB2312" w:cs="仿宋_GB2312"/>
          <w:kern w:val="0"/>
          <w:sz w:val="32"/>
          <w:szCs w:val="32"/>
          <w:lang w:val="en-US" w:eastAsia="zh-CN" w:bidi="ar-SA"/>
        </w:rPr>
        <w:t>（4）</w:t>
      </w:r>
      <w:r>
        <w:rPr>
          <w:rFonts w:hint="default" w:ascii="仿宋_GB2312" w:hAnsi="宋体" w:eastAsia="仿宋_GB2312" w:cs="仿宋_GB2312"/>
          <w:kern w:val="0"/>
          <w:sz w:val="32"/>
          <w:szCs w:val="32"/>
          <w:lang w:val="en-US" w:eastAsia="zh-CN" w:bidi="ar-SA"/>
        </w:rPr>
        <w:t>围绕“基础更牢”，基层组织建设工作稳中有进。</w:t>
      </w:r>
    </w:p>
    <w:p>
      <w:pPr>
        <w:ind w:firstLine="640" w:firstLineChars="200"/>
        <w:rPr>
          <w:rFonts w:hint="default" w:ascii="仿宋_GB2312" w:hAnsi="宋体" w:eastAsia="仿宋_GB2312" w:cs="仿宋_GB2312"/>
          <w:kern w:val="0"/>
          <w:sz w:val="30"/>
          <w:szCs w:val="30"/>
          <w:lang w:val="en-US" w:eastAsia="zh-CN" w:bidi="ar-SA"/>
        </w:rPr>
      </w:pPr>
      <w:r>
        <w:rPr>
          <w:rFonts w:hint="eastAsia" w:ascii="仿宋_GB2312" w:hAnsi="宋体" w:eastAsia="仿宋_GB2312" w:cs="仿宋_GB2312"/>
          <w:kern w:val="0"/>
          <w:sz w:val="32"/>
          <w:szCs w:val="32"/>
          <w:lang w:val="en-US" w:eastAsia="zh-CN" w:bidi="ar-SA"/>
        </w:rPr>
        <w:t>（5）</w:t>
      </w:r>
      <w:r>
        <w:rPr>
          <w:rFonts w:hint="default" w:ascii="仿宋_GB2312" w:hAnsi="宋体" w:eastAsia="仿宋_GB2312" w:cs="仿宋_GB2312"/>
          <w:kern w:val="0"/>
          <w:sz w:val="30"/>
          <w:szCs w:val="30"/>
          <w:lang w:val="en-US" w:eastAsia="zh-CN" w:bidi="ar-SA"/>
        </w:rPr>
        <w:t>围绕“效果更实”，“联户联情”群众工作</w:t>
      </w:r>
      <w:r>
        <w:rPr>
          <w:rFonts w:hint="eastAsia" w:ascii="仿宋_GB2312" w:hAnsi="宋体" w:eastAsia="仿宋_GB2312" w:cs="仿宋_GB2312"/>
          <w:kern w:val="0"/>
          <w:sz w:val="30"/>
          <w:szCs w:val="30"/>
          <w:lang w:val="en-US" w:eastAsia="zh-CN" w:bidi="ar-SA"/>
        </w:rPr>
        <w:t>用情</w:t>
      </w:r>
      <w:r>
        <w:rPr>
          <w:rFonts w:hint="default" w:ascii="仿宋_GB2312" w:hAnsi="宋体" w:eastAsia="仿宋_GB2312" w:cs="仿宋_GB2312"/>
          <w:kern w:val="0"/>
          <w:sz w:val="30"/>
          <w:szCs w:val="30"/>
          <w:lang w:val="en-US" w:eastAsia="zh-CN" w:bidi="ar-SA"/>
        </w:rPr>
        <w:t>推进。</w:t>
      </w:r>
    </w:p>
    <w:p>
      <w:pPr>
        <w:pStyle w:val="15"/>
        <w:ind w:left="0" w:leftChars="0" w:firstLine="640" w:firstLineChars="200"/>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（6）</w:t>
      </w:r>
      <w:r>
        <w:rPr>
          <w:rFonts w:hint="default" w:ascii="仿宋_GB2312" w:hAnsi="宋体" w:eastAsia="仿宋_GB2312" w:cs="仿宋_GB2312"/>
          <w:kern w:val="0"/>
          <w:sz w:val="32"/>
          <w:szCs w:val="32"/>
          <w:lang w:val="en-US" w:eastAsia="zh-CN" w:bidi="ar-SA"/>
        </w:rPr>
        <w:t>围绕“</w:t>
      </w:r>
      <w:r>
        <w:rPr>
          <w:rFonts w:hint="eastAsia" w:ascii="仿宋_GB2312" w:hAnsi="宋体" w:eastAsia="仿宋_GB2312" w:cs="仿宋_GB2312"/>
          <w:kern w:val="0"/>
          <w:sz w:val="32"/>
          <w:szCs w:val="32"/>
          <w:lang w:val="en-US" w:eastAsia="zh-CN" w:bidi="ar-SA"/>
        </w:rPr>
        <w:t>机制更全</w:t>
      </w:r>
      <w:r>
        <w:rPr>
          <w:rFonts w:hint="default" w:ascii="仿宋_GB2312" w:hAnsi="宋体" w:eastAsia="仿宋_GB2312" w:cs="仿宋_GB2312"/>
          <w:kern w:val="0"/>
          <w:sz w:val="32"/>
          <w:szCs w:val="32"/>
          <w:lang w:val="en-US" w:eastAsia="zh-CN" w:bidi="ar-SA"/>
        </w:rPr>
        <w:t>”，人才干部队伍建设协调推进。</w:t>
      </w:r>
    </w:p>
    <w:p>
      <w:pPr>
        <w:pStyle w:val="15"/>
        <w:ind w:left="0" w:leftChars="0" w:firstLine="640" w:firstLineChars="200"/>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（7）</w:t>
      </w:r>
      <w:r>
        <w:rPr>
          <w:rFonts w:hint="default" w:ascii="仿宋_GB2312" w:hAnsi="宋体" w:eastAsia="仿宋_GB2312" w:cs="仿宋_GB2312"/>
          <w:kern w:val="0"/>
          <w:sz w:val="32"/>
          <w:szCs w:val="32"/>
          <w:lang w:val="en-US" w:eastAsia="zh-CN" w:bidi="ar-SA"/>
        </w:rPr>
        <w:t>围绕“</w:t>
      </w:r>
      <w:r>
        <w:rPr>
          <w:rFonts w:hint="eastAsia" w:ascii="仿宋_GB2312" w:hAnsi="宋体" w:eastAsia="仿宋_GB2312" w:cs="仿宋_GB2312"/>
          <w:kern w:val="0"/>
          <w:sz w:val="32"/>
          <w:szCs w:val="32"/>
          <w:lang w:val="en-US" w:eastAsia="zh-CN" w:bidi="ar-SA"/>
        </w:rPr>
        <w:t>作风更优</w:t>
      </w:r>
      <w:r>
        <w:rPr>
          <w:rFonts w:hint="default" w:ascii="仿宋_GB2312" w:hAnsi="宋体" w:eastAsia="仿宋_GB2312" w:cs="仿宋_GB2312"/>
          <w:kern w:val="0"/>
          <w:sz w:val="32"/>
          <w:szCs w:val="32"/>
          <w:lang w:val="en-US" w:eastAsia="zh-CN" w:bidi="ar-SA"/>
        </w:rPr>
        <w:t>”，</w:t>
      </w:r>
      <w:r>
        <w:rPr>
          <w:rFonts w:hint="eastAsia" w:ascii="仿宋_GB2312" w:hAnsi="宋体" w:eastAsia="仿宋_GB2312" w:cs="仿宋_GB2312"/>
          <w:kern w:val="0"/>
          <w:sz w:val="32"/>
          <w:szCs w:val="32"/>
          <w:lang w:val="en-US" w:eastAsia="zh-CN" w:bidi="ar-SA"/>
        </w:rPr>
        <w:t>部门自身建设严实推进</w:t>
      </w:r>
      <w:r>
        <w:rPr>
          <w:rFonts w:hint="default" w:ascii="仿宋_GB2312" w:hAnsi="宋体" w:eastAsia="仿宋_GB2312" w:cs="仿宋_GB2312"/>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3</w:t>
      </w:r>
      <w:r>
        <w:rPr>
          <w:rFonts w:hint="eastAsia" w:ascii="仿宋_GB2312" w:eastAsia="仿宋_GB2312" w:cs="仿宋_GB2312"/>
          <w:kern w:val="0"/>
          <w:sz w:val="32"/>
          <w:szCs w:val="32"/>
          <w:lang w:val="en-US" w:eastAsia="zh-CN" w:bidi="ar-SA"/>
        </w:rPr>
        <w:t>.</w:t>
      </w:r>
      <w:r>
        <w:rPr>
          <w:rFonts w:hint="eastAsia" w:ascii="仿宋_GB2312" w:hAnsi="宋体" w:eastAsia="仿宋_GB2312" w:cs="仿宋_GB2312"/>
          <w:kern w:val="0"/>
          <w:sz w:val="32"/>
          <w:szCs w:val="32"/>
          <w:lang w:val="en-US" w:eastAsia="zh-CN" w:bidi="ar-SA"/>
        </w:rPr>
        <w:t>预算编制准确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zh-CN" w:eastAsia="zh-CN"/>
        </w:rPr>
      </w:pPr>
      <w:r>
        <w:rPr>
          <w:rFonts w:hint="eastAsia" w:ascii="仿宋_GB2312" w:hAnsi="宋体" w:eastAsia="仿宋_GB2312" w:cs="仿宋_GB2312"/>
          <w:kern w:val="0"/>
          <w:sz w:val="32"/>
          <w:szCs w:val="32"/>
          <w:lang w:val="en-US" w:eastAsia="zh-CN"/>
        </w:rPr>
        <w:t>在预算编制中进一步夯实预算编制基础，及时更新相关基础数据，严格控制“三公”经费预算及支出，预算编制及决算编制做到了及时、完整、准确、合理、高效。</w:t>
      </w:r>
    </w:p>
    <w:p>
      <w:pPr>
        <w:pStyle w:val="8"/>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4.支出控制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中共壤塘县委员会组织部本年度资金使用过程中严格按照单位财务管理制度要求执行，资金使用的合规性体现在：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（1）所有经费开支坚持财务审批制度，重大资金支出（日常公用经费在2万元及以上）由部务会会议研究决定。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（2）在报销经费时，经办人使用统一规范的审批单，在审批单上写明用途、经办人员、股室负责人、财务负责人、单位领导、金额、报销日期等内容。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 xml:space="preserve">（3）费用报销审批程序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经办人填写报销单→由业务股室负责人确认签字→财务人员核签字→财务分管领导确认签字→领导（常务副部长）批准后，到财务科出纳处办理支付手续。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各个审批环节的具体职责：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业务股室负责人及其分管领导对其发生的支出用途及金额的真实性、准确性负责，并对其股室填写的支出审批单内容、大小写金额、票据张数进行审核。经济业务发生后，原则上在30天之内报账完毕。不得将几个经济事项的票据合并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财务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宋体" w:eastAsia="仿宋_GB2312" w:cs="仿宋_GB2312"/>
          <w:kern w:val="0"/>
          <w:sz w:val="32"/>
          <w:szCs w:val="32"/>
          <w:lang w:val="en-US" w:eastAsia="zh-CN"/>
        </w:rPr>
        <w:t>审批领导审查财务收支的真实性、必要性，并在报销凭证上明确签署报销意见。所有费用报销实行单位负责人“一支笔”签批制度。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643" w:firstLineChars="200"/>
        <w:textAlignment w:val="auto"/>
        <w:rPr>
          <w:rFonts w:hint="default" w:ascii="仿宋_GB2312" w:hAnsi="宋体"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（二）重点绩效目标完成情况</w:t>
      </w:r>
    </w:p>
    <w:p>
      <w:pPr>
        <w:pStyle w:val="7"/>
        <w:numPr>
          <w:ilvl w:val="0"/>
          <w:numId w:val="0"/>
        </w:numPr>
        <w:ind w:left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重点任务一：壤塘县人才支援及优秀人才扶持</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项目年初绩效情况：2021年组织部“人才支援及优秀人才扶持项目”全年收入总额为151.89万元，预计支出总额为151.89万元，执行进度为 100%，预期目标；该项目主要对壤塘县内各个岗位的群众工作者进行统一集中培训，培训期数为20期，培训总人数为1300人，培训工作预计在2021年12月底完成。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自评完成情况：资金执行进度方面：2021年全年支出总额为150.18万元，执行进度为98.87%；绩效目标方面：2021年全年共举办23期培训，培训总人数为1391人，完成年初的绩效目标值，时效方面，项目资金最后一笔于11月24日完成支付，保证了项目的资金支付进度。社会效益方面：通过加强对基层群众工作者的业务能力培训以及思想道德建设，提高群众工作者的工作能力和工作态度，提高业务处理能力，刚好为人民服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重点任务二：壤塘县乡村振兴党群活动中心政权优化改造提升</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事前绩效申报情况：壤塘县乡村振兴党群活动中心政权优化改造提升项目年初预算总额为200万元，主要用于对壤塘县境内18个村所在的党群活动中心进行提升改造，</w:t>
      </w:r>
      <w:r>
        <w:rPr>
          <w:rFonts w:hint="eastAsia" w:ascii="Times New Roman" w:hAnsi="Times New Roman" w:eastAsia="仿宋_GB2312" w:cs="Times New Roman"/>
          <w:color w:val="auto"/>
          <w:kern w:val="2"/>
          <w:sz w:val="32"/>
          <w:szCs w:val="32"/>
          <w:lang w:val="en-US" w:eastAsia="zh-CN" w:bidi="ar-SA"/>
        </w:rPr>
        <w:t>旨在加强地方党群活动中心建设，党群活动中心建设是党群连心的民生工程，建是基础，用是关键。围绕“场所布局合理、基本设施配套、管理措施完善、整体功能优化”目标，完善党群服务中心活动场所设施设备，拓宽服务项目，提升服务效能。项目预计2021年12月底完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项目综合实施情况：2021年组织部“壤塘县乡村振兴党群活动中心政权优化改造提升”项目年初预算总额200万元，  全年实际支出总额为152.34万元，剩余47.66万元未支付，执行进度为76.17%；截至2021年12月31日，18个党群活动中心已按要求完成提升改造工作，未完成资金支付进度的原因主要为项目完工时间相对较晚，目前工程审计报告尚未出具，无法拨付尾款。</w:t>
      </w:r>
    </w:p>
    <w:p>
      <w:pPr>
        <w:pStyle w:val="38"/>
        <w:spacing w:line="360" w:lineRule="auto"/>
        <w:ind w:firstLine="640"/>
        <w:rPr>
          <w:rFonts w:hint="default"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指标完成方面：年初预计对县内18个村党群活动中心进行提升改造，截至2021年12月31日，18个党群活动中心已经全部完工，但尚未验收完毕，时效和数量方面均按要求完成指标；社会效益方面：该项目旨在对县内18个村的党群活动中心进行提升改造，同时按照党群活动中心建设“五个三”模式进行打造建设，突出“政治引领、为民服务、基层治理”三大功能，按照“办公面积最小化、服务范围最大化”的原则，科学合理设置党群活动中心工作区域，根据“一村（居）一品”要求，将每个村（社区）的特色和亮点展现出来，真正发挥党群活动中心联系、组织、宣传、服务、凝聚、引领党员群众的基本职能，着力把党群服务中心打造成服务各类党组织和党员的“红色家园”、服务联系广大群众的“亲民平台”和社区治理建设的“指挥中心”。</w:t>
      </w:r>
    </w:p>
    <w:p>
      <w:pPr>
        <w:pStyle w:val="38"/>
        <w:spacing w:line="360" w:lineRule="auto"/>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）行政成本</w:t>
      </w:r>
    </w:p>
    <w:p>
      <w:pPr>
        <w:pStyle w:val="38"/>
        <w:spacing w:line="360" w:lineRule="auto"/>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“三公”经费控制。</w:t>
      </w:r>
      <w:r>
        <w:rPr>
          <w:rFonts w:hint="eastAsia" w:ascii="仿宋_GB2312" w:hAnsi="仿宋_GB2312" w:eastAsia="仿宋_GB2312" w:cs="仿宋_GB2312"/>
          <w:sz w:val="32"/>
          <w:szCs w:val="32"/>
          <w:lang w:eastAsia="zh-CN"/>
        </w:rPr>
        <w:t>中共阿坝州壤塘县委员会组织部2021年“三公”经费预算</w:t>
      </w:r>
      <w:r>
        <w:rPr>
          <w:rFonts w:hint="eastAsia" w:ascii="仿宋_GB2312" w:hAnsi="仿宋_GB2312" w:eastAsia="仿宋_GB2312" w:cs="仿宋_GB2312"/>
          <w:sz w:val="32"/>
          <w:szCs w:val="32"/>
          <w:lang w:val="en-US" w:eastAsia="zh-CN"/>
        </w:rPr>
        <w:t>27.99</w:t>
      </w:r>
      <w:r>
        <w:rPr>
          <w:rFonts w:hint="eastAsia" w:ascii="仿宋_GB2312" w:hAnsi="仿宋_GB2312" w:eastAsia="仿宋_GB2312" w:cs="仿宋_GB2312"/>
          <w:sz w:val="32"/>
          <w:szCs w:val="32"/>
          <w:lang w:eastAsia="zh-CN"/>
        </w:rPr>
        <w:t>万元，决算支出</w:t>
      </w:r>
      <w:r>
        <w:rPr>
          <w:rFonts w:hint="eastAsia" w:ascii="仿宋_GB2312" w:hAnsi="仿宋_GB2312" w:eastAsia="仿宋_GB2312" w:cs="仿宋_GB2312"/>
          <w:sz w:val="32"/>
          <w:szCs w:val="32"/>
          <w:lang w:val="en-US" w:eastAsia="zh-CN"/>
        </w:rPr>
        <w:t>27.99</w:t>
      </w:r>
      <w:r>
        <w:rPr>
          <w:rFonts w:hint="eastAsia" w:ascii="仿宋_GB2312" w:hAnsi="仿宋_GB2312" w:eastAsia="仿宋_GB2312" w:cs="仿宋_GB2312"/>
          <w:sz w:val="32"/>
          <w:szCs w:val="32"/>
          <w:lang w:eastAsia="zh-CN"/>
        </w:rPr>
        <w:t>万元。其中公务用车购置及运行维护费预算</w:t>
      </w:r>
      <w:r>
        <w:rPr>
          <w:rFonts w:hint="eastAsia" w:ascii="仿宋_GB2312" w:hAnsi="仿宋_GB2312" w:eastAsia="仿宋_GB2312" w:cs="仿宋_GB2312"/>
          <w:sz w:val="32"/>
          <w:szCs w:val="32"/>
          <w:lang w:val="en-US" w:eastAsia="zh-CN"/>
        </w:rPr>
        <w:t>27.69</w:t>
      </w:r>
      <w:r>
        <w:rPr>
          <w:rFonts w:hint="eastAsia" w:ascii="仿宋_GB2312" w:hAnsi="仿宋_GB2312" w:eastAsia="仿宋_GB2312" w:cs="仿宋_GB2312"/>
          <w:sz w:val="32"/>
          <w:szCs w:val="32"/>
          <w:lang w:eastAsia="zh-CN"/>
        </w:rPr>
        <w:t>万元，决算支出</w:t>
      </w:r>
      <w:r>
        <w:rPr>
          <w:rFonts w:hint="eastAsia" w:ascii="仿宋_GB2312" w:hAnsi="仿宋_GB2312" w:eastAsia="仿宋_GB2312" w:cs="仿宋_GB2312"/>
          <w:sz w:val="32"/>
          <w:szCs w:val="32"/>
          <w:lang w:val="en-US" w:eastAsia="zh-CN"/>
        </w:rPr>
        <w:t>27.69</w:t>
      </w:r>
      <w:r>
        <w:rPr>
          <w:rFonts w:hint="eastAsia" w:ascii="仿宋_GB2312" w:hAnsi="仿宋_GB2312" w:eastAsia="仿宋_GB2312" w:cs="仿宋_GB2312"/>
          <w:sz w:val="32"/>
          <w:szCs w:val="32"/>
          <w:lang w:eastAsia="zh-CN"/>
        </w:rPr>
        <w:t>万元（均为公务用车运行维护费），公务接待费</w:t>
      </w:r>
      <w:r>
        <w:rPr>
          <w:rFonts w:hint="eastAsia" w:ascii="仿宋_GB2312" w:hAnsi="仿宋_GB2312" w:eastAsia="仿宋_GB2312" w:cs="仿宋_GB2312"/>
          <w:sz w:val="32"/>
          <w:szCs w:val="32"/>
          <w:lang w:val="en-US" w:eastAsia="zh-CN"/>
        </w:rPr>
        <w:t>0.30</w:t>
      </w:r>
      <w:r>
        <w:rPr>
          <w:rFonts w:hint="eastAsia" w:ascii="仿宋_GB2312" w:hAnsi="仿宋_GB2312" w:eastAsia="仿宋_GB2312" w:cs="仿宋_GB2312"/>
          <w:sz w:val="32"/>
          <w:szCs w:val="32"/>
          <w:lang w:eastAsia="zh-CN"/>
        </w:rPr>
        <w:t>元，2021年“三公”经费决算未超过预算。</w:t>
      </w:r>
    </w:p>
    <w:p>
      <w:pPr>
        <w:pStyle w:val="38"/>
        <w:spacing w:line="360" w:lineRule="auto"/>
        <w:ind w:firstLine="64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）政府采购</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2021年中共阿坝州壤塘县委员会组织部</w:t>
      </w:r>
      <w:r>
        <w:rPr>
          <w:rFonts w:hint="eastAsia" w:ascii="仿宋_GB2312" w:hAnsi="仿宋_GB2312" w:eastAsia="仿宋_GB2312" w:cs="仿宋_GB2312"/>
          <w:sz w:val="32"/>
          <w:szCs w:val="32"/>
        </w:rPr>
        <w:t>发生政府采购</w:t>
      </w:r>
      <w:r>
        <w:rPr>
          <w:rFonts w:hint="eastAsia" w:ascii="仿宋_GB2312" w:hAnsi="仿宋_GB2312" w:eastAsia="仿宋_GB2312" w:cs="仿宋_GB2312"/>
          <w:sz w:val="32"/>
          <w:szCs w:val="32"/>
          <w:highlight w:val="none"/>
          <w:lang w:val="en-US" w:eastAsia="zh-CN"/>
        </w:rPr>
        <w:t>35.45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pPr>
        <w:numPr>
          <w:ilvl w:val="0"/>
          <w:numId w:val="0"/>
        </w:numPr>
        <w:snapToGrid w:val="0"/>
        <w:spacing w:line="360" w:lineRule="auto"/>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 xml:space="preserve">资产管理 </w:t>
      </w:r>
      <w:r>
        <w:rPr>
          <w:rFonts w:hint="eastAsia" w:ascii="仿宋_GB2312" w:hAnsi="仿宋_GB2312" w:eastAsia="仿宋_GB2312" w:cs="仿宋_GB2312"/>
          <w:b/>
          <w:bCs/>
          <w:sz w:val="32"/>
          <w:szCs w:val="32"/>
        </w:rPr>
        <w:t xml:space="preserve"> </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固定资产在用率。</w:t>
      </w:r>
      <w:r>
        <w:rPr>
          <w:rFonts w:hint="eastAsia" w:ascii="仿宋_GB2312" w:hAnsi="仿宋_GB2312" w:eastAsia="仿宋_GB2312" w:cs="仿宋_GB2312"/>
          <w:sz w:val="32"/>
          <w:szCs w:val="32"/>
          <w:lang w:eastAsia="zh-CN"/>
        </w:rPr>
        <w:t>截至2021年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eastAsia="zh-CN"/>
        </w:rPr>
        <w:t>中共阿坝州壤塘县委员会组织部</w:t>
      </w:r>
      <w:r>
        <w:rPr>
          <w:rFonts w:hint="eastAsia" w:ascii="仿宋_GB2312" w:hAnsi="仿宋_GB2312" w:eastAsia="仿宋_GB2312" w:cs="仿宋_GB2312"/>
          <w:sz w:val="32"/>
          <w:szCs w:val="32"/>
        </w:rPr>
        <w:t>《行政单位资产管理系统》固定资产总计</w:t>
      </w:r>
      <w:r>
        <w:rPr>
          <w:rFonts w:hint="eastAsia" w:ascii="仿宋_GB2312" w:hAnsi="仿宋_GB2312" w:eastAsia="仿宋_GB2312" w:cs="仿宋_GB2312"/>
          <w:sz w:val="32"/>
          <w:szCs w:val="32"/>
          <w:lang w:val="en-US" w:eastAsia="zh-CN"/>
        </w:rPr>
        <w:t>原值426.04</w:t>
      </w:r>
      <w:r>
        <w:rPr>
          <w:rFonts w:hint="eastAsia" w:ascii="仿宋_GB2312" w:hAnsi="仿宋_GB2312" w:eastAsia="仿宋_GB2312" w:cs="仿宋_GB2312"/>
          <w:sz w:val="32"/>
          <w:szCs w:val="32"/>
        </w:rPr>
        <w:t>万元，在用的固定资产</w:t>
      </w:r>
      <w:r>
        <w:rPr>
          <w:rFonts w:hint="eastAsia" w:ascii="仿宋_GB2312" w:hAnsi="仿宋_GB2312" w:eastAsia="仿宋_GB2312" w:cs="仿宋_GB2312"/>
          <w:sz w:val="32"/>
          <w:szCs w:val="32"/>
          <w:lang w:val="en-US" w:eastAsia="zh-CN"/>
        </w:rPr>
        <w:t>原值</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426.04</w:t>
      </w:r>
      <w:r>
        <w:rPr>
          <w:rFonts w:hint="eastAsia" w:ascii="仿宋_GB2312" w:hAnsi="仿宋_GB2312" w:eastAsia="仿宋_GB2312" w:cs="仿宋_GB2312"/>
          <w:sz w:val="32"/>
          <w:szCs w:val="32"/>
        </w:rPr>
        <w:t>万元，固定资产在用率达100%。</w:t>
      </w:r>
    </w:p>
    <w:p>
      <w:pPr>
        <w:pStyle w:val="38"/>
        <w:spacing w:line="360" w:lineRule="auto"/>
        <w:ind w:left="420" w:leftChars="20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）信息公开</w:t>
      </w:r>
    </w:p>
    <w:p>
      <w:pPr>
        <w:pStyle w:val="38"/>
        <w:spacing w:line="360" w:lineRule="auto"/>
        <w:ind w:firstLine="640"/>
        <w:outlineLvl w:val="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eastAsia="zh-CN"/>
        </w:rPr>
        <w:t>中共阿坝州壤塘县委员会组织部</w:t>
      </w:r>
      <w:r>
        <w:rPr>
          <w:rFonts w:hint="eastAsia" w:ascii="仿宋_GB2312" w:hAnsi="仿宋_GB2312" w:eastAsia="仿宋_GB2312" w:cs="仿宋_GB2312"/>
          <w:sz w:val="32"/>
          <w:szCs w:val="32"/>
        </w:rPr>
        <w:t>已经按财政要求及时完成预算、决算、绩效等信息公开工作，信息公开在壤塘县人民政府门户网站中。</w:t>
      </w:r>
    </w:p>
    <w:p>
      <w:pPr>
        <w:tabs>
          <w:tab w:val="right" w:pos="8306"/>
        </w:tabs>
        <w:spacing w:line="600" w:lineRule="exact"/>
        <w:ind w:firstLine="640"/>
        <w:outlineLvl w:val="1"/>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lang w:eastAsia="zh-CN"/>
        </w:rPr>
        <w:t>、评价结论及措施</w:t>
      </w:r>
    </w:p>
    <w:p>
      <w:pPr>
        <w:pStyle w:val="38"/>
        <w:spacing w:line="360" w:lineRule="auto"/>
        <w:ind w:firstLine="643" w:firstLineChars="200"/>
        <w:outlineLvl w:val="1"/>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sz w:val="32"/>
          <w:szCs w:val="32"/>
        </w:rPr>
        <w:t>（一）评价结论：</w:t>
      </w:r>
      <w:r>
        <w:rPr>
          <w:rFonts w:hint="eastAsia" w:eastAsia="仿宋_GB2312"/>
          <w:color w:val="auto"/>
          <w:sz w:val="32"/>
          <w:szCs w:val="32"/>
        </w:rPr>
        <w:t>本部门按照县级部门预算编制通知和有关要求，按时完成基础工作，按时提交部门预算草案；在财政部门批复日内向社会公开本部门的“三公”经费、机关运行经费的安排、使用情况；本部门的预算执行都达到了执行进度；本单位的财务制度健全，制度执行严格，会计核算符合财政局的相关规定，资金达到了专款专用，开支标准合理、合法。</w:t>
      </w:r>
    </w:p>
    <w:p>
      <w:pPr>
        <w:pStyle w:val="38"/>
        <w:spacing w:line="360" w:lineRule="auto"/>
        <w:ind w:firstLine="643" w:firstLineChars="200"/>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（二）存在问题</w:t>
      </w:r>
      <w:r>
        <w:rPr>
          <w:rFonts w:hint="eastAsia" w:ascii="仿宋_GB2312" w:hAnsi="仿宋_GB2312" w:eastAsia="仿宋_GB2312" w:cs="仿宋_GB2312"/>
          <w:b/>
          <w:bCs/>
          <w:color w:val="auto"/>
          <w:sz w:val="32"/>
          <w:szCs w:val="32"/>
          <w:lang w:eastAsia="zh-CN"/>
        </w:rPr>
        <w:t>：</w:t>
      </w:r>
    </w:p>
    <w:p>
      <w:pPr>
        <w:spacing w:line="580" w:lineRule="exact"/>
        <w:ind w:firstLine="640" w:firstLineChars="200"/>
        <w:rPr>
          <w:rFonts w:ascii="仿宋" w:hAnsi="仿宋" w:eastAsia="仿宋"/>
          <w:sz w:val="32"/>
          <w:szCs w:val="32"/>
        </w:rPr>
      </w:pPr>
      <w:r>
        <w:rPr>
          <w:rFonts w:hint="eastAsia" w:ascii="仿宋_GB2312" w:hAnsi="Calibri" w:eastAsia="仿宋_GB2312" w:cs="仿宋_GB2312"/>
          <w:sz w:val="32"/>
          <w:szCs w:val="32"/>
          <w:lang w:val="en-US" w:eastAsia="zh-CN"/>
        </w:rPr>
        <w:t>我部在编制部门预算时，严格根据本单位职能职责和年度工作计划进行编制。整体预算绩效管理存在以下两个问题：一是因本部门整体支出预算资金的安排及使用上有不可预见性；二是单位对部门支出整体绩效评价指标无法量化，因此我整体绩效评价的指标不够精准。</w:t>
      </w:r>
    </w:p>
    <w:p>
      <w:pPr>
        <w:pStyle w:val="38"/>
        <w:numPr>
          <w:ilvl w:val="0"/>
          <w:numId w:val="0"/>
        </w:numPr>
        <w:spacing w:line="360" w:lineRule="auto"/>
        <w:ind w:firstLine="643" w:firstLineChars="200"/>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改进措施</w:t>
      </w:r>
    </w:p>
    <w:p>
      <w:pPr>
        <w:spacing w:line="560" w:lineRule="exact"/>
        <w:ind w:firstLine="640" w:firstLineChars="200"/>
        <w:rPr>
          <w:rFonts w:hint="eastAsia" w:ascii="仿宋_GB2312" w:hAnsi="Calibri" w:eastAsia="仿宋_GB2312" w:cs="仿宋_GB2312"/>
          <w:sz w:val="32"/>
          <w:szCs w:val="32"/>
          <w:lang w:val="en-US" w:eastAsia="zh-CN"/>
        </w:rPr>
      </w:pPr>
      <w:r>
        <w:rPr>
          <w:rFonts w:hint="eastAsia" w:ascii="仿宋_GB2312" w:hAnsi="仿宋_GB2312" w:eastAsia="仿宋_GB2312" w:cs="仿宋_GB2312"/>
          <w:b w:val="0"/>
          <w:bCs w:val="0"/>
          <w:sz w:val="32"/>
          <w:szCs w:val="32"/>
        </w:rPr>
        <w:t>一是重视绩效管理，切实履行好职责。</w:t>
      </w:r>
      <w:r>
        <w:rPr>
          <w:rFonts w:hint="eastAsia" w:ascii="仿宋_GB2312" w:hAnsi="Calibri" w:eastAsia="仿宋_GB2312" w:cs="仿宋_GB2312"/>
          <w:sz w:val="32"/>
          <w:szCs w:val="32"/>
          <w:lang w:val="en-US" w:eastAsia="zh-CN"/>
        </w:rPr>
        <w:t>努力提升工作绩效，围绕审计项目计划安排，合理使用财政资金，让审计监督职责发挥作用。</w:t>
      </w:r>
    </w:p>
    <w:p>
      <w:pPr>
        <w:spacing w:line="560" w:lineRule="exact"/>
        <w:ind w:firstLine="640" w:firstLineChars="200"/>
        <w:rPr>
          <w:rFonts w:hint="eastAsia" w:ascii="仿宋_GB2312" w:hAnsi="Calibri" w:eastAsia="仿宋_GB2312" w:cs="仿宋_GB2312"/>
          <w:sz w:val="32"/>
          <w:szCs w:val="32"/>
          <w:lang w:val="en-US" w:eastAsia="zh-CN"/>
        </w:rPr>
      </w:pPr>
      <w:r>
        <w:rPr>
          <w:rFonts w:hint="eastAsia" w:ascii="仿宋_GB2312" w:hAnsi="仿宋_GB2312" w:eastAsia="仿宋_GB2312" w:cs="仿宋_GB2312"/>
          <w:b w:val="0"/>
          <w:bCs w:val="0"/>
          <w:sz w:val="32"/>
          <w:szCs w:val="32"/>
        </w:rPr>
        <w:t>二是建立长效机制。</w:t>
      </w:r>
      <w:r>
        <w:rPr>
          <w:rFonts w:hint="eastAsia" w:ascii="仿宋_GB2312" w:hAnsi="Calibri" w:eastAsia="仿宋_GB2312" w:cs="仿宋_GB2312"/>
          <w:sz w:val="32"/>
          <w:szCs w:val="32"/>
          <w:lang w:val="en-US" w:eastAsia="zh-CN"/>
        </w:rPr>
        <w:t>把绩效评价作为部门内控的日常工作，建立绩效评价管理工作考核长效机制。科学设定绩效目标，加强预算执行管理。</w:t>
      </w:r>
    </w:p>
    <w:p>
      <w:pPr>
        <w:spacing w:line="580" w:lineRule="exact"/>
        <w:ind w:firstLine="640" w:firstLineChars="200"/>
        <w:rPr>
          <w:rFonts w:ascii="仿宋_GB2312" w:hAnsi="仿宋_GB2312" w:eastAsia="仿宋_GB2312" w:cs="仿宋_GB2312"/>
          <w:color w:val="FF0000"/>
          <w:sz w:val="32"/>
          <w:szCs w:val="32"/>
        </w:rPr>
      </w:pPr>
    </w:p>
    <w:p/>
    <w:p>
      <w:pPr>
        <w:pStyle w:val="4"/>
        <w:jc w:val="both"/>
        <w:rPr>
          <w:rFonts w:ascii="仿宋_GB2312" w:hAnsi="黑体" w:eastAsia="仿宋_GB2312"/>
        </w:rPr>
      </w:pPr>
      <w:bookmarkStart w:id="71" w:name="_Toc85788645"/>
      <w:bookmarkStart w:id="72" w:name="_Toc85785839"/>
      <w:bookmarkStart w:id="73" w:name="_Toc79163635"/>
      <w:bookmarkStart w:id="74" w:name="_Toc15396618"/>
      <w:bookmarkStart w:id="75" w:name="_Toc12241"/>
      <w:bookmarkStart w:id="76" w:name="_Toc85790018"/>
      <w:r>
        <w:rPr>
          <w:rFonts w:hint="eastAsia" w:ascii="仿宋_GB2312" w:hAnsi="黑体" w:eastAsia="仿宋_GB2312"/>
        </w:rPr>
        <w:t>第五部分</w:t>
      </w:r>
      <w:r>
        <w:rPr>
          <w:rFonts w:ascii="仿宋_GB2312" w:hAnsi="黑体" w:eastAsia="仿宋_GB2312"/>
        </w:rPr>
        <w:t xml:space="preserve"> </w:t>
      </w:r>
      <w:r>
        <w:rPr>
          <w:rFonts w:hint="eastAsia" w:ascii="仿宋_GB2312" w:hAnsi="黑体" w:eastAsia="仿宋_GB2312"/>
        </w:rPr>
        <w:t>附表</w:t>
      </w:r>
      <w:bookmarkEnd w:id="71"/>
      <w:bookmarkEnd w:id="72"/>
      <w:bookmarkEnd w:id="73"/>
      <w:bookmarkEnd w:id="74"/>
      <w:bookmarkEnd w:id="75"/>
      <w:bookmarkEnd w:id="76"/>
    </w:p>
    <w:p>
      <w:pPr>
        <w:pStyle w:val="5"/>
        <w:rPr>
          <w:rFonts w:ascii="仿宋" w:hAnsi="仿宋" w:eastAsia="仿宋"/>
          <w:b w:val="0"/>
        </w:rPr>
      </w:pPr>
      <w:bookmarkStart w:id="77" w:name="_Toc5427"/>
      <w:bookmarkStart w:id="78" w:name="_Toc85790019"/>
      <w:bookmarkStart w:id="79" w:name="_Toc15396619"/>
      <w:bookmarkStart w:id="80" w:name="_Toc85788646"/>
      <w:bookmarkStart w:id="81" w:name="_Toc79163636"/>
      <w:bookmarkStart w:id="82" w:name="_Toc85785840"/>
      <w:bookmarkStart w:id="83" w:name="_Toc85788559"/>
      <w:r>
        <w:rPr>
          <w:rFonts w:hint="eastAsia" w:ascii="仿宋" w:hAnsi="仿宋" w:eastAsia="仿宋"/>
          <w:b w:val="0"/>
        </w:rPr>
        <w:t>一、收</w:t>
      </w:r>
      <w:r>
        <w:rPr>
          <w:rStyle w:val="31"/>
          <w:rFonts w:hint="eastAsia" w:ascii="仿宋" w:hAnsi="仿宋" w:eastAsia="仿宋"/>
          <w:b w:val="0"/>
          <w:bCs/>
        </w:rPr>
        <w:t>入支出决算总表</w:t>
      </w:r>
      <w:bookmarkEnd w:id="77"/>
      <w:bookmarkEnd w:id="78"/>
      <w:bookmarkEnd w:id="79"/>
      <w:bookmarkEnd w:id="80"/>
      <w:bookmarkEnd w:id="81"/>
      <w:bookmarkEnd w:id="82"/>
      <w:bookmarkEnd w:id="83"/>
    </w:p>
    <w:p>
      <w:pPr>
        <w:pStyle w:val="5"/>
        <w:rPr>
          <w:rFonts w:ascii="仿宋" w:hAnsi="仿宋" w:eastAsia="仿宋"/>
          <w:b w:val="0"/>
        </w:rPr>
      </w:pPr>
      <w:bookmarkStart w:id="84" w:name="_Toc85790020"/>
      <w:bookmarkStart w:id="85" w:name="_Toc15396620"/>
      <w:bookmarkStart w:id="86" w:name="_Toc85785841"/>
      <w:bookmarkStart w:id="87" w:name="_Toc85788647"/>
      <w:bookmarkStart w:id="88" w:name="_Toc16353"/>
      <w:bookmarkStart w:id="89" w:name="_Toc79163637"/>
      <w:bookmarkStart w:id="90" w:name="_Toc85788560"/>
      <w:r>
        <w:rPr>
          <w:rFonts w:hint="eastAsia" w:ascii="仿宋" w:hAnsi="仿宋" w:eastAsia="仿宋"/>
          <w:b w:val="0"/>
        </w:rPr>
        <w:t>二、收</w:t>
      </w:r>
      <w:r>
        <w:rPr>
          <w:rStyle w:val="31"/>
          <w:rFonts w:hint="eastAsia" w:ascii="仿宋" w:hAnsi="仿宋" w:eastAsia="仿宋"/>
          <w:b w:val="0"/>
          <w:bCs/>
        </w:rPr>
        <w:t>入决算表</w:t>
      </w:r>
      <w:bookmarkEnd w:id="84"/>
      <w:bookmarkEnd w:id="85"/>
      <w:bookmarkEnd w:id="86"/>
      <w:bookmarkEnd w:id="87"/>
      <w:bookmarkEnd w:id="88"/>
      <w:bookmarkEnd w:id="89"/>
      <w:bookmarkEnd w:id="90"/>
    </w:p>
    <w:p>
      <w:pPr>
        <w:pStyle w:val="5"/>
        <w:rPr>
          <w:rFonts w:ascii="仿宋" w:hAnsi="仿宋" w:eastAsia="仿宋"/>
          <w:b w:val="0"/>
        </w:rPr>
      </w:pPr>
      <w:bookmarkStart w:id="91" w:name="_Toc79163638"/>
      <w:bookmarkStart w:id="92" w:name="_Toc85788561"/>
      <w:bookmarkStart w:id="93" w:name="_Toc85788648"/>
      <w:bookmarkStart w:id="94" w:name="_Toc24584"/>
      <w:bookmarkStart w:id="95" w:name="_Toc85790021"/>
      <w:bookmarkStart w:id="96" w:name="_Toc85785842"/>
      <w:bookmarkStart w:id="97" w:name="_Toc15396621"/>
      <w:r>
        <w:rPr>
          <w:rStyle w:val="31"/>
          <w:rFonts w:hint="eastAsia" w:ascii="仿宋" w:hAnsi="仿宋" w:eastAsia="仿宋"/>
          <w:b w:val="0"/>
          <w:bCs/>
        </w:rPr>
        <w:t>三、</w:t>
      </w:r>
      <w:r>
        <w:rPr>
          <w:rFonts w:hint="eastAsia" w:ascii="仿宋" w:hAnsi="仿宋" w:eastAsia="仿宋"/>
          <w:b w:val="0"/>
        </w:rPr>
        <w:t>支</w:t>
      </w:r>
      <w:r>
        <w:rPr>
          <w:rStyle w:val="31"/>
          <w:rFonts w:hint="eastAsia" w:ascii="仿宋" w:hAnsi="仿宋" w:eastAsia="仿宋"/>
          <w:b w:val="0"/>
          <w:bCs/>
        </w:rPr>
        <w:t>出决算表</w:t>
      </w:r>
      <w:bookmarkEnd w:id="91"/>
      <w:bookmarkEnd w:id="92"/>
      <w:bookmarkEnd w:id="93"/>
      <w:bookmarkEnd w:id="94"/>
      <w:bookmarkEnd w:id="95"/>
      <w:bookmarkEnd w:id="96"/>
      <w:bookmarkEnd w:id="97"/>
    </w:p>
    <w:p>
      <w:pPr>
        <w:pStyle w:val="5"/>
        <w:rPr>
          <w:rFonts w:ascii="仿宋" w:hAnsi="仿宋" w:eastAsia="仿宋"/>
          <w:b w:val="0"/>
        </w:rPr>
      </w:pPr>
      <w:bookmarkStart w:id="98" w:name="_Toc85788562"/>
      <w:bookmarkStart w:id="99" w:name="_Toc19691"/>
      <w:bookmarkStart w:id="100" w:name="_Toc85785843"/>
      <w:bookmarkStart w:id="101" w:name="_Toc79163639"/>
      <w:bookmarkStart w:id="102" w:name="_Toc85790022"/>
      <w:bookmarkStart w:id="103" w:name="_Toc85788649"/>
      <w:bookmarkStart w:id="104" w:name="_Toc15396622"/>
      <w:r>
        <w:rPr>
          <w:rStyle w:val="31"/>
          <w:rFonts w:hint="eastAsia" w:ascii="仿宋" w:hAnsi="仿宋" w:eastAsia="仿宋"/>
          <w:b w:val="0"/>
          <w:bCs/>
        </w:rPr>
        <w:t>四、</w:t>
      </w:r>
      <w:r>
        <w:rPr>
          <w:rFonts w:hint="eastAsia" w:ascii="仿宋" w:hAnsi="仿宋" w:eastAsia="仿宋"/>
          <w:b w:val="0"/>
        </w:rPr>
        <w:t>财</w:t>
      </w:r>
      <w:r>
        <w:rPr>
          <w:rStyle w:val="31"/>
          <w:rFonts w:hint="eastAsia" w:ascii="仿宋" w:hAnsi="仿宋" w:eastAsia="仿宋"/>
          <w:b w:val="0"/>
          <w:bCs/>
        </w:rPr>
        <w:t>政拨款收入支出决算总表</w:t>
      </w:r>
      <w:bookmarkEnd w:id="98"/>
      <w:bookmarkEnd w:id="99"/>
      <w:bookmarkEnd w:id="100"/>
      <w:bookmarkEnd w:id="101"/>
      <w:bookmarkEnd w:id="102"/>
      <w:bookmarkEnd w:id="103"/>
      <w:bookmarkEnd w:id="104"/>
    </w:p>
    <w:p>
      <w:pPr>
        <w:pStyle w:val="5"/>
        <w:rPr>
          <w:rStyle w:val="31"/>
          <w:rFonts w:ascii="仿宋" w:hAnsi="仿宋" w:eastAsia="仿宋"/>
          <w:b w:val="0"/>
          <w:bCs w:val="0"/>
        </w:rPr>
      </w:pPr>
      <w:bookmarkStart w:id="105" w:name="_Toc21611"/>
      <w:bookmarkStart w:id="106" w:name="_Toc15396623"/>
      <w:bookmarkStart w:id="107" w:name="_Toc85790023"/>
      <w:bookmarkStart w:id="108" w:name="_Toc85785844"/>
      <w:bookmarkStart w:id="109" w:name="_Toc85788563"/>
      <w:bookmarkStart w:id="110" w:name="_Toc79163640"/>
      <w:bookmarkStart w:id="111" w:name="_Toc85788650"/>
      <w:r>
        <w:rPr>
          <w:rStyle w:val="31"/>
          <w:rFonts w:hint="eastAsia" w:ascii="仿宋" w:hAnsi="仿宋" w:eastAsia="仿宋"/>
          <w:b w:val="0"/>
          <w:bCs/>
        </w:rPr>
        <w:t>五、</w:t>
      </w:r>
      <w:r>
        <w:rPr>
          <w:rFonts w:hint="eastAsia" w:ascii="仿宋" w:hAnsi="仿宋" w:eastAsia="仿宋"/>
          <w:b w:val="0"/>
        </w:rPr>
        <w:t>财</w:t>
      </w:r>
      <w:r>
        <w:rPr>
          <w:rStyle w:val="31"/>
          <w:rFonts w:hint="eastAsia" w:ascii="仿宋" w:hAnsi="仿宋" w:eastAsia="仿宋"/>
          <w:b w:val="0"/>
          <w:bCs/>
        </w:rPr>
        <w:t>政拨款支出决算明细表</w:t>
      </w:r>
      <w:bookmarkEnd w:id="105"/>
      <w:bookmarkEnd w:id="106"/>
      <w:bookmarkEnd w:id="107"/>
      <w:bookmarkEnd w:id="108"/>
      <w:bookmarkEnd w:id="109"/>
      <w:bookmarkEnd w:id="110"/>
      <w:bookmarkEnd w:id="111"/>
      <w:bookmarkStart w:id="112" w:name="_Toc15396624"/>
    </w:p>
    <w:p>
      <w:pPr>
        <w:pStyle w:val="5"/>
        <w:rPr>
          <w:rFonts w:ascii="仿宋" w:hAnsi="仿宋" w:eastAsia="仿宋"/>
          <w:b w:val="0"/>
        </w:rPr>
      </w:pPr>
      <w:bookmarkStart w:id="113" w:name="_Toc85788651"/>
      <w:bookmarkStart w:id="114" w:name="_Toc79163641"/>
      <w:bookmarkStart w:id="115" w:name="_Toc85788564"/>
      <w:bookmarkStart w:id="116" w:name="_Toc85790024"/>
      <w:bookmarkStart w:id="117" w:name="_Toc28897"/>
      <w:bookmarkStart w:id="118" w:name="_Toc85785845"/>
      <w:r>
        <w:rPr>
          <w:rStyle w:val="31"/>
          <w:rFonts w:hint="eastAsia" w:ascii="仿宋" w:hAnsi="仿宋" w:eastAsia="仿宋"/>
          <w:b w:val="0"/>
          <w:bCs/>
        </w:rPr>
        <w:t>六、</w:t>
      </w:r>
      <w:r>
        <w:rPr>
          <w:rFonts w:hint="eastAsia" w:ascii="仿宋" w:hAnsi="仿宋" w:eastAsia="仿宋"/>
          <w:b w:val="0"/>
        </w:rPr>
        <w:t>一</w:t>
      </w:r>
      <w:r>
        <w:rPr>
          <w:rStyle w:val="31"/>
          <w:rFonts w:hint="eastAsia" w:ascii="仿宋" w:hAnsi="仿宋" w:eastAsia="仿宋"/>
          <w:b w:val="0"/>
          <w:bCs/>
        </w:rPr>
        <w:t>般公共预算财政拨款支出决算表</w:t>
      </w:r>
      <w:bookmarkEnd w:id="112"/>
      <w:bookmarkEnd w:id="113"/>
      <w:bookmarkEnd w:id="114"/>
      <w:bookmarkEnd w:id="115"/>
      <w:bookmarkEnd w:id="116"/>
      <w:bookmarkEnd w:id="117"/>
      <w:bookmarkEnd w:id="118"/>
    </w:p>
    <w:p>
      <w:pPr>
        <w:pStyle w:val="5"/>
        <w:rPr>
          <w:rFonts w:ascii="仿宋" w:hAnsi="仿宋" w:eastAsia="仿宋"/>
          <w:b w:val="0"/>
        </w:rPr>
      </w:pPr>
      <w:bookmarkStart w:id="119" w:name="_Toc79163642"/>
      <w:bookmarkStart w:id="120" w:name="_Toc85788652"/>
      <w:bookmarkStart w:id="121" w:name="_Toc27213"/>
      <w:bookmarkStart w:id="122" w:name="_Toc85785846"/>
      <w:bookmarkStart w:id="123" w:name="_Toc15396625"/>
      <w:bookmarkStart w:id="124" w:name="_Toc85790025"/>
      <w:bookmarkStart w:id="125" w:name="_Toc85788565"/>
      <w:r>
        <w:rPr>
          <w:rStyle w:val="31"/>
          <w:rFonts w:hint="eastAsia" w:ascii="仿宋" w:hAnsi="仿宋" w:eastAsia="仿宋"/>
          <w:b w:val="0"/>
          <w:bCs/>
        </w:rPr>
        <w:t>七、</w:t>
      </w:r>
      <w:r>
        <w:rPr>
          <w:rFonts w:hint="eastAsia" w:ascii="仿宋" w:hAnsi="仿宋" w:eastAsia="仿宋"/>
          <w:b w:val="0"/>
        </w:rPr>
        <w:t>一</w:t>
      </w:r>
      <w:r>
        <w:rPr>
          <w:rStyle w:val="31"/>
          <w:rFonts w:hint="eastAsia" w:ascii="仿宋" w:hAnsi="仿宋" w:eastAsia="仿宋"/>
          <w:b w:val="0"/>
          <w:bCs/>
        </w:rPr>
        <w:t>般公共预算财政拨款支出决算明细表</w:t>
      </w:r>
      <w:bookmarkEnd w:id="119"/>
      <w:bookmarkEnd w:id="120"/>
      <w:bookmarkEnd w:id="121"/>
      <w:bookmarkEnd w:id="122"/>
      <w:bookmarkEnd w:id="123"/>
      <w:bookmarkEnd w:id="124"/>
      <w:bookmarkEnd w:id="125"/>
    </w:p>
    <w:p>
      <w:pPr>
        <w:pStyle w:val="5"/>
        <w:rPr>
          <w:rFonts w:ascii="仿宋" w:hAnsi="仿宋" w:eastAsia="仿宋"/>
          <w:b w:val="0"/>
        </w:rPr>
      </w:pPr>
      <w:bookmarkStart w:id="126" w:name="_Toc79163643"/>
      <w:bookmarkStart w:id="127" w:name="_Toc85790026"/>
      <w:bookmarkStart w:id="128" w:name="_Toc85788653"/>
      <w:bookmarkStart w:id="129" w:name="_Toc85788566"/>
      <w:bookmarkStart w:id="130" w:name="_Toc15396626"/>
      <w:bookmarkStart w:id="131" w:name="_Toc85785847"/>
      <w:bookmarkStart w:id="132" w:name="_Toc6802"/>
      <w:r>
        <w:rPr>
          <w:rStyle w:val="31"/>
          <w:rFonts w:hint="eastAsia" w:ascii="仿宋" w:hAnsi="仿宋" w:eastAsia="仿宋"/>
          <w:b w:val="0"/>
          <w:bCs/>
        </w:rPr>
        <w:t>八、</w:t>
      </w:r>
      <w:r>
        <w:rPr>
          <w:rFonts w:hint="eastAsia" w:ascii="仿宋" w:hAnsi="仿宋" w:eastAsia="仿宋"/>
          <w:b w:val="0"/>
        </w:rPr>
        <w:t>一</w:t>
      </w:r>
      <w:r>
        <w:rPr>
          <w:rStyle w:val="31"/>
          <w:rFonts w:hint="eastAsia" w:ascii="仿宋" w:hAnsi="仿宋" w:eastAsia="仿宋"/>
          <w:b w:val="0"/>
          <w:bCs/>
        </w:rPr>
        <w:t>般公共预算财政拨款基本支出决算表</w:t>
      </w:r>
      <w:bookmarkEnd w:id="126"/>
      <w:bookmarkEnd w:id="127"/>
      <w:bookmarkEnd w:id="128"/>
      <w:bookmarkEnd w:id="129"/>
      <w:bookmarkEnd w:id="130"/>
      <w:bookmarkEnd w:id="131"/>
      <w:bookmarkEnd w:id="132"/>
    </w:p>
    <w:p>
      <w:pPr>
        <w:pStyle w:val="5"/>
        <w:rPr>
          <w:rFonts w:ascii="仿宋" w:hAnsi="仿宋" w:eastAsia="仿宋"/>
          <w:b w:val="0"/>
        </w:rPr>
      </w:pPr>
      <w:bookmarkStart w:id="133" w:name="_Toc79163644"/>
      <w:bookmarkStart w:id="134" w:name="_Toc85785848"/>
      <w:bookmarkStart w:id="135" w:name="_Toc85790027"/>
      <w:bookmarkStart w:id="136" w:name="_Toc15396627"/>
      <w:bookmarkStart w:id="137" w:name="_Toc85788567"/>
      <w:bookmarkStart w:id="138" w:name="_Toc85788654"/>
      <w:bookmarkStart w:id="139" w:name="_Toc22876"/>
      <w:r>
        <w:rPr>
          <w:rStyle w:val="31"/>
          <w:rFonts w:hint="eastAsia" w:ascii="仿宋" w:hAnsi="仿宋" w:eastAsia="仿宋"/>
          <w:b w:val="0"/>
          <w:bCs/>
        </w:rPr>
        <w:t>九、</w:t>
      </w:r>
      <w:r>
        <w:rPr>
          <w:rFonts w:hint="eastAsia" w:ascii="仿宋" w:hAnsi="仿宋" w:eastAsia="仿宋"/>
          <w:b w:val="0"/>
        </w:rPr>
        <w:t>一</w:t>
      </w:r>
      <w:r>
        <w:rPr>
          <w:rStyle w:val="31"/>
          <w:rFonts w:hint="eastAsia" w:ascii="仿宋" w:hAnsi="仿宋" w:eastAsia="仿宋"/>
          <w:b w:val="0"/>
          <w:bCs/>
        </w:rPr>
        <w:t>般公共预算财政拨款项目支出决算表</w:t>
      </w:r>
      <w:bookmarkEnd w:id="133"/>
      <w:bookmarkEnd w:id="134"/>
      <w:bookmarkEnd w:id="135"/>
      <w:bookmarkEnd w:id="136"/>
      <w:bookmarkEnd w:id="137"/>
      <w:bookmarkEnd w:id="138"/>
      <w:bookmarkEnd w:id="139"/>
    </w:p>
    <w:p>
      <w:pPr>
        <w:pStyle w:val="5"/>
        <w:rPr>
          <w:rFonts w:ascii="仿宋" w:hAnsi="仿宋" w:eastAsia="仿宋"/>
          <w:b w:val="0"/>
        </w:rPr>
      </w:pPr>
      <w:bookmarkStart w:id="140" w:name="_Toc85788568"/>
      <w:bookmarkStart w:id="141" w:name="_Toc79163645"/>
      <w:bookmarkStart w:id="142" w:name="_Toc15396628"/>
      <w:bookmarkStart w:id="143" w:name="_Toc32417"/>
      <w:bookmarkStart w:id="144" w:name="_Toc85790028"/>
      <w:bookmarkStart w:id="145" w:name="_Toc85785849"/>
      <w:bookmarkStart w:id="146" w:name="_Toc85788655"/>
      <w:r>
        <w:rPr>
          <w:rStyle w:val="31"/>
          <w:rFonts w:hint="eastAsia" w:ascii="仿宋" w:hAnsi="仿宋" w:eastAsia="仿宋"/>
          <w:b w:val="0"/>
          <w:bCs/>
        </w:rPr>
        <w:t>十、</w:t>
      </w:r>
      <w:r>
        <w:rPr>
          <w:rFonts w:hint="eastAsia" w:ascii="仿宋" w:hAnsi="仿宋" w:eastAsia="仿宋"/>
          <w:b w:val="0"/>
        </w:rPr>
        <w:t>一</w:t>
      </w:r>
      <w:r>
        <w:rPr>
          <w:rStyle w:val="31"/>
          <w:rFonts w:hint="eastAsia" w:ascii="仿宋" w:hAnsi="仿宋" w:eastAsia="仿宋"/>
          <w:b w:val="0"/>
          <w:bCs/>
        </w:rPr>
        <w:t>般公共预算财政拨款“三公”经费支出决算表</w:t>
      </w:r>
      <w:bookmarkEnd w:id="140"/>
      <w:bookmarkEnd w:id="141"/>
      <w:bookmarkEnd w:id="142"/>
      <w:bookmarkEnd w:id="143"/>
      <w:bookmarkEnd w:id="144"/>
      <w:bookmarkEnd w:id="145"/>
      <w:bookmarkEnd w:id="146"/>
    </w:p>
    <w:p>
      <w:pPr>
        <w:pStyle w:val="5"/>
        <w:rPr>
          <w:rFonts w:ascii="仿宋" w:hAnsi="仿宋" w:eastAsia="仿宋"/>
          <w:b w:val="0"/>
        </w:rPr>
      </w:pPr>
      <w:bookmarkStart w:id="147" w:name="_Toc85788656"/>
      <w:bookmarkStart w:id="148" w:name="_Toc79163646"/>
      <w:bookmarkStart w:id="149" w:name="_Toc14487"/>
      <w:bookmarkStart w:id="150" w:name="_Toc85785850"/>
      <w:bookmarkStart w:id="151" w:name="_Toc85788569"/>
      <w:bookmarkStart w:id="152" w:name="_Toc85790029"/>
      <w:bookmarkStart w:id="153" w:name="_Toc15396629"/>
      <w:r>
        <w:rPr>
          <w:rStyle w:val="31"/>
          <w:rFonts w:hint="eastAsia" w:ascii="仿宋" w:hAnsi="仿宋" w:eastAsia="仿宋"/>
          <w:b w:val="0"/>
          <w:bCs/>
        </w:rPr>
        <w:t>十一、</w:t>
      </w:r>
      <w:r>
        <w:rPr>
          <w:rFonts w:hint="eastAsia" w:ascii="仿宋" w:hAnsi="仿宋" w:eastAsia="仿宋"/>
          <w:b w:val="0"/>
        </w:rPr>
        <w:t>政</w:t>
      </w:r>
      <w:r>
        <w:rPr>
          <w:rStyle w:val="31"/>
          <w:rFonts w:hint="eastAsia" w:ascii="仿宋" w:hAnsi="仿宋" w:eastAsia="仿宋"/>
          <w:b w:val="0"/>
          <w:bCs/>
        </w:rPr>
        <w:t>府性基金预算财政拨款收入支出决算表</w:t>
      </w:r>
      <w:bookmarkEnd w:id="147"/>
      <w:bookmarkEnd w:id="148"/>
      <w:bookmarkEnd w:id="149"/>
      <w:bookmarkEnd w:id="150"/>
      <w:bookmarkEnd w:id="151"/>
      <w:bookmarkEnd w:id="152"/>
      <w:bookmarkEnd w:id="153"/>
    </w:p>
    <w:p>
      <w:pPr>
        <w:pStyle w:val="5"/>
        <w:rPr>
          <w:rFonts w:ascii="仿宋" w:hAnsi="仿宋" w:eastAsia="仿宋"/>
          <w:b w:val="0"/>
        </w:rPr>
      </w:pPr>
      <w:bookmarkStart w:id="154" w:name="_Toc15396630"/>
      <w:bookmarkStart w:id="155" w:name="_Toc24920"/>
      <w:bookmarkStart w:id="156" w:name="_Toc85788570"/>
      <w:bookmarkStart w:id="157" w:name="_Toc85788657"/>
      <w:bookmarkStart w:id="158" w:name="_Toc79163647"/>
      <w:bookmarkStart w:id="159" w:name="_Toc85785851"/>
      <w:bookmarkStart w:id="160" w:name="_Toc85790030"/>
      <w:r>
        <w:rPr>
          <w:rStyle w:val="31"/>
          <w:rFonts w:hint="eastAsia" w:ascii="仿宋" w:hAnsi="仿宋" w:eastAsia="仿宋"/>
          <w:b w:val="0"/>
          <w:bCs/>
        </w:rPr>
        <w:t>十二、</w:t>
      </w:r>
      <w:r>
        <w:rPr>
          <w:rFonts w:hint="eastAsia" w:ascii="仿宋" w:hAnsi="仿宋" w:eastAsia="仿宋"/>
          <w:b w:val="0"/>
        </w:rPr>
        <w:t>政</w:t>
      </w:r>
      <w:r>
        <w:rPr>
          <w:rStyle w:val="31"/>
          <w:rFonts w:hint="eastAsia" w:ascii="仿宋" w:hAnsi="仿宋" w:eastAsia="仿宋"/>
          <w:b w:val="0"/>
          <w:bCs/>
        </w:rPr>
        <w:t>府性基金预算财政拨款“三公”经费支出决算表</w:t>
      </w:r>
      <w:bookmarkEnd w:id="154"/>
      <w:bookmarkEnd w:id="155"/>
      <w:bookmarkEnd w:id="156"/>
      <w:bookmarkEnd w:id="157"/>
      <w:bookmarkEnd w:id="158"/>
      <w:bookmarkEnd w:id="159"/>
      <w:bookmarkEnd w:id="160"/>
    </w:p>
    <w:p>
      <w:pPr>
        <w:pStyle w:val="5"/>
        <w:rPr>
          <w:rStyle w:val="31"/>
          <w:rFonts w:ascii="仿宋" w:hAnsi="仿宋" w:eastAsia="仿宋"/>
          <w:b w:val="0"/>
          <w:bCs w:val="0"/>
        </w:rPr>
      </w:pPr>
      <w:bookmarkStart w:id="161" w:name="_Toc85788571"/>
      <w:bookmarkStart w:id="162" w:name="_Toc85785852"/>
      <w:bookmarkStart w:id="163" w:name="_Toc15396631"/>
      <w:bookmarkStart w:id="164" w:name="_Toc85790031"/>
      <w:bookmarkStart w:id="165" w:name="_Toc10073"/>
      <w:bookmarkStart w:id="166" w:name="_Toc79163648"/>
      <w:bookmarkStart w:id="167" w:name="_Toc85788658"/>
      <w:r>
        <w:rPr>
          <w:rStyle w:val="31"/>
          <w:rFonts w:hint="eastAsia" w:ascii="仿宋" w:hAnsi="仿宋" w:eastAsia="仿宋"/>
          <w:b w:val="0"/>
          <w:bCs/>
        </w:rPr>
        <w:t>十三、</w:t>
      </w:r>
      <w:r>
        <w:rPr>
          <w:rFonts w:hint="eastAsia" w:ascii="仿宋" w:hAnsi="仿宋" w:eastAsia="仿宋"/>
          <w:b w:val="0"/>
        </w:rPr>
        <w:t>国</w:t>
      </w:r>
      <w:r>
        <w:rPr>
          <w:rStyle w:val="31"/>
          <w:rFonts w:hint="eastAsia" w:ascii="仿宋" w:hAnsi="仿宋" w:eastAsia="仿宋"/>
          <w:b w:val="0"/>
          <w:bCs/>
        </w:rPr>
        <w:t>有资本经营预算财政拨款支出决算表</w:t>
      </w:r>
      <w:bookmarkEnd w:id="161"/>
      <w:bookmarkEnd w:id="162"/>
      <w:bookmarkEnd w:id="163"/>
      <w:bookmarkEnd w:id="164"/>
      <w:bookmarkEnd w:id="165"/>
      <w:bookmarkEnd w:id="166"/>
      <w:bookmarkEnd w:id="167"/>
    </w:p>
    <w:p>
      <w:pPr>
        <w:pStyle w:val="5"/>
        <w:rPr>
          <w:rFonts w:ascii="仿宋" w:hAnsi="仿宋" w:eastAsia="仿宋"/>
          <w:color w:val="000000" w:themeColor="text1"/>
          <w14:textFill>
            <w14:solidFill>
              <w14:schemeClr w14:val="tx1"/>
            </w14:solidFill>
          </w14:textFill>
        </w:rPr>
      </w:pPr>
      <w:bookmarkStart w:id="168" w:name="_Toc85785853"/>
      <w:bookmarkStart w:id="169" w:name="_Toc85788659"/>
      <w:bookmarkStart w:id="170" w:name="_Toc79163649"/>
      <w:bookmarkStart w:id="171" w:name="_Toc85790032"/>
      <w:bookmarkStart w:id="172" w:name="_Toc2036"/>
      <w:bookmarkStart w:id="173" w:name="_Toc85788572"/>
      <w:r>
        <w:rPr>
          <w:rStyle w:val="31"/>
          <w:rFonts w:hint="eastAsia" w:ascii="仿宋" w:hAnsi="仿宋" w:eastAsia="仿宋"/>
          <w:b w:val="0"/>
          <w:bCs/>
        </w:rPr>
        <w:t>十四、国有资本经营预算财政拨款支出决算表</w:t>
      </w:r>
      <w:bookmarkEnd w:id="168"/>
      <w:bookmarkEnd w:id="169"/>
      <w:bookmarkEnd w:id="170"/>
      <w:bookmarkEnd w:id="171"/>
      <w:bookmarkEnd w:id="172"/>
      <w:bookmarkEnd w:id="173"/>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574319"/>
      <w:docPartObj>
        <w:docPartGallery w:val="autotext"/>
      </w:docPartObj>
    </w:sdtPr>
    <w:sdtContent>
      <w:p>
        <w:pPr>
          <w:pStyle w:val="12"/>
          <w:jc w:val="center"/>
        </w:pPr>
        <w:r>
          <w:fldChar w:fldCharType="begin"/>
        </w:r>
        <w:r>
          <w:instrText xml:space="preserve">PAGE   \* MERGEFORMAT</w:instrText>
        </w:r>
        <w:r>
          <w:fldChar w:fldCharType="separate"/>
        </w:r>
        <w:r>
          <w:rPr>
            <w:lang w:val="zh-CN"/>
          </w:rPr>
          <w:t>14</w:t>
        </w:r>
        <w:r>
          <w:fldChar w:fldCharType="end"/>
        </w:r>
      </w:p>
    </w:sdtContent>
  </w:sdt>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592099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86F9D"/>
    <w:multiLevelType w:val="singleLevel"/>
    <w:tmpl w:val="9F586F9D"/>
    <w:lvl w:ilvl="0" w:tentative="0">
      <w:start w:val="3"/>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abstractNum w:abstractNumId="4">
    <w:nsid w:val="3EE10C30"/>
    <w:multiLevelType w:val="multilevel"/>
    <w:tmpl w:val="3EE10C3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797B1CE"/>
    <w:multiLevelType w:val="singleLevel"/>
    <w:tmpl w:val="7797B1CE"/>
    <w:lvl w:ilvl="0" w:tentative="0">
      <w:start w:val="1"/>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Zjk4ZmI4YzUyY2NiZTM5YjJkNjVmMjg0M2I1ODcifQ=="/>
  </w:docVars>
  <w:rsids>
    <w:rsidRoot w:val="00F1361C"/>
    <w:rsid w:val="000222C6"/>
    <w:rsid w:val="0002549F"/>
    <w:rsid w:val="0002749D"/>
    <w:rsid w:val="0006487A"/>
    <w:rsid w:val="00065F8F"/>
    <w:rsid w:val="000768F2"/>
    <w:rsid w:val="0009184B"/>
    <w:rsid w:val="0009593C"/>
    <w:rsid w:val="000B047F"/>
    <w:rsid w:val="000B202D"/>
    <w:rsid w:val="000B5923"/>
    <w:rsid w:val="000B5A48"/>
    <w:rsid w:val="000B6FF3"/>
    <w:rsid w:val="000C0677"/>
    <w:rsid w:val="000C3467"/>
    <w:rsid w:val="000C3CA6"/>
    <w:rsid w:val="000D1267"/>
    <w:rsid w:val="000D1D50"/>
    <w:rsid w:val="000D5782"/>
    <w:rsid w:val="000E6613"/>
    <w:rsid w:val="000E7119"/>
    <w:rsid w:val="00100BCC"/>
    <w:rsid w:val="00114E9B"/>
    <w:rsid w:val="00115894"/>
    <w:rsid w:val="001324D1"/>
    <w:rsid w:val="0014729F"/>
    <w:rsid w:val="00157BAB"/>
    <w:rsid w:val="001654D1"/>
    <w:rsid w:val="0018106D"/>
    <w:rsid w:val="001877A7"/>
    <w:rsid w:val="00191536"/>
    <w:rsid w:val="00196687"/>
    <w:rsid w:val="001B1FA9"/>
    <w:rsid w:val="001C0962"/>
    <w:rsid w:val="001D6C1E"/>
    <w:rsid w:val="001D7531"/>
    <w:rsid w:val="001E737D"/>
    <w:rsid w:val="001F0592"/>
    <w:rsid w:val="001F7506"/>
    <w:rsid w:val="002006CD"/>
    <w:rsid w:val="00202B36"/>
    <w:rsid w:val="00204B7A"/>
    <w:rsid w:val="0021101A"/>
    <w:rsid w:val="00220536"/>
    <w:rsid w:val="00235629"/>
    <w:rsid w:val="00260C38"/>
    <w:rsid w:val="002616C0"/>
    <w:rsid w:val="00261933"/>
    <w:rsid w:val="002662AA"/>
    <w:rsid w:val="00272503"/>
    <w:rsid w:val="00280496"/>
    <w:rsid w:val="00295495"/>
    <w:rsid w:val="002A7B10"/>
    <w:rsid w:val="002B2613"/>
    <w:rsid w:val="002F1818"/>
    <w:rsid w:val="002F567B"/>
    <w:rsid w:val="003216A9"/>
    <w:rsid w:val="0037013F"/>
    <w:rsid w:val="00380C92"/>
    <w:rsid w:val="003961ED"/>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2C3F"/>
    <w:rsid w:val="004E0A2D"/>
    <w:rsid w:val="004E206B"/>
    <w:rsid w:val="004E6DF7"/>
    <w:rsid w:val="004F0FBD"/>
    <w:rsid w:val="00505A47"/>
    <w:rsid w:val="00512FDA"/>
    <w:rsid w:val="00520DA0"/>
    <w:rsid w:val="005409C4"/>
    <w:rsid w:val="00562F0E"/>
    <w:rsid w:val="005664BB"/>
    <w:rsid w:val="0057481D"/>
    <w:rsid w:val="0058486E"/>
    <w:rsid w:val="00586B26"/>
    <w:rsid w:val="00597919"/>
    <w:rsid w:val="005C52C6"/>
    <w:rsid w:val="005D1C8B"/>
    <w:rsid w:val="005D5CED"/>
    <w:rsid w:val="005E3365"/>
    <w:rsid w:val="005F1333"/>
    <w:rsid w:val="005F1A4C"/>
    <w:rsid w:val="00605688"/>
    <w:rsid w:val="006070AF"/>
    <w:rsid w:val="00607E6C"/>
    <w:rsid w:val="006101B1"/>
    <w:rsid w:val="00614E44"/>
    <w:rsid w:val="0061542C"/>
    <w:rsid w:val="00622830"/>
    <w:rsid w:val="006308AB"/>
    <w:rsid w:val="00630AEF"/>
    <w:rsid w:val="006325F8"/>
    <w:rsid w:val="00634C9A"/>
    <w:rsid w:val="00643C0A"/>
    <w:rsid w:val="006440E4"/>
    <w:rsid w:val="0066343B"/>
    <w:rsid w:val="00664777"/>
    <w:rsid w:val="006748A4"/>
    <w:rsid w:val="00683E73"/>
    <w:rsid w:val="006A3141"/>
    <w:rsid w:val="006A5E34"/>
    <w:rsid w:val="006A6003"/>
    <w:rsid w:val="006B2422"/>
    <w:rsid w:val="006B2B9A"/>
    <w:rsid w:val="006C1937"/>
    <w:rsid w:val="006F020C"/>
    <w:rsid w:val="006F25EC"/>
    <w:rsid w:val="007127B7"/>
    <w:rsid w:val="007160B4"/>
    <w:rsid w:val="007416B6"/>
    <w:rsid w:val="00746F48"/>
    <w:rsid w:val="0075404D"/>
    <w:rsid w:val="0076182A"/>
    <w:rsid w:val="00767B7E"/>
    <w:rsid w:val="007770C3"/>
    <w:rsid w:val="00784D24"/>
    <w:rsid w:val="00785FBA"/>
    <w:rsid w:val="00786E4A"/>
    <w:rsid w:val="007875EB"/>
    <w:rsid w:val="00792E73"/>
    <w:rsid w:val="0079426B"/>
    <w:rsid w:val="007B647A"/>
    <w:rsid w:val="007C67C1"/>
    <w:rsid w:val="007D312A"/>
    <w:rsid w:val="007D3F19"/>
    <w:rsid w:val="007E23B0"/>
    <w:rsid w:val="007F1991"/>
    <w:rsid w:val="007F2C2F"/>
    <w:rsid w:val="007F55FC"/>
    <w:rsid w:val="007F5665"/>
    <w:rsid w:val="00800112"/>
    <w:rsid w:val="00807797"/>
    <w:rsid w:val="00822D79"/>
    <w:rsid w:val="008253BB"/>
    <w:rsid w:val="008328FC"/>
    <w:rsid w:val="0083706E"/>
    <w:rsid w:val="008423A5"/>
    <w:rsid w:val="00850625"/>
    <w:rsid w:val="00853718"/>
    <w:rsid w:val="00855221"/>
    <w:rsid w:val="00860645"/>
    <w:rsid w:val="00871F71"/>
    <w:rsid w:val="00885AF4"/>
    <w:rsid w:val="008939CD"/>
    <w:rsid w:val="008A784F"/>
    <w:rsid w:val="008B768C"/>
    <w:rsid w:val="008C4DB1"/>
    <w:rsid w:val="008C4EAF"/>
    <w:rsid w:val="008C5176"/>
    <w:rsid w:val="008C7FD0"/>
    <w:rsid w:val="008E1DE7"/>
    <w:rsid w:val="008E707C"/>
    <w:rsid w:val="008F3088"/>
    <w:rsid w:val="00900B08"/>
    <w:rsid w:val="00902155"/>
    <w:rsid w:val="00902FA3"/>
    <w:rsid w:val="009167BE"/>
    <w:rsid w:val="00923564"/>
    <w:rsid w:val="0092392E"/>
    <w:rsid w:val="009315F9"/>
    <w:rsid w:val="009337F3"/>
    <w:rsid w:val="0094345B"/>
    <w:rsid w:val="00946945"/>
    <w:rsid w:val="00951248"/>
    <w:rsid w:val="0095152F"/>
    <w:rsid w:val="00954C49"/>
    <w:rsid w:val="0097099F"/>
    <w:rsid w:val="00971997"/>
    <w:rsid w:val="00971FFC"/>
    <w:rsid w:val="0098660A"/>
    <w:rsid w:val="009931C3"/>
    <w:rsid w:val="00997BA6"/>
    <w:rsid w:val="009A2FBA"/>
    <w:rsid w:val="009B2C43"/>
    <w:rsid w:val="009B4EAE"/>
    <w:rsid w:val="009B7573"/>
    <w:rsid w:val="009C22F4"/>
    <w:rsid w:val="009C2E98"/>
    <w:rsid w:val="009D3447"/>
    <w:rsid w:val="009D4711"/>
    <w:rsid w:val="009F1185"/>
    <w:rsid w:val="009F18CD"/>
    <w:rsid w:val="009F2A13"/>
    <w:rsid w:val="00A04EB0"/>
    <w:rsid w:val="00A07944"/>
    <w:rsid w:val="00A13CC1"/>
    <w:rsid w:val="00A16847"/>
    <w:rsid w:val="00A237D8"/>
    <w:rsid w:val="00A268C4"/>
    <w:rsid w:val="00A307CD"/>
    <w:rsid w:val="00A307CF"/>
    <w:rsid w:val="00A40A00"/>
    <w:rsid w:val="00A4142F"/>
    <w:rsid w:val="00A52260"/>
    <w:rsid w:val="00A56DF2"/>
    <w:rsid w:val="00A57F63"/>
    <w:rsid w:val="00A66CD2"/>
    <w:rsid w:val="00A67AB5"/>
    <w:rsid w:val="00A91760"/>
    <w:rsid w:val="00A93B00"/>
    <w:rsid w:val="00A93C21"/>
    <w:rsid w:val="00AB6348"/>
    <w:rsid w:val="00AC3C6A"/>
    <w:rsid w:val="00AD5620"/>
    <w:rsid w:val="00AD7C1B"/>
    <w:rsid w:val="00AE16BA"/>
    <w:rsid w:val="00AE1EBE"/>
    <w:rsid w:val="00AE7003"/>
    <w:rsid w:val="00B03C9D"/>
    <w:rsid w:val="00B060AE"/>
    <w:rsid w:val="00B10517"/>
    <w:rsid w:val="00B14E76"/>
    <w:rsid w:val="00B15718"/>
    <w:rsid w:val="00B161B8"/>
    <w:rsid w:val="00B2048C"/>
    <w:rsid w:val="00B310B9"/>
    <w:rsid w:val="00B35F3F"/>
    <w:rsid w:val="00B36CBB"/>
    <w:rsid w:val="00B425E0"/>
    <w:rsid w:val="00B440AA"/>
    <w:rsid w:val="00B44B70"/>
    <w:rsid w:val="00B53C56"/>
    <w:rsid w:val="00B56B21"/>
    <w:rsid w:val="00B77EA6"/>
    <w:rsid w:val="00B81598"/>
    <w:rsid w:val="00B841F1"/>
    <w:rsid w:val="00B8480B"/>
    <w:rsid w:val="00B944D6"/>
    <w:rsid w:val="00BB4DF0"/>
    <w:rsid w:val="00BC289F"/>
    <w:rsid w:val="00BC5361"/>
    <w:rsid w:val="00BC5460"/>
    <w:rsid w:val="00BC6B50"/>
    <w:rsid w:val="00BD0E25"/>
    <w:rsid w:val="00BD3935"/>
    <w:rsid w:val="00BE1EB4"/>
    <w:rsid w:val="00BE3C7A"/>
    <w:rsid w:val="00BF5BD6"/>
    <w:rsid w:val="00C03E31"/>
    <w:rsid w:val="00C13B26"/>
    <w:rsid w:val="00C33E72"/>
    <w:rsid w:val="00C34EED"/>
    <w:rsid w:val="00C354B2"/>
    <w:rsid w:val="00C35554"/>
    <w:rsid w:val="00C42709"/>
    <w:rsid w:val="00C533CC"/>
    <w:rsid w:val="00C5751C"/>
    <w:rsid w:val="00C61BFC"/>
    <w:rsid w:val="00C62B85"/>
    <w:rsid w:val="00C65438"/>
    <w:rsid w:val="00C663B4"/>
    <w:rsid w:val="00C91CBB"/>
    <w:rsid w:val="00CA1D7E"/>
    <w:rsid w:val="00CC09B6"/>
    <w:rsid w:val="00CC4174"/>
    <w:rsid w:val="00CC666F"/>
    <w:rsid w:val="00CD1E3F"/>
    <w:rsid w:val="00CE44F6"/>
    <w:rsid w:val="00CE49DA"/>
    <w:rsid w:val="00CE7B61"/>
    <w:rsid w:val="00D00095"/>
    <w:rsid w:val="00D20620"/>
    <w:rsid w:val="00D26091"/>
    <w:rsid w:val="00D34E7C"/>
    <w:rsid w:val="00D35489"/>
    <w:rsid w:val="00D43BB3"/>
    <w:rsid w:val="00D47FCC"/>
    <w:rsid w:val="00D51276"/>
    <w:rsid w:val="00D7035F"/>
    <w:rsid w:val="00D906A5"/>
    <w:rsid w:val="00DA65AC"/>
    <w:rsid w:val="00DB1913"/>
    <w:rsid w:val="00DB4DCA"/>
    <w:rsid w:val="00DC410D"/>
    <w:rsid w:val="00DC54CE"/>
    <w:rsid w:val="00DC68CA"/>
    <w:rsid w:val="00DC7CBA"/>
    <w:rsid w:val="00DD2D64"/>
    <w:rsid w:val="00DD73B7"/>
    <w:rsid w:val="00DF28BC"/>
    <w:rsid w:val="00DF34B9"/>
    <w:rsid w:val="00DF36DA"/>
    <w:rsid w:val="00E01053"/>
    <w:rsid w:val="00E07ACF"/>
    <w:rsid w:val="00E331A1"/>
    <w:rsid w:val="00E33202"/>
    <w:rsid w:val="00E336A9"/>
    <w:rsid w:val="00E41B2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01B6"/>
    <w:rsid w:val="00F35848"/>
    <w:rsid w:val="00F36D8F"/>
    <w:rsid w:val="00F417B1"/>
    <w:rsid w:val="00F602DF"/>
    <w:rsid w:val="00F81FD9"/>
    <w:rsid w:val="00F841AA"/>
    <w:rsid w:val="00FA23E8"/>
    <w:rsid w:val="00FD3CC1"/>
    <w:rsid w:val="00FE17BC"/>
    <w:rsid w:val="00FF1E02"/>
    <w:rsid w:val="00FF30B4"/>
    <w:rsid w:val="04401DDD"/>
    <w:rsid w:val="100D394F"/>
    <w:rsid w:val="108C5FE7"/>
    <w:rsid w:val="10C055FF"/>
    <w:rsid w:val="133F64B2"/>
    <w:rsid w:val="14830684"/>
    <w:rsid w:val="16BB723D"/>
    <w:rsid w:val="16C25DC2"/>
    <w:rsid w:val="182E3401"/>
    <w:rsid w:val="2245341D"/>
    <w:rsid w:val="240371BF"/>
    <w:rsid w:val="276F1834"/>
    <w:rsid w:val="29FD04D3"/>
    <w:rsid w:val="2AFB120E"/>
    <w:rsid w:val="2E2A18A4"/>
    <w:rsid w:val="30A372C3"/>
    <w:rsid w:val="319F7F4E"/>
    <w:rsid w:val="35B61E9E"/>
    <w:rsid w:val="38F8371D"/>
    <w:rsid w:val="39902180"/>
    <w:rsid w:val="405B254E"/>
    <w:rsid w:val="43F21808"/>
    <w:rsid w:val="45DE99A2"/>
    <w:rsid w:val="489839F7"/>
    <w:rsid w:val="4C716962"/>
    <w:rsid w:val="4C912DC2"/>
    <w:rsid w:val="4E231FB4"/>
    <w:rsid w:val="4E5B00FD"/>
    <w:rsid w:val="4EB5792D"/>
    <w:rsid w:val="4F080E1C"/>
    <w:rsid w:val="505836E0"/>
    <w:rsid w:val="52ED6284"/>
    <w:rsid w:val="539C4613"/>
    <w:rsid w:val="58F17B7F"/>
    <w:rsid w:val="6129334A"/>
    <w:rsid w:val="64C656C1"/>
    <w:rsid w:val="680974B1"/>
    <w:rsid w:val="68A72570"/>
    <w:rsid w:val="6B7B6B34"/>
    <w:rsid w:val="6D367A6D"/>
    <w:rsid w:val="70202A42"/>
    <w:rsid w:val="705838E8"/>
    <w:rsid w:val="7DFF0D97"/>
    <w:rsid w:val="7FF326E1"/>
    <w:rsid w:val="CFFD9D02"/>
    <w:rsid w:val="FD77B7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6"/>
    <w:semiHidden/>
    <w:unhideWhenUsed/>
    <w:qFormat/>
    <w:uiPriority w:val="99"/>
    <w:pPr>
      <w:ind w:firstLine="420" w:firstLineChars="200"/>
    </w:pPr>
  </w:style>
  <w:style w:type="paragraph" w:styleId="3">
    <w:name w:val="Body Text Indent"/>
    <w:basedOn w:val="1"/>
    <w:next w:val="2"/>
    <w:link w:val="35"/>
    <w:semiHidden/>
    <w:unhideWhenUsed/>
    <w:qFormat/>
    <w:uiPriority w:val="99"/>
    <w:pPr>
      <w:spacing w:after="120"/>
      <w:ind w:left="420" w:leftChars="200"/>
    </w:pPr>
  </w:style>
  <w:style w:type="paragraph" w:styleId="7">
    <w:name w:val="index 8"/>
    <w:basedOn w:val="1"/>
    <w:next w:val="1"/>
    <w:unhideWhenUsed/>
    <w:qFormat/>
    <w:uiPriority w:val="99"/>
    <w:pPr>
      <w:ind w:left="2940"/>
    </w:pPr>
  </w:style>
  <w:style w:type="paragraph" w:styleId="8">
    <w:name w:val="Body Text"/>
    <w:basedOn w:val="9"/>
    <w:next w:val="7"/>
    <w:link w:val="27"/>
    <w:qFormat/>
    <w:uiPriority w:val="99"/>
    <w:pPr>
      <w:spacing w:beforeLines="30"/>
    </w:pPr>
    <w:rPr>
      <w:rFonts w:ascii="仿宋_GB2312" w:eastAsia="仿宋_GB2312"/>
      <w:kern w:val="0"/>
      <w:sz w:val="30"/>
    </w:rPr>
  </w:style>
  <w:style w:type="paragraph" w:customStyle="1" w:styleId="9">
    <w:name w:val="msonormal"/>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9"/>
    <w:semiHidden/>
    <w:unhideWhenUsed/>
    <w:qFormat/>
    <w:uiPriority w:val="99"/>
    <w:pPr>
      <w:widowControl/>
      <w:spacing w:before="100" w:beforeAutospacing="1" w:after="100" w:afterAutospacing="1"/>
      <w:jc w:val="left"/>
    </w:pPr>
    <w:rPr>
      <w:rFonts w:ascii="宋体" w:hAnsi="宋体" w:cs="宋体"/>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character" w:customStyle="1" w:styleId="35">
    <w:name w:val="正文文本缩进 Char"/>
    <w:basedOn w:val="19"/>
    <w:link w:val="3"/>
    <w:semiHidden/>
    <w:qFormat/>
    <w:uiPriority w:val="99"/>
    <w:rPr>
      <w:rFonts w:ascii="Times New Roman" w:hAnsi="Times New Roman"/>
      <w:kern w:val="2"/>
      <w:sz w:val="21"/>
      <w:szCs w:val="24"/>
    </w:rPr>
  </w:style>
  <w:style w:type="character" w:customStyle="1" w:styleId="36">
    <w:name w:val="正文首行缩进 2 Char"/>
    <w:basedOn w:val="35"/>
    <w:link w:val="2"/>
    <w:qFormat/>
    <w:uiPriority w:val="0"/>
    <w:rPr>
      <w:rFonts w:ascii="Times New Roman" w:hAnsi="Times New Roman"/>
      <w:kern w:val="2"/>
      <w:sz w:val="21"/>
      <w:szCs w:val="24"/>
    </w:rPr>
  </w:style>
  <w:style w:type="paragraph" w:customStyle="1" w:styleId="37">
    <w:name w:val="文档正文"/>
    <w:basedOn w:val="1"/>
    <w:qFormat/>
    <w:uiPriority w:val="0"/>
    <w:pPr>
      <w:adjustRightInd w:val="0"/>
      <w:spacing w:line="480" w:lineRule="atLeast"/>
      <w:textAlignment w:val="baseline"/>
    </w:pPr>
    <w:rPr>
      <w:rFonts w:ascii="Arial" w:hAnsi="Arial"/>
      <w:kern w:val="0"/>
    </w:rPr>
  </w:style>
  <w:style w:type="paragraph" w:customStyle="1" w:styleId="38">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2021&#24180;&#20915;&#31639;&#20844;&#24320;\&#20915;&#31639;&#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2021&#24180;&#20915;&#31639;&#20844;&#24320;\&#20915;&#31639;&#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2021&#24180;&#20915;&#31639;&#20844;&#24320;\&#32452;&#32455;&#37096;\&#35745;&#31639;&#349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6700;&#38754;\2021&#24180;&#20915;&#31639;&#20844;&#24320;\&#20915;&#3163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收入决算总计变动图</a:t>
            </a:r>
          </a:p>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69444444444444"/>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1635.79</c:v>
                </c:pt>
                <c:pt idx="1">
                  <c:v>1037.64</c:v>
                </c:pt>
              </c:numCache>
            </c:numRef>
          </c:val>
        </c:ser>
        <c:dLbls>
          <c:showLegendKey val="0"/>
          <c:showVal val="0"/>
          <c:showCatName val="0"/>
          <c:showSerName val="0"/>
          <c:showPercent val="0"/>
          <c:showBubbleSize val="0"/>
        </c:dLbls>
        <c:gapWidth val="219"/>
        <c:overlap val="-27"/>
        <c:axId val="486796583"/>
        <c:axId val="275721527"/>
      </c:barChart>
      <c:catAx>
        <c:axId val="4867965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75721527"/>
        <c:crosses val="autoZero"/>
        <c:auto val="1"/>
        <c:lblAlgn val="ctr"/>
        <c:lblOffset val="100"/>
        <c:noMultiLvlLbl val="0"/>
      </c:catAx>
      <c:valAx>
        <c:axId val="275721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86796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支出决算总计变动图</a:t>
            </a:r>
          </a:p>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44047619047619"/>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1767.03</c:v>
                </c:pt>
                <c:pt idx="1">
                  <c:v>1417.53</c:v>
                </c:pt>
              </c:numCache>
            </c:numRef>
          </c:val>
        </c:ser>
        <c:dLbls>
          <c:showLegendKey val="0"/>
          <c:showVal val="0"/>
          <c:showCatName val="0"/>
          <c:showSerName val="0"/>
          <c:showPercent val="0"/>
          <c:showBubbleSize val="0"/>
        </c:dLbls>
        <c:gapWidth val="219"/>
        <c:overlap val="-27"/>
        <c:axId val="486796583"/>
        <c:axId val="275721527"/>
      </c:barChart>
      <c:catAx>
        <c:axId val="4867965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75721527"/>
        <c:crosses val="autoZero"/>
        <c:auto val="1"/>
        <c:lblAlgn val="ctr"/>
        <c:lblOffset val="100"/>
        <c:noMultiLvlLbl val="0"/>
      </c:catAx>
      <c:valAx>
        <c:axId val="275721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86796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[决算图表.xls]Sheet1!$A$2:$A$8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[决算图表.xls]Sheet1!$B$2:$B$8</c:f>
              <c:numCache>
                <c:formatCode>_-* #,##0.00_-;\-* #,##0.00_-;_-* "-"??_-;_-@_-</c:formatCode>
                <c:ptCount val="7"/>
                <c:pt idx="0">
                  <c:v>1635.79</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[决算图表.xls]Sheet1!$A$2:$A$8</c:f>
              <c:strCache>
                <c:ptCount val="7"/>
                <c:pt idx="0">
                  <c:v>基本支出</c:v>
                </c:pt>
                <c:pt idx="1">
                  <c:v>项目支出</c:v>
                </c:pt>
                <c:pt idx="2">
                  <c:v>上缴上级支出</c:v>
                </c:pt>
                <c:pt idx="3">
                  <c:v>经营支出</c:v>
                </c:pt>
                <c:pt idx="4">
                  <c:v>对附属单位补助支出</c:v>
                </c:pt>
              </c:strCache>
            </c:strRef>
          </c:cat>
          <c:val>
            <c:numRef>
              <c:f>[决算图表.xls]Sheet1!$B$2:$B$8</c:f>
              <c:numCache>
                <c:formatCode>_-* #,##0.00_-;\-* #,##0.00_-;_-* "-"??_-;_-@_-</c:formatCode>
                <c:ptCount val="7"/>
                <c:pt idx="0">
                  <c:v>723.21</c:v>
                </c:pt>
                <c:pt idx="1">
                  <c:v>1043.82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财政拨款收入决算总计变动图</a:t>
            </a:r>
          </a:p>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69444444444444"/>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1635.79</c:v>
                </c:pt>
                <c:pt idx="1">
                  <c:v>1037.64</c:v>
                </c:pt>
              </c:numCache>
            </c:numRef>
          </c:val>
        </c:ser>
        <c:dLbls>
          <c:showLegendKey val="0"/>
          <c:showVal val="0"/>
          <c:showCatName val="0"/>
          <c:showSerName val="0"/>
          <c:showPercent val="0"/>
          <c:showBubbleSize val="0"/>
        </c:dLbls>
        <c:gapWidth val="219"/>
        <c:overlap val="-27"/>
        <c:axId val="486796583"/>
        <c:axId val="275721527"/>
      </c:barChart>
      <c:catAx>
        <c:axId val="4867965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75721527"/>
        <c:crosses val="autoZero"/>
        <c:auto val="1"/>
        <c:lblAlgn val="ctr"/>
        <c:lblOffset val="100"/>
        <c:noMultiLvlLbl val="0"/>
      </c:catAx>
      <c:valAx>
        <c:axId val="275721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86796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财政拨款支出决算总计变动图</a:t>
            </a:r>
          </a:p>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44047619047619"/>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1767.03</c:v>
                </c:pt>
                <c:pt idx="1">
                  <c:v>1417.53</c:v>
                </c:pt>
              </c:numCache>
            </c:numRef>
          </c:val>
        </c:ser>
        <c:dLbls>
          <c:showLegendKey val="0"/>
          <c:showVal val="0"/>
          <c:showCatName val="0"/>
          <c:showSerName val="0"/>
          <c:showPercent val="0"/>
          <c:showBubbleSize val="0"/>
        </c:dLbls>
        <c:gapWidth val="219"/>
        <c:overlap val="-27"/>
        <c:axId val="486796583"/>
        <c:axId val="275721527"/>
      </c:barChart>
      <c:catAx>
        <c:axId val="4867965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75721527"/>
        <c:crosses val="autoZero"/>
        <c:auto val="1"/>
        <c:lblAlgn val="ctr"/>
        <c:lblOffset val="100"/>
        <c:noMultiLvlLbl val="0"/>
      </c:catAx>
      <c:valAx>
        <c:axId val="2757215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86796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一般公共预算财政拨款支出决算变动情况</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89451385996576"/>
          <c:y val="0.0169444444444444"/>
        </c:manualLayout>
      </c:layout>
      <c:overlay val="0"/>
    </c:title>
    <c:autoTitleDeleted val="0"/>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[决算图表.xls]Sheet1!$A$20:$A$21</c:f>
              <c:strCache>
                <c:ptCount val="2"/>
                <c:pt idx="0">
                  <c:v>2021年</c:v>
                </c:pt>
                <c:pt idx="1">
                  <c:v>2020年</c:v>
                </c:pt>
              </c:strCache>
            </c:strRef>
          </c:cat>
          <c:val>
            <c:numRef>
              <c:f>[决算图表.xls]Sheet1!$B$20:$B$21</c:f>
              <c:numCache>
                <c:formatCode>General</c:formatCode>
                <c:ptCount val="2"/>
                <c:pt idx="0">
                  <c:v>1767.03</c:v>
                </c:pt>
                <c:pt idx="1">
                  <c:v>1389.15</c:v>
                </c:pt>
              </c:numCache>
            </c:numRef>
          </c:val>
        </c:ser>
        <c:dLbls>
          <c:showLegendKey val="0"/>
          <c:showVal val="0"/>
          <c:showCatName val="0"/>
          <c:showSerName val="0"/>
          <c:showPercent val="0"/>
          <c:showBubbleSize val="0"/>
        </c:dLbls>
        <c:gapWidth val="219"/>
        <c:overlap val="-27"/>
        <c:axId val="597388925"/>
        <c:axId val="976803938"/>
      </c:barChart>
      <c:catAx>
        <c:axId val="59738892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976803938"/>
        <c:crosses val="autoZero"/>
        <c:auto val="1"/>
        <c:lblAlgn val="ctr"/>
        <c:lblOffset val="100"/>
        <c:noMultiLvlLbl val="0"/>
      </c:catAx>
      <c:valAx>
        <c:axId val="9768039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973889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Lbls>
            <c:delete val="1"/>
          </c:dLbls>
          <c:cat>
            <c:strRef>
              <c:f>[计算表.xlsx]Sheet1!$B$10:$B$15</c:f>
              <c:strCache>
                <c:ptCount val="6"/>
                <c:pt idx="0">
                  <c:v>     一般公共服务（类）支出</c:v>
                </c:pt>
                <c:pt idx="1">
                  <c:v>     教育支出（类）</c:v>
                </c:pt>
                <c:pt idx="2">
                  <c:v>     社会保障和就业（类）支出</c:v>
                </c:pt>
                <c:pt idx="3">
                  <c:v>     医疗卫生支出</c:v>
                </c:pt>
                <c:pt idx="4">
                  <c:v>    农林水（类）支出</c:v>
                </c:pt>
                <c:pt idx="5">
                  <c:v>    住房保障支出</c:v>
                </c:pt>
              </c:strCache>
            </c:strRef>
          </c:cat>
          <c:val>
            <c:numRef>
              <c:f>[计算表.xlsx]Sheet1!$C$10:$C$15</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[计算表.xlsx]Sheet1!$B$10:$B$15</c:f>
              <c:strCache>
                <c:ptCount val="6"/>
                <c:pt idx="0">
                  <c:v>     一般公共服务（类）支出</c:v>
                </c:pt>
                <c:pt idx="1">
                  <c:v>     教育支出（类）</c:v>
                </c:pt>
                <c:pt idx="2">
                  <c:v>     社会保障和就业（类）支出</c:v>
                </c:pt>
                <c:pt idx="3">
                  <c:v>     医疗卫生支出</c:v>
                </c:pt>
                <c:pt idx="4">
                  <c:v>    农林水（类）支出</c:v>
                </c:pt>
                <c:pt idx="5">
                  <c:v>    住房保障支出</c:v>
                </c:pt>
              </c:strCache>
            </c:strRef>
          </c:cat>
          <c:val>
            <c:numRef>
              <c:f>[计算表.xlsx]Sheet1!$D$10:$D$15</c:f>
              <c:numCache>
                <c:formatCode>0.00%</c:formatCode>
                <c:ptCount val="6"/>
                <c:pt idx="0">
                  <c:v>0.607307176448617</c:v>
                </c:pt>
                <c:pt idx="1">
                  <c:v>0.000113184269650204</c:v>
                </c:pt>
                <c:pt idx="2">
                  <c:v>0.0356134304454367</c:v>
                </c:pt>
                <c:pt idx="3">
                  <c:v>0.015540200222973</c:v>
                </c:pt>
                <c:pt idx="4">
                  <c:v>0.316729200975648</c:v>
                </c:pt>
                <c:pt idx="5">
                  <c:v>0.0246968076376745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delete val="1"/>
          </c:dLbls>
          <c:cat>
            <c:strRef>
              <c:f>[决算图表.xls]Sheet1!$A$2:$A$8</c:f>
              <c:strCache>
                <c:ptCount val="7"/>
                <c:pt idx="0">
                  <c:v>公出国（境）费支出</c:v>
                </c:pt>
                <c:pt idx="1">
                  <c:v>公务用车购置及运行维护费支出</c:v>
                </c:pt>
                <c:pt idx="2">
                  <c:v>公务接待费支出</c:v>
                </c:pt>
              </c:strCache>
            </c:strRef>
          </c:cat>
          <c:val>
            <c:numRef>
              <c:f>[决算图表.xls]Sheet1!$B$2:$B$8</c:f>
              <c:numCache>
                <c:formatCode>_-* #,##0.00_-;\-* #,##0.00_-;_-* "-"??_-;_-@_-</c:formatCode>
                <c:ptCount val="7"/>
                <c:pt idx="0">
                  <c:v>0</c:v>
                </c:pt>
                <c:pt idx="1">
                  <c:v>27.69</c:v>
                </c:pt>
                <c:pt idx="2">
                  <c:v>0.3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14402</Words>
  <Characters>15401</Characters>
  <Lines>130</Lines>
  <Paragraphs>36</Paragraphs>
  <TotalTime>242</TotalTime>
  <ScaleCrop>false</ScaleCrop>
  <LinksUpToDate>false</LinksUpToDate>
  <CharactersWithSpaces>15461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2021-10-22T18:46:00Z</dcterms:created>
  <dc:creator>张彬茜</dc:creator>
  <cp:lastModifiedBy>芳*枫桉楠㭎</cp:lastModifiedBy>
  <cp:lastPrinted>2022-10-21T01:36:00Z</cp:lastPrinted>
  <dcterms:modified xsi:type="dcterms:W3CDTF">2022-10-21T03:51:35Z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4A277AEF1E6340C7907DA495D3B0FE30</vt:lpwstr>
  </property>
</Properties>
</file>