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38179">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06267"/>
      <w:bookmarkStart w:id="2" w:name="_Toc15378441"/>
      <w:bookmarkStart w:id="3" w:name="_Toc15396475"/>
      <w:bookmarkStart w:id="4" w:name="_Toc15377193"/>
      <w:bookmarkStart w:id="5" w:name="_Toc15396597"/>
    </w:p>
    <w:p w14:paraId="085D2E21">
      <w:pPr>
        <w:pStyle w:val="5"/>
        <w:rPr>
          <w:rFonts w:hint="eastAsia" w:ascii="Times New Roman" w:hAnsi="Times New Roman" w:eastAsia="方正小标宋简体" w:cs="Times New Roman"/>
          <w:color w:val="auto"/>
          <w:kern w:val="2"/>
          <w:sz w:val="72"/>
          <w:szCs w:val="72"/>
          <w:highlight w:val="none"/>
          <w:lang w:val="en-US" w:eastAsia="zh-CN" w:bidi="ar-SA"/>
        </w:rPr>
      </w:pPr>
    </w:p>
    <w:p w14:paraId="30F99755">
      <w:pPr>
        <w:pStyle w:val="5"/>
        <w:rPr>
          <w:rFonts w:hint="eastAsia" w:ascii="Times New Roman" w:hAnsi="Times New Roman" w:eastAsia="方正小标宋简体" w:cs="Times New Roman"/>
          <w:color w:val="auto"/>
          <w:kern w:val="2"/>
          <w:sz w:val="72"/>
          <w:szCs w:val="72"/>
          <w:highlight w:val="none"/>
          <w:lang w:val="en-US" w:eastAsia="zh-CN" w:bidi="ar-SA"/>
        </w:rPr>
      </w:pPr>
    </w:p>
    <w:p w14:paraId="009A9AC0">
      <w:pPr>
        <w:pStyle w:val="5"/>
        <w:rPr>
          <w:rFonts w:hint="eastAsia" w:ascii="Times New Roman" w:hAnsi="Times New Roman" w:eastAsia="方正小标宋简体" w:cs="Times New Roman"/>
          <w:color w:val="auto"/>
          <w:kern w:val="2"/>
          <w:sz w:val="72"/>
          <w:szCs w:val="72"/>
          <w:highlight w:val="none"/>
          <w:lang w:val="en-US" w:eastAsia="zh-CN" w:bidi="ar-SA"/>
        </w:rPr>
      </w:pPr>
    </w:p>
    <w:p w14:paraId="10BA106B">
      <w:pPr>
        <w:pStyle w:val="5"/>
        <w:keepNext w:val="0"/>
        <w:keepLines w:val="0"/>
        <w:pageBreakBefore w:val="0"/>
        <w:widowControl w:val="0"/>
        <w:suppressAutoHyphens/>
        <w:kinsoku/>
        <w:wordWrap/>
        <w:overflowPunct/>
        <w:topLinePunct w:val="0"/>
        <w:autoSpaceDE/>
        <w:autoSpaceDN/>
        <w:bidi w:val="0"/>
        <w:adjustRightInd/>
        <w:snapToGrid/>
        <w:spacing w:before="0" w:beforeLines="0" w:after="140" w:line="560" w:lineRule="exact"/>
        <w:jc w:val="center"/>
        <w:textAlignment w:val="auto"/>
        <w:rPr>
          <w:rFonts w:hint="eastAsia" w:ascii="Times New Roman" w:hAnsi="Times New Roman" w:eastAsia="方正小标宋_GBK" w:cs="Times New Roman"/>
          <w:b w:val="0"/>
          <w:bCs/>
          <w:color w:val="auto"/>
          <w:kern w:val="2"/>
          <w:sz w:val="44"/>
          <w:szCs w:val="44"/>
          <w:shd w:val="clear" w:color="auto" w:fill="FFFFFF"/>
          <w:lang w:val="en-US" w:eastAsia="zh-CN" w:bidi="ar-SA"/>
        </w:rPr>
      </w:pPr>
      <w:r>
        <w:rPr>
          <w:rFonts w:hint="eastAsia" w:ascii="Times New Roman" w:hAnsi="Times New Roman" w:eastAsia="方正小标宋_GBK" w:cs="Times New Roman"/>
          <w:b w:val="0"/>
          <w:bCs/>
          <w:color w:val="auto"/>
          <w:kern w:val="2"/>
          <w:sz w:val="44"/>
          <w:szCs w:val="44"/>
          <w:shd w:val="clear" w:color="auto" w:fill="FFFFFF"/>
          <w:lang w:val="en-US" w:eastAsia="zh-CN" w:bidi="ar-SA"/>
        </w:rPr>
        <w:t>阿坝州壤塘县</w:t>
      </w:r>
    </w:p>
    <w:p w14:paraId="303818B1">
      <w:pPr>
        <w:pStyle w:val="5"/>
        <w:keepNext w:val="0"/>
        <w:keepLines w:val="0"/>
        <w:pageBreakBefore w:val="0"/>
        <w:widowControl w:val="0"/>
        <w:suppressAutoHyphens/>
        <w:kinsoku/>
        <w:wordWrap/>
        <w:overflowPunct/>
        <w:topLinePunct w:val="0"/>
        <w:autoSpaceDE/>
        <w:autoSpaceDN/>
        <w:bidi w:val="0"/>
        <w:adjustRightInd/>
        <w:snapToGrid/>
        <w:spacing w:before="0" w:beforeLines="0" w:after="140" w:line="560" w:lineRule="exact"/>
        <w:jc w:val="center"/>
        <w:textAlignment w:val="auto"/>
        <w:rPr>
          <w:rFonts w:hint="default" w:ascii="Times New Roman" w:hAnsi="Times New Roman" w:eastAsia="方正小标宋_GBK" w:cs="Times New Roman"/>
          <w:b w:val="0"/>
          <w:bCs/>
          <w:color w:val="auto"/>
          <w:kern w:val="2"/>
          <w:sz w:val="44"/>
          <w:szCs w:val="44"/>
          <w:shd w:val="clear" w:color="auto" w:fill="FFFFFF"/>
          <w:lang w:val="en-US" w:eastAsia="zh-CN" w:bidi="ar-SA"/>
        </w:rPr>
      </w:pPr>
      <w:r>
        <w:rPr>
          <w:rFonts w:hint="eastAsia" w:ascii="Times New Roman" w:hAnsi="Times New Roman" w:eastAsia="方正小标宋_GBK" w:cs="Times New Roman"/>
          <w:b w:val="0"/>
          <w:bCs/>
          <w:color w:val="auto"/>
          <w:kern w:val="2"/>
          <w:sz w:val="44"/>
          <w:szCs w:val="44"/>
          <w:shd w:val="clear" w:color="auto" w:fill="FFFFFF"/>
          <w:lang w:val="en-US" w:eastAsia="zh-CN" w:bidi="ar-SA"/>
        </w:rPr>
        <w:t>202</w:t>
      </w:r>
      <w:r>
        <w:rPr>
          <w:rFonts w:hint="eastAsia" w:ascii="Times New Roman" w:eastAsia="方正小标宋_GBK" w:cs="Times New Roman"/>
          <w:b w:val="0"/>
          <w:bCs/>
          <w:color w:val="auto"/>
          <w:kern w:val="2"/>
          <w:sz w:val="44"/>
          <w:szCs w:val="44"/>
          <w:shd w:val="clear" w:color="auto" w:fill="FFFFFF"/>
          <w:lang w:val="en-US" w:eastAsia="zh-CN" w:bidi="ar-SA"/>
        </w:rPr>
        <w:t>5</w:t>
      </w:r>
      <w:r>
        <w:rPr>
          <w:rFonts w:hint="eastAsia" w:ascii="Times New Roman" w:hAnsi="Times New Roman" w:eastAsia="方正小标宋_GBK" w:cs="Times New Roman"/>
          <w:b w:val="0"/>
          <w:bCs/>
          <w:color w:val="auto"/>
          <w:kern w:val="2"/>
          <w:sz w:val="44"/>
          <w:szCs w:val="44"/>
          <w:shd w:val="clear" w:color="auto" w:fill="FFFFFF"/>
          <w:lang w:val="en-US" w:eastAsia="zh-CN" w:bidi="ar-SA"/>
        </w:rPr>
        <w:t>年度</w:t>
      </w:r>
      <w:r>
        <w:rPr>
          <w:rFonts w:hint="default" w:ascii="Times New Roman" w:hAnsi="Times New Roman" w:eastAsia="方正小标宋_GBK" w:cs="Times New Roman"/>
          <w:b w:val="0"/>
          <w:bCs/>
          <w:color w:val="auto"/>
          <w:kern w:val="2"/>
          <w:sz w:val="44"/>
          <w:szCs w:val="44"/>
          <w:shd w:val="clear" w:color="auto" w:fill="FFFFFF"/>
          <w:lang w:val="en-US" w:eastAsia="zh-CN" w:bidi="ar-SA"/>
        </w:rPr>
        <w:t>中共壤塘县委巡察工作领导小组</w:t>
      </w:r>
    </w:p>
    <w:p w14:paraId="7F771C99">
      <w:pPr>
        <w:pStyle w:val="5"/>
        <w:keepNext w:val="0"/>
        <w:keepLines w:val="0"/>
        <w:pageBreakBefore w:val="0"/>
        <w:widowControl w:val="0"/>
        <w:suppressAutoHyphens/>
        <w:kinsoku/>
        <w:wordWrap/>
        <w:overflowPunct/>
        <w:topLinePunct w:val="0"/>
        <w:autoSpaceDE/>
        <w:autoSpaceDN/>
        <w:bidi w:val="0"/>
        <w:adjustRightInd/>
        <w:snapToGrid/>
        <w:spacing w:before="0" w:beforeLines="0" w:after="140" w:line="560" w:lineRule="exact"/>
        <w:jc w:val="center"/>
        <w:textAlignment w:val="auto"/>
        <w:rPr>
          <w:rFonts w:hint="eastAsia" w:ascii="Times New Roman" w:hAnsi="Times New Roman" w:eastAsia="方正小标宋_GBK" w:cs="Times New Roman"/>
          <w:b w:val="0"/>
          <w:bCs/>
          <w:color w:val="auto"/>
          <w:kern w:val="2"/>
          <w:sz w:val="44"/>
          <w:szCs w:val="44"/>
          <w:shd w:val="clear" w:color="auto" w:fill="FFFFFF"/>
          <w:lang w:val="en-US" w:eastAsia="zh-CN" w:bidi="ar-SA"/>
        </w:rPr>
      </w:pPr>
      <w:r>
        <w:rPr>
          <w:rFonts w:hint="default" w:ascii="Times New Roman" w:hAnsi="Times New Roman" w:eastAsia="方正小标宋_GBK" w:cs="Times New Roman"/>
          <w:b w:val="0"/>
          <w:bCs/>
          <w:color w:val="auto"/>
          <w:kern w:val="2"/>
          <w:sz w:val="44"/>
          <w:szCs w:val="44"/>
          <w:shd w:val="clear" w:color="auto" w:fill="FFFFFF"/>
          <w:lang w:val="en-US" w:eastAsia="zh-CN" w:bidi="ar-SA"/>
        </w:rPr>
        <w:t>办公室</w:t>
      </w:r>
      <w:r>
        <w:rPr>
          <w:rFonts w:hint="eastAsia" w:ascii="Times New Roman" w:hAnsi="Times New Roman" w:eastAsia="方正小标宋_GBK" w:cs="Times New Roman"/>
          <w:b w:val="0"/>
          <w:bCs/>
          <w:color w:val="auto"/>
          <w:kern w:val="2"/>
          <w:sz w:val="44"/>
          <w:szCs w:val="44"/>
          <w:shd w:val="clear" w:color="auto" w:fill="FFFFFF"/>
          <w:lang w:val="en-US" w:eastAsia="zh-CN" w:bidi="ar-SA"/>
        </w:rPr>
        <w:t>单位部门决算公开</w:t>
      </w:r>
    </w:p>
    <w:p w14:paraId="6283DDCD">
      <w:pPr>
        <w:pStyle w:val="5"/>
        <w:keepNext w:val="0"/>
        <w:keepLines w:val="0"/>
        <w:pageBreakBefore w:val="0"/>
        <w:widowControl w:val="0"/>
        <w:suppressAutoHyphens/>
        <w:kinsoku/>
        <w:wordWrap/>
        <w:overflowPunct/>
        <w:topLinePunct w:val="0"/>
        <w:autoSpaceDE/>
        <w:autoSpaceDN/>
        <w:bidi w:val="0"/>
        <w:adjustRightInd/>
        <w:snapToGrid/>
        <w:spacing w:before="0" w:beforeLines="0" w:after="140" w:line="560" w:lineRule="exact"/>
        <w:jc w:val="center"/>
        <w:textAlignment w:val="auto"/>
        <w:rPr>
          <w:rFonts w:hint="eastAsia" w:ascii="Times New Roman" w:hAnsi="Times New Roman" w:eastAsia="方正小标宋_GBK" w:cs="Times New Roman"/>
          <w:b w:val="0"/>
          <w:bCs/>
          <w:color w:val="auto"/>
          <w:kern w:val="2"/>
          <w:sz w:val="44"/>
          <w:szCs w:val="44"/>
          <w:shd w:val="clear" w:color="auto" w:fill="FFFFFF"/>
          <w:lang w:val="en-US" w:eastAsia="zh-CN" w:bidi="ar-SA"/>
        </w:rPr>
      </w:pPr>
      <w:r>
        <w:rPr>
          <w:rFonts w:hint="eastAsia" w:ascii="Times New Roman" w:hAnsi="Times New Roman" w:eastAsia="方正小标宋_GBK" w:cs="Times New Roman"/>
          <w:b w:val="0"/>
          <w:bCs/>
          <w:color w:val="auto"/>
          <w:kern w:val="2"/>
          <w:sz w:val="44"/>
          <w:szCs w:val="44"/>
          <w:shd w:val="clear" w:color="auto" w:fill="FFFFFF"/>
          <w:lang w:val="en-US" w:eastAsia="zh-CN" w:bidi="ar-SA"/>
        </w:rPr>
        <w:t>（单位公开）</w:t>
      </w:r>
    </w:p>
    <w:p w14:paraId="4F51F98B">
      <w:pPr>
        <w:spacing w:line="600" w:lineRule="exact"/>
        <w:jc w:val="center"/>
        <w:outlineLvl w:val="0"/>
        <w:rPr>
          <w:rFonts w:ascii="Times New Roman" w:hAnsi="Times New Roman" w:eastAsia="方正小标宋简体"/>
          <w:color w:val="auto"/>
          <w:sz w:val="72"/>
          <w:szCs w:val="72"/>
          <w:highlight w:val="none"/>
        </w:rPr>
      </w:pPr>
    </w:p>
    <w:p w14:paraId="7FB83128">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7E2BF447">
      <w:pPr>
        <w:rPr>
          <w:rFonts w:ascii="Times New Roman" w:hAnsi="Times New Roman"/>
        </w:rPr>
      </w:pPr>
    </w:p>
    <w:bookmarkEnd w:id="0"/>
    <w:bookmarkEnd w:id="1"/>
    <w:bookmarkEnd w:id="2"/>
    <w:bookmarkEnd w:id="3"/>
    <w:bookmarkEnd w:id="4"/>
    <w:bookmarkEnd w:id="5"/>
    <w:p w14:paraId="4AB85549">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12EE5333">
      <w:pPr>
        <w:pStyle w:val="12"/>
        <w:keepNext w:val="0"/>
        <w:keepLines w:val="0"/>
        <w:pageBreakBefore w:val="0"/>
        <w:kinsoku/>
        <w:wordWrap/>
        <w:overflowPunct/>
        <w:topLinePunct w:val="0"/>
        <w:autoSpaceDE/>
        <w:autoSpaceDN/>
        <w:bidi w:val="0"/>
        <w:adjustRightInd/>
        <w:snapToGrid/>
        <w:spacing w:line="320" w:lineRule="exac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19</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66700"/>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1CD12407">
          <w:pPr>
            <w:keepNext w:val="0"/>
            <w:keepLines w:val="0"/>
            <w:pageBreakBefore w:val="0"/>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center"/>
            <w:textAlignment w:val="auto"/>
          </w:pPr>
        </w:p>
        <w:p w14:paraId="04041A7F">
          <w:pPr>
            <w:pStyle w:val="12"/>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TOC \o "1-2" \h \u </w:instrText>
          </w:r>
          <w:r>
            <w:fldChar w:fldCharType="separate"/>
          </w:r>
          <w:r>
            <w:fldChar w:fldCharType="begin"/>
          </w:r>
          <w:r>
            <w:instrText xml:space="preserve"> HYPERLINK \l _Toc9327 </w:instrText>
          </w:r>
          <w:r>
            <w:fldChar w:fldCharType="separate"/>
          </w:r>
          <w:r>
            <w:rPr>
              <w:rFonts w:hint="eastAsia" w:ascii="黑体" w:hAnsi="黑体" w:eastAsia="黑体" w:cs="黑体"/>
              <w:highlight w:val="none"/>
            </w:rPr>
            <w:t>第一部分</w:t>
          </w:r>
          <w:r>
            <w:rPr>
              <w:rFonts w:hint="eastAsia" w:ascii="黑体" w:hAnsi="黑体" w:eastAsia="黑体" w:cs="黑体"/>
              <w:highlight w:val="none"/>
              <w:lang w:val="en-US" w:eastAsia="zh-CN"/>
            </w:rPr>
            <w:t xml:space="preserve"> </w:t>
          </w:r>
          <w:r>
            <w:rPr>
              <w:rFonts w:hint="eastAsia" w:ascii="黑体" w:hAnsi="黑体" w:eastAsia="黑体" w:cs="黑体"/>
              <w:highlight w:val="none"/>
            </w:rPr>
            <w:t xml:space="preserve"> </w:t>
          </w:r>
          <w:r>
            <w:rPr>
              <w:rFonts w:hint="eastAsia" w:ascii="黑体" w:hAnsi="黑体" w:eastAsia="黑体" w:cs="黑体"/>
              <w:bCs w:val="0"/>
              <w:highlight w:val="none"/>
            </w:rPr>
            <w:t>部门概况</w:t>
          </w:r>
          <w:r>
            <w:tab/>
          </w:r>
          <w:r>
            <w:fldChar w:fldCharType="begin"/>
          </w:r>
          <w:r>
            <w:instrText xml:space="preserve"> PAGEREF _Toc9327 \h </w:instrText>
          </w:r>
          <w:r>
            <w:fldChar w:fldCharType="separate"/>
          </w:r>
          <w:r>
            <w:t>1</w:t>
          </w:r>
          <w:r>
            <w:fldChar w:fldCharType="end"/>
          </w:r>
          <w:r>
            <w:fldChar w:fldCharType="end"/>
          </w:r>
        </w:p>
        <w:p w14:paraId="0220293B">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_Toc16837 </w:instrText>
          </w:r>
          <w:r>
            <w:fldChar w:fldCharType="separate"/>
          </w:r>
          <w:r>
            <w:rPr>
              <w:rFonts w:hint="eastAsia" w:ascii="Times New Roman" w:hAnsi="Times New Roman" w:eastAsia="黑体"/>
              <w:highlight w:val="none"/>
            </w:rPr>
            <w:t>一、</w:t>
          </w:r>
          <w:r>
            <w:rPr>
              <w:rFonts w:hint="eastAsia" w:ascii="Times New Roman" w:hAnsi="Times New Roman" w:eastAsia="黑体"/>
              <w:highlight w:val="none"/>
              <w:lang w:eastAsia="zh-CN"/>
            </w:rPr>
            <w:t>部门职责</w:t>
          </w:r>
          <w:r>
            <w:tab/>
          </w:r>
          <w:r>
            <w:fldChar w:fldCharType="begin"/>
          </w:r>
          <w:r>
            <w:instrText xml:space="preserve"> PAGEREF _Toc16837 \h </w:instrText>
          </w:r>
          <w:r>
            <w:fldChar w:fldCharType="separate"/>
          </w:r>
          <w:r>
            <w:t>1</w:t>
          </w:r>
          <w:r>
            <w:fldChar w:fldCharType="end"/>
          </w:r>
          <w:r>
            <w:fldChar w:fldCharType="end"/>
          </w:r>
        </w:p>
        <w:p w14:paraId="484749D0">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_Toc21874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_Toc21874 \h </w:instrText>
          </w:r>
          <w:r>
            <w:fldChar w:fldCharType="separate"/>
          </w:r>
          <w:r>
            <w:t>1</w:t>
          </w:r>
          <w:r>
            <w:fldChar w:fldCharType="end"/>
          </w:r>
          <w:r>
            <w:fldChar w:fldCharType="end"/>
          </w:r>
        </w:p>
        <w:p w14:paraId="183EE5FA">
          <w:pPr>
            <w:pStyle w:val="12"/>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_Toc24015 </w:instrText>
          </w:r>
          <w:r>
            <w:fldChar w:fldCharType="separate"/>
          </w:r>
          <w:r>
            <w:rPr>
              <w:rFonts w:hint="eastAsia" w:ascii="黑体" w:hAnsi="黑体" w:eastAsia="黑体" w:cs="黑体"/>
              <w:highlight w:val="none"/>
            </w:rPr>
            <w:t>第二部分</w:t>
          </w:r>
          <w:r>
            <w:rPr>
              <w:rFonts w:hint="eastAsia" w:ascii="黑体" w:hAnsi="黑体" w:eastAsia="黑体" w:cs="黑体"/>
              <w:highlight w:val="none"/>
              <w:lang w:val="en-US" w:eastAsia="zh-CN"/>
            </w:rPr>
            <w:t xml:space="preserve"> </w:t>
          </w:r>
          <w:r>
            <w:rPr>
              <w:rFonts w:hint="eastAsia" w:ascii="黑体" w:hAnsi="黑体" w:eastAsia="黑体" w:cs="黑体"/>
              <w:highlight w:val="none"/>
            </w:rPr>
            <w:t xml:space="preserve"> </w:t>
          </w:r>
          <w:r>
            <w:rPr>
              <w:rFonts w:hint="eastAsia" w:ascii="黑体" w:hAnsi="黑体" w:eastAsia="黑体" w:cs="黑体"/>
              <w:highlight w:val="none"/>
              <w:lang w:val="en-US" w:eastAsia="zh-CN"/>
            </w:rPr>
            <w:t>2025年度</w:t>
          </w:r>
          <w:r>
            <w:rPr>
              <w:rFonts w:hint="eastAsia" w:ascii="黑体" w:hAnsi="黑体" w:eastAsia="黑体" w:cs="黑体"/>
              <w:highlight w:val="none"/>
            </w:rPr>
            <w:t>部门决算情况说明</w:t>
          </w:r>
          <w:r>
            <w:tab/>
          </w:r>
          <w:r>
            <w:fldChar w:fldCharType="begin"/>
          </w:r>
          <w:r>
            <w:instrText xml:space="preserve"> PAGEREF _Toc24015 \h </w:instrText>
          </w:r>
          <w:r>
            <w:fldChar w:fldCharType="separate"/>
          </w:r>
          <w:r>
            <w:t>2</w:t>
          </w:r>
          <w:r>
            <w:fldChar w:fldCharType="end"/>
          </w:r>
          <w:r>
            <w:fldChar w:fldCharType="end"/>
          </w:r>
        </w:p>
        <w:p w14:paraId="49906E7D">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_Toc10045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_Toc10045 \h </w:instrText>
          </w:r>
          <w:r>
            <w:fldChar w:fldCharType="separate"/>
          </w:r>
          <w:r>
            <w:t>2</w:t>
          </w:r>
          <w:r>
            <w:fldChar w:fldCharType="end"/>
          </w:r>
          <w:r>
            <w:fldChar w:fldCharType="end"/>
          </w:r>
        </w:p>
        <w:p w14:paraId="1086C95A">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_Toc23889 </w:instrText>
          </w:r>
          <w:r>
            <w:fldChar w:fldCharType="separate"/>
          </w:r>
          <w:r>
            <w:rPr>
              <w:rFonts w:hint="eastAsia" w:ascii="Times New Roman" w:hAnsi="Times New Roman" w:eastAsia="黑体"/>
              <w:highlight w:val="none"/>
              <w:lang w:eastAsia="zh-CN"/>
            </w:rPr>
            <w:t>二、收入决算情况说明</w:t>
          </w:r>
          <w:r>
            <w:tab/>
          </w:r>
          <w:r>
            <w:fldChar w:fldCharType="begin"/>
          </w:r>
          <w:r>
            <w:instrText xml:space="preserve"> PAGEREF _Toc23889 \h </w:instrText>
          </w:r>
          <w:r>
            <w:fldChar w:fldCharType="separate"/>
          </w:r>
          <w:r>
            <w:t>2</w:t>
          </w:r>
          <w:r>
            <w:fldChar w:fldCharType="end"/>
          </w:r>
          <w:r>
            <w:fldChar w:fldCharType="end"/>
          </w:r>
        </w:p>
        <w:p w14:paraId="6C471883">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_Toc5675 </w:instrText>
          </w:r>
          <w:r>
            <w:fldChar w:fldCharType="separate"/>
          </w:r>
          <w:r>
            <w:rPr>
              <w:rFonts w:hint="eastAsia" w:ascii="Times New Roman" w:hAnsi="Times New Roman" w:eastAsia="黑体"/>
              <w:highlight w:val="none"/>
              <w:lang w:eastAsia="zh-CN"/>
            </w:rPr>
            <w:t>三、</w:t>
          </w:r>
          <w:r>
            <w:rPr>
              <w:rFonts w:hint="eastAsia" w:ascii="Times New Roman" w:hAnsi="Times New Roman" w:eastAsia="黑体"/>
              <w:highlight w:val="none"/>
            </w:rPr>
            <w:t>支出决算情况说明</w:t>
          </w:r>
          <w:r>
            <w:tab/>
          </w:r>
          <w:r>
            <w:fldChar w:fldCharType="begin"/>
          </w:r>
          <w:r>
            <w:instrText xml:space="preserve"> PAGEREF _Toc5675 \h </w:instrText>
          </w:r>
          <w:r>
            <w:fldChar w:fldCharType="separate"/>
          </w:r>
          <w:r>
            <w:t>3</w:t>
          </w:r>
          <w:r>
            <w:fldChar w:fldCharType="end"/>
          </w:r>
          <w:r>
            <w:fldChar w:fldCharType="end"/>
          </w:r>
        </w:p>
        <w:p w14:paraId="4D73F47F">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_Toc25553 </w:instrText>
          </w:r>
          <w:r>
            <w:fldChar w:fldCharType="separate"/>
          </w:r>
          <w:r>
            <w:rPr>
              <w:rFonts w:hint="eastAsia" w:ascii="Times New Roman" w:hAnsi="Times New Roman" w:eastAsia="黑体"/>
              <w:highlight w:val="none"/>
              <w:lang w:val="en-US" w:eastAsia="zh-CN" w:bidi="ar-SA"/>
            </w:rPr>
            <w:t>四、财政拨款收入支出决算总体情况说明</w:t>
          </w:r>
          <w:r>
            <w:tab/>
          </w:r>
          <w:r>
            <w:fldChar w:fldCharType="begin"/>
          </w:r>
          <w:r>
            <w:instrText xml:space="preserve"> PAGEREF _Toc25553 \h </w:instrText>
          </w:r>
          <w:r>
            <w:fldChar w:fldCharType="separate"/>
          </w:r>
          <w:r>
            <w:t>3</w:t>
          </w:r>
          <w:r>
            <w:fldChar w:fldCharType="end"/>
          </w:r>
          <w:r>
            <w:fldChar w:fldCharType="end"/>
          </w:r>
        </w:p>
        <w:p w14:paraId="57B7DA30">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_Toc13807 </w:instrText>
          </w:r>
          <w:r>
            <w:fldChar w:fldCharType="separate"/>
          </w:r>
          <w:r>
            <w:rPr>
              <w:rFonts w:hint="eastAsia" w:ascii="Times New Roman" w:hAnsi="Times New Roman" w:eastAsia="黑体"/>
              <w:highlight w:val="none"/>
              <w:lang w:val="en-US" w:eastAsia="zh-CN" w:bidi="ar-SA"/>
            </w:rPr>
            <w:t>五、一般公共预算财政拨款支出决算情况说明</w:t>
          </w:r>
          <w:r>
            <w:tab/>
          </w:r>
          <w:r>
            <w:fldChar w:fldCharType="begin"/>
          </w:r>
          <w:r>
            <w:instrText xml:space="preserve"> PAGEREF _Toc13807 \h </w:instrText>
          </w:r>
          <w:r>
            <w:fldChar w:fldCharType="separate"/>
          </w:r>
          <w:r>
            <w:t>4</w:t>
          </w:r>
          <w:r>
            <w:fldChar w:fldCharType="end"/>
          </w:r>
          <w:r>
            <w:fldChar w:fldCharType="end"/>
          </w:r>
        </w:p>
        <w:p w14:paraId="60146224">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_Toc25428 </w:instrText>
          </w:r>
          <w:r>
            <w:fldChar w:fldCharType="separate"/>
          </w:r>
          <w:r>
            <w:rPr>
              <w:rFonts w:hint="eastAsia" w:ascii="Times New Roman" w:hAnsi="Times New Roman" w:eastAsia="黑体"/>
              <w:highlight w:val="none"/>
              <w:lang w:val="en-US" w:eastAsia="zh-CN" w:bidi="ar-SA"/>
            </w:rPr>
            <w:t>六、一般公共预算财政拨款基本支出决算情况说明</w:t>
          </w:r>
          <w:r>
            <w:tab/>
          </w:r>
          <w:r>
            <w:fldChar w:fldCharType="begin"/>
          </w:r>
          <w:r>
            <w:instrText xml:space="preserve"> PAGEREF _Toc25428 \h </w:instrText>
          </w:r>
          <w:r>
            <w:fldChar w:fldCharType="separate"/>
          </w:r>
          <w:r>
            <w:t>6</w:t>
          </w:r>
          <w:r>
            <w:fldChar w:fldCharType="end"/>
          </w:r>
          <w:r>
            <w:fldChar w:fldCharType="end"/>
          </w:r>
        </w:p>
        <w:p w14:paraId="53FB3F04">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_Toc12570 </w:instrText>
          </w:r>
          <w:r>
            <w:fldChar w:fldCharType="separate"/>
          </w:r>
          <w:r>
            <w:rPr>
              <w:rFonts w:hint="eastAsia" w:ascii="Times New Roman" w:hAnsi="Times New Roman" w:eastAsia="黑体"/>
              <w:highlight w:val="none"/>
              <w:lang w:val="en-US" w:eastAsia="zh-CN" w:bidi="ar-SA"/>
            </w:rPr>
            <w:t>七、财政拨款“三公”经费支出决算情况说明</w:t>
          </w:r>
          <w:r>
            <w:tab/>
          </w:r>
          <w:r>
            <w:fldChar w:fldCharType="begin"/>
          </w:r>
          <w:r>
            <w:instrText xml:space="preserve"> PAGEREF _Toc12570 \h </w:instrText>
          </w:r>
          <w:r>
            <w:fldChar w:fldCharType="separate"/>
          </w:r>
          <w:r>
            <w:t>7</w:t>
          </w:r>
          <w:r>
            <w:fldChar w:fldCharType="end"/>
          </w:r>
          <w:r>
            <w:fldChar w:fldCharType="end"/>
          </w:r>
        </w:p>
        <w:p w14:paraId="5D43A8DF">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_Toc16987 </w:instrText>
          </w:r>
          <w:r>
            <w:fldChar w:fldCharType="separate"/>
          </w:r>
          <w:r>
            <w:rPr>
              <w:rFonts w:hint="eastAsia" w:ascii="Times New Roman" w:hAnsi="Times New Roman" w:eastAsia="黑体"/>
              <w:highlight w:val="none"/>
              <w:lang w:val="en-US" w:eastAsia="zh-CN" w:bidi="ar-SA"/>
            </w:rPr>
            <w:t>八、政府性基金预算支出决算情况说明</w:t>
          </w:r>
          <w:r>
            <w:tab/>
          </w:r>
          <w:r>
            <w:fldChar w:fldCharType="begin"/>
          </w:r>
          <w:r>
            <w:instrText xml:space="preserve"> PAGEREF _Toc16987 \h </w:instrText>
          </w:r>
          <w:r>
            <w:fldChar w:fldCharType="separate"/>
          </w:r>
          <w:r>
            <w:t>8</w:t>
          </w:r>
          <w:r>
            <w:fldChar w:fldCharType="end"/>
          </w:r>
          <w:r>
            <w:fldChar w:fldCharType="end"/>
          </w:r>
        </w:p>
        <w:p w14:paraId="56978EBB">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_Toc27022 </w:instrText>
          </w:r>
          <w:r>
            <w:fldChar w:fldCharType="separate"/>
          </w:r>
          <w:r>
            <w:rPr>
              <w:rFonts w:hint="eastAsia" w:ascii="Times New Roman" w:hAnsi="Times New Roman" w:eastAsia="黑体"/>
              <w:highlight w:val="none"/>
              <w:lang w:val="en-US" w:eastAsia="zh-CN" w:bidi="ar-SA"/>
            </w:rPr>
            <w:t>九、国有资本经营预算支出决算情况说明</w:t>
          </w:r>
          <w:r>
            <w:tab/>
          </w:r>
          <w:r>
            <w:fldChar w:fldCharType="begin"/>
          </w:r>
          <w:r>
            <w:instrText xml:space="preserve"> PAGEREF _Toc27022 \h </w:instrText>
          </w:r>
          <w:r>
            <w:fldChar w:fldCharType="separate"/>
          </w:r>
          <w:r>
            <w:t>9</w:t>
          </w:r>
          <w:r>
            <w:fldChar w:fldCharType="end"/>
          </w:r>
          <w:r>
            <w:fldChar w:fldCharType="end"/>
          </w:r>
        </w:p>
        <w:p w14:paraId="3317C049">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_Toc17152 </w:instrText>
          </w:r>
          <w:r>
            <w:fldChar w:fldCharType="separate"/>
          </w:r>
          <w:r>
            <w:rPr>
              <w:rFonts w:hint="eastAsia" w:ascii="Times New Roman" w:hAnsi="Times New Roman" w:eastAsia="黑体"/>
              <w:highlight w:val="none"/>
              <w:lang w:val="en-US" w:eastAsia="zh-CN" w:bidi="ar-SA"/>
            </w:rPr>
            <w:t>十、其他重要事项的情况说明</w:t>
          </w:r>
          <w:r>
            <w:tab/>
          </w:r>
          <w:r>
            <w:fldChar w:fldCharType="begin"/>
          </w:r>
          <w:r>
            <w:instrText xml:space="preserve"> PAGEREF _Toc17152 \h </w:instrText>
          </w:r>
          <w:r>
            <w:fldChar w:fldCharType="separate"/>
          </w:r>
          <w:r>
            <w:t>9</w:t>
          </w:r>
          <w:r>
            <w:fldChar w:fldCharType="end"/>
          </w:r>
          <w:r>
            <w:fldChar w:fldCharType="end"/>
          </w:r>
        </w:p>
        <w:p w14:paraId="01DEAA2B">
          <w:pPr>
            <w:pStyle w:val="12"/>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_Toc27067 </w:instrText>
          </w:r>
          <w:r>
            <w:fldChar w:fldCharType="separate"/>
          </w:r>
          <w:r>
            <w:rPr>
              <w:rFonts w:hint="eastAsia" w:ascii="黑体" w:hAnsi="黑体" w:eastAsia="黑体" w:cs="黑体"/>
              <w:bCs w:val="0"/>
              <w:lang w:val="en-US" w:eastAsia="zh-CN"/>
            </w:rPr>
            <w:t>第三部分  名词解释</w:t>
          </w:r>
          <w:r>
            <w:tab/>
          </w:r>
          <w:r>
            <w:fldChar w:fldCharType="begin"/>
          </w:r>
          <w:r>
            <w:instrText xml:space="preserve"> PAGEREF _Toc27067 \h </w:instrText>
          </w:r>
          <w:r>
            <w:fldChar w:fldCharType="separate"/>
          </w:r>
          <w:r>
            <w:t>11</w:t>
          </w:r>
          <w:r>
            <w:fldChar w:fldCharType="end"/>
          </w:r>
          <w:r>
            <w:fldChar w:fldCharType="end"/>
          </w:r>
        </w:p>
        <w:p w14:paraId="4B0066CF">
          <w:pPr>
            <w:pStyle w:val="12"/>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_Toc30743 </w:instrText>
          </w:r>
          <w:r>
            <w:fldChar w:fldCharType="separate"/>
          </w:r>
          <w:r>
            <w:rPr>
              <w:rFonts w:hint="eastAsia" w:ascii="黑体" w:hAnsi="黑体" w:eastAsia="黑体" w:cs="黑体"/>
              <w:bCs w:val="0"/>
              <w:lang w:val="en-US" w:eastAsia="zh-CN"/>
            </w:rPr>
            <w:t>第四部分 附表</w:t>
          </w:r>
          <w:r>
            <w:tab/>
          </w:r>
          <w:r>
            <w:fldChar w:fldCharType="begin"/>
          </w:r>
          <w:r>
            <w:instrText xml:space="preserve"> PAGEREF _Toc30743 \h </w:instrText>
          </w:r>
          <w:r>
            <w:fldChar w:fldCharType="separate"/>
          </w:r>
          <w:r>
            <w:t>14</w:t>
          </w:r>
          <w:r>
            <w:fldChar w:fldCharType="end"/>
          </w:r>
          <w:r>
            <w:fldChar w:fldCharType="end"/>
          </w:r>
        </w:p>
        <w:p w14:paraId="75CA77C7">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_Toc13016 </w:instrText>
          </w:r>
          <w:r>
            <w:fldChar w:fldCharType="separate"/>
          </w:r>
          <w:r>
            <w:rPr>
              <w:rFonts w:hint="eastAsia" w:ascii="Times New Roman" w:hAnsi="Times New Roman" w:eastAsia="黑体"/>
              <w:highlight w:val="none"/>
              <w:lang w:val="en-US" w:eastAsia="zh-CN" w:bidi="ar-SA"/>
            </w:rPr>
            <w:t>一、收入支出决算总表</w:t>
          </w:r>
          <w:r>
            <w:tab/>
          </w:r>
          <w:r>
            <w:fldChar w:fldCharType="begin"/>
          </w:r>
          <w:r>
            <w:instrText xml:space="preserve"> PAGEREF _Toc13016 \h </w:instrText>
          </w:r>
          <w:r>
            <w:fldChar w:fldCharType="separate"/>
          </w:r>
          <w:r>
            <w:t>14</w:t>
          </w:r>
          <w:r>
            <w:fldChar w:fldCharType="end"/>
          </w:r>
          <w:r>
            <w:fldChar w:fldCharType="end"/>
          </w:r>
        </w:p>
        <w:p w14:paraId="7EAFF13A">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_Toc1415 </w:instrText>
          </w:r>
          <w:r>
            <w:fldChar w:fldCharType="separate"/>
          </w:r>
          <w:r>
            <w:rPr>
              <w:rFonts w:hint="eastAsia" w:ascii="Times New Roman" w:hAnsi="Times New Roman" w:eastAsia="黑体"/>
              <w:highlight w:val="none"/>
              <w:lang w:val="en-US" w:eastAsia="zh-CN" w:bidi="ar-SA"/>
            </w:rPr>
            <w:t>二、收入决算表</w:t>
          </w:r>
          <w:r>
            <w:tab/>
          </w:r>
          <w:r>
            <w:fldChar w:fldCharType="begin"/>
          </w:r>
          <w:r>
            <w:instrText xml:space="preserve"> PAGEREF _Toc1415 \h </w:instrText>
          </w:r>
          <w:r>
            <w:fldChar w:fldCharType="separate"/>
          </w:r>
          <w:r>
            <w:t>14</w:t>
          </w:r>
          <w:r>
            <w:fldChar w:fldCharType="end"/>
          </w:r>
          <w:r>
            <w:fldChar w:fldCharType="end"/>
          </w:r>
        </w:p>
        <w:p w14:paraId="019D1534">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_Toc11605 </w:instrText>
          </w:r>
          <w:r>
            <w:fldChar w:fldCharType="separate"/>
          </w:r>
          <w:r>
            <w:rPr>
              <w:rFonts w:hint="eastAsia" w:ascii="Times New Roman" w:hAnsi="Times New Roman" w:eastAsia="黑体"/>
              <w:highlight w:val="none"/>
              <w:lang w:val="en-US" w:eastAsia="zh-CN" w:bidi="ar-SA"/>
            </w:rPr>
            <w:t>三、支出决算表</w:t>
          </w:r>
          <w:r>
            <w:tab/>
          </w:r>
          <w:r>
            <w:fldChar w:fldCharType="begin"/>
          </w:r>
          <w:r>
            <w:instrText xml:space="preserve"> PAGEREF _Toc11605 \h </w:instrText>
          </w:r>
          <w:r>
            <w:fldChar w:fldCharType="separate"/>
          </w:r>
          <w:r>
            <w:t>14</w:t>
          </w:r>
          <w:r>
            <w:fldChar w:fldCharType="end"/>
          </w:r>
          <w:r>
            <w:fldChar w:fldCharType="end"/>
          </w:r>
        </w:p>
        <w:p w14:paraId="3A7837BD">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_Toc7249 </w:instrText>
          </w:r>
          <w:r>
            <w:fldChar w:fldCharType="separate"/>
          </w:r>
          <w:r>
            <w:rPr>
              <w:rFonts w:hint="eastAsia" w:ascii="Times New Roman" w:hAnsi="Times New Roman" w:eastAsia="黑体"/>
              <w:highlight w:val="none"/>
              <w:lang w:val="en-US" w:eastAsia="zh-CN" w:bidi="ar-SA"/>
            </w:rPr>
            <w:t>四、财政拨款收入支出决算总表</w:t>
          </w:r>
          <w:r>
            <w:tab/>
          </w:r>
          <w:r>
            <w:fldChar w:fldCharType="begin"/>
          </w:r>
          <w:r>
            <w:instrText xml:space="preserve"> PAGEREF _Toc7249 \h </w:instrText>
          </w:r>
          <w:r>
            <w:fldChar w:fldCharType="separate"/>
          </w:r>
          <w:r>
            <w:t>14</w:t>
          </w:r>
          <w:r>
            <w:fldChar w:fldCharType="end"/>
          </w:r>
          <w:r>
            <w:fldChar w:fldCharType="end"/>
          </w:r>
        </w:p>
        <w:p w14:paraId="14C48CAB">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_Toc2651 </w:instrText>
          </w:r>
          <w:r>
            <w:fldChar w:fldCharType="separate"/>
          </w:r>
          <w:r>
            <w:rPr>
              <w:rFonts w:hint="eastAsia" w:ascii="Times New Roman" w:hAnsi="Times New Roman" w:eastAsia="黑体"/>
              <w:highlight w:val="none"/>
              <w:lang w:val="en-US" w:eastAsia="zh-CN" w:bidi="ar-SA"/>
            </w:rPr>
            <w:t>五、财政拨款支出决算明细表</w:t>
          </w:r>
          <w:r>
            <w:tab/>
          </w:r>
          <w:r>
            <w:fldChar w:fldCharType="begin"/>
          </w:r>
          <w:r>
            <w:instrText xml:space="preserve"> PAGEREF _Toc2651 \h </w:instrText>
          </w:r>
          <w:r>
            <w:fldChar w:fldCharType="separate"/>
          </w:r>
          <w:r>
            <w:t>14</w:t>
          </w:r>
          <w:r>
            <w:fldChar w:fldCharType="end"/>
          </w:r>
          <w:r>
            <w:fldChar w:fldCharType="end"/>
          </w:r>
        </w:p>
        <w:p w14:paraId="64824F1D">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_Toc1200 </w:instrText>
          </w:r>
          <w:r>
            <w:fldChar w:fldCharType="separate"/>
          </w:r>
          <w:r>
            <w:rPr>
              <w:rFonts w:hint="eastAsia" w:ascii="Times New Roman" w:hAnsi="Times New Roman" w:eastAsia="黑体"/>
              <w:highlight w:val="none"/>
              <w:lang w:val="en-US" w:eastAsia="zh-CN" w:bidi="ar-SA"/>
            </w:rPr>
            <w:t>六、一般公共预算财政拨款支出决算表</w:t>
          </w:r>
          <w:r>
            <w:tab/>
          </w:r>
          <w:r>
            <w:fldChar w:fldCharType="begin"/>
          </w:r>
          <w:r>
            <w:instrText xml:space="preserve"> PAGEREF _Toc1200 \h </w:instrText>
          </w:r>
          <w:r>
            <w:fldChar w:fldCharType="separate"/>
          </w:r>
          <w:r>
            <w:t>14</w:t>
          </w:r>
          <w:r>
            <w:fldChar w:fldCharType="end"/>
          </w:r>
          <w:r>
            <w:fldChar w:fldCharType="end"/>
          </w:r>
        </w:p>
        <w:p w14:paraId="391A7F66">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_Toc10244 </w:instrText>
          </w:r>
          <w:r>
            <w:fldChar w:fldCharType="separate"/>
          </w:r>
          <w:r>
            <w:rPr>
              <w:rFonts w:hint="eastAsia" w:ascii="Times New Roman" w:hAnsi="Times New Roman" w:eastAsia="黑体"/>
              <w:highlight w:val="none"/>
              <w:lang w:val="en-US" w:eastAsia="zh-CN" w:bidi="ar-SA"/>
            </w:rPr>
            <w:t>七、一般公共预算财政拨款支出决算明细表</w:t>
          </w:r>
          <w:r>
            <w:tab/>
          </w:r>
          <w:r>
            <w:fldChar w:fldCharType="begin"/>
          </w:r>
          <w:r>
            <w:instrText xml:space="preserve"> PAGEREF _Toc10244 \h </w:instrText>
          </w:r>
          <w:r>
            <w:fldChar w:fldCharType="separate"/>
          </w:r>
          <w:r>
            <w:t>14</w:t>
          </w:r>
          <w:r>
            <w:fldChar w:fldCharType="end"/>
          </w:r>
          <w:r>
            <w:fldChar w:fldCharType="end"/>
          </w:r>
        </w:p>
        <w:p w14:paraId="7223DCFB">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_Toc10238 </w:instrText>
          </w:r>
          <w:r>
            <w:fldChar w:fldCharType="separate"/>
          </w:r>
          <w:r>
            <w:rPr>
              <w:rFonts w:hint="eastAsia" w:ascii="Times New Roman" w:hAnsi="Times New Roman" w:eastAsia="黑体"/>
              <w:highlight w:val="none"/>
              <w:lang w:val="en-US" w:eastAsia="zh-CN" w:bidi="ar-SA"/>
            </w:rPr>
            <w:t>八、一般公共预算财政拨款基本支出决算表</w:t>
          </w:r>
          <w:r>
            <w:tab/>
          </w:r>
          <w:r>
            <w:fldChar w:fldCharType="begin"/>
          </w:r>
          <w:r>
            <w:instrText xml:space="preserve"> PAGEREF _Toc10238 \h </w:instrText>
          </w:r>
          <w:r>
            <w:fldChar w:fldCharType="separate"/>
          </w:r>
          <w:r>
            <w:t>14</w:t>
          </w:r>
          <w:r>
            <w:fldChar w:fldCharType="end"/>
          </w:r>
          <w:r>
            <w:fldChar w:fldCharType="end"/>
          </w:r>
        </w:p>
        <w:p w14:paraId="6FE2EB41">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_Toc18273 </w:instrText>
          </w:r>
          <w:r>
            <w:fldChar w:fldCharType="separate"/>
          </w:r>
          <w:r>
            <w:rPr>
              <w:rFonts w:hint="eastAsia" w:ascii="Times New Roman" w:hAnsi="Times New Roman" w:eastAsia="黑体"/>
              <w:highlight w:val="none"/>
              <w:lang w:val="en-US" w:eastAsia="zh-CN" w:bidi="ar-SA"/>
            </w:rPr>
            <w:t>九、一般公共预算财政拨款项目支出决算表</w:t>
          </w:r>
          <w:r>
            <w:tab/>
          </w:r>
          <w:r>
            <w:fldChar w:fldCharType="begin"/>
          </w:r>
          <w:r>
            <w:instrText xml:space="preserve"> PAGEREF _Toc18273 \h </w:instrText>
          </w:r>
          <w:r>
            <w:fldChar w:fldCharType="separate"/>
          </w:r>
          <w:r>
            <w:t>14</w:t>
          </w:r>
          <w:r>
            <w:fldChar w:fldCharType="end"/>
          </w:r>
          <w:r>
            <w:fldChar w:fldCharType="end"/>
          </w:r>
        </w:p>
        <w:p w14:paraId="5FB0E0A8">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_Toc13242 </w:instrText>
          </w:r>
          <w:r>
            <w:fldChar w:fldCharType="separate"/>
          </w:r>
          <w:r>
            <w:rPr>
              <w:rFonts w:hint="eastAsia" w:ascii="Times New Roman" w:hAnsi="Times New Roman" w:eastAsia="黑体"/>
              <w:highlight w:val="none"/>
              <w:lang w:val="en-US" w:eastAsia="zh-CN" w:bidi="ar-SA"/>
            </w:rPr>
            <w:t>十、政府性基金预算财政拨款收入支出决算表</w:t>
          </w:r>
          <w:r>
            <w:tab/>
          </w:r>
          <w:r>
            <w:fldChar w:fldCharType="begin"/>
          </w:r>
          <w:r>
            <w:instrText xml:space="preserve"> PAGEREF _Toc13242 \h </w:instrText>
          </w:r>
          <w:r>
            <w:fldChar w:fldCharType="separate"/>
          </w:r>
          <w:r>
            <w:t>14</w:t>
          </w:r>
          <w:r>
            <w:fldChar w:fldCharType="end"/>
          </w:r>
          <w:r>
            <w:fldChar w:fldCharType="end"/>
          </w:r>
        </w:p>
        <w:p w14:paraId="31E098B2">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_Toc21977 </w:instrText>
          </w:r>
          <w:r>
            <w:fldChar w:fldCharType="separate"/>
          </w:r>
          <w:r>
            <w:rPr>
              <w:rFonts w:hint="eastAsia" w:ascii="Times New Roman" w:hAnsi="Times New Roman" w:eastAsia="黑体"/>
              <w:highlight w:val="none"/>
              <w:lang w:val="en-US" w:eastAsia="zh-CN" w:bidi="ar-SA"/>
            </w:rPr>
            <w:t>十一、国有资本经营预算财政拨款收入支出决算表</w:t>
          </w:r>
          <w:r>
            <w:tab/>
          </w:r>
          <w:r>
            <w:fldChar w:fldCharType="begin"/>
          </w:r>
          <w:r>
            <w:instrText xml:space="preserve"> PAGEREF _Toc21977 \h </w:instrText>
          </w:r>
          <w:r>
            <w:fldChar w:fldCharType="separate"/>
          </w:r>
          <w:r>
            <w:t>14</w:t>
          </w:r>
          <w:r>
            <w:fldChar w:fldCharType="end"/>
          </w:r>
          <w:r>
            <w:fldChar w:fldCharType="end"/>
          </w:r>
        </w:p>
        <w:p w14:paraId="16A11095">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_Toc9708 </w:instrText>
          </w:r>
          <w:r>
            <w:fldChar w:fldCharType="separate"/>
          </w:r>
          <w:r>
            <w:rPr>
              <w:rFonts w:hint="eastAsia" w:ascii="Times New Roman" w:hAnsi="Times New Roman" w:eastAsia="黑体"/>
              <w:highlight w:val="none"/>
              <w:lang w:val="en-US" w:eastAsia="zh-CN" w:bidi="ar-SA"/>
            </w:rPr>
            <w:t>十二、国有资本经营预算财政拨款支出决算表</w:t>
          </w:r>
          <w:r>
            <w:tab/>
          </w:r>
          <w:r>
            <w:fldChar w:fldCharType="begin"/>
          </w:r>
          <w:r>
            <w:instrText xml:space="preserve"> PAGEREF _Toc9708 \h </w:instrText>
          </w:r>
          <w:r>
            <w:fldChar w:fldCharType="separate"/>
          </w:r>
          <w:r>
            <w:t>14</w:t>
          </w:r>
          <w:r>
            <w:fldChar w:fldCharType="end"/>
          </w:r>
          <w:r>
            <w:fldChar w:fldCharType="end"/>
          </w:r>
        </w:p>
        <w:p w14:paraId="5B237BF7">
          <w:pPr>
            <w:pStyle w:val="14"/>
            <w:keepNext w:val="0"/>
            <w:keepLines w:val="0"/>
            <w:pageBreakBefore w:val="0"/>
            <w:tabs>
              <w:tab w:val="right" w:leader="hyphen"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_Toc3727 </w:instrText>
          </w:r>
          <w:r>
            <w:fldChar w:fldCharType="separate"/>
          </w:r>
          <w:r>
            <w:rPr>
              <w:rFonts w:hint="eastAsia" w:ascii="Times New Roman" w:hAnsi="Times New Roman" w:eastAsia="黑体"/>
              <w:highlight w:val="none"/>
              <w:lang w:val="en-US" w:eastAsia="zh-CN" w:bidi="ar-SA"/>
            </w:rPr>
            <w:t>十三、财政拨款“三公”经费支出决算表</w:t>
          </w:r>
          <w:r>
            <w:tab/>
          </w:r>
          <w:r>
            <w:fldChar w:fldCharType="begin"/>
          </w:r>
          <w:r>
            <w:instrText xml:space="preserve"> PAGEREF _Toc3727 \h </w:instrText>
          </w:r>
          <w:r>
            <w:fldChar w:fldCharType="separate"/>
          </w:r>
          <w:r>
            <w:t>14</w:t>
          </w:r>
          <w:r>
            <w:fldChar w:fldCharType="end"/>
          </w:r>
          <w:r>
            <w:fldChar w:fldCharType="end"/>
          </w:r>
        </w:p>
        <w:p w14:paraId="0F9F2329">
          <w:pPr>
            <w:keepNext w:val="0"/>
            <w:keepLines w:val="0"/>
            <w:pageBreakBefore w:val="0"/>
            <w:kinsoku/>
            <w:wordWrap/>
            <w:overflowPunct/>
            <w:topLinePunct w:val="0"/>
            <w:autoSpaceDE/>
            <w:autoSpaceDN/>
            <w:bidi w:val="0"/>
            <w:adjustRightInd/>
            <w:snapToGrid/>
            <w:spacing w:line="320" w:lineRule="exact"/>
            <w:textAlignment w:val="auto"/>
          </w:pPr>
          <w:r>
            <w:fldChar w:fldCharType="end"/>
          </w:r>
        </w:p>
      </w:sdtContent>
    </w:sdt>
    <w:p w14:paraId="3C470AC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D180872">
      <w:pPr>
        <w:pStyle w:val="2"/>
        <w:jc w:val="center"/>
        <w:rPr>
          <w:rFonts w:hint="eastAsia" w:ascii="黑体" w:hAnsi="黑体" w:eastAsia="黑体" w:cs="黑体"/>
          <w:b w:val="0"/>
          <w:color w:val="auto"/>
          <w:highlight w:val="none"/>
        </w:rPr>
        <w:sectPr>
          <w:footerReference r:id="rId6" w:type="first"/>
          <w:footerReference r:id="rId5" w:type="default"/>
          <w:pgSz w:w="11906" w:h="16838"/>
          <w:pgMar w:top="2098" w:right="1474" w:bottom="1984" w:left="1587" w:header="851" w:footer="992" w:gutter="0"/>
          <w:pgNumType w:fmt="decimal" w:start="1"/>
          <w:cols w:space="425" w:num="1"/>
          <w:docGrid w:type="lines" w:linePitch="312" w:charSpace="0"/>
        </w:sectPr>
      </w:pPr>
      <w:bookmarkStart w:id="6" w:name="_Toc15377196"/>
      <w:bookmarkStart w:id="7" w:name="_Toc9327"/>
      <w:bookmarkStart w:id="8" w:name="_Toc15396599"/>
    </w:p>
    <w:p w14:paraId="270FC9F5">
      <w:pPr>
        <w:pStyle w:val="2"/>
        <w:jc w:val="center"/>
        <w:rPr>
          <w:rFonts w:ascii="Times New Roman" w:hAnsi="Times New Roman" w:eastAsia="黑体"/>
          <w:color w:val="auto"/>
          <w:sz w:val="32"/>
          <w:szCs w:val="32"/>
          <w:highlight w:val="none"/>
        </w:rPr>
      </w:pPr>
      <w:r>
        <w:rPr>
          <w:rFonts w:hint="eastAsia" w:ascii="黑体" w:hAnsi="黑体" w:eastAsia="黑体" w:cs="黑体"/>
          <w:b w:val="0"/>
          <w:color w:val="auto"/>
          <w:highlight w:val="none"/>
        </w:rPr>
        <w:t>第一部分</w:t>
      </w:r>
      <w:r>
        <w:rPr>
          <w:rFonts w:hint="eastAsia" w:ascii="黑体" w:hAnsi="黑体" w:eastAsia="黑体" w:cs="黑体"/>
          <w:b w:val="0"/>
          <w:color w:val="auto"/>
          <w:highlight w:val="none"/>
          <w:lang w:val="en-US" w:eastAsia="zh-CN"/>
        </w:rPr>
        <w:t xml:space="preserve"> </w:t>
      </w:r>
      <w:r>
        <w:rPr>
          <w:rFonts w:hint="eastAsia" w:ascii="黑体" w:hAnsi="黑体" w:eastAsia="黑体" w:cs="黑体"/>
          <w:b w:val="0"/>
          <w:color w:val="auto"/>
          <w:highlight w:val="none"/>
        </w:rPr>
        <w:t xml:space="preserve"> </w:t>
      </w:r>
      <w:r>
        <w:rPr>
          <w:rStyle w:val="28"/>
          <w:rFonts w:hint="eastAsia" w:ascii="黑体" w:hAnsi="黑体" w:eastAsia="黑体" w:cs="黑体"/>
          <w:b w:val="0"/>
          <w:bCs w:val="0"/>
          <w:color w:val="auto"/>
          <w:highlight w:val="none"/>
        </w:rPr>
        <w:t>部门概况</w:t>
      </w:r>
      <w:bookmarkEnd w:id="6"/>
      <w:bookmarkEnd w:id="7"/>
      <w:bookmarkEnd w:id="8"/>
    </w:p>
    <w:p w14:paraId="5A94D8FC">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Style w:val="29"/>
          <w:rFonts w:hint="eastAsia" w:ascii="Times New Roman" w:hAnsi="Times New Roman" w:eastAsia="黑体"/>
          <w:b w:val="0"/>
          <w:bCs w:val="0"/>
          <w:color w:val="auto"/>
          <w:highlight w:val="none"/>
          <w:lang w:eastAsia="zh-CN"/>
        </w:rPr>
      </w:pPr>
      <w:bookmarkStart w:id="9" w:name="_Toc15396600"/>
      <w:bookmarkStart w:id="10" w:name="_Toc15377197"/>
      <w:bookmarkStart w:id="11" w:name="_Toc16837"/>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eastAsia="zh-CN"/>
        </w:rPr>
        <w:t>部门职责</w:t>
      </w:r>
      <w:bookmarkEnd w:id="11"/>
    </w:p>
    <w:p w14:paraId="4C39B1A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lang w:val="en-US" w:eastAsia="zh-CN"/>
        </w:rPr>
      </w:pPr>
      <w:bookmarkStart w:id="12" w:name="_Toc10491"/>
      <w:bookmarkStart w:id="13" w:name="_Toc22400"/>
      <w:bookmarkStart w:id="14" w:name="_Toc5335"/>
      <w:bookmarkStart w:id="15" w:name="_Toc20271"/>
      <w:bookmarkStart w:id="16" w:name="_Toc28801"/>
      <w:bookmarkStart w:id="17" w:name="_Toc15377200"/>
      <w:bookmarkStart w:id="18" w:name="_Toc15396601"/>
      <w:r>
        <w:rPr>
          <w:rFonts w:hint="default" w:ascii="Times New Roman" w:hAnsi="Times New Roman" w:eastAsia="方正仿宋_GBK" w:cs="Times New Roman"/>
          <w:b w:val="0"/>
          <w:bCs w:val="0"/>
          <w:color w:val="auto"/>
          <w:kern w:val="2"/>
          <w:sz w:val="32"/>
          <w:szCs w:val="32"/>
          <w:lang w:val="en-US" w:eastAsia="zh-CN" w:bidi="ar-SA"/>
        </w:rPr>
        <w:t>1.向州委巡察工作领导小组办公室报送巡察工作规划、年度计划、年度总结、重要情况和信</w:t>
      </w:r>
      <w:r>
        <w:rPr>
          <w:rFonts w:hint="default"/>
          <w:lang w:val="en-US" w:eastAsia="zh-CN"/>
        </w:rPr>
        <w:t>息；</w:t>
      </w:r>
      <w:bookmarkEnd w:id="12"/>
      <w:bookmarkEnd w:id="13"/>
      <w:bookmarkEnd w:id="14"/>
      <w:bookmarkEnd w:id="15"/>
      <w:bookmarkEnd w:id="16"/>
    </w:p>
    <w:p w14:paraId="6020753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bookmarkStart w:id="19" w:name="_Toc2787"/>
      <w:bookmarkStart w:id="20" w:name="_Toc5428"/>
      <w:bookmarkStart w:id="21" w:name="_Toc7068"/>
      <w:bookmarkStart w:id="22" w:name="_Toc31084"/>
      <w:bookmarkStart w:id="23" w:name="_Toc16528"/>
      <w:r>
        <w:rPr>
          <w:rFonts w:hint="default" w:ascii="Times New Roman" w:hAnsi="Times New Roman" w:eastAsia="方正仿宋_GBK" w:cs="Times New Roman"/>
          <w:b w:val="0"/>
          <w:bCs w:val="0"/>
          <w:color w:val="auto"/>
          <w:kern w:val="2"/>
          <w:sz w:val="32"/>
          <w:szCs w:val="32"/>
          <w:lang w:val="en-US" w:eastAsia="zh-CN" w:bidi="ar-SA"/>
        </w:rPr>
        <w:t>2.向县委巡察工作领导小组报告工作情况，传达贯彻县委巡察工作领导小组的决策和部署；</w:t>
      </w:r>
      <w:bookmarkEnd w:id="19"/>
      <w:bookmarkEnd w:id="20"/>
      <w:bookmarkEnd w:id="21"/>
      <w:bookmarkEnd w:id="22"/>
      <w:bookmarkEnd w:id="23"/>
    </w:p>
    <w:p w14:paraId="215A49C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bookmarkStart w:id="24" w:name="_Toc4802"/>
      <w:bookmarkStart w:id="25" w:name="_Toc24917"/>
      <w:r>
        <w:rPr>
          <w:rFonts w:hint="default" w:ascii="Times New Roman" w:hAnsi="Times New Roman" w:eastAsia="方正仿宋_GBK" w:cs="Times New Roman"/>
          <w:b w:val="0"/>
          <w:bCs w:val="0"/>
          <w:color w:val="auto"/>
          <w:kern w:val="2"/>
          <w:sz w:val="32"/>
          <w:szCs w:val="32"/>
          <w:lang w:val="en-US" w:eastAsia="zh-CN" w:bidi="ar-SA"/>
        </w:rPr>
        <w:t>3.统筹、协调、指导巡察组开展工作；</w:t>
      </w:r>
      <w:bookmarkEnd w:id="24"/>
      <w:bookmarkEnd w:id="25"/>
    </w:p>
    <w:p w14:paraId="4E5300DD">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bookmarkStart w:id="26" w:name="_Toc1674"/>
      <w:r>
        <w:rPr>
          <w:rFonts w:hint="default" w:ascii="Times New Roman" w:hAnsi="Times New Roman" w:eastAsia="方正仿宋_GBK" w:cs="Times New Roman"/>
          <w:b w:val="0"/>
          <w:bCs w:val="0"/>
          <w:color w:val="auto"/>
          <w:kern w:val="2"/>
          <w:sz w:val="32"/>
          <w:szCs w:val="32"/>
          <w:lang w:val="en-US" w:eastAsia="zh-CN" w:bidi="ar-SA"/>
        </w:rPr>
        <w:t>4.承担政策研究、制度建设等工作，对县委和县委巡察工作领导小组决定的事项进行督办；</w:t>
      </w:r>
      <w:bookmarkEnd w:id="26"/>
    </w:p>
    <w:p w14:paraId="18790C0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bookmarkStart w:id="27" w:name="_Toc29832"/>
      <w:r>
        <w:rPr>
          <w:rFonts w:hint="default" w:ascii="Times New Roman" w:hAnsi="Times New Roman" w:eastAsia="方正仿宋_GBK" w:cs="Times New Roman"/>
          <w:b w:val="0"/>
          <w:bCs w:val="0"/>
          <w:color w:val="auto"/>
          <w:kern w:val="2"/>
          <w:sz w:val="32"/>
          <w:szCs w:val="32"/>
          <w:lang w:val="en-US" w:eastAsia="zh-CN" w:bidi="ar-SA"/>
        </w:rPr>
        <w:t>5.配合县纪委、县委组织部等部门对巡察工作人员进行培训、考核、监督和管理；</w:t>
      </w:r>
      <w:bookmarkEnd w:id="27"/>
    </w:p>
    <w:p w14:paraId="03DC59D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bookmarkStart w:id="28" w:name="_Toc25217"/>
      <w:r>
        <w:rPr>
          <w:rFonts w:hint="default" w:ascii="Times New Roman" w:hAnsi="Times New Roman" w:eastAsia="方正仿宋_GBK" w:cs="Times New Roman"/>
          <w:b w:val="0"/>
          <w:bCs w:val="0"/>
          <w:color w:val="auto"/>
          <w:kern w:val="2"/>
          <w:sz w:val="32"/>
          <w:szCs w:val="32"/>
          <w:lang w:val="en-US" w:eastAsia="zh-CN" w:bidi="ar-SA"/>
        </w:rPr>
        <w:t>6.建立健全与纪检、政法、组织、审计、信访等部门的联系机制，负责与其进行沟通衔接；</w:t>
      </w:r>
      <w:bookmarkEnd w:id="28"/>
    </w:p>
    <w:p w14:paraId="1BE8613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bookmarkStart w:id="29" w:name="_Toc29931"/>
      <w:bookmarkStart w:id="30" w:name="_Toc17020"/>
      <w:r>
        <w:rPr>
          <w:rFonts w:hint="default" w:ascii="Times New Roman" w:hAnsi="Times New Roman" w:eastAsia="方正仿宋_GBK" w:cs="Times New Roman"/>
          <w:b w:val="0"/>
          <w:bCs w:val="0"/>
          <w:color w:val="auto"/>
          <w:kern w:val="2"/>
          <w:sz w:val="32"/>
          <w:szCs w:val="32"/>
          <w:lang w:val="en-US" w:eastAsia="zh-CN" w:bidi="ar-SA"/>
        </w:rPr>
        <w:t>7.办理县委巡察工作领导小组和上级巡察办交办的其他事项。</w:t>
      </w:r>
      <w:bookmarkEnd w:id="29"/>
      <w:bookmarkEnd w:id="30"/>
    </w:p>
    <w:p w14:paraId="2CDE75D0">
      <w:pPr>
        <w:pStyle w:val="3"/>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Style w:val="29"/>
          <w:rFonts w:ascii="Times New Roman" w:hAnsi="Times New Roman"/>
          <w:b w:val="0"/>
          <w:bCs w:val="0"/>
          <w:color w:val="auto"/>
          <w:highlight w:val="none"/>
        </w:rPr>
      </w:pPr>
      <w:bookmarkStart w:id="31" w:name="_Toc21874"/>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7"/>
      <w:bookmarkEnd w:id="18"/>
      <w:bookmarkEnd w:id="31"/>
    </w:p>
    <w:p w14:paraId="60F7E7C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bookmarkStart w:id="32" w:name="_Toc28912"/>
      <w:r>
        <w:rPr>
          <w:rFonts w:hint="default" w:ascii="Times New Roman" w:hAnsi="Times New Roman" w:eastAsia="方正仿宋_GBK" w:cs="Times New Roman"/>
          <w:b w:val="0"/>
          <w:bCs w:val="0"/>
          <w:color w:val="auto"/>
          <w:kern w:val="2"/>
          <w:sz w:val="32"/>
          <w:szCs w:val="32"/>
          <w:lang w:val="en-US" w:eastAsia="zh-CN" w:bidi="ar-SA"/>
        </w:rPr>
        <w:t>中共壤塘县委巡察工作领导小组办公室下属二级预算单位</w:t>
      </w:r>
      <w:r>
        <w:rPr>
          <w:rFonts w:hint="eastAsia" w:ascii="Times New Roman" w:hAnsi="Times New Roman" w:eastAsia="方正仿宋_GBK" w:cs="Times New Roman"/>
          <w:b w:val="0"/>
          <w:bCs w:val="0"/>
          <w:color w:val="auto"/>
          <w:kern w:val="2"/>
          <w:sz w:val="32"/>
          <w:szCs w:val="32"/>
          <w:lang w:val="en-US" w:eastAsia="zh-CN" w:bidi="ar-SA"/>
        </w:rPr>
        <w:t>0</w:t>
      </w:r>
      <w:r>
        <w:rPr>
          <w:rFonts w:hint="default" w:ascii="Times New Roman" w:hAnsi="Times New Roman" w:eastAsia="方正仿宋_GBK" w:cs="Times New Roman"/>
          <w:b w:val="0"/>
          <w:bCs w:val="0"/>
          <w:color w:val="auto"/>
          <w:kern w:val="2"/>
          <w:sz w:val="32"/>
          <w:szCs w:val="32"/>
          <w:lang w:val="en-US" w:eastAsia="zh-CN" w:bidi="ar-SA"/>
        </w:rPr>
        <w:t>个，其中行政单位</w:t>
      </w:r>
      <w:r>
        <w:rPr>
          <w:rFonts w:hint="eastAsia" w:ascii="Times New Roman" w:hAnsi="Times New Roman" w:eastAsia="方正仿宋_GBK" w:cs="Times New Roman"/>
          <w:b w:val="0"/>
          <w:bCs w:val="0"/>
          <w:color w:val="auto"/>
          <w:kern w:val="2"/>
          <w:sz w:val="32"/>
          <w:szCs w:val="32"/>
          <w:lang w:val="en-US" w:eastAsia="zh-CN" w:bidi="ar-SA"/>
        </w:rPr>
        <w:t>0</w:t>
      </w:r>
      <w:r>
        <w:rPr>
          <w:rFonts w:hint="default" w:ascii="Times New Roman" w:hAnsi="Times New Roman" w:eastAsia="方正仿宋_GBK" w:cs="Times New Roman"/>
          <w:b w:val="0"/>
          <w:bCs w:val="0"/>
          <w:color w:val="auto"/>
          <w:kern w:val="2"/>
          <w:sz w:val="32"/>
          <w:szCs w:val="32"/>
          <w:lang w:val="en-US" w:eastAsia="zh-CN" w:bidi="ar-SA"/>
        </w:rPr>
        <w:t>个，参照公务员法管理的事业单位0个，其他事业单位</w:t>
      </w:r>
      <w:r>
        <w:rPr>
          <w:rFonts w:hint="eastAsia" w:ascii="Times New Roman" w:hAnsi="Times New Roman" w:eastAsia="方正仿宋_GBK" w:cs="Times New Roman"/>
          <w:b w:val="0"/>
          <w:bCs w:val="0"/>
          <w:color w:val="auto"/>
          <w:kern w:val="2"/>
          <w:sz w:val="32"/>
          <w:szCs w:val="32"/>
          <w:lang w:val="en-US" w:eastAsia="zh-CN" w:bidi="ar-SA"/>
        </w:rPr>
        <w:t>0</w:t>
      </w:r>
      <w:r>
        <w:rPr>
          <w:rFonts w:hint="default" w:ascii="Times New Roman" w:hAnsi="Times New Roman" w:eastAsia="方正仿宋_GBK" w:cs="Times New Roman"/>
          <w:b w:val="0"/>
          <w:bCs w:val="0"/>
          <w:color w:val="auto"/>
          <w:kern w:val="2"/>
          <w:sz w:val="32"/>
          <w:szCs w:val="32"/>
          <w:lang w:val="en-US" w:eastAsia="zh-CN" w:bidi="ar-SA"/>
        </w:rPr>
        <w:t>个。</w:t>
      </w:r>
      <w:bookmarkEnd w:id="32"/>
    </w:p>
    <w:p w14:paraId="45FDF9B7">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01962F6E">
      <w:pPr>
        <w:pStyle w:val="2"/>
        <w:jc w:val="center"/>
        <w:rPr>
          <w:rFonts w:ascii="Times New Roman" w:hAnsi="Times New Roman"/>
          <w:color w:val="auto"/>
          <w:highlight w:val="none"/>
        </w:rPr>
      </w:pPr>
      <w:bookmarkStart w:id="33" w:name="_Toc15396602"/>
      <w:bookmarkStart w:id="34" w:name="_Toc24015"/>
      <w:bookmarkStart w:id="35" w:name="_Toc15377204"/>
      <w:r>
        <w:rPr>
          <w:rFonts w:hint="eastAsia" w:ascii="黑体" w:hAnsi="黑体" w:eastAsia="黑体" w:cs="黑体"/>
          <w:b w:val="0"/>
          <w:color w:val="auto"/>
          <w:highlight w:val="none"/>
        </w:rPr>
        <w:t>第二部分</w:t>
      </w:r>
      <w:r>
        <w:rPr>
          <w:rFonts w:hint="eastAsia" w:ascii="黑体" w:hAnsi="黑体" w:eastAsia="黑体" w:cs="黑体"/>
          <w:b w:val="0"/>
          <w:color w:val="auto"/>
          <w:highlight w:val="none"/>
          <w:lang w:val="en-US" w:eastAsia="zh-CN"/>
        </w:rPr>
        <w:t xml:space="preserve"> </w:t>
      </w:r>
      <w:r>
        <w:rPr>
          <w:rFonts w:hint="eastAsia" w:ascii="黑体" w:hAnsi="黑体" w:eastAsia="黑体" w:cs="黑体"/>
          <w:b w:val="0"/>
          <w:color w:val="auto"/>
          <w:highlight w:val="none"/>
        </w:rPr>
        <w:t xml:space="preserve"> </w:t>
      </w:r>
      <w:r>
        <w:rPr>
          <w:rFonts w:hint="eastAsia" w:ascii="黑体" w:hAnsi="黑体" w:eastAsia="黑体" w:cs="黑体"/>
          <w:b w:val="0"/>
          <w:color w:val="auto"/>
          <w:highlight w:val="none"/>
          <w:lang w:val="en-US" w:eastAsia="zh-CN"/>
        </w:rPr>
        <w:t>2025年度</w:t>
      </w:r>
      <w:r>
        <w:rPr>
          <w:rFonts w:hint="eastAsia" w:ascii="黑体" w:hAnsi="黑体" w:eastAsia="黑体" w:cs="黑体"/>
          <w:b w:val="0"/>
          <w:color w:val="auto"/>
          <w:highlight w:val="none"/>
        </w:rPr>
        <w:t>部门决算情况说明</w:t>
      </w:r>
      <w:bookmarkEnd w:id="33"/>
      <w:bookmarkEnd w:id="34"/>
      <w:bookmarkEnd w:id="35"/>
    </w:p>
    <w:p w14:paraId="666D607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36" w:name="_Toc10045"/>
      <w:bookmarkStart w:id="37" w:name="_Toc15377205"/>
      <w:bookmarkStart w:id="38"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36"/>
      <w:bookmarkEnd w:id="37"/>
      <w:bookmarkEnd w:id="38"/>
    </w:p>
    <w:p w14:paraId="7FF2B786">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2025年度收入、支出总计均为196.24万元。与上年度相比，收入、支出总计各减少48.54万元，下降19.83%。主要变动原因是人员减少，工资福利性费用减少。</w:t>
      </w:r>
    </w:p>
    <w:p w14:paraId="43E7317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（图1：收入、支出决算总计变动情况图）（柱状图）</w:t>
      </w:r>
    </w:p>
    <w:p w14:paraId="694D290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838065" cy="2840355"/>
            <wp:effectExtent l="0" t="0" r="635" b="17145"/>
            <wp:docPr id="1" name="图片 1" descr="收入、支出决算总计变动情况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收入、支出决算总计变动情况图片1"/>
                    <pic:cNvPicPr>
                      <a:picLocks noChangeAspect="1"/>
                    </pic:cNvPicPr>
                  </pic:nvPicPr>
                  <pic:blipFill>
                    <a:blip r:embed="rId9"/>
                    <a:stretch>
                      <a:fillRect/>
                    </a:stretch>
                  </pic:blipFill>
                  <pic:spPr>
                    <a:xfrm>
                      <a:off x="0" y="0"/>
                      <a:ext cx="4838065" cy="2840355"/>
                    </a:xfrm>
                    <a:prstGeom prst="rect">
                      <a:avLst/>
                    </a:prstGeom>
                  </pic:spPr>
                </pic:pic>
              </a:graphicData>
            </a:graphic>
          </wp:inline>
        </w:drawing>
      </w:r>
    </w:p>
    <w:p w14:paraId="48D4313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lang w:eastAsia="zh-CN"/>
        </w:rPr>
      </w:pPr>
      <w:bookmarkStart w:id="39" w:name="_Toc15377206"/>
      <w:bookmarkStart w:id="40" w:name="_Toc15396604"/>
      <w:bookmarkStart w:id="41" w:name="_Toc23889"/>
      <w:r>
        <w:rPr>
          <w:rStyle w:val="29"/>
          <w:rFonts w:hint="eastAsia" w:ascii="Times New Roman" w:hAnsi="Times New Roman" w:eastAsia="黑体"/>
          <w:b w:val="0"/>
          <w:color w:val="auto"/>
          <w:highlight w:val="none"/>
          <w:lang w:eastAsia="zh-CN"/>
        </w:rPr>
        <w:t>二、收入决算情况说明</w:t>
      </w:r>
      <w:bookmarkEnd w:id="39"/>
      <w:bookmarkEnd w:id="40"/>
      <w:bookmarkEnd w:id="41"/>
    </w:p>
    <w:p w14:paraId="0AD36851">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2025年度本年收入合计196.24万元，其中：一般公共预算财政拨款收入196.24万元，占100%。（注：仅罗列本部门涉及的收入）</w:t>
      </w:r>
    </w:p>
    <w:p w14:paraId="6295CC7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（图2：收入决算结构图）（饼状图）</w:t>
      </w:r>
    </w:p>
    <w:p w14:paraId="29B3943B">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838065" cy="2753995"/>
            <wp:effectExtent l="0" t="0" r="635" b="8255"/>
            <wp:docPr id="2" name="图片 2" descr="收入决算结构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收入决算结构图片1"/>
                    <pic:cNvPicPr>
                      <a:picLocks noChangeAspect="1"/>
                    </pic:cNvPicPr>
                  </pic:nvPicPr>
                  <pic:blipFill>
                    <a:blip r:embed="rId10"/>
                    <a:stretch>
                      <a:fillRect/>
                    </a:stretch>
                  </pic:blipFill>
                  <pic:spPr>
                    <a:xfrm>
                      <a:off x="0" y="0"/>
                      <a:ext cx="4838065" cy="2753995"/>
                    </a:xfrm>
                    <a:prstGeom prst="rect">
                      <a:avLst/>
                    </a:prstGeom>
                  </pic:spPr>
                </pic:pic>
              </a:graphicData>
            </a:graphic>
          </wp:inline>
        </w:drawing>
      </w:r>
    </w:p>
    <w:p w14:paraId="39EC6EE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42" w:name="_Toc5675"/>
      <w:bookmarkStart w:id="43" w:name="_Toc15377207"/>
      <w:bookmarkStart w:id="44" w:name="_Toc15396605"/>
      <w:r>
        <w:rPr>
          <w:rStyle w:val="29"/>
          <w:rFonts w:hint="eastAsia" w:ascii="Times New Roman" w:hAnsi="Times New Roman" w:eastAsia="黑体"/>
          <w:b w:val="0"/>
          <w:color w:val="auto"/>
          <w:highlight w:val="none"/>
          <w:lang w:eastAsia="zh-CN"/>
        </w:rPr>
        <w:t>三、</w:t>
      </w:r>
      <w:r>
        <w:rPr>
          <w:rStyle w:val="29"/>
          <w:rFonts w:hint="eastAsia" w:ascii="Times New Roman" w:hAnsi="Times New Roman" w:eastAsia="黑体"/>
          <w:b w:val="0"/>
          <w:color w:val="auto"/>
          <w:highlight w:val="none"/>
        </w:rPr>
        <w:t>支出决算情况说明</w:t>
      </w:r>
      <w:bookmarkEnd w:id="42"/>
      <w:bookmarkEnd w:id="43"/>
      <w:bookmarkEnd w:id="44"/>
    </w:p>
    <w:p w14:paraId="31392785">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2025年度本年支出合计196.24万元，其中：基本支出179.67万元，占91.55%；项目支出16.58万元，占8.44%。</w:t>
      </w:r>
    </w:p>
    <w:p w14:paraId="38A7CA77">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（图3：支出决算结构图）（饼状图）</w:t>
      </w:r>
    </w:p>
    <w:p w14:paraId="2BC3417E">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838065" cy="2753995"/>
            <wp:effectExtent l="0" t="0" r="635" b="8255"/>
            <wp:docPr id="3" name="图片 3" descr="支出决算结构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支出决算结构图片1"/>
                    <pic:cNvPicPr>
                      <a:picLocks noChangeAspect="1"/>
                    </pic:cNvPicPr>
                  </pic:nvPicPr>
                  <pic:blipFill>
                    <a:blip r:embed="rId11"/>
                    <a:stretch>
                      <a:fillRect/>
                    </a:stretch>
                  </pic:blipFill>
                  <pic:spPr>
                    <a:xfrm>
                      <a:off x="0" y="0"/>
                      <a:ext cx="4838065" cy="2753995"/>
                    </a:xfrm>
                    <a:prstGeom prst="rect">
                      <a:avLst/>
                    </a:prstGeom>
                  </pic:spPr>
                </pic:pic>
              </a:graphicData>
            </a:graphic>
          </wp:inline>
        </w:drawing>
      </w:r>
    </w:p>
    <w:p w14:paraId="325116D8">
      <w:pPr>
        <w:spacing w:line="600" w:lineRule="exact"/>
        <w:ind w:firstLine="640" w:firstLineChars="200"/>
        <w:outlineLvl w:val="1"/>
        <w:rPr>
          <w:rStyle w:val="29"/>
          <w:rFonts w:hint="eastAsia" w:ascii="Times New Roman" w:hAnsi="Times New Roman" w:eastAsia="黑体"/>
          <w:b w:val="0"/>
          <w:color w:val="auto"/>
          <w:highlight w:val="none"/>
          <w:lang w:val="en-US" w:eastAsia="zh-CN" w:bidi="ar-SA"/>
        </w:rPr>
      </w:pPr>
      <w:bookmarkStart w:id="45" w:name="_Toc25553"/>
      <w:bookmarkStart w:id="46" w:name="_Toc15377208"/>
      <w:bookmarkStart w:id="47" w:name="_Toc15396606"/>
      <w:r>
        <w:rPr>
          <w:rStyle w:val="29"/>
          <w:rFonts w:hint="eastAsia" w:ascii="Times New Roman" w:hAnsi="Times New Roman" w:eastAsia="黑体"/>
          <w:b w:val="0"/>
          <w:color w:val="auto"/>
          <w:highlight w:val="none"/>
          <w:lang w:val="en-US" w:eastAsia="zh-CN" w:bidi="ar-SA"/>
        </w:rPr>
        <w:t>四、财政拨款收入支出决算总体情况说明</w:t>
      </w:r>
      <w:bookmarkEnd w:id="45"/>
      <w:bookmarkEnd w:id="46"/>
      <w:bookmarkEnd w:id="47"/>
    </w:p>
    <w:p w14:paraId="5DC7ADB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2025年度财政拨款收入、支出总计均为196.24万元。与上年度相比，财政拨款收入、支出总计各减少48.54万元，下降19.83%。主要变动原因是人员减少，工资福利性费用减少。</w:t>
      </w:r>
    </w:p>
    <w:p w14:paraId="19069093">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（图4：财政拨款收、支决算总计变动情况）（柱状图）</w:t>
      </w:r>
    </w:p>
    <w:p w14:paraId="42390096">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069080" cy="2316480"/>
            <wp:effectExtent l="0" t="0" r="7620" b="7620"/>
            <wp:docPr id="4" name="图片 4" descr="收、支决算总计变动情况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收、支决算总计变动情况图片1"/>
                    <pic:cNvPicPr>
                      <a:picLocks noChangeAspect="1"/>
                    </pic:cNvPicPr>
                  </pic:nvPicPr>
                  <pic:blipFill>
                    <a:blip r:embed="rId12"/>
                    <a:stretch>
                      <a:fillRect/>
                    </a:stretch>
                  </pic:blipFill>
                  <pic:spPr>
                    <a:xfrm>
                      <a:off x="0" y="0"/>
                      <a:ext cx="4069080" cy="2316480"/>
                    </a:xfrm>
                    <a:prstGeom prst="rect">
                      <a:avLst/>
                    </a:prstGeom>
                  </pic:spPr>
                </pic:pic>
              </a:graphicData>
            </a:graphic>
          </wp:inline>
        </w:drawing>
      </w:r>
    </w:p>
    <w:p w14:paraId="5A330B5A">
      <w:pPr>
        <w:spacing w:line="600" w:lineRule="exact"/>
        <w:ind w:firstLine="640" w:firstLineChars="200"/>
        <w:outlineLvl w:val="1"/>
        <w:rPr>
          <w:rStyle w:val="29"/>
          <w:rFonts w:hint="eastAsia" w:ascii="Times New Roman" w:hAnsi="Times New Roman" w:eastAsia="黑体"/>
          <w:b w:val="0"/>
          <w:color w:val="auto"/>
          <w:highlight w:val="none"/>
          <w:lang w:val="en-US" w:eastAsia="zh-CN" w:bidi="ar-SA"/>
        </w:rPr>
      </w:pPr>
      <w:bookmarkStart w:id="48" w:name="_Toc13807"/>
      <w:bookmarkStart w:id="49" w:name="_Toc15396607"/>
      <w:bookmarkStart w:id="50" w:name="_Toc15377209"/>
      <w:r>
        <w:rPr>
          <w:rStyle w:val="29"/>
          <w:rFonts w:hint="eastAsia" w:ascii="Times New Roman" w:hAnsi="Times New Roman" w:eastAsia="黑体"/>
          <w:b w:val="0"/>
          <w:color w:val="auto"/>
          <w:highlight w:val="none"/>
          <w:lang w:val="en-US" w:eastAsia="zh-CN" w:bidi="ar-SA"/>
        </w:rPr>
        <w:t>五、一般公共预算财政拨款支出决算情况说明</w:t>
      </w:r>
      <w:bookmarkEnd w:id="48"/>
      <w:bookmarkEnd w:id="49"/>
      <w:bookmarkEnd w:id="50"/>
    </w:p>
    <w:p w14:paraId="132FE825">
      <w:pPr>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楷体_GB2312"/>
          <w:b/>
          <w:color w:val="auto"/>
          <w:sz w:val="32"/>
          <w:szCs w:val="32"/>
          <w:highlight w:val="none"/>
        </w:rPr>
      </w:pPr>
      <w:bookmarkStart w:id="51"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51"/>
    </w:p>
    <w:p w14:paraId="168BD4BD">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2025年度一般公共预算财政拨款支出196.24万元，占本年支出合计的100%。与上年度相比，一般公共预算财政拨款支出减少48.54万元，下</w:t>
      </w:r>
      <w:bookmarkStart w:id="141" w:name="_GoBack"/>
      <w:bookmarkEnd w:id="141"/>
      <w:r>
        <w:rPr>
          <w:rFonts w:hint="eastAsia" w:ascii="Times New Roman" w:hAnsi="Times New Roman" w:eastAsia="方正仿宋_GBK" w:cs="Times New Roman"/>
          <w:b w:val="0"/>
          <w:bCs w:val="0"/>
          <w:color w:val="auto"/>
          <w:kern w:val="2"/>
          <w:sz w:val="32"/>
          <w:szCs w:val="32"/>
          <w:lang w:val="en-US" w:eastAsia="zh-CN" w:bidi="ar-SA"/>
        </w:rPr>
        <w:t>降19.83%。主要变动原因是人员减少，工资福利性费用减少。</w:t>
      </w:r>
    </w:p>
    <w:p w14:paraId="56AF6A99">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（图5：一般公共预算财政拨款支出决算变动情况）（柱状图）</w:t>
      </w:r>
    </w:p>
    <w:p w14:paraId="3E39E46B">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338955" cy="2470150"/>
            <wp:effectExtent l="0" t="0" r="4445" b="6350"/>
            <wp:docPr id="5" name="图片 5" descr="一般公共预算财政拨款支出决算变动情况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一般公共预算财政拨款支出决算变动情况图片1"/>
                    <pic:cNvPicPr>
                      <a:picLocks noChangeAspect="1"/>
                    </pic:cNvPicPr>
                  </pic:nvPicPr>
                  <pic:blipFill>
                    <a:blip r:embed="rId13"/>
                    <a:stretch>
                      <a:fillRect/>
                    </a:stretch>
                  </pic:blipFill>
                  <pic:spPr>
                    <a:xfrm>
                      <a:off x="0" y="0"/>
                      <a:ext cx="4338955" cy="2470150"/>
                    </a:xfrm>
                    <a:prstGeom prst="rect">
                      <a:avLst/>
                    </a:prstGeom>
                  </pic:spPr>
                </pic:pic>
              </a:graphicData>
            </a:graphic>
          </wp:inline>
        </w:drawing>
      </w:r>
    </w:p>
    <w:p w14:paraId="5499A27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52"/>
    </w:p>
    <w:p w14:paraId="40302879">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一般公共预算财政拨款支出196.24万元，主要用于以下方面：一般公共服务支出150.12万元，占76.50%；社会保障和就业支出25.46万元，占12.97%；卫生健康支出8.42万元，占4.29%；住房保障支出12.24万元，占6.24%。（注：仅罗列本部门涉及的全部功能分类科目，至类级）</w:t>
      </w:r>
    </w:p>
    <w:p w14:paraId="7C1CFC66">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（图6：一般公共预算财政拨款支出决算结构）（饼状图）</w:t>
      </w:r>
    </w:p>
    <w:p w14:paraId="2DF08A0D">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7" name="图片 7" descr="一般公共预算财政拨款支出决算结构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一般公共预算财政拨款支出决算结构图片1"/>
                    <pic:cNvPicPr>
                      <a:picLocks noChangeAspect="1"/>
                    </pic:cNvPicPr>
                  </pic:nvPicPr>
                  <pic:blipFill>
                    <a:blip r:embed="rId14"/>
                    <a:stretch>
                      <a:fillRect/>
                    </a:stretch>
                  </pic:blipFill>
                  <pic:spPr>
                    <a:xfrm>
                      <a:off x="0" y="0"/>
                      <a:ext cx="4838065" cy="2753995"/>
                    </a:xfrm>
                    <a:prstGeom prst="rect">
                      <a:avLst/>
                    </a:prstGeom>
                  </pic:spPr>
                </pic:pic>
              </a:graphicData>
            </a:graphic>
          </wp:inline>
        </w:drawing>
      </w:r>
    </w:p>
    <w:p w14:paraId="2A48876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3"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3"/>
    </w:p>
    <w:p w14:paraId="73957781">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bookmarkStart w:id="54" w:name="_Toc15377444"/>
      <w:bookmarkStart w:id="55" w:name="_Toc15377213"/>
      <w:bookmarkStart w:id="56" w:name="_Toc15378460"/>
      <w:r>
        <w:rPr>
          <w:rFonts w:hint="eastAsia" w:ascii="Times New Roman" w:hAnsi="Times New Roman" w:eastAsia="方正仿宋_GBK" w:cs="Times New Roman"/>
          <w:b w:val="0"/>
          <w:bCs w:val="0"/>
          <w:color w:val="auto"/>
          <w:kern w:val="2"/>
          <w:sz w:val="32"/>
          <w:szCs w:val="32"/>
          <w:lang w:val="en-US" w:eastAsia="zh-CN" w:bidi="ar-SA"/>
        </w:rPr>
        <w:t>2025年度一般公共预算支出决算数为196.24，完成预算100%。其中：</w:t>
      </w:r>
      <w:bookmarkEnd w:id="54"/>
      <w:bookmarkEnd w:id="55"/>
      <w:bookmarkEnd w:id="56"/>
    </w:p>
    <w:p w14:paraId="272C15E6">
      <w:pPr>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1.一般公共服务（类）201（款）20111（项）：</w:t>
      </w:r>
      <w:r>
        <w:rPr>
          <w:rFonts w:hint="default" w:ascii="Times New Roman" w:hAnsi="Times New Roman" w:eastAsia="方正仿宋_GBK" w:cs="Times New Roman"/>
          <w:b w:val="0"/>
          <w:bCs w:val="0"/>
          <w:color w:val="auto"/>
          <w:kern w:val="2"/>
          <w:sz w:val="32"/>
          <w:szCs w:val="32"/>
          <w:lang w:val="en-US" w:eastAsia="zh-CN" w:bidi="ar-SA"/>
        </w:rPr>
        <w:t>支出决算为</w:t>
      </w:r>
      <w:r>
        <w:rPr>
          <w:rFonts w:hint="eastAsia" w:ascii="Times New Roman" w:hAnsi="Times New Roman" w:eastAsia="方正仿宋_GBK" w:cs="Times New Roman"/>
          <w:b w:val="0"/>
          <w:bCs w:val="0"/>
          <w:color w:val="auto"/>
          <w:kern w:val="2"/>
          <w:sz w:val="32"/>
          <w:szCs w:val="32"/>
          <w:lang w:val="en-US" w:eastAsia="zh-CN" w:bidi="ar-SA"/>
        </w:rPr>
        <w:t>150.12</w:t>
      </w:r>
      <w:r>
        <w:rPr>
          <w:rFonts w:hint="default" w:ascii="Times New Roman" w:hAnsi="Times New Roman" w:eastAsia="方正仿宋_GBK" w:cs="Times New Roman"/>
          <w:b w:val="0"/>
          <w:bCs w:val="0"/>
          <w:color w:val="auto"/>
          <w:kern w:val="2"/>
          <w:sz w:val="32"/>
          <w:szCs w:val="32"/>
          <w:lang w:val="en-US" w:eastAsia="zh-CN" w:bidi="ar-SA"/>
        </w:rPr>
        <w:t>万元，完成预算100%，决算数等于预算数。</w:t>
      </w:r>
    </w:p>
    <w:p w14:paraId="4FACDD71">
      <w:pPr>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2.社会保障和就业（类）208（款）20805（项）：</w:t>
      </w:r>
      <w:r>
        <w:rPr>
          <w:rFonts w:hint="default" w:ascii="Times New Roman" w:hAnsi="Times New Roman" w:eastAsia="方正仿宋_GBK" w:cs="Times New Roman"/>
          <w:b w:val="0"/>
          <w:bCs w:val="0"/>
          <w:color w:val="auto"/>
          <w:kern w:val="2"/>
          <w:sz w:val="32"/>
          <w:szCs w:val="32"/>
          <w:lang w:val="en-US" w:eastAsia="zh-CN" w:bidi="ar-SA"/>
        </w:rPr>
        <w:t>支出决算为</w:t>
      </w:r>
      <w:r>
        <w:rPr>
          <w:rFonts w:hint="eastAsia" w:ascii="Times New Roman" w:hAnsi="Times New Roman" w:eastAsia="方正仿宋_GBK" w:cs="Times New Roman"/>
          <w:b w:val="0"/>
          <w:bCs w:val="0"/>
          <w:color w:val="auto"/>
          <w:kern w:val="2"/>
          <w:sz w:val="32"/>
          <w:szCs w:val="32"/>
          <w:lang w:val="en-US" w:eastAsia="zh-CN" w:bidi="ar-SA"/>
        </w:rPr>
        <w:t>25.46</w:t>
      </w:r>
      <w:r>
        <w:rPr>
          <w:rFonts w:hint="default" w:ascii="Times New Roman" w:hAnsi="Times New Roman" w:eastAsia="方正仿宋_GBK" w:cs="Times New Roman"/>
          <w:b w:val="0"/>
          <w:bCs w:val="0"/>
          <w:color w:val="auto"/>
          <w:kern w:val="2"/>
          <w:sz w:val="32"/>
          <w:szCs w:val="32"/>
          <w:lang w:val="en-US" w:eastAsia="zh-CN" w:bidi="ar-SA"/>
        </w:rPr>
        <w:t>万元，完成预算100%，决算数等于预算数。</w:t>
      </w:r>
    </w:p>
    <w:p w14:paraId="27E9D807">
      <w:pPr>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3.卫生健康（类）210（款）21011（项）：</w:t>
      </w:r>
      <w:r>
        <w:rPr>
          <w:rFonts w:hint="default" w:ascii="Times New Roman" w:hAnsi="Times New Roman" w:eastAsia="方正仿宋_GBK" w:cs="Times New Roman"/>
          <w:b w:val="0"/>
          <w:bCs w:val="0"/>
          <w:color w:val="auto"/>
          <w:kern w:val="2"/>
          <w:sz w:val="32"/>
          <w:szCs w:val="32"/>
          <w:lang w:val="en-US" w:eastAsia="zh-CN" w:bidi="ar-SA"/>
        </w:rPr>
        <w:t>支出决算为</w:t>
      </w:r>
      <w:r>
        <w:rPr>
          <w:rFonts w:hint="eastAsia" w:ascii="Times New Roman" w:hAnsi="Times New Roman" w:eastAsia="方正仿宋_GBK" w:cs="Times New Roman"/>
          <w:b w:val="0"/>
          <w:bCs w:val="0"/>
          <w:color w:val="auto"/>
          <w:kern w:val="2"/>
          <w:sz w:val="32"/>
          <w:szCs w:val="32"/>
          <w:lang w:val="en-US" w:eastAsia="zh-CN" w:bidi="ar-SA"/>
        </w:rPr>
        <w:t>8.42</w:t>
      </w:r>
      <w:r>
        <w:rPr>
          <w:rFonts w:hint="default" w:ascii="Times New Roman" w:hAnsi="Times New Roman" w:eastAsia="方正仿宋_GBK" w:cs="Times New Roman"/>
          <w:b w:val="0"/>
          <w:bCs w:val="0"/>
          <w:color w:val="auto"/>
          <w:kern w:val="2"/>
          <w:sz w:val="32"/>
          <w:szCs w:val="32"/>
          <w:lang w:val="en-US" w:eastAsia="zh-CN" w:bidi="ar-SA"/>
        </w:rPr>
        <w:t>万元，完成预算100%，决算数等于预算数。</w:t>
      </w:r>
    </w:p>
    <w:p w14:paraId="57FBA731">
      <w:pPr>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4.住房保障（类）221（款）22102（项）：</w:t>
      </w:r>
      <w:r>
        <w:rPr>
          <w:rFonts w:hint="default" w:ascii="Times New Roman" w:hAnsi="Times New Roman" w:eastAsia="方正仿宋_GBK" w:cs="Times New Roman"/>
          <w:b w:val="0"/>
          <w:bCs w:val="0"/>
          <w:color w:val="auto"/>
          <w:kern w:val="2"/>
          <w:sz w:val="32"/>
          <w:szCs w:val="32"/>
          <w:lang w:val="en-US" w:eastAsia="zh-CN" w:bidi="ar-SA"/>
        </w:rPr>
        <w:t>支出决算为</w:t>
      </w:r>
      <w:r>
        <w:rPr>
          <w:rFonts w:hint="eastAsia" w:ascii="Times New Roman" w:hAnsi="Times New Roman" w:eastAsia="方正仿宋_GBK" w:cs="Times New Roman"/>
          <w:b w:val="0"/>
          <w:bCs w:val="0"/>
          <w:color w:val="auto"/>
          <w:kern w:val="2"/>
          <w:sz w:val="32"/>
          <w:szCs w:val="32"/>
          <w:lang w:val="en-US" w:eastAsia="zh-CN" w:bidi="ar-SA"/>
        </w:rPr>
        <w:t>12.24</w:t>
      </w:r>
      <w:r>
        <w:rPr>
          <w:rFonts w:hint="default" w:ascii="Times New Roman" w:hAnsi="Times New Roman" w:eastAsia="方正仿宋_GBK" w:cs="Times New Roman"/>
          <w:b w:val="0"/>
          <w:bCs w:val="0"/>
          <w:color w:val="auto"/>
          <w:kern w:val="2"/>
          <w:sz w:val="32"/>
          <w:szCs w:val="32"/>
          <w:lang w:val="en-US" w:eastAsia="zh-CN" w:bidi="ar-SA"/>
        </w:rPr>
        <w:t>万元，完成预算100%，决算数等于预算数。</w:t>
      </w:r>
    </w:p>
    <w:p w14:paraId="0F18E462">
      <w:pPr>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bCs/>
          <w:color w:val="auto"/>
          <w:kern w:val="2"/>
          <w:sz w:val="32"/>
          <w:szCs w:val="32"/>
          <w:lang w:val="en-US" w:eastAsia="zh-CN" w:bidi="ar-SA"/>
        </w:rPr>
        <w:t>（注：仅罗列本部门涉及的全部功能分类科目，至项级。上述“预算”口径为全年预算数。增减变动原因为决算数</w:t>
      </w:r>
      <w:r>
        <w:rPr>
          <w:rFonts w:hint="eastAsia" w:eastAsia="方正仿宋_GBK" w:cs="Times New Roman"/>
          <w:b/>
          <w:bCs/>
          <w:color w:val="auto"/>
          <w:kern w:val="2"/>
          <w:sz w:val="32"/>
          <w:szCs w:val="32"/>
          <w:lang w:val="en-US" w:eastAsia="zh-CN" w:bidi="ar-SA"/>
        </w:rPr>
        <w:t>〈</w:t>
      </w:r>
      <w:r>
        <w:rPr>
          <w:rFonts w:hint="eastAsia" w:ascii="Times New Roman" w:hAnsi="Times New Roman" w:eastAsia="方正仿宋_GBK" w:cs="Times New Roman"/>
          <w:b/>
          <w:bCs/>
          <w:color w:val="auto"/>
          <w:kern w:val="2"/>
          <w:sz w:val="32"/>
          <w:szCs w:val="32"/>
          <w:lang w:val="en-US" w:eastAsia="zh-CN" w:bidi="ar-SA"/>
        </w:rPr>
        <w:t>项级</w:t>
      </w:r>
      <w:r>
        <w:rPr>
          <w:rFonts w:hint="eastAsia" w:eastAsia="方正仿宋_GBK" w:cs="Times New Roman"/>
          <w:b/>
          <w:bCs/>
          <w:color w:val="auto"/>
          <w:kern w:val="2"/>
          <w:sz w:val="32"/>
          <w:szCs w:val="32"/>
          <w:lang w:val="en-US" w:eastAsia="zh-CN" w:bidi="ar-SA"/>
        </w:rPr>
        <w:t>〉</w:t>
      </w:r>
      <w:r>
        <w:rPr>
          <w:rFonts w:hint="eastAsia" w:ascii="Times New Roman" w:hAnsi="Times New Roman" w:eastAsia="方正仿宋_GBK" w:cs="Times New Roman"/>
          <w:b/>
          <w:bCs/>
          <w:color w:val="auto"/>
          <w:kern w:val="2"/>
          <w:sz w:val="32"/>
          <w:szCs w:val="32"/>
          <w:lang w:val="en-US" w:eastAsia="zh-CN" w:bidi="ar-SA"/>
        </w:rPr>
        <w:t>和全年预算数</w:t>
      </w:r>
      <w:r>
        <w:rPr>
          <w:rFonts w:hint="eastAsia" w:eastAsia="方正仿宋_GBK" w:cs="Times New Roman"/>
          <w:b/>
          <w:bCs/>
          <w:color w:val="auto"/>
          <w:kern w:val="2"/>
          <w:sz w:val="32"/>
          <w:szCs w:val="32"/>
          <w:lang w:val="en-US" w:eastAsia="zh-CN" w:bidi="ar-SA"/>
        </w:rPr>
        <w:t>〈</w:t>
      </w:r>
      <w:r>
        <w:rPr>
          <w:rFonts w:hint="eastAsia" w:ascii="Times New Roman" w:hAnsi="Times New Roman" w:eastAsia="方正仿宋_GBK" w:cs="Times New Roman"/>
          <w:b/>
          <w:bCs/>
          <w:color w:val="auto"/>
          <w:kern w:val="2"/>
          <w:sz w:val="32"/>
          <w:szCs w:val="32"/>
          <w:lang w:val="en-US" w:eastAsia="zh-CN" w:bidi="ar-SA"/>
        </w:rPr>
        <w:t>项级</w:t>
      </w:r>
      <w:r>
        <w:rPr>
          <w:rFonts w:hint="eastAsia" w:eastAsia="方正仿宋_GBK" w:cs="Times New Roman"/>
          <w:b/>
          <w:bCs/>
          <w:color w:val="auto"/>
          <w:kern w:val="2"/>
          <w:sz w:val="32"/>
          <w:szCs w:val="32"/>
          <w:lang w:val="en-US" w:eastAsia="zh-CN" w:bidi="ar-SA"/>
        </w:rPr>
        <w:t>〉</w:t>
      </w:r>
      <w:r>
        <w:rPr>
          <w:rFonts w:hint="eastAsia" w:ascii="Times New Roman" w:hAnsi="Times New Roman" w:eastAsia="方正仿宋_GBK" w:cs="Times New Roman"/>
          <w:b/>
          <w:bCs/>
          <w:color w:val="auto"/>
          <w:kern w:val="2"/>
          <w:sz w:val="32"/>
          <w:szCs w:val="32"/>
          <w:lang w:val="en-US" w:eastAsia="zh-CN" w:bidi="ar-SA"/>
        </w:rPr>
        <w:t>比较，与预算数持平可以不写原因）</w:t>
      </w:r>
    </w:p>
    <w:p w14:paraId="1199790C">
      <w:pPr>
        <w:tabs>
          <w:tab w:val="right" w:pos="8306"/>
        </w:tabs>
        <w:spacing w:line="600" w:lineRule="exact"/>
        <w:ind w:firstLine="640"/>
        <w:outlineLvl w:val="1"/>
        <w:rPr>
          <w:rStyle w:val="29"/>
          <w:rFonts w:hint="eastAsia" w:ascii="Times New Roman" w:hAnsi="Times New Roman" w:eastAsia="黑体"/>
          <w:b w:val="0"/>
          <w:color w:val="auto"/>
          <w:highlight w:val="none"/>
          <w:lang w:val="en-US" w:eastAsia="zh-CN" w:bidi="ar-SA"/>
        </w:rPr>
      </w:pPr>
      <w:bookmarkStart w:id="57" w:name="_Toc15396608"/>
      <w:bookmarkStart w:id="58" w:name="_Toc15377214"/>
      <w:bookmarkStart w:id="59" w:name="_Toc25428"/>
      <w:r>
        <w:rPr>
          <w:rStyle w:val="29"/>
          <w:rFonts w:hint="eastAsia" w:ascii="Times New Roman" w:hAnsi="Times New Roman" w:eastAsia="黑体"/>
          <w:b w:val="0"/>
          <w:color w:val="auto"/>
          <w:highlight w:val="none"/>
          <w:lang w:val="en-US" w:eastAsia="zh-CN" w:bidi="ar-SA"/>
        </w:rPr>
        <w:t>六、一般公共预算财政拨款基本支出决算情况说明</w:t>
      </w:r>
      <w:bookmarkEnd w:id="57"/>
      <w:bookmarkEnd w:id="58"/>
      <w:bookmarkEnd w:id="59"/>
      <w:r>
        <w:rPr>
          <w:rStyle w:val="29"/>
          <w:rFonts w:hint="eastAsia" w:ascii="Times New Roman" w:hAnsi="Times New Roman" w:eastAsia="黑体"/>
          <w:b w:val="0"/>
          <w:color w:val="auto"/>
          <w:highlight w:val="none"/>
          <w:lang w:val="en-US" w:eastAsia="zh-CN" w:bidi="ar-SA"/>
        </w:rPr>
        <w:tab/>
      </w:r>
    </w:p>
    <w:p w14:paraId="4B9F802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2025年度一般公共预算财政拨款基本支出179.67万元，其中：</w:t>
      </w:r>
    </w:p>
    <w:p w14:paraId="170F31B5">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人员经费162.13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方正仿宋_GBK" w:cs="Times New Roman"/>
          <w:b w:val="0"/>
          <w:bCs w:val="0"/>
          <w:color w:val="auto"/>
          <w:kern w:val="2"/>
          <w:sz w:val="32"/>
          <w:szCs w:val="32"/>
          <w:lang w:val="en-US" w:eastAsia="zh-CN" w:bidi="ar-SA"/>
        </w:rPr>
        <w:br w:type="textWrapping"/>
      </w:r>
      <w:r>
        <w:rPr>
          <w:rFonts w:hint="eastAsia" w:ascii="Times New Roman" w:hAnsi="Times New Roman" w:eastAsia="方正仿宋_GBK" w:cs="Times New Roman"/>
          <w:b w:val="0"/>
          <w:bCs w:val="0"/>
          <w:color w:val="auto"/>
          <w:kern w:val="2"/>
          <w:sz w:val="32"/>
          <w:szCs w:val="32"/>
          <w:lang w:val="en-US" w:eastAsia="zh-CN" w:bidi="ar-SA"/>
        </w:rPr>
        <w:t>　　公用经费17.54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E828CE6">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（注：仅罗列本部门实际支出涉及的经济分类科目）</w:t>
      </w:r>
    </w:p>
    <w:p w14:paraId="00B4EE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FE5A368">
      <w:pPr>
        <w:spacing w:line="600" w:lineRule="exact"/>
        <w:ind w:firstLine="640"/>
        <w:outlineLvl w:val="1"/>
        <w:rPr>
          <w:rStyle w:val="29"/>
          <w:rFonts w:hint="eastAsia" w:ascii="Times New Roman" w:hAnsi="Times New Roman" w:eastAsia="黑体"/>
          <w:b w:val="0"/>
          <w:color w:val="auto"/>
          <w:highlight w:val="none"/>
          <w:lang w:val="en-US" w:eastAsia="zh-CN" w:bidi="ar-SA"/>
        </w:rPr>
      </w:pPr>
      <w:bookmarkStart w:id="60" w:name="_Toc15396609"/>
      <w:bookmarkStart w:id="61" w:name="_Toc15377215"/>
      <w:bookmarkStart w:id="62" w:name="_Toc12570"/>
      <w:r>
        <w:rPr>
          <w:rStyle w:val="29"/>
          <w:rFonts w:hint="eastAsia" w:ascii="Times New Roman" w:hAnsi="Times New Roman" w:eastAsia="黑体"/>
          <w:b w:val="0"/>
          <w:color w:val="auto"/>
          <w:highlight w:val="none"/>
          <w:lang w:val="en-US" w:eastAsia="zh-CN" w:bidi="ar-SA"/>
        </w:rPr>
        <w:t>七、财政拨款“三公”经费支出决算情况说明</w:t>
      </w:r>
      <w:bookmarkEnd w:id="60"/>
      <w:bookmarkEnd w:id="61"/>
      <w:bookmarkEnd w:id="62"/>
    </w:p>
    <w:p w14:paraId="46A9CED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63"/>
    </w:p>
    <w:p w14:paraId="1F02396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2025年度财政拨款“三公”经费支出决算为5.39万元，完成预算100%，较上年度增加2.14万元，增长65.84%。决算数等于预算数的主要原因是厉行节约，严格控制支出。</w:t>
      </w:r>
    </w:p>
    <w:p w14:paraId="532B4DE6">
      <w:pPr>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方正仿宋_GBK" w:cs="Times New Roman"/>
          <w:b/>
          <w:bCs/>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（注：上述“预算”口径为全年预算数，包括一般公共预算和政府性基金预算财政拨款支出决算情况，与预算数持平可以不写原因）</w:t>
      </w:r>
    </w:p>
    <w:p w14:paraId="4C3CDAE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4"/>
    </w:p>
    <w:p w14:paraId="663DC58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2025年度财政拨款“三公”经费支出决算中，因公出国（境）费支出决算0万元，占0%；公务用车购置及运行维护费支出决算5.39万元，占100%；公务接待费支出决算0万元，占0%。具体情况如下：</w:t>
      </w:r>
    </w:p>
    <w:p w14:paraId="69433B75">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（图7：财政拨款“三公”经费支出结构）（饼状图）</w:t>
      </w:r>
    </w:p>
    <w:p w14:paraId="24309693">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drawing>
          <wp:inline distT="0" distB="0" distL="114300" distR="114300">
            <wp:extent cx="4838065" cy="2753995"/>
            <wp:effectExtent l="0" t="0" r="635" b="8255"/>
            <wp:docPr id="8" name="图片 8" descr="三公经费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三公经费图片1"/>
                    <pic:cNvPicPr>
                      <a:picLocks noChangeAspect="1"/>
                    </pic:cNvPicPr>
                  </pic:nvPicPr>
                  <pic:blipFill>
                    <a:blip r:embed="rId15"/>
                    <a:stretch>
                      <a:fillRect/>
                    </a:stretch>
                  </pic:blipFill>
                  <pic:spPr>
                    <a:xfrm>
                      <a:off x="0" y="0"/>
                      <a:ext cx="4838065" cy="2753995"/>
                    </a:xfrm>
                    <a:prstGeom prst="rect">
                      <a:avLst/>
                    </a:prstGeom>
                  </pic:spPr>
                </pic:pic>
              </a:graphicData>
            </a:graphic>
          </wp:inline>
        </w:drawing>
      </w:r>
    </w:p>
    <w:p w14:paraId="228D5B2F">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1.因公出国（境）经费支出0万元，完成预算0%。全年安排因公出国（境）团组0次，出国（境）0人。因公出国（境）支出决算比上年度增加/减少0万元，增长/下降0%。</w:t>
      </w:r>
    </w:p>
    <w:p w14:paraId="1338E449">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2.公务用车购置及运行维护费支出5.39万元，完成预算100%。公务用车购置及运行维护费支出决算比上年度增加</w:t>
      </w:r>
      <w:r>
        <w:rPr>
          <w:rFonts w:hint="eastAsia" w:eastAsia="方正仿宋_GBK" w:cs="Times New Roman"/>
          <w:b w:val="0"/>
          <w:bCs w:val="0"/>
          <w:color w:val="auto"/>
          <w:kern w:val="2"/>
          <w:sz w:val="32"/>
          <w:szCs w:val="32"/>
          <w:lang w:val="en-US" w:eastAsia="zh-CN" w:bidi="ar-SA"/>
        </w:rPr>
        <w:t>2.14</w:t>
      </w:r>
      <w:r>
        <w:rPr>
          <w:rFonts w:hint="eastAsia" w:ascii="Times New Roman" w:hAnsi="Times New Roman" w:eastAsia="方正仿宋_GBK" w:cs="Times New Roman"/>
          <w:b w:val="0"/>
          <w:bCs w:val="0"/>
          <w:color w:val="auto"/>
          <w:kern w:val="2"/>
          <w:sz w:val="32"/>
          <w:szCs w:val="32"/>
          <w:lang w:val="en-US" w:eastAsia="zh-CN" w:bidi="ar-SA"/>
        </w:rPr>
        <w:t>万元，增长</w:t>
      </w:r>
      <w:r>
        <w:rPr>
          <w:rFonts w:hint="eastAsia" w:eastAsia="方正仿宋_GBK" w:cs="Times New Roman"/>
          <w:b w:val="0"/>
          <w:bCs w:val="0"/>
          <w:color w:val="auto"/>
          <w:kern w:val="2"/>
          <w:sz w:val="32"/>
          <w:szCs w:val="32"/>
          <w:lang w:val="en-US" w:eastAsia="zh-CN" w:bidi="ar-SA"/>
        </w:rPr>
        <w:t>65.84</w:t>
      </w:r>
      <w:r>
        <w:rPr>
          <w:rFonts w:hint="eastAsia" w:ascii="Times New Roman" w:hAnsi="Times New Roman" w:eastAsia="方正仿宋_GBK" w:cs="Times New Roman"/>
          <w:b w:val="0"/>
          <w:bCs w:val="0"/>
          <w:color w:val="auto"/>
          <w:kern w:val="2"/>
          <w:sz w:val="32"/>
          <w:szCs w:val="32"/>
          <w:lang w:val="en-US" w:eastAsia="zh-CN" w:bidi="ar-SA"/>
        </w:rPr>
        <w:t>%。主要原因是</w:t>
      </w:r>
      <w:r>
        <w:rPr>
          <w:rFonts w:hint="eastAsia" w:eastAsia="方正仿宋_GBK" w:cs="Times New Roman"/>
          <w:b w:val="0"/>
          <w:bCs w:val="0"/>
          <w:color w:val="auto"/>
          <w:kern w:val="2"/>
          <w:sz w:val="32"/>
          <w:szCs w:val="32"/>
          <w:lang w:val="en-US" w:eastAsia="zh-CN" w:bidi="ar-SA"/>
        </w:rPr>
        <w:t>2025年度巡察工作增加。</w:t>
      </w:r>
    </w:p>
    <w:p w14:paraId="59A6738F">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其中：公务用车购置支出0万元。全年按规定更新购置公务用车</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辆，其中：轿车</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辆、金额</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万元，越野车</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辆、金额</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万元，载客汽车</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辆、金额</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万元。截至2025年12月31日，单位共有公务用车</w:t>
      </w:r>
      <w:r>
        <w:rPr>
          <w:rFonts w:hint="eastAsia" w:eastAsia="方正仿宋_GBK" w:cs="Times New Roman"/>
          <w:b w:val="0"/>
          <w:bCs w:val="0"/>
          <w:color w:val="auto"/>
          <w:kern w:val="2"/>
          <w:sz w:val="32"/>
          <w:szCs w:val="32"/>
          <w:lang w:val="en-US" w:eastAsia="zh-CN" w:bidi="ar-SA"/>
        </w:rPr>
        <w:t>1</w:t>
      </w:r>
      <w:r>
        <w:rPr>
          <w:rFonts w:hint="eastAsia" w:ascii="Times New Roman" w:hAnsi="Times New Roman" w:eastAsia="方正仿宋_GBK" w:cs="Times New Roman"/>
          <w:b w:val="0"/>
          <w:bCs w:val="0"/>
          <w:color w:val="auto"/>
          <w:kern w:val="2"/>
          <w:sz w:val="32"/>
          <w:szCs w:val="32"/>
          <w:lang w:val="en-US" w:eastAsia="zh-CN" w:bidi="ar-SA"/>
        </w:rPr>
        <w:t>辆，其中：轿车</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辆、越野车</w:t>
      </w:r>
      <w:r>
        <w:rPr>
          <w:rFonts w:hint="eastAsia" w:eastAsia="方正仿宋_GBK" w:cs="Times New Roman"/>
          <w:b w:val="0"/>
          <w:bCs w:val="0"/>
          <w:color w:val="auto"/>
          <w:kern w:val="2"/>
          <w:sz w:val="32"/>
          <w:szCs w:val="32"/>
          <w:lang w:val="en-US" w:eastAsia="zh-CN" w:bidi="ar-SA"/>
        </w:rPr>
        <w:t>1</w:t>
      </w:r>
      <w:r>
        <w:rPr>
          <w:rFonts w:hint="eastAsia" w:ascii="Times New Roman" w:hAnsi="Times New Roman" w:eastAsia="方正仿宋_GBK" w:cs="Times New Roman"/>
          <w:b w:val="0"/>
          <w:bCs w:val="0"/>
          <w:color w:val="auto"/>
          <w:kern w:val="2"/>
          <w:sz w:val="32"/>
          <w:szCs w:val="32"/>
          <w:lang w:val="en-US" w:eastAsia="zh-CN" w:bidi="ar-SA"/>
        </w:rPr>
        <w:t>辆、载客汽车</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辆。</w:t>
      </w:r>
    </w:p>
    <w:p w14:paraId="4A8C069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公务用车运行维护费支出5.39万元。主要用于</w:t>
      </w:r>
      <w:r>
        <w:rPr>
          <w:rFonts w:hint="default" w:ascii="Times New Roman" w:hAnsi="Times New Roman" w:eastAsia="方正仿宋_GBK" w:cs="Times New Roman"/>
          <w:b w:val="0"/>
          <w:bCs w:val="0"/>
          <w:color w:val="auto"/>
          <w:kern w:val="2"/>
          <w:sz w:val="32"/>
          <w:szCs w:val="32"/>
          <w:lang w:val="en-US" w:eastAsia="zh-CN" w:bidi="ar-SA"/>
        </w:rPr>
        <w:t>开展巡察相关工作</w:t>
      </w:r>
      <w:r>
        <w:rPr>
          <w:rFonts w:hint="eastAsia" w:ascii="Times New Roman" w:hAnsi="Times New Roman" w:eastAsia="方正仿宋_GBK" w:cs="Times New Roman"/>
          <w:b w:val="0"/>
          <w:bCs w:val="0"/>
          <w:color w:val="auto"/>
          <w:kern w:val="2"/>
          <w:sz w:val="32"/>
          <w:szCs w:val="32"/>
          <w:lang w:val="en-US" w:eastAsia="zh-CN" w:bidi="ar-SA"/>
        </w:rPr>
        <w:t>等所需的公务用车燃料费、维修费、过路过桥费、保险费等支出。</w:t>
      </w:r>
    </w:p>
    <w:p w14:paraId="3DBFDF5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3.公务接待费支出0万元，完成预算</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%。公务接待费支出决算比上年度增加/减少</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万元，增长/下降</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%。其中：</w:t>
      </w:r>
    </w:p>
    <w:p w14:paraId="60D01201">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国内公务接待支出0万元。国内公务接待0批次，0人次（不包括陪同人员），共计支出</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万元。</w:t>
      </w:r>
    </w:p>
    <w:p w14:paraId="7D9D4BE2">
      <w:pPr>
        <w:pageBreakBefore w:val="0"/>
        <w:widowControl w:val="0"/>
        <w:kinsoku/>
        <w:wordWrap/>
        <w:overflowPunct/>
        <w:topLinePunct w:val="0"/>
        <w:autoSpaceDE/>
        <w:autoSpaceDN/>
        <w:bidi w:val="0"/>
        <w:adjustRightInd/>
        <w:snapToGrid/>
        <w:spacing w:line="600" w:lineRule="exact"/>
        <w:ind w:firstLine="640" w:firstLineChars="200"/>
        <w:textAlignment w:val="auto"/>
        <w:rPr>
          <w:rStyle w:val="29"/>
          <w:rFonts w:hint="eastAsia" w:ascii="Times New Roman" w:hAnsi="Times New Roman" w:eastAsia="黑体"/>
          <w:b w:val="0"/>
          <w:color w:val="auto"/>
          <w:highlight w:val="none"/>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外事接待支出0万元。外事接待0批次，0人次（不包括陪同人员），共计支出</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万元。</w:t>
      </w:r>
      <w:bookmarkStart w:id="65" w:name="_Toc15396610"/>
      <w:bookmarkStart w:id="66" w:name="_Toc15377218"/>
    </w:p>
    <w:p w14:paraId="6636144A">
      <w:pPr>
        <w:spacing w:line="600" w:lineRule="exact"/>
        <w:ind w:firstLine="640"/>
        <w:outlineLvl w:val="1"/>
        <w:rPr>
          <w:rStyle w:val="29"/>
          <w:rFonts w:hint="eastAsia" w:ascii="Times New Roman" w:hAnsi="Times New Roman" w:eastAsia="黑体"/>
          <w:b w:val="0"/>
          <w:color w:val="auto"/>
          <w:highlight w:val="none"/>
          <w:lang w:val="en-US" w:eastAsia="zh-CN" w:bidi="ar-SA"/>
        </w:rPr>
      </w:pPr>
      <w:bookmarkStart w:id="67" w:name="_Toc16987"/>
      <w:r>
        <w:rPr>
          <w:rStyle w:val="29"/>
          <w:rFonts w:hint="eastAsia" w:ascii="Times New Roman" w:hAnsi="Times New Roman" w:eastAsia="黑体"/>
          <w:b w:val="0"/>
          <w:color w:val="auto"/>
          <w:highlight w:val="none"/>
          <w:lang w:val="en-US" w:eastAsia="zh-CN" w:bidi="ar-SA"/>
        </w:rPr>
        <w:t>八、政府性基金预算支出决算情况说明</w:t>
      </w:r>
      <w:bookmarkEnd w:id="65"/>
      <w:bookmarkEnd w:id="66"/>
      <w:bookmarkEnd w:id="67"/>
    </w:p>
    <w:p w14:paraId="27006F0B">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2025年度政府性基金预算财政拨款支出0万元，占本年支出合计的0%。与上年度相比，政府性基金预算财政拨款支出增加/减少</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万元，增长/下降</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w:t>
      </w:r>
    </w:p>
    <w:p w14:paraId="4D3FD336">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（注：支出数与上年持平可以不写原因）</w:t>
      </w:r>
    </w:p>
    <w:p w14:paraId="5AEB0AFD">
      <w:pPr>
        <w:numPr>
          <w:ilvl w:val="0"/>
          <w:numId w:val="0"/>
        </w:numPr>
        <w:spacing w:line="600" w:lineRule="exact"/>
        <w:ind w:left="630" w:leftChars="0"/>
        <w:outlineLvl w:val="1"/>
        <w:rPr>
          <w:rStyle w:val="29"/>
          <w:rFonts w:hint="eastAsia" w:ascii="Times New Roman" w:hAnsi="Times New Roman" w:eastAsia="黑体"/>
          <w:b w:val="0"/>
          <w:color w:val="auto"/>
          <w:highlight w:val="none"/>
          <w:lang w:val="en-US" w:eastAsia="zh-CN" w:bidi="ar-SA"/>
        </w:rPr>
      </w:pPr>
      <w:bookmarkStart w:id="68" w:name="_Toc27022"/>
      <w:bookmarkStart w:id="69" w:name="_Toc15396611"/>
      <w:bookmarkStart w:id="70" w:name="_Toc15377219"/>
      <w:r>
        <w:rPr>
          <w:rStyle w:val="29"/>
          <w:rFonts w:hint="eastAsia" w:ascii="Times New Roman" w:hAnsi="Times New Roman" w:eastAsia="黑体"/>
          <w:b w:val="0"/>
          <w:color w:val="auto"/>
          <w:highlight w:val="none"/>
          <w:lang w:val="en-US" w:eastAsia="zh-CN" w:bidi="ar-SA"/>
        </w:rPr>
        <w:t>九、国有资本经营预算支出决算情况说明</w:t>
      </w:r>
      <w:bookmarkEnd w:id="68"/>
      <w:bookmarkEnd w:id="69"/>
      <w:bookmarkEnd w:id="70"/>
    </w:p>
    <w:p w14:paraId="0D25C4E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2025年度国有资本经营预算财政拨款支出0万元，占本年支出合计的0%。与上年度相比，国有资本经营预算财政拨款支出增加/减少</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万元，增长/下降</w:t>
      </w:r>
      <w:r>
        <w:rPr>
          <w:rFonts w:hint="eastAsia" w:eastAsia="方正仿宋_GBK" w:cs="Times New Roman"/>
          <w:b w:val="0"/>
          <w:bCs w:val="0"/>
          <w:color w:val="auto"/>
          <w:kern w:val="2"/>
          <w:sz w:val="32"/>
          <w:szCs w:val="32"/>
          <w:lang w:val="en-US" w:eastAsia="zh-CN" w:bidi="ar-SA"/>
        </w:rPr>
        <w:t>0</w:t>
      </w:r>
      <w:r>
        <w:rPr>
          <w:rFonts w:hint="eastAsia" w:ascii="Times New Roman" w:hAnsi="Times New Roman" w:eastAsia="方正仿宋_GBK" w:cs="Times New Roman"/>
          <w:b w:val="0"/>
          <w:bCs w:val="0"/>
          <w:color w:val="auto"/>
          <w:kern w:val="2"/>
          <w:sz w:val="32"/>
          <w:szCs w:val="32"/>
          <w:lang w:val="en-US" w:eastAsia="zh-CN" w:bidi="ar-SA"/>
        </w:rPr>
        <w:t>%。</w:t>
      </w:r>
    </w:p>
    <w:p w14:paraId="42E7B357">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（注：支出数与上年持平可以不写原因）</w:t>
      </w:r>
    </w:p>
    <w:p w14:paraId="0724CB9C">
      <w:pPr>
        <w:numPr>
          <w:ilvl w:val="0"/>
          <w:numId w:val="0"/>
        </w:numPr>
        <w:spacing w:line="600" w:lineRule="exact"/>
        <w:ind w:left="630" w:leftChars="0"/>
        <w:outlineLvl w:val="1"/>
        <w:rPr>
          <w:rStyle w:val="29"/>
          <w:rFonts w:hint="eastAsia" w:ascii="Times New Roman" w:hAnsi="Times New Roman" w:eastAsia="黑体"/>
          <w:b w:val="0"/>
          <w:color w:val="auto"/>
          <w:highlight w:val="none"/>
          <w:lang w:val="en-US" w:eastAsia="zh-CN" w:bidi="ar-SA"/>
        </w:rPr>
      </w:pPr>
      <w:bookmarkStart w:id="71" w:name="_Toc15396612"/>
      <w:bookmarkStart w:id="72" w:name="_Toc15377221"/>
      <w:bookmarkStart w:id="73" w:name="_Toc17152"/>
      <w:r>
        <w:rPr>
          <w:rStyle w:val="29"/>
          <w:rFonts w:hint="eastAsia" w:ascii="Times New Roman" w:hAnsi="Times New Roman" w:eastAsia="黑体"/>
          <w:b w:val="0"/>
          <w:color w:val="auto"/>
          <w:highlight w:val="none"/>
          <w:lang w:val="en-US" w:eastAsia="zh-CN" w:bidi="ar-SA"/>
        </w:rPr>
        <w:t>十、其他重要事项的情况说明</w:t>
      </w:r>
      <w:bookmarkEnd w:id="71"/>
      <w:bookmarkEnd w:id="72"/>
      <w:bookmarkEnd w:id="73"/>
    </w:p>
    <w:p w14:paraId="4073064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4" w:name="_Toc15377222"/>
      <w:r>
        <w:rPr>
          <w:rFonts w:hint="eastAsia" w:ascii="Times New Roman" w:hAnsi="Times New Roman" w:eastAsia="楷体_GB2312" w:cs="楷体_GB2312"/>
          <w:b/>
          <w:color w:val="auto"/>
          <w:sz w:val="32"/>
          <w:szCs w:val="32"/>
          <w:highlight w:val="none"/>
        </w:rPr>
        <w:t>（一）机关运行经费支出情况</w:t>
      </w:r>
      <w:bookmarkEnd w:id="74"/>
    </w:p>
    <w:p w14:paraId="31BC45A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2025年度，中共壤塘县委巡察工作领导小组办公室机关运行经费支出17.54万元，比上年度减少</w:t>
      </w:r>
      <w:r>
        <w:rPr>
          <w:rFonts w:hint="eastAsia" w:eastAsia="方正仿宋_GBK" w:cs="Times New Roman"/>
          <w:b w:val="0"/>
          <w:bCs w:val="0"/>
          <w:color w:val="auto"/>
          <w:kern w:val="2"/>
          <w:sz w:val="32"/>
          <w:szCs w:val="32"/>
          <w:lang w:val="en-US" w:eastAsia="zh-CN" w:bidi="ar-SA"/>
        </w:rPr>
        <w:t>5.09</w:t>
      </w:r>
      <w:r>
        <w:rPr>
          <w:rFonts w:hint="eastAsia" w:ascii="Times New Roman" w:hAnsi="Times New Roman" w:eastAsia="方正仿宋_GBK" w:cs="Times New Roman"/>
          <w:b w:val="0"/>
          <w:bCs w:val="0"/>
          <w:color w:val="auto"/>
          <w:kern w:val="2"/>
          <w:sz w:val="32"/>
          <w:szCs w:val="32"/>
          <w:lang w:val="en-US" w:eastAsia="zh-CN" w:bidi="ar-SA"/>
        </w:rPr>
        <w:t>万元，下降</w:t>
      </w:r>
      <w:r>
        <w:rPr>
          <w:rFonts w:hint="eastAsia" w:eastAsia="方正仿宋_GBK" w:cs="Times New Roman"/>
          <w:b w:val="0"/>
          <w:bCs w:val="0"/>
          <w:color w:val="auto"/>
          <w:kern w:val="2"/>
          <w:sz w:val="32"/>
          <w:szCs w:val="32"/>
          <w:lang w:val="en-US" w:eastAsia="zh-CN" w:bidi="ar-SA"/>
        </w:rPr>
        <w:t>22.59</w:t>
      </w:r>
      <w:r>
        <w:rPr>
          <w:rFonts w:hint="eastAsia" w:ascii="Times New Roman" w:hAnsi="Times New Roman" w:eastAsia="方正仿宋_GBK" w:cs="Times New Roman"/>
          <w:b w:val="0"/>
          <w:bCs w:val="0"/>
          <w:color w:val="auto"/>
          <w:kern w:val="2"/>
          <w:sz w:val="32"/>
          <w:szCs w:val="32"/>
          <w:lang w:val="en-US" w:eastAsia="zh-CN" w:bidi="ar-SA"/>
        </w:rPr>
        <w:t>%。主要原因是</w:t>
      </w:r>
      <w:r>
        <w:rPr>
          <w:rFonts w:hint="eastAsia" w:eastAsia="方正仿宋_GBK" w:cs="Times New Roman"/>
          <w:b w:val="0"/>
          <w:bCs w:val="0"/>
          <w:color w:val="auto"/>
          <w:kern w:val="2"/>
          <w:sz w:val="32"/>
          <w:szCs w:val="32"/>
          <w:lang w:val="en-US" w:eastAsia="zh-CN" w:bidi="ar-SA"/>
        </w:rPr>
        <w:t>厉行节约，严格控制机关运行经费支出。</w:t>
      </w:r>
      <w:r>
        <w:rPr>
          <w:rFonts w:hint="eastAsia" w:ascii="Times New Roman" w:hAnsi="Times New Roman" w:eastAsia="方正仿宋_GBK" w:cs="Times New Roman"/>
          <w:b w:val="0"/>
          <w:bCs w:val="0"/>
          <w:color w:val="auto"/>
          <w:kern w:val="2"/>
          <w:sz w:val="32"/>
          <w:szCs w:val="32"/>
          <w:lang w:val="en-US" w:eastAsia="zh-CN" w:bidi="ar-SA"/>
        </w:rPr>
        <w:t>（注：支出数与上年持平可以不写原因）</w:t>
      </w:r>
    </w:p>
    <w:p w14:paraId="49DACB0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5377223"/>
      <w:r>
        <w:rPr>
          <w:rFonts w:hint="eastAsia" w:ascii="Times New Roman" w:hAnsi="Times New Roman" w:eastAsia="楷体_GB2312" w:cs="楷体_GB2312"/>
          <w:b/>
          <w:color w:val="auto"/>
          <w:sz w:val="32"/>
          <w:szCs w:val="32"/>
          <w:highlight w:val="none"/>
        </w:rPr>
        <w:t>（二）政府采购支出情况</w:t>
      </w:r>
      <w:bookmarkEnd w:id="75"/>
    </w:p>
    <w:p w14:paraId="49430803">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2025年度，中共壤塘县委巡察工作领导小组办公室政府</w:t>
      </w:r>
      <w:r>
        <w:rPr>
          <w:rFonts w:hint="eastAsia" w:eastAsia="方正仿宋_GBK" w:cs="Times New Roman"/>
          <w:b w:val="0"/>
          <w:bCs w:val="0"/>
          <w:color w:val="auto"/>
          <w:kern w:val="2"/>
          <w:sz w:val="32"/>
          <w:szCs w:val="32"/>
          <w:lang w:val="en-US" w:eastAsia="zh-CN" w:bidi="ar-SA"/>
        </w:rPr>
        <w:t>（本级）</w:t>
      </w:r>
      <w:r>
        <w:rPr>
          <w:rFonts w:hint="eastAsia" w:ascii="Times New Roman" w:hAnsi="Times New Roman" w:eastAsia="方正仿宋_GBK" w:cs="Times New Roman"/>
          <w:b w:val="0"/>
          <w:bCs w:val="0"/>
          <w:color w:val="auto"/>
          <w:kern w:val="2"/>
          <w:sz w:val="32"/>
          <w:szCs w:val="32"/>
          <w:lang w:val="en-US" w:eastAsia="zh-CN" w:bidi="ar-SA"/>
        </w:rPr>
        <w:t>采购支出总额1.77万元，其中：政府采购货物支出1.77万元、政府采购工程支出0万元、政府采购服务支出0万元。主要用于</w:t>
      </w:r>
      <w:r>
        <w:rPr>
          <w:rFonts w:hint="eastAsia" w:eastAsia="方正仿宋_GBK" w:cs="Times New Roman"/>
          <w:b w:val="0"/>
          <w:bCs w:val="0"/>
          <w:color w:val="auto"/>
          <w:kern w:val="2"/>
          <w:sz w:val="32"/>
          <w:szCs w:val="32"/>
          <w:lang w:val="en-US" w:eastAsia="zh-CN" w:bidi="ar-SA"/>
        </w:rPr>
        <w:t>购买办公室设备</w:t>
      </w:r>
      <w:r>
        <w:rPr>
          <w:rFonts w:hint="eastAsia" w:ascii="Times New Roman" w:hAnsi="Times New Roman" w:eastAsia="方正仿宋_GBK" w:cs="Times New Roman"/>
          <w:b w:val="0"/>
          <w:bCs w:val="0"/>
          <w:color w:val="auto"/>
          <w:kern w:val="2"/>
          <w:sz w:val="32"/>
          <w:szCs w:val="32"/>
          <w:lang w:val="en-US" w:eastAsia="zh-CN" w:bidi="ar-SA"/>
        </w:rPr>
        <w:t>。授予中小企业合同金额0万元，占政府采购支出总额的0%，其中：授予小微企业合同金额0万元，占政府采购支出总额的0%。</w:t>
      </w:r>
    </w:p>
    <w:p w14:paraId="37835CE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6" w:name="_Toc15377224"/>
      <w:r>
        <w:rPr>
          <w:rFonts w:hint="eastAsia" w:ascii="Times New Roman" w:hAnsi="Times New Roman" w:eastAsia="楷体_GB2312" w:cs="楷体_GB2312"/>
          <w:b/>
          <w:color w:val="auto"/>
          <w:sz w:val="32"/>
          <w:szCs w:val="32"/>
          <w:highlight w:val="none"/>
        </w:rPr>
        <w:t>（三）国有资产占有使用情况</w:t>
      </w:r>
      <w:bookmarkEnd w:id="76"/>
    </w:p>
    <w:p w14:paraId="312D7BE1">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截至2025年12月31日，中共壤塘县委巡察工作领导小组办公室共有车辆1辆，其中：副部（省）级及以上领导用车0辆、主要负责人用车0辆、机要通信用车0辆、应急保障用车0辆、执法执勤用车0辆、特种专业技术用车0辆、离退休干部服务用车0辆、其他用车1辆，其他用车主要是用于</w:t>
      </w:r>
      <w:r>
        <w:rPr>
          <w:rFonts w:hint="eastAsia" w:eastAsia="方正仿宋_GBK" w:cs="Times New Roman"/>
          <w:b w:val="0"/>
          <w:bCs w:val="0"/>
          <w:color w:val="auto"/>
          <w:kern w:val="2"/>
          <w:sz w:val="32"/>
          <w:szCs w:val="32"/>
          <w:lang w:val="en-US" w:eastAsia="zh-CN" w:bidi="ar-SA"/>
        </w:rPr>
        <w:t>开展巡察相关工作</w:t>
      </w:r>
      <w:r>
        <w:rPr>
          <w:rFonts w:hint="eastAsia" w:ascii="Times New Roman" w:hAnsi="Times New Roman" w:eastAsia="方正仿宋_GBK" w:cs="Times New Roman"/>
          <w:b w:val="0"/>
          <w:bCs w:val="0"/>
          <w:color w:val="auto"/>
          <w:kern w:val="2"/>
          <w:sz w:val="32"/>
          <w:szCs w:val="32"/>
          <w:lang w:val="en-US" w:eastAsia="zh-CN" w:bidi="ar-SA"/>
        </w:rPr>
        <w:t>。单价100万元（含）以上设备（不含车辆）0台（套）。</w:t>
      </w:r>
    </w:p>
    <w:p w14:paraId="70AAFA9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90AB3A5">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根据预算绩效管理要求，中共壤塘县委巡察工作领导小组办公室在2025年度，</w:t>
      </w:r>
      <w:r>
        <w:rPr>
          <w:rFonts w:hint="default" w:ascii="Times New Roman" w:hAnsi="Times New Roman" w:eastAsia="方正仿宋_GBK" w:cs="Times New Roman"/>
          <w:b w:val="0"/>
          <w:bCs w:val="0"/>
          <w:color w:val="auto"/>
          <w:kern w:val="2"/>
          <w:sz w:val="32"/>
          <w:szCs w:val="32"/>
          <w:lang w:val="en-US" w:eastAsia="zh-CN" w:bidi="ar-SA"/>
        </w:rPr>
        <w:t>未安排200万元及以上项目，故对0个项目开展了预算事前绩效评估，对0个项目编制了绩效目标，预算执行过程中，选取0个项目开展绩效监控。</w:t>
      </w:r>
    </w:p>
    <w:p w14:paraId="470B43D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组织对2025年度一般公共预算开展绩效自评，形成部门预算绩效自评报告自评得分为</w:t>
      </w:r>
      <w:r>
        <w:rPr>
          <w:rFonts w:hint="eastAsia" w:eastAsia="方正仿宋_GBK" w:cs="Times New Roman"/>
          <w:b w:val="0"/>
          <w:bCs w:val="0"/>
          <w:color w:val="auto"/>
          <w:kern w:val="2"/>
          <w:sz w:val="32"/>
          <w:szCs w:val="32"/>
          <w:lang w:val="en-US" w:eastAsia="zh-CN" w:bidi="ar-SA"/>
        </w:rPr>
        <w:t>89</w:t>
      </w:r>
      <w:r>
        <w:rPr>
          <w:rFonts w:hint="eastAsia" w:ascii="Times New Roman" w:hAnsi="Times New Roman" w:eastAsia="方正仿宋_GBK" w:cs="Times New Roman"/>
          <w:b w:val="0"/>
          <w:bCs w:val="0"/>
          <w:color w:val="auto"/>
          <w:kern w:val="2"/>
          <w:sz w:val="32"/>
          <w:szCs w:val="32"/>
          <w:lang w:val="en-US" w:eastAsia="zh-CN" w:bidi="ar-SA"/>
        </w:rPr>
        <w:t>分，绩效自评综述</w:t>
      </w:r>
      <w:r>
        <w:rPr>
          <w:rFonts w:hint="eastAsia" w:eastAsia="方正仿宋_GBK" w:cs="Times New Roman"/>
          <w:b w:val="0"/>
          <w:bCs w:val="0"/>
          <w:color w:val="auto"/>
          <w:kern w:val="2"/>
          <w:sz w:val="32"/>
          <w:szCs w:val="32"/>
          <w:lang w:val="en-US" w:eastAsia="zh-CN" w:bidi="ar-SA"/>
        </w:rPr>
        <w:t>良好</w:t>
      </w:r>
      <w:r>
        <w:rPr>
          <w:rFonts w:hint="eastAsia" w:ascii="Times New Roman" w:hAnsi="Times New Roman" w:eastAsia="方正仿宋_GBK" w:cs="Times New Roman"/>
          <w:b w:val="0"/>
          <w:bCs w:val="0"/>
          <w:color w:val="auto"/>
          <w:kern w:val="2"/>
          <w:sz w:val="32"/>
          <w:szCs w:val="32"/>
          <w:lang w:val="en-US" w:eastAsia="zh-CN" w:bidi="ar-SA"/>
        </w:rPr>
        <w:t>。绩效自评报告详见中共壤塘县委巡察工作领导小组办公室附件。</w:t>
      </w:r>
    </w:p>
    <w:p w14:paraId="46F4DE6F">
      <w:pPr>
        <w:pStyle w:val="2"/>
        <w:bidi w:val="0"/>
        <w:jc w:val="both"/>
        <w:rPr>
          <w:rFonts w:hint="eastAsia" w:ascii="黑体" w:hAnsi="黑体" w:eastAsia="黑体" w:cs="黑体"/>
          <w:b w:val="0"/>
          <w:bCs w:val="0"/>
          <w:lang w:val="en-US" w:eastAsia="zh-CN"/>
        </w:rPr>
      </w:pPr>
      <w:bookmarkStart w:id="77" w:name="_Toc15377225"/>
      <w:bookmarkStart w:id="78" w:name="_Toc15396613"/>
    </w:p>
    <w:p w14:paraId="5059857F">
      <w:pPr>
        <w:pStyle w:val="2"/>
        <w:bidi w:val="0"/>
        <w:jc w:val="center"/>
        <w:rPr>
          <w:rFonts w:hint="eastAsia" w:ascii="黑体" w:hAnsi="黑体" w:eastAsia="黑体" w:cs="黑体"/>
          <w:b w:val="0"/>
          <w:bCs w:val="0"/>
          <w:lang w:val="en-US" w:eastAsia="zh-CN"/>
        </w:rPr>
      </w:pPr>
    </w:p>
    <w:p w14:paraId="1907BBDC">
      <w:pPr>
        <w:rPr>
          <w:rFonts w:hint="eastAsia" w:ascii="黑体" w:hAnsi="黑体" w:eastAsia="黑体" w:cs="黑体"/>
          <w:b w:val="0"/>
          <w:bCs w:val="0"/>
          <w:lang w:val="en-US" w:eastAsia="zh-CN"/>
        </w:rPr>
      </w:pPr>
    </w:p>
    <w:p w14:paraId="612221DB">
      <w:pPr>
        <w:rPr>
          <w:rFonts w:hint="eastAsia" w:ascii="黑体" w:hAnsi="黑体" w:eastAsia="黑体" w:cs="黑体"/>
          <w:b w:val="0"/>
          <w:bCs w:val="0"/>
          <w:lang w:val="en-US" w:eastAsia="zh-CN"/>
        </w:rPr>
      </w:pPr>
    </w:p>
    <w:p w14:paraId="68DD6EE1">
      <w:pPr>
        <w:pStyle w:val="2"/>
        <w:bidi w:val="0"/>
        <w:jc w:val="center"/>
        <w:rPr>
          <w:rFonts w:ascii="Times New Roman" w:hAnsi="Times New Roman"/>
          <w:b/>
          <w:color w:val="auto"/>
          <w:sz w:val="44"/>
          <w:szCs w:val="44"/>
          <w:highlight w:val="none"/>
        </w:rPr>
      </w:pPr>
      <w:bookmarkStart w:id="79" w:name="_Toc27067"/>
      <w:r>
        <w:rPr>
          <w:rFonts w:hint="eastAsia" w:ascii="黑体" w:hAnsi="黑体" w:eastAsia="黑体" w:cs="黑体"/>
          <w:b w:val="0"/>
          <w:bCs w:val="0"/>
          <w:lang w:val="en-US" w:eastAsia="zh-CN"/>
        </w:rPr>
        <w:t>第三部分  名词解释</w:t>
      </w:r>
      <w:bookmarkEnd w:id="77"/>
      <w:bookmarkEnd w:id="78"/>
      <w:bookmarkEnd w:id="79"/>
    </w:p>
    <w:p w14:paraId="5D2053DE">
      <w:pPr>
        <w:pStyle w:val="26"/>
        <w:keepNext w:val="0"/>
        <w:keepLines w:val="0"/>
        <w:pageBreakBefore w:val="0"/>
        <w:widowControl w:val="0"/>
        <w:kinsoku/>
        <w:wordWrap/>
        <w:overflowPunct/>
        <w:topLinePunct w:val="0"/>
        <w:bidi w:val="0"/>
        <w:snapToGrid/>
        <w:spacing w:line="560" w:lineRule="exact"/>
        <w:ind w:firstLine="640" w:firstLineChars="200"/>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80" w:name="_Toc4823"/>
      <w:bookmarkStart w:id="81" w:name="_Toc11577"/>
      <w:bookmarkStart w:id="82" w:name="_Toc10774"/>
      <w:bookmarkStart w:id="83" w:name="_Toc12568"/>
      <w:bookmarkStart w:id="84" w:name="_Toc28862"/>
      <w:bookmarkStart w:id="85" w:name="_Toc2226"/>
      <w:bookmarkStart w:id="86" w:name="_Toc6268"/>
      <w:bookmarkStart w:id="87" w:name="_Toc32164"/>
      <w:bookmarkStart w:id="88" w:name="_Toc30375"/>
      <w:bookmarkStart w:id="89" w:name="_Toc15302"/>
      <w:bookmarkStart w:id="90" w:name="_Toc3214"/>
      <w:bookmarkStart w:id="91" w:name="_Toc15377226"/>
      <w:r>
        <w:rPr>
          <w:rFonts w:hint="default" w:ascii="Times New Roman" w:hAnsi="Times New Roman" w:eastAsia="方正仿宋_GBK" w:cs="Times New Roman"/>
          <w:b w:val="0"/>
          <w:bCs w:val="0"/>
          <w:color w:val="auto"/>
          <w:kern w:val="2"/>
          <w:sz w:val="32"/>
          <w:szCs w:val="32"/>
          <w:lang w:val="en-US" w:eastAsia="zh-CN" w:bidi="ar-SA"/>
        </w:rPr>
        <w:t>1.财政拨款收入：指单位从同级财政部门取得的财政预算资金。</w:t>
      </w:r>
      <w:bookmarkEnd w:id="80"/>
      <w:bookmarkEnd w:id="81"/>
      <w:bookmarkEnd w:id="82"/>
      <w:bookmarkEnd w:id="83"/>
      <w:bookmarkEnd w:id="84"/>
      <w:bookmarkEnd w:id="85"/>
      <w:bookmarkEnd w:id="86"/>
      <w:bookmarkEnd w:id="87"/>
      <w:bookmarkEnd w:id="88"/>
      <w:bookmarkEnd w:id="89"/>
      <w:bookmarkEnd w:id="90"/>
    </w:p>
    <w:p w14:paraId="2CE5BCAF">
      <w:pPr>
        <w:pStyle w:val="26"/>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2.事业收入：指事业单位开展专业业务活动及辅助活动取得的收入。</w:t>
      </w:r>
    </w:p>
    <w:p w14:paraId="1DDCD888">
      <w:pPr>
        <w:pStyle w:val="26"/>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3.经营收入：指事业单位在专业业务活动及其辅助活动之外开展非独立核算经营活动取得的收入。</w:t>
      </w:r>
    </w:p>
    <w:p w14:paraId="69F981E0">
      <w:pPr>
        <w:pStyle w:val="26"/>
        <w:keepNext w:val="0"/>
        <w:keepLines w:val="0"/>
        <w:pageBreakBefore w:val="0"/>
        <w:widowControl w:val="0"/>
        <w:kinsoku/>
        <w:wordWrap/>
        <w:overflowPunct/>
        <w:topLinePunct w:val="0"/>
        <w:bidi w:val="0"/>
        <w:snapToGrid/>
        <w:spacing w:line="560" w:lineRule="exact"/>
        <w:ind w:firstLine="640" w:firstLineChars="200"/>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bookmarkStart w:id="92" w:name="_Toc3311"/>
      <w:bookmarkStart w:id="93" w:name="_Toc15470"/>
      <w:bookmarkStart w:id="94" w:name="_Toc5279"/>
      <w:bookmarkStart w:id="95" w:name="_Toc12323"/>
      <w:bookmarkStart w:id="96" w:name="_Toc17990"/>
      <w:bookmarkStart w:id="97" w:name="_Toc8187"/>
      <w:bookmarkStart w:id="98" w:name="_Toc24172"/>
      <w:bookmarkStart w:id="99" w:name="_Toc22145"/>
      <w:bookmarkStart w:id="100" w:name="_Toc11751"/>
      <w:bookmarkStart w:id="101" w:name="_Toc22692"/>
      <w:bookmarkStart w:id="102" w:name="_Toc9913"/>
      <w:r>
        <w:rPr>
          <w:rFonts w:hint="default" w:ascii="Times New Roman" w:hAnsi="Times New Roman" w:eastAsia="方正仿宋_GBK" w:cs="Times New Roman"/>
          <w:b w:val="0"/>
          <w:bCs w:val="0"/>
          <w:color w:val="auto"/>
          <w:kern w:val="2"/>
          <w:sz w:val="32"/>
          <w:szCs w:val="32"/>
          <w:lang w:val="en-US" w:eastAsia="zh-CN" w:bidi="ar-SA"/>
        </w:rPr>
        <w:t>4.其他收入：指单位取得的除上述收入以外的各项收入。</w:t>
      </w:r>
      <w:bookmarkEnd w:id="92"/>
      <w:bookmarkEnd w:id="93"/>
      <w:bookmarkEnd w:id="94"/>
      <w:bookmarkEnd w:id="95"/>
      <w:bookmarkEnd w:id="96"/>
      <w:bookmarkEnd w:id="97"/>
      <w:bookmarkEnd w:id="98"/>
      <w:bookmarkEnd w:id="99"/>
      <w:bookmarkEnd w:id="100"/>
      <w:bookmarkEnd w:id="101"/>
      <w:bookmarkEnd w:id="102"/>
    </w:p>
    <w:p w14:paraId="33CF77C1">
      <w:pPr>
        <w:pStyle w:val="26"/>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641F5FC1">
      <w:pPr>
        <w:pStyle w:val="26"/>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6.年初结转和结余：指以前年度尚未完成、结转到本年按有关规定继续使用的资金。</w:t>
      </w:r>
    </w:p>
    <w:p w14:paraId="5AF2E25D">
      <w:pPr>
        <w:pStyle w:val="26"/>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7.结余分配：指事业单位按照事业单位会计制度的规定从非财政补助结余中分配的事业基金和职工福利基金等。</w:t>
      </w:r>
    </w:p>
    <w:p w14:paraId="4A1C662F">
      <w:pPr>
        <w:pStyle w:val="26"/>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8.</w:t>
      </w:r>
      <w:r>
        <w:rPr>
          <w:rFonts w:hint="default" w:ascii="Times New Roman" w:hAnsi="Times New Roman" w:eastAsia="方正仿宋_GBK" w:cs="Times New Roman"/>
          <w:b w:val="0"/>
          <w:bCs w:val="0"/>
          <w:color w:val="auto"/>
          <w:kern w:val="2"/>
          <w:sz w:val="32"/>
          <w:szCs w:val="32"/>
          <w:lang w:val="en-US" w:eastAsia="zh-CN" w:bidi="ar-SA"/>
        </w:rPr>
        <w:t>年末结转和结余：指单位按有关规定结转到下年或以后年度继续使用的资金。</w:t>
      </w:r>
    </w:p>
    <w:p w14:paraId="52A835F8">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9.一般公共服务：指反映政府提供一般公共服务的支出。</w:t>
      </w:r>
    </w:p>
    <w:p w14:paraId="72D02B3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10.外交：指反映政府外交事务支出。</w:t>
      </w:r>
    </w:p>
    <w:p w14:paraId="7E043D73">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11.公共安全：指反映政府维护社会公共安全方面的支出。</w:t>
      </w:r>
    </w:p>
    <w:p w14:paraId="1B4A8D2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12.教育 ：指反映政府教育事务支出。</w:t>
      </w:r>
    </w:p>
    <w:p w14:paraId="1A2A7933">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13.科学技术：指反映科学技术方面的支出。</w:t>
      </w:r>
    </w:p>
    <w:p w14:paraId="0E1B39CB">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14.文化体育与传媒 ：指反映政府在文化、体育、文物、广播影视、新闻出版等方面的支出。</w:t>
      </w:r>
    </w:p>
    <w:p w14:paraId="0644F4F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bookmarkStart w:id="103" w:name="_Toc17395"/>
      <w:bookmarkStart w:id="104" w:name="_Toc29189"/>
      <w:bookmarkStart w:id="105" w:name="_Toc17567"/>
      <w:bookmarkStart w:id="106" w:name="_Toc12383"/>
      <w:bookmarkStart w:id="107" w:name="_Toc13570"/>
      <w:bookmarkStart w:id="108" w:name="_Toc13110"/>
      <w:bookmarkStart w:id="109" w:name="_Toc22841"/>
      <w:bookmarkStart w:id="110" w:name="_Toc26100"/>
      <w:bookmarkStart w:id="111" w:name="_Toc25335"/>
      <w:bookmarkStart w:id="112" w:name="_Toc6534"/>
      <w:r>
        <w:rPr>
          <w:rFonts w:hint="default" w:ascii="Times New Roman" w:hAnsi="Times New Roman" w:eastAsia="方正仿宋_GBK" w:cs="Times New Roman"/>
          <w:b w:val="0"/>
          <w:bCs w:val="0"/>
          <w:color w:val="auto"/>
          <w:kern w:val="2"/>
          <w:sz w:val="32"/>
          <w:szCs w:val="32"/>
          <w:lang w:val="en-US" w:eastAsia="zh-CN" w:bidi="ar-SA"/>
        </w:rPr>
        <w:t>15.社会保障和就业：指反映政府在社会保障与就业方面的支出。</w:t>
      </w:r>
      <w:bookmarkEnd w:id="103"/>
      <w:bookmarkEnd w:id="104"/>
      <w:bookmarkEnd w:id="105"/>
      <w:bookmarkEnd w:id="106"/>
      <w:bookmarkEnd w:id="107"/>
      <w:bookmarkEnd w:id="108"/>
      <w:bookmarkEnd w:id="109"/>
      <w:bookmarkEnd w:id="110"/>
      <w:bookmarkEnd w:id="111"/>
      <w:bookmarkEnd w:id="112"/>
    </w:p>
    <w:p w14:paraId="3AA469D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16.医疗卫生与计划生育：指反映医疗卫生与计划生育、中医等管理事务方面的支出。</w:t>
      </w:r>
    </w:p>
    <w:p w14:paraId="4B415DBF">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17.节能环保：指反映政府节能环保支出。</w:t>
      </w:r>
    </w:p>
    <w:p w14:paraId="63709FC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18.城乡社区：指反映政府城乡管理事务支出。</w:t>
      </w:r>
    </w:p>
    <w:p w14:paraId="53B7FC13">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val="0"/>
          <w:bCs w:val="0"/>
          <w:color w:val="auto"/>
          <w:kern w:val="2"/>
          <w:sz w:val="32"/>
          <w:szCs w:val="32"/>
          <w:lang w:val="en-US" w:eastAsia="zh-CN" w:bidi="ar-SA"/>
        </w:rPr>
        <w:t>19.</w:t>
      </w:r>
      <w:r>
        <w:rPr>
          <w:rFonts w:hint="default" w:ascii="Times New Roman" w:hAnsi="Times New Roman" w:eastAsia="方正仿宋_GBK" w:cs="Times New Roman"/>
          <w:b w:val="0"/>
          <w:bCs w:val="0"/>
          <w:color w:val="auto"/>
          <w:kern w:val="2"/>
          <w:sz w:val="32"/>
          <w:szCs w:val="32"/>
          <w:lang w:val="en-US" w:eastAsia="zh-CN" w:bidi="ar-SA"/>
        </w:rPr>
        <w:t>农林水：指反映政府农林水支出。</w:t>
      </w:r>
    </w:p>
    <w:p w14:paraId="1C3456A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20.交通运输：指反映交通运输和邮政业务相关的支出。</w:t>
      </w:r>
    </w:p>
    <w:p w14:paraId="255BF6D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21.资源勘探信息等：指反映用于资源勘探、制造业、建筑业、工业信息等方面的支出。</w:t>
      </w:r>
    </w:p>
    <w:p w14:paraId="41F104E7">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22.商业服务业：指反映商业服务等方面的支出。</w:t>
      </w:r>
    </w:p>
    <w:p w14:paraId="5C0D9CB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23.金融：指反映金融方面的支出。</w:t>
      </w:r>
    </w:p>
    <w:p w14:paraId="4950A1BF">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24.国土海洋气象：指反映政府用于国土资源、海洋、测绘、地震、气象等公益服务事业方面的支出。</w:t>
      </w:r>
    </w:p>
    <w:p w14:paraId="41950A2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25.住房保障：指集中反映政府用于住房方面的支出。</w:t>
      </w:r>
    </w:p>
    <w:p w14:paraId="7DB5219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26.粮油物资储备：指反映政府用于粮油物资储备方面的支出。</w:t>
      </w:r>
    </w:p>
    <w:p w14:paraId="2438CCE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27.基本支出：指为保障机构正常运转、完成日常工作任务而发生的人员支出和公用支出。</w:t>
      </w:r>
    </w:p>
    <w:p w14:paraId="5F37D73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28.项目支出：指在基本支出之外为完成特定行政任务和事业发展目标所发生的支出。</w:t>
      </w:r>
    </w:p>
    <w:p w14:paraId="6AB7BFF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29.经营支出：指事业单位在专业业务活动及其辅助活动之外开展非独立核算经营活动发生的支出。</w:t>
      </w:r>
    </w:p>
    <w:p w14:paraId="626AB00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93BC463">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 w:val="0"/>
          <w:bCs w:val="0"/>
          <w:color w:val="auto"/>
          <w:kern w:val="2"/>
          <w:sz w:val="32"/>
          <w:szCs w:val="32"/>
          <w:lang w:val="en-US" w:eastAsia="zh-CN" w:bidi="ar-SA"/>
        </w:rPr>
      </w:pPr>
      <w:r>
        <w:rPr>
          <w:rFonts w:hint="default" w:ascii="Times New Roman" w:hAnsi="Times New Roman" w:eastAsia="方正仿宋_GBK" w:cs="Times New Roman"/>
          <w:b w:val="0"/>
          <w:bCs w:val="0"/>
          <w:color w:val="auto"/>
          <w:kern w:val="2"/>
          <w:sz w:val="32"/>
          <w:szCs w:val="32"/>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D1558C1">
      <w:pPr>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color w:val="auto"/>
          <w:kern w:val="2"/>
          <w:sz w:val="32"/>
          <w:szCs w:val="32"/>
          <w:lang w:val="en-US" w:eastAsia="zh-CN" w:bidi="ar-SA"/>
        </w:rPr>
      </w:pPr>
      <w:r>
        <w:rPr>
          <w:rFonts w:hint="eastAsia" w:ascii="Times New Roman" w:hAnsi="Times New Roman" w:eastAsia="方正仿宋_GBK" w:cs="Times New Roman"/>
          <w:b/>
          <w:bCs/>
          <w:color w:val="auto"/>
          <w:kern w:val="2"/>
          <w:sz w:val="32"/>
          <w:szCs w:val="32"/>
          <w:lang w:val="en-US" w:eastAsia="zh-CN" w:bidi="ar-SA"/>
        </w:rPr>
        <w:t>（名词解释部分请根据各单位实际列支情况罗列，并根据本单位职责职能增减名词解释内容。）</w:t>
      </w:r>
    </w:p>
    <w:p w14:paraId="1481A7B3">
      <w:pPr>
        <w:rPr>
          <w:rFonts w:hint="eastAsia" w:ascii="Times New Roman" w:hAnsi="Times New Roman" w:eastAsia="方正仿宋_GBK" w:cs="Times New Roman"/>
          <w:b w:val="0"/>
          <w:bCs w:val="0"/>
          <w:color w:val="auto"/>
          <w:kern w:val="2"/>
          <w:sz w:val="32"/>
          <w:szCs w:val="32"/>
          <w:lang w:val="zh-CN" w:eastAsia="zh-CN" w:bidi="ar-SA"/>
        </w:rPr>
      </w:pPr>
      <w:r>
        <w:rPr>
          <w:rFonts w:hint="eastAsia" w:ascii="Times New Roman" w:hAnsi="Times New Roman" w:eastAsia="方正仿宋_GBK" w:cs="Times New Roman"/>
          <w:b w:val="0"/>
          <w:bCs w:val="0"/>
          <w:color w:val="auto"/>
          <w:kern w:val="2"/>
          <w:sz w:val="32"/>
          <w:szCs w:val="32"/>
          <w:lang w:val="en-US" w:eastAsia="zh-CN" w:bidi="ar-SA"/>
        </w:rPr>
        <w:br w:type="page"/>
      </w:r>
    </w:p>
    <w:p w14:paraId="1664E0F8">
      <w:pPr>
        <w:pStyle w:val="2"/>
        <w:bidi w:val="0"/>
        <w:jc w:val="center"/>
        <w:rPr>
          <w:rFonts w:hint="eastAsia" w:ascii="黑体" w:hAnsi="黑体" w:eastAsia="黑体" w:cs="黑体"/>
          <w:b w:val="0"/>
          <w:bCs w:val="0"/>
          <w:lang w:val="en-US" w:eastAsia="zh-CN"/>
        </w:rPr>
      </w:pPr>
      <w:bookmarkStart w:id="113" w:name="_Toc15396618"/>
      <w:bookmarkStart w:id="114" w:name="_Toc30743"/>
      <w:r>
        <w:rPr>
          <w:rFonts w:hint="eastAsia" w:ascii="黑体" w:hAnsi="黑体" w:eastAsia="黑体" w:cs="黑体"/>
          <w:b w:val="0"/>
          <w:bCs w:val="0"/>
          <w:lang w:val="en-US" w:eastAsia="zh-CN"/>
        </w:rPr>
        <w:t>第四部分 附表</w:t>
      </w:r>
      <w:bookmarkEnd w:id="91"/>
      <w:bookmarkEnd w:id="113"/>
      <w:bookmarkEnd w:id="114"/>
      <w:bookmarkStart w:id="115" w:name="_Toc15396619"/>
    </w:p>
    <w:p w14:paraId="2E2570B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A319F2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29"/>
          <w:rFonts w:hint="eastAsia" w:ascii="Times New Roman" w:hAnsi="Times New Roman" w:eastAsia="黑体"/>
          <w:b w:val="0"/>
          <w:color w:val="auto"/>
          <w:highlight w:val="none"/>
          <w:lang w:val="en-US" w:eastAsia="zh-CN" w:bidi="ar-SA"/>
        </w:rPr>
      </w:pPr>
      <w:bookmarkStart w:id="116" w:name="_Toc13016"/>
      <w:r>
        <w:rPr>
          <w:rStyle w:val="29"/>
          <w:rFonts w:hint="eastAsia" w:ascii="Times New Roman" w:hAnsi="Times New Roman" w:eastAsia="黑体"/>
          <w:b w:val="0"/>
          <w:color w:val="auto"/>
          <w:highlight w:val="none"/>
          <w:lang w:val="en-US" w:eastAsia="zh-CN" w:bidi="ar-SA"/>
        </w:rPr>
        <w:t>一、收入支出决算总表</w:t>
      </w:r>
      <w:bookmarkEnd w:id="115"/>
    </w:p>
    <w:bookmarkEnd w:id="116"/>
    <w:p w14:paraId="2E31D05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29"/>
          <w:rFonts w:hint="eastAsia" w:ascii="Times New Roman" w:hAnsi="Times New Roman" w:eastAsia="黑体"/>
          <w:b w:val="0"/>
          <w:color w:val="auto"/>
          <w:highlight w:val="none"/>
          <w:lang w:val="en-US" w:eastAsia="zh-CN" w:bidi="ar-SA"/>
        </w:rPr>
      </w:pPr>
      <w:bookmarkStart w:id="117" w:name="_Toc15396620"/>
      <w:bookmarkStart w:id="118" w:name="_Toc1415"/>
      <w:r>
        <w:rPr>
          <w:rStyle w:val="29"/>
          <w:rFonts w:hint="eastAsia" w:ascii="Times New Roman" w:hAnsi="Times New Roman" w:eastAsia="黑体"/>
          <w:b w:val="0"/>
          <w:color w:val="auto"/>
          <w:highlight w:val="none"/>
          <w:lang w:val="en-US" w:eastAsia="zh-CN" w:bidi="ar-SA"/>
        </w:rPr>
        <w:t>二、收入决算表</w:t>
      </w:r>
      <w:bookmarkEnd w:id="117"/>
    </w:p>
    <w:bookmarkEnd w:id="118"/>
    <w:p w14:paraId="1229400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29"/>
          <w:rFonts w:hint="eastAsia" w:ascii="Times New Roman" w:hAnsi="Times New Roman" w:eastAsia="黑体"/>
          <w:b w:val="0"/>
          <w:color w:val="auto"/>
          <w:highlight w:val="none"/>
          <w:lang w:val="en-US" w:eastAsia="zh-CN" w:bidi="ar-SA"/>
        </w:rPr>
      </w:pPr>
      <w:bookmarkStart w:id="119" w:name="_Toc15396621"/>
      <w:bookmarkStart w:id="120" w:name="_Toc11605"/>
      <w:r>
        <w:rPr>
          <w:rStyle w:val="29"/>
          <w:rFonts w:hint="eastAsia" w:ascii="Times New Roman" w:hAnsi="Times New Roman" w:eastAsia="黑体"/>
          <w:b w:val="0"/>
          <w:color w:val="auto"/>
          <w:highlight w:val="none"/>
          <w:lang w:val="en-US" w:eastAsia="zh-CN" w:bidi="ar-SA"/>
        </w:rPr>
        <w:t>三、支出决算表</w:t>
      </w:r>
      <w:bookmarkEnd w:id="119"/>
    </w:p>
    <w:bookmarkEnd w:id="120"/>
    <w:p w14:paraId="46A7AF4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29"/>
          <w:rFonts w:hint="eastAsia" w:ascii="Times New Roman" w:hAnsi="Times New Roman" w:eastAsia="黑体"/>
          <w:b w:val="0"/>
          <w:color w:val="auto"/>
          <w:highlight w:val="none"/>
          <w:lang w:val="en-US" w:eastAsia="zh-CN" w:bidi="ar-SA"/>
        </w:rPr>
      </w:pPr>
      <w:bookmarkStart w:id="121" w:name="_Toc15396622"/>
      <w:bookmarkStart w:id="122" w:name="_Toc7249"/>
      <w:r>
        <w:rPr>
          <w:rStyle w:val="29"/>
          <w:rFonts w:hint="eastAsia" w:ascii="Times New Roman" w:hAnsi="Times New Roman" w:eastAsia="黑体"/>
          <w:b w:val="0"/>
          <w:color w:val="auto"/>
          <w:highlight w:val="none"/>
          <w:lang w:val="en-US" w:eastAsia="zh-CN" w:bidi="ar-SA"/>
        </w:rPr>
        <w:t>四、财政拨款收入支出决算总表</w:t>
      </w:r>
      <w:bookmarkEnd w:id="121"/>
    </w:p>
    <w:bookmarkEnd w:id="122"/>
    <w:p w14:paraId="4B00B6E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29"/>
          <w:rFonts w:hint="eastAsia" w:ascii="Times New Roman" w:hAnsi="Times New Roman" w:eastAsia="黑体"/>
          <w:b w:val="0"/>
          <w:color w:val="auto"/>
          <w:highlight w:val="none"/>
          <w:lang w:val="en-US" w:eastAsia="zh-CN" w:bidi="ar-SA"/>
        </w:rPr>
      </w:pPr>
      <w:bookmarkStart w:id="123" w:name="_Toc15396623"/>
      <w:bookmarkStart w:id="124" w:name="_Toc2651"/>
      <w:r>
        <w:rPr>
          <w:rStyle w:val="29"/>
          <w:rFonts w:hint="eastAsia" w:ascii="Times New Roman" w:hAnsi="Times New Roman" w:eastAsia="黑体"/>
          <w:b w:val="0"/>
          <w:color w:val="auto"/>
          <w:highlight w:val="none"/>
          <w:lang w:val="en-US" w:eastAsia="zh-CN" w:bidi="ar-SA"/>
        </w:rPr>
        <w:t>五、财政拨款支出决算明细表</w:t>
      </w:r>
      <w:bookmarkEnd w:id="123"/>
      <w:bookmarkStart w:id="125" w:name="_Toc15396624"/>
    </w:p>
    <w:bookmarkEnd w:id="124"/>
    <w:p w14:paraId="6346386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29"/>
          <w:rFonts w:hint="eastAsia" w:ascii="Times New Roman" w:hAnsi="Times New Roman" w:eastAsia="黑体"/>
          <w:b w:val="0"/>
          <w:color w:val="auto"/>
          <w:highlight w:val="none"/>
          <w:lang w:val="en-US" w:eastAsia="zh-CN" w:bidi="ar-SA"/>
        </w:rPr>
      </w:pPr>
      <w:bookmarkStart w:id="126" w:name="_Toc1200"/>
      <w:r>
        <w:rPr>
          <w:rStyle w:val="29"/>
          <w:rFonts w:hint="eastAsia" w:ascii="Times New Roman" w:hAnsi="Times New Roman" w:eastAsia="黑体"/>
          <w:b w:val="0"/>
          <w:color w:val="auto"/>
          <w:highlight w:val="none"/>
          <w:lang w:val="en-US" w:eastAsia="zh-CN" w:bidi="ar-SA"/>
        </w:rPr>
        <w:t>六、一般公共预算财政拨款支出决算表</w:t>
      </w:r>
      <w:bookmarkEnd w:id="125"/>
    </w:p>
    <w:bookmarkEnd w:id="126"/>
    <w:p w14:paraId="2018B29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29"/>
          <w:rFonts w:hint="eastAsia" w:ascii="Times New Roman" w:hAnsi="Times New Roman" w:eastAsia="黑体"/>
          <w:b w:val="0"/>
          <w:color w:val="auto"/>
          <w:highlight w:val="none"/>
          <w:lang w:val="en-US" w:eastAsia="zh-CN" w:bidi="ar-SA"/>
        </w:rPr>
      </w:pPr>
      <w:bookmarkStart w:id="127" w:name="_Toc15396625"/>
      <w:bookmarkStart w:id="128" w:name="_Toc10244"/>
      <w:r>
        <w:rPr>
          <w:rStyle w:val="29"/>
          <w:rFonts w:hint="eastAsia" w:ascii="Times New Roman" w:hAnsi="Times New Roman" w:eastAsia="黑体"/>
          <w:b w:val="0"/>
          <w:color w:val="auto"/>
          <w:highlight w:val="none"/>
          <w:lang w:val="en-US" w:eastAsia="zh-CN" w:bidi="ar-SA"/>
        </w:rPr>
        <w:t>七、一般公共预算财政拨款支出决算明细表</w:t>
      </w:r>
      <w:bookmarkEnd w:id="127"/>
    </w:p>
    <w:bookmarkEnd w:id="128"/>
    <w:p w14:paraId="0D4CC75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29"/>
          <w:rFonts w:hint="eastAsia" w:ascii="Times New Roman" w:hAnsi="Times New Roman" w:eastAsia="黑体"/>
          <w:b w:val="0"/>
          <w:color w:val="auto"/>
          <w:highlight w:val="none"/>
          <w:lang w:val="en-US" w:eastAsia="zh-CN" w:bidi="ar-SA"/>
        </w:rPr>
      </w:pPr>
      <w:bookmarkStart w:id="129" w:name="_Toc15396626"/>
      <w:bookmarkStart w:id="130" w:name="_Toc10238"/>
      <w:r>
        <w:rPr>
          <w:rStyle w:val="29"/>
          <w:rFonts w:hint="eastAsia" w:ascii="Times New Roman" w:hAnsi="Times New Roman" w:eastAsia="黑体"/>
          <w:b w:val="0"/>
          <w:color w:val="auto"/>
          <w:highlight w:val="none"/>
          <w:lang w:val="en-US" w:eastAsia="zh-CN" w:bidi="ar-SA"/>
        </w:rPr>
        <w:t>八、一般公共预算财政拨款基本支出决算表</w:t>
      </w:r>
      <w:bookmarkEnd w:id="129"/>
    </w:p>
    <w:bookmarkEnd w:id="130"/>
    <w:p w14:paraId="2E07EC3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29"/>
          <w:rFonts w:hint="eastAsia" w:ascii="Times New Roman" w:hAnsi="Times New Roman" w:eastAsia="黑体"/>
          <w:b w:val="0"/>
          <w:color w:val="auto"/>
          <w:highlight w:val="none"/>
          <w:lang w:val="en-US" w:eastAsia="zh-CN" w:bidi="ar-SA"/>
        </w:rPr>
      </w:pPr>
      <w:bookmarkStart w:id="131" w:name="_Toc15396627"/>
      <w:bookmarkStart w:id="132" w:name="_Toc18273"/>
      <w:r>
        <w:rPr>
          <w:rStyle w:val="29"/>
          <w:rFonts w:hint="eastAsia" w:ascii="Times New Roman" w:hAnsi="Times New Roman" w:eastAsia="黑体"/>
          <w:b w:val="0"/>
          <w:color w:val="auto"/>
          <w:highlight w:val="none"/>
          <w:lang w:val="en-US" w:eastAsia="zh-CN" w:bidi="ar-SA"/>
        </w:rPr>
        <w:t>九、一般公共预算财政拨款项目支出决算表</w:t>
      </w:r>
      <w:bookmarkEnd w:id="131"/>
    </w:p>
    <w:bookmarkEnd w:id="132"/>
    <w:p w14:paraId="5137F28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29"/>
          <w:rFonts w:hint="eastAsia" w:ascii="Times New Roman" w:hAnsi="Times New Roman" w:eastAsia="黑体"/>
          <w:b w:val="0"/>
          <w:color w:val="auto"/>
          <w:highlight w:val="none"/>
          <w:lang w:val="en-US" w:eastAsia="zh-CN" w:bidi="ar-SA"/>
        </w:rPr>
      </w:pPr>
      <w:bookmarkStart w:id="133" w:name="_Toc15396628"/>
      <w:bookmarkStart w:id="134" w:name="_Toc13242"/>
      <w:r>
        <w:rPr>
          <w:rStyle w:val="29"/>
          <w:rFonts w:hint="eastAsia" w:ascii="Times New Roman" w:hAnsi="Times New Roman" w:eastAsia="黑体"/>
          <w:b w:val="0"/>
          <w:color w:val="auto"/>
          <w:highlight w:val="none"/>
          <w:lang w:val="en-US" w:eastAsia="zh-CN" w:bidi="ar-SA"/>
        </w:rPr>
        <w:t>十、</w:t>
      </w:r>
      <w:bookmarkEnd w:id="133"/>
      <w:r>
        <w:rPr>
          <w:rStyle w:val="29"/>
          <w:rFonts w:hint="eastAsia" w:ascii="Times New Roman" w:hAnsi="Times New Roman" w:eastAsia="黑体"/>
          <w:b w:val="0"/>
          <w:color w:val="auto"/>
          <w:highlight w:val="none"/>
          <w:lang w:val="en-US" w:eastAsia="zh-CN" w:bidi="ar-SA"/>
        </w:rPr>
        <w:t>政府性基金预算财政拨款收入支出决算表</w:t>
      </w:r>
    </w:p>
    <w:bookmarkEnd w:id="134"/>
    <w:p w14:paraId="2C559A5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29"/>
          <w:rFonts w:hint="eastAsia" w:ascii="Times New Roman" w:hAnsi="Times New Roman" w:eastAsia="黑体"/>
          <w:b w:val="0"/>
          <w:color w:val="auto"/>
          <w:highlight w:val="none"/>
          <w:lang w:val="en-US" w:eastAsia="zh-CN" w:bidi="ar-SA"/>
        </w:rPr>
      </w:pPr>
      <w:bookmarkStart w:id="135" w:name="_Toc15396629"/>
      <w:bookmarkStart w:id="136" w:name="_Toc21977"/>
      <w:r>
        <w:rPr>
          <w:rStyle w:val="29"/>
          <w:rFonts w:hint="eastAsia" w:ascii="Times New Roman" w:hAnsi="Times New Roman" w:eastAsia="黑体"/>
          <w:b w:val="0"/>
          <w:color w:val="auto"/>
          <w:highlight w:val="none"/>
          <w:lang w:val="en-US" w:eastAsia="zh-CN" w:bidi="ar-SA"/>
        </w:rPr>
        <w:t>十一、</w:t>
      </w:r>
      <w:bookmarkEnd w:id="135"/>
      <w:r>
        <w:rPr>
          <w:rStyle w:val="29"/>
          <w:rFonts w:hint="eastAsia" w:ascii="Times New Roman" w:hAnsi="Times New Roman" w:eastAsia="黑体"/>
          <w:b w:val="0"/>
          <w:color w:val="auto"/>
          <w:highlight w:val="none"/>
          <w:lang w:val="en-US" w:eastAsia="zh-CN" w:bidi="ar-SA"/>
        </w:rPr>
        <w:t>国有资本经营预算财政拨款收入支出决算表</w:t>
      </w:r>
    </w:p>
    <w:bookmarkEnd w:id="136"/>
    <w:p w14:paraId="5799983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29"/>
          <w:rFonts w:hint="eastAsia" w:ascii="Times New Roman" w:hAnsi="Times New Roman" w:eastAsia="黑体"/>
          <w:b w:val="0"/>
          <w:color w:val="auto"/>
          <w:highlight w:val="none"/>
          <w:lang w:val="en-US" w:eastAsia="zh-CN" w:bidi="ar-SA"/>
        </w:rPr>
      </w:pPr>
      <w:bookmarkStart w:id="137" w:name="_Toc15396630"/>
      <w:bookmarkStart w:id="138" w:name="_Toc9708"/>
      <w:r>
        <w:rPr>
          <w:rStyle w:val="29"/>
          <w:rFonts w:hint="eastAsia" w:ascii="Times New Roman" w:hAnsi="Times New Roman" w:eastAsia="黑体"/>
          <w:b w:val="0"/>
          <w:color w:val="auto"/>
          <w:highlight w:val="none"/>
          <w:lang w:val="en-US" w:eastAsia="zh-CN" w:bidi="ar-SA"/>
        </w:rPr>
        <w:t>十二、</w:t>
      </w:r>
      <w:bookmarkEnd w:id="137"/>
      <w:r>
        <w:rPr>
          <w:rStyle w:val="29"/>
          <w:rFonts w:hint="eastAsia" w:ascii="Times New Roman" w:hAnsi="Times New Roman" w:eastAsia="黑体"/>
          <w:b w:val="0"/>
          <w:color w:val="auto"/>
          <w:highlight w:val="none"/>
          <w:lang w:val="en-US" w:eastAsia="zh-CN" w:bidi="ar-SA"/>
        </w:rPr>
        <w:t>国有资本经营预算财政拨款支出决算表</w:t>
      </w:r>
    </w:p>
    <w:bookmarkEnd w:id="138"/>
    <w:p w14:paraId="535325B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Style w:val="29"/>
          <w:rFonts w:hint="eastAsia" w:ascii="Times New Roman" w:hAnsi="Times New Roman" w:eastAsia="黑体"/>
          <w:b w:val="0"/>
          <w:color w:val="auto"/>
          <w:highlight w:val="none"/>
          <w:lang w:val="en-US" w:eastAsia="zh-CN" w:bidi="ar-SA"/>
        </w:rPr>
      </w:pPr>
      <w:bookmarkStart w:id="139" w:name="_Toc15396631"/>
      <w:bookmarkStart w:id="140" w:name="_Toc3727"/>
      <w:r>
        <w:rPr>
          <w:rStyle w:val="29"/>
          <w:rFonts w:hint="eastAsia" w:ascii="Times New Roman" w:hAnsi="Times New Roman" w:eastAsia="黑体"/>
          <w:b w:val="0"/>
          <w:color w:val="auto"/>
          <w:highlight w:val="none"/>
          <w:lang w:val="en-US" w:eastAsia="zh-CN" w:bidi="ar-SA"/>
        </w:rPr>
        <w:t>十三、</w:t>
      </w:r>
      <w:bookmarkEnd w:id="139"/>
      <w:r>
        <w:rPr>
          <w:rStyle w:val="29"/>
          <w:rFonts w:hint="eastAsia" w:ascii="Times New Roman" w:hAnsi="Times New Roman" w:eastAsia="黑体"/>
          <w:b w:val="0"/>
          <w:color w:val="auto"/>
          <w:highlight w:val="none"/>
          <w:lang w:val="en-US" w:eastAsia="zh-CN" w:bidi="ar-SA"/>
        </w:rPr>
        <w:t>财政拨款“三公”经费支出决算表</w:t>
      </w:r>
    </w:p>
    <w:bookmarkEnd w:id="140"/>
    <w:p w14:paraId="5BC18566">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9BBE0">
    <w:pPr>
      <w:pStyle w:val="10"/>
      <w:jc w:val="center"/>
    </w:pPr>
  </w:p>
  <w:p w14:paraId="60B2958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9C680">
    <w:pPr>
      <w:pStyle w:val="10"/>
      <w:tabs>
        <w:tab w:val="center" w:pos="4213"/>
      </w:tabs>
      <w:jc w:val="left"/>
    </w:pPr>
    <w:r>
      <w:rPr>
        <w:rFonts w:hint="eastAsia"/>
        <w:lang w:eastAsia="zh-CN"/>
      </w:rPr>
      <w:tab/>
    </w:r>
    <w:r>
      <w:rPr>
        <w:rFonts w:hint="eastAsia"/>
        <w:lang w:eastAsia="zh-CN"/>
      </w:rPr>
      <w:tab/>
    </w:r>
  </w:p>
  <w:p w14:paraId="5485AEB0">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426BF">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85396A">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B85396A">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28173">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C217B">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60C217B">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txbxContent>
              </v:textbox>
            </v:shape>
          </w:pict>
        </mc:Fallback>
      </mc:AlternateContent>
    </w:r>
  </w:p>
  <w:p w14:paraId="16D382C1">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04B65">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4D4677"/>
    <w:rsid w:val="015975B8"/>
    <w:rsid w:val="01A23516"/>
    <w:rsid w:val="02317B1B"/>
    <w:rsid w:val="02FEBE30"/>
    <w:rsid w:val="061E35DE"/>
    <w:rsid w:val="066E0107"/>
    <w:rsid w:val="07996F6E"/>
    <w:rsid w:val="07DFD8BA"/>
    <w:rsid w:val="08DB07E4"/>
    <w:rsid w:val="09867E8F"/>
    <w:rsid w:val="0A2032A3"/>
    <w:rsid w:val="0B35710B"/>
    <w:rsid w:val="0C6C4794"/>
    <w:rsid w:val="0CA8290A"/>
    <w:rsid w:val="0D35B1ED"/>
    <w:rsid w:val="0D9F2DEB"/>
    <w:rsid w:val="0DE07E2B"/>
    <w:rsid w:val="0F98263C"/>
    <w:rsid w:val="101860EC"/>
    <w:rsid w:val="10C055FF"/>
    <w:rsid w:val="11772AA4"/>
    <w:rsid w:val="118107EC"/>
    <w:rsid w:val="11CB07A5"/>
    <w:rsid w:val="13957196"/>
    <w:rsid w:val="13D50BC4"/>
    <w:rsid w:val="14022904"/>
    <w:rsid w:val="152F2A07"/>
    <w:rsid w:val="165E0673"/>
    <w:rsid w:val="16BB723D"/>
    <w:rsid w:val="16F13FCB"/>
    <w:rsid w:val="178C784F"/>
    <w:rsid w:val="186504BB"/>
    <w:rsid w:val="1938089F"/>
    <w:rsid w:val="19A445FC"/>
    <w:rsid w:val="1B7D550C"/>
    <w:rsid w:val="1BE8440E"/>
    <w:rsid w:val="1CBD24EA"/>
    <w:rsid w:val="1D155CEE"/>
    <w:rsid w:val="1DE178F3"/>
    <w:rsid w:val="1E740ACF"/>
    <w:rsid w:val="1E9D4F50"/>
    <w:rsid w:val="1FF35744"/>
    <w:rsid w:val="1FF6BC77"/>
    <w:rsid w:val="21962A9E"/>
    <w:rsid w:val="21AE7C77"/>
    <w:rsid w:val="22BC3C41"/>
    <w:rsid w:val="23860B96"/>
    <w:rsid w:val="240371BF"/>
    <w:rsid w:val="260F557C"/>
    <w:rsid w:val="27877603"/>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095B0B"/>
    <w:rsid w:val="453F7E5B"/>
    <w:rsid w:val="46104DE7"/>
    <w:rsid w:val="486A6C7A"/>
    <w:rsid w:val="49176D9B"/>
    <w:rsid w:val="494006BD"/>
    <w:rsid w:val="4A627F82"/>
    <w:rsid w:val="4B0E749A"/>
    <w:rsid w:val="4B4F25DA"/>
    <w:rsid w:val="4B6864E1"/>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6971B6"/>
    <w:rsid w:val="6C8742B8"/>
    <w:rsid w:val="6C8A170F"/>
    <w:rsid w:val="6CB54609"/>
    <w:rsid w:val="6DBF5E93"/>
    <w:rsid w:val="6DFF077E"/>
    <w:rsid w:val="6E7E3605"/>
    <w:rsid w:val="6E7FDCC7"/>
    <w:rsid w:val="6ED6A62E"/>
    <w:rsid w:val="6EE00B15"/>
    <w:rsid w:val="6F544B20"/>
    <w:rsid w:val="6F5F7441"/>
    <w:rsid w:val="6F6FB3EB"/>
    <w:rsid w:val="6F784160"/>
    <w:rsid w:val="6F8731EA"/>
    <w:rsid w:val="6FCE6052"/>
    <w:rsid w:val="6FD57C00"/>
    <w:rsid w:val="6FEFFFD8"/>
    <w:rsid w:val="6FF5CC65"/>
    <w:rsid w:val="6FFB47EC"/>
    <w:rsid w:val="6FFF034A"/>
    <w:rsid w:val="70496804"/>
    <w:rsid w:val="712A28F1"/>
    <w:rsid w:val="715C0E4B"/>
    <w:rsid w:val="71D3E9D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7DB05E1"/>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bc7869-d4c2-449d-8522-7c2fba326c72}">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5280</Words>
  <Characters>5704</Characters>
  <Lines>61</Lines>
  <Paragraphs>17</Paragraphs>
  <TotalTime>7</TotalTime>
  <ScaleCrop>false</ScaleCrop>
  <LinksUpToDate>false</LinksUpToDate>
  <CharactersWithSpaces>5752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suma</cp:lastModifiedBy>
  <cp:lastPrinted>2026-10-19T15:56:41Z</cp:lastPrinted>
  <dcterms:modified xsi:type="dcterms:W3CDTF">2026-10-19T15:56:44Z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400D301575C74348A5277D00A7902E06</vt:lpwstr>
  </property>
  <property fmtid="{D5CDD505-2E9C-101B-9397-08002B2CF9AE}" pid="4" name="KSOTemplateDocerSaveRecord">
    <vt:lpwstr>eyJoZGlkIjoiOWE1ZmMwODRmNGU1YzNkNTlmMmJmYjRhNmFjZDYwNDMiLCJ1c2VySWQiOiI0MjY2ODMzOTIifQ==</vt:lpwstr>
  </property>
</Properties>
</file>