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85652">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425"/>
      <w:bookmarkStart w:id="2" w:name="_Toc15396597"/>
      <w:bookmarkStart w:id="3" w:name="_Toc15396475"/>
      <w:bookmarkStart w:id="4" w:name="_Toc15377193"/>
      <w:bookmarkStart w:id="5" w:name="_Toc15306267"/>
    </w:p>
    <w:p w14:paraId="65161AD2">
      <w:pPr>
        <w:pStyle w:val="5"/>
        <w:rPr>
          <w:rFonts w:hint="eastAsia" w:ascii="Times New Roman" w:hAnsi="Times New Roman" w:eastAsia="方正小标宋简体" w:cs="Times New Roman"/>
          <w:color w:val="auto"/>
          <w:kern w:val="2"/>
          <w:sz w:val="72"/>
          <w:szCs w:val="72"/>
          <w:highlight w:val="none"/>
          <w:lang w:val="en-US" w:eastAsia="zh-CN" w:bidi="ar-SA"/>
        </w:rPr>
      </w:pPr>
    </w:p>
    <w:p w14:paraId="17EB3E5E">
      <w:pPr>
        <w:pStyle w:val="5"/>
        <w:rPr>
          <w:rFonts w:hint="eastAsia" w:ascii="Times New Roman" w:hAnsi="Times New Roman" w:eastAsia="方正小标宋简体" w:cs="Times New Roman"/>
          <w:color w:val="auto"/>
          <w:kern w:val="2"/>
          <w:sz w:val="72"/>
          <w:szCs w:val="72"/>
          <w:highlight w:val="none"/>
          <w:lang w:val="en-US" w:eastAsia="zh-CN" w:bidi="ar-SA"/>
        </w:rPr>
      </w:pPr>
    </w:p>
    <w:p w14:paraId="331991DA">
      <w:pPr>
        <w:pStyle w:val="5"/>
        <w:rPr>
          <w:rFonts w:hint="eastAsia" w:ascii="Times New Roman" w:hAnsi="Times New Roman" w:eastAsia="方正小标宋简体" w:cs="Times New Roman"/>
          <w:color w:val="auto"/>
          <w:kern w:val="2"/>
          <w:sz w:val="72"/>
          <w:szCs w:val="72"/>
          <w:highlight w:val="none"/>
          <w:lang w:val="en-US" w:eastAsia="zh-CN" w:bidi="ar-SA"/>
        </w:rPr>
      </w:pPr>
    </w:p>
    <w:p w14:paraId="13D0CE65">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阿坝州壤塘县</w:t>
      </w:r>
    </w:p>
    <w:p w14:paraId="6E256C93">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202</w:t>
      </w:r>
      <w:r>
        <w:rPr>
          <w:rFonts w:hint="eastAsia" w:ascii="Times New Roman" w:eastAsia="方正小标宋_GBK" w:cs="Times New Roman"/>
          <w:b w:val="0"/>
          <w:bCs/>
          <w:color w:val="auto"/>
          <w:kern w:val="2"/>
          <w:sz w:val="44"/>
          <w:szCs w:val="44"/>
          <w:shd w:val="clear" w:color="auto" w:fill="FFFFFF"/>
          <w:lang w:val="en-US" w:eastAsia="zh-CN" w:bidi="ar-SA"/>
        </w:rPr>
        <w:t>5</w:t>
      </w:r>
      <w:bookmarkStart w:id="156" w:name="_GoBack"/>
      <w:bookmarkEnd w:id="156"/>
      <w:r>
        <w:rPr>
          <w:rFonts w:hint="eastAsia" w:ascii="Times New Roman" w:hAnsi="Times New Roman" w:eastAsia="方正小标宋_GBK" w:cs="Times New Roman"/>
          <w:b w:val="0"/>
          <w:bCs/>
          <w:color w:val="auto"/>
          <w:kern w:val="2"/>
          <w:sz w:val="44"/>
          <w:szCs w:val="44"/>
          <w:shd w:val="clear" w:color="auto" w:fill="FFFFFF"/>
          <w:lang w:val="en-US" w:eastAsia="zh-CN" w:bidi="ar-SA"/>
        </w:rPr>
        <w:t>年度中共壤塘县委巡察工作服务中心</w:t>
      </w:r>
    </w:p>
    <w:p w14:paraId="5F937D6C">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单位部门决算公开</w:t>
      </w:r>
    </w:p>
    <w:p w14:paraId="543CC533">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（单位公开）</w:t>
      </w:r>
    </w:p>
    <w:p w14:paraId="1A79D75F">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62C1E0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Times New Roman"/>
          <w:color w:val="auto"/>
          <w:sz w:val="28"/>
          <w:szCs w:val="28"/>
          <w:highlight w:val="none"/>
        </w:rPr>
      </w:pPr>
      <w:r>
        <w:rPr>
          <w:rFonts w:hint="eastAsia" w:ascii="黑体" w:hAnsi="黑体" w:eastAsia="黑体"/>
          <w:color w:val="auto"/>
          <w:sz w:val="48"/>
          <w:szCs w:val="48"/>
          <w:highlight w:val="none"/>
        </w:rPr>
        <w:t>目录</w:t>
      </w:r>
    </w:p>
    <w:p w14:paraId="52C29207">
      <w:pPr>
        <w:pStyle w:val="12"/>
        <w:keepNext w:val="0"/>
        <w:keepLines w:val="0"/>
        <w:pageBreakBefore w:val="0"/>
        <w:widowControl w:val="0"/>
        <w:kinsoku/>
        <w:wordWrap/>
        <w:overflowPunct/>
        <w:topLinePunct w:val="0"/>
        <w:autoSpaceDE/>
        <w:autoSpaceDN/>
        <w:bidi w:val="0"/>
        <w:adjustRightInd/>
        <w:snapToGrid/>
        <w:spacing w:line="320" w:lineRule="exact"/>
        <w:textAlignment w:val="auto"/>
        <w:rPr>
          <w:rFonts w:ascii="仿宋" w:hAnsi="仿宋" w:eastAsia="仿宋"/>
          <w:color w:val="auto"/>
          <w:sz w:val="24"/>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19</w:t>
      </w:r>
      <w:r>
        <w:rPr>
          <w:rFonts w:hint="eastAsia"/>
          <w:color w:val="auto"/>
          <w:highlight w:val="none"/>
        </w:rPr>
        <w:t>日</w:t>
      </w:r>
    </w:p>
    <w:sdt>
      <w:sdtPr>
        <w:rPr>
          <w:rFonts w:ascii="宋体" w:hAnsi="宋体" w:eastAsia="宋体" w:cs="Times New Roman"/>
          <w:kern w:val="2"/>
          <w:sz w:val="21"/>
          <w:szCs w:val="24"/>
          <w:lang w:val="en-US" w:eastAsia="zh-CN" w:bidi="ar-SA"/>
        </w:rPr>
        <w:id w:val="147471302"/>
        <w15:color w:val="DBDBDB"/>
        <w:docPartObj>
          <w:docPartGallery w:val="Table of Contents"/>
          <w:docPartUnique/>
        </w:docPartObj>
      </w:sdtPr>
      <w:sdtEndPr>
        <w:rPr>
          <w:rFonts w:hint="eastAsia" w:ascii="黑体" w:hAnsi="黑体" w:eastAsia="黑体" w:cs="黑体"/>
          <w:b/>
          <w:bCs/>
          <w:color w:val="auto"/>
          <w:kern w:val="44"/>
          <w:sz w:val="44"/>
          <w:szCs w:val="44"/>
          <w:highlight w:val="none"/>
          <w:lang w:val="en-US" w:eastAsia="zh-CN" w:bidi="ar-SA"/>
        </w:rPr>
      </w:sdtEndPr>
      <w:sdtContent>
        <w:p w14:paraId="42AC0828">
          <w:pPr>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pPr>
        </w:p>
        <w:p w14:paraId="7CCC56D8">
          <w:pPr>
            <w:pStyle w:val="12"/>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b w:val="0"/>
              <w:color w:val="auto"/>
              <w:highlight w:val="none"/>
            </w:rPr>
            <w:fldChar w:fldCharType="begin"/>
          </w:r>
          <w:r>
            <w:rPr>
              <w:rFonts w:hint="eastAsia" w:ascii="黑体" w:hAnsi="黑体" w:eastAsia="黑体" w:cs="黑体"/>
              <w:b w:val="0"/>
              <w:color w:val="auto"/>
              <w:highlight w:val="none"/>
            </w:rPr>
            <w:instrText xml:space="preserve">TOC \o "1-2" \h \u </w:instrText>
          </w:r>
          <w:r>
            <w:rPr>
              <w:rFonts w:hint="eastAsia" w:ascii="黑体" w:hAnsi="黑体" w:eastAsia="黑体" w:cs="黑体"/>
              <w:b w:val="0"/>
              <w:color w:val="auto"/>
              <w:highlight w:val="none"/>
            </w:rPr>
            <w:fldChar w:fldCharType="separate"/>
          </w: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_Toc13958 </w:instrText>
          </w:r>
          <w:r>
            <w:rPr>
              <w:rFonts w:hint="eastAsia" w:ascii="黑体" w:hAnsi="黑体" w:eastAsia="黑体" w:cs="黑体"/>
              <w:highlight w:val="none"/>
            </w:rPr>
            <w:fldChar w:fldCharType="separate"/>
          </w:r>
          <w:r>
            <w:rPr>
              <w:rFonts w:hint="eastAsia" w:ascii="黑体" w:hAnsi="黑体" w:eastAsia="黑体" w:cs="黑体"/>
              <w:bCs w:val="0"/>
            </w:rPr>
            <w:t>第一部分</w:t>
          </w:r>
          <w:r>
            <w:rPr>
              <w:rFonts w:hint="eastAsia" w:ascii="黑体" w:hAnsi="黑体" w:eastAsia="黑体" w:cs="黑体"/>
              <w:bCs w:val="0"/>
              <w:lang w:val="en-US" w:eastAsia="zh-CN"/>
            </w:rPr>
            <w:t xml:space="preserve"> </w:t>
          </w:r>
          <w:r>
            <w:rPr>
              <w:rFonts w:hint="eastAsia" w:ascii="黑体" w:hAnsi="黑体" w:eastAsia="黑体" w:cs="黑体"/>
              <w:bCs w:val="0"/>
            </w:rPr>
            <w:t xml:space="preserve"> 部门概况</w:t>
          </w:r>
          <w:r>
            <w:tab/>
          </w:r>
          <w:r>
            <w:fldChar w:fldCharType="begin"/>
          </w:r>
          <w:r>
            <w:instrText xml:space="preserve"> PAGEREF _Toc13958 \h </w:instrText>
          </w:r>
          <w:r>
            <w:fldChar w:fldCharType="separate"/>
          </w:r>
          <w:r>
            <w:t>1</w:t>
          </w:r>
          <w:r>
            <w:fldChar w:fldCharType="end"/>
          </w:r>
          <w:r>
            <w:rPr>
              <w:rFonts w:hint="eastAsia" w:ascii="黑体" w:hAnsi="黑体" w:eastAsia="黑体" w:cs="黑体"/>
              <w:color w:val="auto"/>
              <w:highlight w:val="none"/>
            </w:rPr>
            <w:fldChar w:fldCharType="end"/>
          </w:r>
        </w:p>
        <w:p w14:paraId="32E1341E">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_Toc3411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一、主要职责</w:t>
          </w:r>
          <w:r>
            <w:tab/>
          </w:r>
          <w:r>
            <w:fldChar w:fldCharType="begin"/>
          </w:r>
          <w:r>
            <w:instrText xml:space="preserve"> PAGEREF _Toc3411 \h </w:instrText>
          </w:r>
          <w:r>
            <w:fldChar w:fldCharType="separate"/>
          </w:r>
          <w:r>
            <w:t>1</w:t>
          </w:r>
          <w:r>
            <w:fldChar w:fldCharType="end"/>
          </w:r>
          <w:r>
            <w:rPr>
              <w:rFonts w:hint="eastAsia" w:ascii="黑体" w:hAnsi="黑体" w:eastAsia="黑体" w:cs="黑体"/>
              <w:color w:val="auto"/>
              <w:highlight w:val="none"/>
            </w:rPr>
            <w:fldChar w:fldCharType="end"/>
          </w:r>
        </w:p>
        <w:p w14:paraId="26915BC2">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_Toc25724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二、机构设置</w:t>
          </w:r>
          <w:r>
            <w:tab/>
          </w:r>
          <w:r>
            <w:fldChar w:fldCharType="begin"/>
          </w:r>
          <w:r>
            <w:instrText xml:space="preserve"> PAGEREF _Toc25724 \h </w:instrText>
          </w:r>
          <w:r>
            <w:fldChar w:fldCharType="separate"/>
          </w:r>
          <w:r>
            <w:t>1</w:t>
          </w:r>
          <w:r>
            <w:fldChar w:fldCharType="end"/>
          </w:r>
          <w:r>
            <w:rPr>
              <w:rFonts w:hint="eastAsia" w:ascii="黑体" w:hAnsi="黑体" w:eastAsia="黑体" w:cs="黑体"/>
              <w:color w:val="auto"/>
              <w:highlight w:val="none"/>
            </w:rPr>
            <w:fldChar w:fldCharType="end"/>
          </w:r>
        </w:p>
        <w:p w14:paraId="54BEF3B9">
          <w:pPr>
            <w:pStyle w:val="12"/>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_Toc13828 </w:instrText>
          </w:r>
          <w:r>
            <w:rPr>
              <w:rFonts w:hint="eastAsia" w:ascii="黑体" w:hAnsi="黑体" w:eastAsia="黑体" w:cs="黑体"/>
              <w:highlight w:val="none"/>
            </w:rPr>
            <w:fldChar w:fldCharType="separate"/>
          </w:r>
          <w:r>
            <w:rPr>
              <w:rFonts w:hint="eastAsia" w:ascii="黑体" w:hAnsi="黑体" w:eastAsia="黑体" w:cs="黑体"/>
              <w:highlight w:val="none"/>
            </w:rPr>
            <w:t>第二部分</w:t>
          </w:r>
          <w:r>
            <w:rPr>
              <w:rFonts w:hint="eastAsia" w:ascii="黑体" w:hAnsi="黑体" w:eastAsia="黑体" w:cs="黑体"/>
              <w:highlight w:val="none"/>
              <w:lang w:val="en-US" w:eastAsia="zh-CN"/>
            </w:rPr>
            <w:t xml:space="preserve"> </w:t>
          </w:r>
          <w:r>
            <w:rPr>
              <w:rFonts w:hint="eastAsia" w:ascii="黑体" w:hAnsi="黑体" w:eastAsia="黑体" w:cs="黑体"/>
              <w:highlight w:val="none"/>
            </w:rPr>
            <w:t xml:space="preserve"> </w:t>
          </w:r>
          <w:r>
            <w:rPr>
              <w:rFonts w:hint="eastAsia" w:ascii="黑体" w:hAnsi="黑体" w:eastAsia="黑体" w:cs="黑体"/>
              <w:highlight w:val="none"/>
              <w:lang w:val="en-US" w:eastAsia="zh-CN"/>
            </w:rPr>
            <w:t>2025年度</w:t>
          </w:r>
          <w:r>
            <w:rPr>
              <w:rFonts w:hint="eastAsia" w:ascii="黑体" w:hAnsi="黑体" w:eastAsia="黑体" w:cs="黑体"/>
              <w:highlight w:val="none"/>
            </w:rPr>
            <w:t>部门决算情况说明</w:t>
          </w:r>
          <w:r>
            <w:tab/>
          </w:r>
          <w:r>
            <w:fldChar w:fldCharType="begin"/>
          </w:r>
          <w:r>
            <w:instrText xml:space="preserve"> PAGEREF _Toc13828 \h </w:instrText>
          </w:r>
          <w:r>
            <w:fldChar w:fldCharType="separate"/>
          </w:r>
          <w:r>
            <w:t>2</w:t>
          </w:r>
          <w:r>
            <w:fldChar w:fldCharType="end"/>
          </w:r>
          <w:r>
            <w:rPr>
              <w:rFonts w:hint="eastAsia" w:ascii="黑体" w:hAnsi="黑体" w:eastAsia="黑体" w:cs="黑体"/>
              <w:color w:val="auto"/>
              <w:highlight w:val="none"/>
            </w:rPr>
            <w:fldChar w:fldCharType="end"/>
          </w:r>
        </w:p>
        <w:p w14:paraId="062BAD8E">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_Toc16210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一、收入支出决算总体情况说明</w:t>
          </w:r>
          <w:r>
            <w:tab/>
          </w:r>
          <w:r>
            <w:fldChar w:fldCharType="begin"/>
          </w:r>
          <w:r>
            <w:instrText xml:space="preserve"> PAGEREF _Toc16210 \h </w:instrText>
          </w:r>
          <w:r>
            <w:fldChar w:fldCharType="separate"/>
          </w:r>
          <w:r>
            <w:t>2</w:t>
          </w:r>
          <w:r>
            <w:fldChar w:fldCharType="end"/>
          </w:r>
          <w:r>
            <w:rPr>
              <w:rFonts w:hint="eastAsia" w:ascii="黑体" w:hAnsi="黑体" w:eastAsia="黑体" w:cs="黑体"/>
              <w:color w:val="auto"/>
              <w:highlight w:val="none"/>
            </w:rPr>
            <w:fldChar w:fldCharType="end"/>
          </w:r>
        </w:p>
        <w:p w14:paraId="438A7464">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_Toc24811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二、收入决算情况说明</w:t>
          </w:r>
          <w:r>
            <w:tab/>
          </w:r>
          <w:r>
            <w:fldChar w:fldCharType="begin"/>
          </w:r>
          <w:r>
            <w:instrText xml:space="preserve"> PAGEREF _Toc24811 \h </w:instrText>
          </w:r>
          <w:r>
            <w:fldChar w:fldCharType="separate"/>
          </w:r>
          <w:r>
            <w:t>2</w:t>
          </w:r>
          <w:r>
            <w:fldChar w:fldCharType="end"/>
          </w:r>
          <w:r>
            <w:rPr>
              <w:rFonts w:hint="eastAsia" w:ascii="黑体" w:hAnsi="黑体" w:eastAsia="黑体" w:cs="黑体"/>
              <w:color w:val="auto"/>
              <w:highlight w:val="none"/>
            </w:rPr>
            <w:fldChar w:fldCharType="end"/>
          </w:r>
        </w:p>
        <w:p w14:paraId="235908A8">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_Toc24070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三、支出决算情况说明</w:t>
          </w:r>
          <w:r>
            <w:tab/>
          </w:r>
          <w:r>
            <w:fldChar w:fldCharType="begin"/>
          </w:r>
          <w:r>
            <w:instrText xml:space="preserve"> PAGEREF _Toc24070 \h </w:instrText>
          </w:r>
          <w:r>
            <w:fldChar w:fldCharType="separate"/>
          </w:r>
          <w:r>
            <w:t>3</w:t>
          </w:r>
          <w:r>
            <w:fldChar w:fldCharType="end"/>
          </w:r>
          <w:r>
            <w:rPr>
              <w:rFonts w:hint="eastAsia" w:ascii="黑体" w:hAnsi="黑体" w:eastAsia="黑体" w:cs="黑体"/>
              <w:color w:val="auto"/>
              <w:highlight w:val="none"/>
            </w:rPr>
            <w:fldChar w:fldCharType="end"/>
          </w:r>
        </w:p>
        <w:p w14:paraId="22F9DA94">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_Toc12727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四、财政拨款收入支出决算总体情况说明</w:t>
          </w:r>
          <w:r>
            <w:tab/>
          </w:r>
          <w:r>
            <w:fldChar w:fldCharType="begin"/>
          </w:r>
          <w:r>
            <w:instrText xml:space="preserve"> PAGEREF _Toc12727 \h </w:instrText>
          </w:r>
          <w:r>
            <w:fldChar w:fldCharType="separate"/>
          </w:r>
          <w:r>
            <w:t>3</w:t>
          </w:r>
          <w:r>
            <w:fldChar w:fldCharType="end"/>
          </w:r>
          <w:r>
            <w:rPr>
              <w:rFonts w:hint="eastAsia" w:ascii="黑体" w:hAnsi="黑体" w:eastAsia="黑体" w:cs="黑体"/>
              <w:color w:val="auto"/>
              <w:highlight w:val="none"/>
            </w:rPr>
            <w:fldChar w:fldCharType="end"/>
          </w:r>
        </w:p>
        <w:p w14:paraId="009A4904">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_Toc17290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五、一般公共预算财政拨款支出决算情况说明</w:t>
          </w:r>
          <w:r>
            <w:tab/>
          </w:r>
          <w:r>
            <w:fldChar w:fldCharType="begin"/>
          </w:r>
          <w:r>
            <w:instrText xml:space="preserve"> PAGEREF _Toc17290 \h </w:instrText>
          </w:r>
          <w:r>
            <w:fldChar w:fldCharType="separate"/>
          </w:r>
          <w:r>
            <w:t>4</w:t>
          </w:r>
          <w:r>
            <w:fldChar w:fldCharType="end"/>
          </w:r>
          <w:r>
            <w:rPr>
              <w:rFonts w:hint="eastAsia" w:ascii="黑体" w:hAnsi="黑体" w:eastAsia="黑体" w:cs="黑体"/>
              <w:color w:val="auto"/>
              <w:highlight w:val="none"/>
            </w:rPr>
            <w:fldChar w:fldCharType="end"/>
          </w:r>
        </w:p>
        <w:p w14:paraId="49B7982E">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_Toc23946 </w:instrText>
          </w:r>
          <w:r>
            <w:rPr>
              <w:rFonts w:hint="eastAsia" w:ascii="黑体" w:hAnsi="黑体" w:eastAsia="黑体" w:cs="黑体"/>
              <w:highlight w:val="none"/>
            </w:rPr>
            <w:fldChar w:fldCharType="separate"/>
          </w:r>
          <w:r>
            <w:rPr>
              <w:rFonts w:hint="eastAsia" w:ascii="Times New Roman" w:hAnsi="Times New Roman" w:eastAsia="黑体" w:cs="Times New Roman"/>
              <w:bCs/>
              <w:kern w:val="2"/>
              <w:szCs w:val="32"/>
              <w:highlight w:val="none"/>
              <w:lang w:val="en-US" w:eastAsia="zh-CN" w:bidi="ar-SA"/>
            </w:rPr>
            <w:t>六、一般公共预算财政拨款基本支出决算情况说明</w:t>
          </w:r>
          <w:r>
            <w:tab/>
          </w:r>
          <w:r>
            <w:fldChar w:fldCharType="begin"/>
          </w:r>
          <w:r>
            <w:instrText xml:space="preserve"> PAGEREF _Toc23946 \h </w:instrText>
          </w:r>
          <w:r>
            <w:fldChar w:fldCharType="separate"/>
          </w:r>
          <w:r>
            <w:t>6</w:t>
          </w:r>
          <w:r>
            <w:fldChar w:fldCharType="end"/>
          </w:r>
          <w:r>
            <w:rPr>
              <w:rFonts w:hint="eastAsia" w:ascii="黑体" w:hAnsi="黑体" w:eastAsia="黑体" w:cs="黑体"/>
              <w:color w:val="auto"/>
              <w:highlight w:val="none"/>
            </w:rPr>
            <w:fldChar w:fldCharType="end"/>
          </w:r>
        </w:p>
        <w:p w14:paraId="6C269A2F">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_Toc32401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七、财政拨款“三公”经费支出决算情况说明</w:t>
          </w:r>
          <w:r>
            <w:tab/>
          </w:r>
          <w:r>
            <w:fldChar w:fldCharType="begin"/>
          </w:r>
          <w:r>
            <w:instrText xml:space="preserve"> PAGEREF _Toc32401 \h </w:instrText>
          </w:r>
          <w:r>
            <w:fldChar w:fldCharType="separate"/>
          </w:r>
          <w:r>
            <w:t>7</w:t>
          </w:r>
          <w:r>
            <w:fldChar w:fldCharType="end"/>
          </w:r>
          <w:r>
            <w:rPr>
              <w:rFonts w:hint="eastAsia" w:ascii="黑体" w:hAnsi="黑体" w:eastAsia="黑体" w:cs="黑体"/>
              <w:color w:val="auto"/>
              <w:highlight w:val="none"/>
            </w:rPr>
            <w:fldChar w:fldCharType="end"/>
          </w:r>
        </w:p>
        <w:p w14:paraId="0FB92D03">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_Toc30234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八、政府性基金预算支出决算情况说明</w:t>
          </w:r>
          <w:r>
            <w:tab/>
          </w:r>
          <w:r>
            <w:fldChar w:fldCharType="begin"/>
          </w:r>
          <w:r>
            <w:instrText xml:space="preserve"> PAGEREF _Toc30234 \h </w:instrText>
          </w:r>
          <w:r>
            <w:fldChar w:fldCharType="separate"/>
          </w:r>
          <w:r>
            <w:t>8</w:t>
          </w:r>
          <w:r>
            <w:fldChar w:fldCharType="end"/>
          </w:r>
          <w:r>
            <w:rPr>
              <w:rFonts w:hint="eastAsia" w:ascii="黑体" w:hAnsi="黑体" w:eastAsia="黑体" w:cs="黑体"/>
              <w:color w:val="auto"/>
              <w:highlight w:val="none"/>
            </w:rPr>
            <w:fldChar w:fldCharType="end"/>
          </w:r>
        </w:p>
        <w:p w14:paraId="217C1957">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_Toc18581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九、国有资本经营预算支出决算情况说明</w:t>
          </w:r>
          <w:r>
            <w:tab/>
          </w:r>
          <w:r>
            <w:fldChar w:fldCharType="begin"/>
          </w:r>
          <w:r>
            <w:instrText xml:space="preserve"> PAGEREF _Toc18581 \h </w:instrText>
          </w:r>
          <w:r>
            <w:fldChar w:fldCharType="separate"/>
          </w:r>
          <w:r>
            <w:t>8</w:t>
          </w:r>
          <w:r>
            <w:fldChar w:fldCharType="end"/>
          </w:r>
          <w:r>
            <w:rPr>
              <w:rFonts w:hint="eastAsia" w:ascii="黑体" w:hAnsi="黑体" w:eastAsia="黑体" w:cs="黑体"/>
              <w:color w:val="auto"/>
              <w:highlight w:val="none"/>
            </w:rPr>
            <w:fldChar w:fldCharType="end"/>
          </w:r>
        </w:p>
        <w:p w14:paraId="6F2F3353">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_Toc2829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十、其他重要事项的情况说明</w:t>
          </w:r>
          <w:r>
            <w:tab/>
          </w:r>
          <w:r>
            <w:fldChar w:fldCharType="begin"/>
          </w:r>
          <w:r>
            <w:instrText xml:space="preserve"> PAGEREF _Toc2829 \h </w:instrText>
          </w:r>
          <w:r>
            <w:fldChar w:fldCharType="separate"/>
          </w:r>
          <w:r>
            <w:t>9</w:t>
          </w:r>
          <w:r>
            <w:fldChar w:fldCharType="end"/>
          </w:r>
          <w:r>
            <w:rPr>
              <w:rFonts w:hint="eastAsia" w:ascii="黑体" w:hAnsi="黑体" w:eastAsia="黑体" w:cs="黑体"/>
              <w:color w:val="auto"/>
              <w:highlight w:val="none"/>
            </w:rPr>
            <w:fldChar w:fldCharType="end"/>
          </w:r>
        </w:p>
        <w:p w14:paraId="03BB4615">
          <w:pPr>
            <w:pStyle w:val="12"/>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_Toc9819 </w:instrText>
          </w:r>
          <w:r>
            <w:rPr>
              <w:rFonts w:hint="eastAsia" w:ascii="黑体" w:hAnsi="黑体" w:eastAsia="黑体" w:cs="黑体"/>
              <w:highlight w:val="none"/>
            </w:rPr>
            <w:fldChar w:fldCharType="separate"/>
          </w:r>
          <w:r>
            <w:rPr>
              <w:rFonts w:hint="eastAsia" w:ascii="黑体" w:hAnsi="黑体" w:eastAsia="黑体" w:cs="黑体"/>
              <w:bCs w:val="0"/>
            </w:rPr>
            <w:t>第</w:t>
          </w:r>
          <w:r>
            <w:rPr>
              <w:rFonts w:hint="eastAsia" w:ascii="黑体" w:hAnsi="黑体" w:eastAsia="黑体" w:cs="黑体"/>
              <w:bCs w:val="0"/>
              <w:lang w:eastAsia="zh-CN"/>
            </w:rPr>
            <w:t>三</w:t>
          </w:r>
          <w:r>
            <w:rPr>
              <w:rFonts w:hint="eastAsia" w:ascii="黑体" w:hAnsi="黑体" w:eastAsia="黑体" w:cs="黑体"/>
              <w:bCs w:val="0"/>
            </w:rPr>
            <w:t>部分</w:t>
          </w:r>
          <w:r>
            <w:rPr>
              <w:rFonts w:hint="eastAsia" w:ascii="黑体" w:hAnsi="黑体" w:eastAsia="黑体" w:cs="黑体"/>
              <w:bCs w:val="0"/>
              <w:lang w:val="en-US" w:eastAsia="zh-CN"/>
            </w:rPr>
            <w:t xml:space="preserve">  </w:t>
          </w:r>
          <w:r>
            <w:rPr>
              <w:rFonts w:hint="eastAsia" w:ascii="黑体" w:hAnsi="黑体" w:eastAsia="黑体" w:cs="黑体"/>
              <w:bCs w:val="0"/>
            </w:rPr>
            <w:t>名词解释</w:t>
          </w:r>
          <w:r>
            <w:tab/>
          </w:r>
          <w:r>
            <w:fldChar w:fldCharType="begin"/>
          </w:r>
          <w:r>
            <w:instrText xml:space="preserve"> PAGEREF _Toc9819 \h </w:instrText>
          </w:r>
          <w:r>
            <w:fldChar w:fldCharType="separate"/>
          </w:r>
          <w:r>
            <w:t>11</w:t>
          </w:r>
          <w:r>
            <w:fldChar w:fldCharType="end"/>
          </w:r>
          <w:r>
            <w:rPr>
              <w:rFonts w:hint="eastAsia" w:ascii="黑体" w:hAnsi="黑体" w:eastAsia="黑体" w:cs="黑体"/>
              <w:color w:val="auto"/>
              <w:highlight w:val="none"/>
            </w:rPr>
            <w:fldChar w:fldCharType="end"/>
          </w:r>
        </w:p>
        <w:p w14:paraId="161DE45A">
          <w:pPr>
            <w:pStyle w:val="12"/>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_Toc15109 </w:instrText>
          </w:r>
          <w:r>
            <w:rPr>
              <w:rFonts w:hint="eastAsia" w:ascii="黑体" w:hAnsi="黑体" w:eastAsia="黑体" w:cs="黑体"/>
              <w:highlight w:val="none"/>
            </w:rPr>
            <w:fldChar w:fldCharType="separate"/>
          </w:r>
          <w:r>
            <w:rPr>
              <w:rFonts w:hint="eastAsia" w:ascii="黑体" w:hAnsi="黑体" w:eastAsia="黑体" w:cs="黑体"/>
              <w:bCs w:val="0"/>
            </w:rPr>
            <w:t>第</w:t>
          </w:r>
          <w:r>
            <w:rPr>
              <w:rFonts w:hint="eastAsia" w:ascii="黑体" w:hAnsi="黑体" w:eastAsia="黑体" w:cs="黑体"/>
              <w:bCs w:val="0"/>
              <w:lang w:val="en-US" w:eastAsia="zh-CN"/>
            </w:rPr>
            <w:t>四</w:t>
          </w:r>
          <w:r>
            <w:rPr>
              <w:rFonts w:hint="eastAsia" w:ascii="黑体" w:hAnsi="黑体" w:eastAsia="黑体" w:cs="黑体"/>
              <w:bCs w:val="0"/>
            </w:rPr>
            <w:t>部分 附表</w:t>
          </w:r>
          <w:r>
            <w:tab/>
          </w:r>
          <w:r>
            <w:fldChar w:fldCharType="begin"/>
          </w:r>
          <w:r>
            <w:instrText xml:space="preserve"> PAGEREF _Toc15109 \h </w:instrText>
          </w:r>
          <w:r>
            <w:fldChar w:fldCharType="separate"/>
          </w:r>
          <w:r>
            <w:t>14</w:t>
          </w:r>
          <w:r>
            <w:fldChar w:fldCharType="end"/>
          </w:r>
          <w:r>
            <w:rPr>
              <w:rFonts w:hint="eastAsia" w:ascii="黑体" w:hAnsi="黑体" w:eastAsia="黑体" w:cs="黑体"/>
              <w:color w:val="auto"/>
              <w:highlight w:val="none"/>
            </w:rPr>
            <w:fldChar w:fldCharType="end"/>
          </w:r>
        </w:p>
        <w:p w14:paraId="42B0DD63">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_Toc23864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一、收入支出决算总表</w:t>
          </w:r>
          <w:r>
            <w:tab/>
          </w:r>
          <w:r>
            <w:fldChar w:fldCharType="begin"/>
          </w:r>
          <w:r>
            <w:instrText xml:space="preserve"> PAGEREF _Toc23864 \h </w:instrText>
          </w:r>
          <w:r>
            <w:fldChar w:fldCharType="separate"/>
          </w:r>
          <w:r>
            <w:t>14</w:t>
          </w:r>
          <w:r>
            <w:fldChar w:fldCharType="end"/>
          </w:r>
          <w:r>
            <w:rPr>
              <w:rFonts w:hint="eastAsia" w:ascii="黑体" w:hAnsi="黑体" w:eastAsia="黑体" w:cs="黑体"/>
              <w:color w:val="auto"/>
              <w:highlight w:val="none"/>
            </w:rPr>
            <w:fldChar w:fldCharType="end"/>
          </w:r>
        </w:p>
        <w:p w14:paraId="190E4DF3">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_Toc23095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二、收入决算表</w:t>
          </w:r>
          <w:r>
            <w:tab/>
          </w:r>
          <w:r>
            <w:fldChar w:fldCharType="begin"/>
          </w:r>
          <w:r>
            <w:instrText xml:space="preserve"> PAGEREF _Toc23095 \h </w:instrText>
          </w:r>
          <w:r>
            <w:fldChar w:fldCharType="separate"/>
          </w:r>
          <w:r>
            <w:t>14</w:t>
          </w:r>
          <w:r>
            <w:fldChar w:fldCharType="end"/>
          </w:r>
          <w:r>
            <w:rPr>
              <w:rFonts w:hint="eastAsia" w:ascii="黑体" w:hAnsi="黑体" w:eastAsia="黑体" w:cs="黑体"/>
              <w:color w:val="auto"/>
              <w:highlight w:val="none"/>
            </w:rPr>
            <w:fldChar w:fldCharType="end"/>
          </w:r>
        </w:p>
        <w:p w14:paraId="59C5FFAD">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_Toc27623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三、支出决算表</w:t>
          </w:r>
          <w:r>
            <w:tab/>
          </w:r>
          <w:r>
            <w:fldChar w:fldCharType="begin"/>
          </w:r>
          <w:r>
            <w:instrText xml:space="preserve"> PAGEREF _Toc27623 \h </w:instrText>
          </w:r>
          <w:r>
            <w:fldChar w:fldCharType="separate"/>
          </w:r>
          <w:r>
            <w:t>14</w:t>
          </w:r>
          <w:r>
            <w:fldChar w:fldCharType="end"/>
          </w:r>
          <w:r>
            <w:rPr>
              <w:rFonts w:hint="eastAsia" w:ascii="黑体" w:hAnsi="黑体" w:eastAsia="黑体" w:cs="黑体"/>
              <w:color w:val="auto"/>
              <w:highlight w:val="none"/>
            </w:rPr>
            <w:fldChar w:fldCharType="end"/>
          </w:r>
        </w:p>
        <w:p w14:paraId="20DE9594">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_Toc17021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四、财政拨款收入支出决算总表</w:t>
          </w:r>
          <w:r>
            <w:tab/>
          </w:r>
          <w:r>
            <w:fldChar w:fldCharType="begin"/>
          </w:r>
          <w:r>
            <w:instrText xml:space="preserve"> PAGEREF _Toc17021 \h </w:instrText>
          </w:r>
          <w:r>
            <w:fldChar w:fldCharType="separate"/>
          </w:r>
          <w:r>
            <w:t>14</w:t>
          </w:r>
          <w:r>
            <w:fldChar w:fldCharType="end"/>
          </w:r>
          <w:r>
            <w:rPr>
              <w:rFonts w:hint="eastAsia" w:ascii="黑体" w:hAnsi="黑体" w:eastAsia="黑体" w:cs="黑体"/>
              <w:color w:val="auto"/>
              <w:highlight w:val="none"/>
            </w:rPr>
            <w:fldChar w:fldCharType="end"/>
          </w:r>
        </w:p>
        <w:p w14:paraId="31D1670E">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_Toc27319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五、财政拨款支出决算明细表</w:t>
          </w:r>
          <w:r>
            <w:tab/>
          </w:r>
          <w:r>
            <w:fldChar w:fldCharType="begin"/>
          </w:r>
          <w:r>
            <w:instrText xml:space="preserve"> PAGEREF _Toc27319 \h </w:instrText>
          </w:r>
          <w:r>
            <w:fldChar w:fldCharType="separate"/>
          </w:r>
          <w:r>
            <w:t>14</w:t>
          </w:r>
          <w:r>
            <w:fldChar w:fldCharType="end"/>
          </w:r>
          <w:r>
            <w:rPr>
              <w:rFonts w:hint="eastAsia" w:ascii="黑体" w:hAnsi="黑体" w:eastAsia="黑体" w:cs="黑体"/>
              <w:color w:val="auto"/>
              <w:highlight w:val="none"/>
            </w:rPr>
            <w:fldChar w:fldCharType="end"/>
          </w:r>
        </w:p>
        <w:p w14:paraId="2F7B3057">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_Toc16713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六、一般公共预算财政拨款支出决算表</w:t>
          </w:r>
          <w:r>
            <w:tab/>
          </w:r>
          <w:r>
            <w:fldChar w:fldCharType="begin"/>
          </w:r>
          <w:r>
            <w:instrText xml:space="preserve"> PAGEREF _Toc16713 \h </w:instrText>
          </w:r>
          <w:r>
            <w:fldChar w:fldCharType="separate"/>
          </w:r>
          <w:r>
            <w:t>14</w:t>
          </w:r>
          <w:r>
            <w:fldChar w:fldCharType="end"/>
          </w:r>
          <w:r>
            <w:rPr>
              <w:rFonts w:hint="eastAsia" w:ascii="黑体" w:hAnsi="黑体" w:eastAsia="黑体" w:cs="黑体"/>
              <w:color w:val="auto"/>
              <w:highlight w:val="none"/>
            </w:rPr>
            <w:fldChar w:fldCharType="end"/>
          </w:r>
        </w:p>
        <w:p w14:paraId="11F23C3B">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_Toc5702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七、一般公共预算财政拨款支出决算明细表</w:t>
          </w:r>
          <w:r>
            <w:tab/>
          </w:r>
          <w:r>
            <w:fldChar w:fldCharType="begin"/>
          </w:r>
          <w:r>
            <w:instrText xml:space="preserve"> PAGEREF _Toc5702 \h </w:instrText>
          </w:r>
          <w:r>
            <w:fldChar w:fldCharType="separate"/>
          </w:r>
          <w:r>
            <w:t>14</w:t>
          </w:r>
          <w:r>
            <w:fldChar w:fldCharType="end"/>
          </w:r>
          <w:r>
            <w:rPr>
              <w:rFonts w:hint="eastAsia" w:ascii="黑体" w:hAnsi="黑体" w:eastAsia="黑体" w:cs="黑体"/>
              <w:color w:val="auto"/>
              <w:highlight w:val="none"/>
            </w:rPr>
            <w:fldChar w:fldCharType="end"/>
          </w:r>
        </w:p>
        <w:p w14:paraId="14BC3F3A">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_Toc31203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八、一般公共预算财政拨款基本支出决算表</w:t>
          </w:r>
          <w:r>
            <w:tab/>
          </w:r>
          <w:r>
            <w:fldChar w:fldCharType="begin"/>
          </w:r>
          <w:r>
            <w:instrText xml:space="preserve"> PAGEREF _Toc31203 \h </w:instrText>
          </w:r>
          <w:r>
            <w:fldChar w:fldCharType="separate"/>
          </w:r>
          <w:r>
            <w:t>14</w:t>
          </w:r>
          <w:r>
            <w:fldChar w:fldCharType="end"/>
          </w:r>
          <w:r>
            <w:rPr>
              <w:rFonts w:hint="eastAsia" w:ascii="黑体" w:hAnsi="黑体" w:eastAsia="黑体" w:cs="黑体"/>
              <w:color w:val="auto"/>
              <w:highlight w:val="none"/>
            </w:rPr>
            <w:fldChar w:fldCharType="end"/>
          </w:r>
        </w:p>
        <w:p w14:paraId="7E6C4A7D">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_Toc8509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九、一般公共预算财政拨款项目支出决算表</w:t>
          </w:r>
          <w:r>
            <w:tab/>
          </w:r>
          <w:r>
            <w:fldChar w:fldCharType="begin"/>
          </w:r>
          <w:r>
            <w:instrText xml:space="preserve"> PAGEREF _Toc8509 \h </w:instrText>
          </w:r>
          <w:r>
            <w:fldChar w:fldCharType="separate"/>
          </w:r>
          <w:r>
            <w:t>14</w:t>
          </w:r>
          <w:r>
            <w:fldChar w:fldCharType="end"/>
          </w:r>
          <w:r>
            <w:rPr>
              <w:rFonts w:hint="eastAsia" w:ascii="黑体" w:hAnsi="黑体" w:eastAsia="黑体" w:cs="黑体"/>
              <w:color w:val="auto"/>
              <w:highlight w:val="none"/>
            </w:rPr>
            <w:fldChar w:fldCharType="end"/>
          </w:r>
        </w:p>
        <w:p w14:paraId="19586E67">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_Toc1746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十、政府性基金预算财政拨款收入支出决算表</w:t>
          </w:r>
          <w:r>
            <w:tab/>
          </w:r>
          <w:r>
            <w:fldChar w:fldCharType="begin"/>
          </w:r>
          <w:r>
            <w:instrText xml:space="preserve"> PAGEREF _Toc1746 \h </w:instrText>
          </w:r>
          <w:r>
            <w:fldChar w:fldCharType="separate"/>
          </w:r>
          <w:r>
            <w:t>14</w:t>
          </w:r>
          <w:r>
            <w:fldChar w:fldCharType="end"/>
          </w:r>
          <w:r>
            <w:rPr>
              <w:rFonts w:hint="eastAsia" w:ascii="黑体" w:hAnsi="黑体" w:eastAsia="黑体" w:cs="黑体"/>
              <w:color w:val="auto"/>
              <w:highlight w:val="none"/>
            </w:rPr>
            <w:fldChar w:fldCharType="end"/>
          </w:r>
        </w:p>
        <w:p w14:paraId="6A755660">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_Toc3223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十一、国有资本经营预算财政拨款收入支出决算表</w:t>
          </w:r>
          <w:r>
            <w:tab/>
          </w:r>
          <w:r>
            <w:fldChar w:fldCharType="begin"/>
          </w:r>
          <w:r>
            <w:instrText xml:space="preserve"> PAGEREF _Toc3223 \h </w:instrText>
          </w:r>
          <w:r>
            <w:fldChar w:fldCharType="separate"/>
          </w:r>
          <w:r>
            <w:t>14</w:t>
          </w:r>
          <w:r>
            <w:fldChar w:fldCharType="end"/>
          </w:r>
          <w:r>
            <w:rPr>
              <w:rFonts w:hint="eastAsia" w:ascii="黑体" w:hAnsi="黑体" w:eastAsia="黑体" w:cs="黑体"/>
              <w:color w:val="auto"/>
              <w:highlight w:val="none"/>
            </w:rPr>
            <w:fldChar w:fldCharType="end"/>
          </w:r>
        </w:p>
        <w:p w14:paraId="5B5A74AE">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_Toc15210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十二、国有资本经营预算财政拨款支出决算表</w:t>
          </w:r>
          <w:r>
            <w:tab/>
          </w:r>
          <w:r>
            <w:fldChar w:fldCharType="begin"/>
          </w:r>
          <w:r>
            <w:instrText xml:space="preserve"> PAGEREF _Toc15210 \h </w:instrText>
          </w:r>
          <w:r>
            <w:fldChar w:fldCharType="separate"/>
          </w:r>
          <w:r>
            <w:t>14</w:t>
          </w:r>
          <w:r>
            <w:fldChar w:fldCharType="end"/>
          </w:r>
          <w:r>
            <w:rPr>
              <w:rFonts w:hint="eastAsia" w:ascii="黑体" w:hAnsi="黑体" w:eastAsia="黑体" w:cs="黑体"/>
              <w:color w:val="auto"/>
              <w:highlight w:val="none"/>
            </w:rPr>
            <w:fldChar w:fldCharType="end"/>
          </w:r>
        </w:p>
        <w:p w14:paraId="688F3B55">
          <w:pPr>
            <w:pStyle w:val="14"/>
            <w:keepNext w:val="0"/>
            <w:keepLines w:val="0"/>
            <w:pageBreakBefore w:val="0"/>
            <w:widowControl w:val="0"/>
            <w:tabs>
              <w:tab w:val="right" w:leader="hyphen" w:pos="8845"/>
              <w:tab w:val="clear" w:pos="8296"/>
            </w:tabs>
            <w:kinsoku/>
            <w:wordWrap/>
            <w:overflowPunct/>
            <w:topLinePunct w:val="0"/>
            <w:autoSpaceDE/>
            <w:autoSpaceDN/>
            <w:bidi w:val="0"/>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_Toc893 </w:instrText>
          </w:r>
          <w:r>
            <w:rPr>
              <w:rFonts w:hint="eastAsia" w:ascii="黑体" w:hAnsi="黑体" w:eastAsia="黑体" w:cs="黑体"/>
              <w:highlight w:val="none"/>
            </w:rPr>
            <w:fldChar w:fldCharType="separate"/>
          </w:r>
          <w:r>
            <w:rPr>
              <w:rFonts w:hint="eastAsia" w:ascii="Times New Roman" w:hAnsi="Times New Roman" w:eastAsia="黑体" w:cs="Times New Roman"/>
              <w:highlight w:val="none"/>
              <w:lang w:val="en-US" w:eastAsia="zh-CN"/>
            </w:rPr>
            <w:t>十三、财政拨款“三公”经费支出决算表</w:t>
          </w:r>
          <w:r>
            <w:tab/>
          </w:r>
          <w:r>
            <w:fldChar w:fldCharType="begin"/>
          </w:r>
          <w:r>
            <w:instrText xml:space="preserve"> PAGEREF _Toc893 \h </w:instrText>
          </w:r>
          <w:r>
            <w:fldChar w:fldCharType="separate"/>
          </w:r>
          <w:r>
            <w:t>14</w:t>
          </w:r>
          <w:r>
            <w:fldChar w:fldCharType="end"/>
          </w:r>
          <w:r>
            <w:rPr>
              <w:rFonts w:hint="eastAsia" w:ascii="黑体" w:hAnsi="黑体" w:eastAsia="黑体" w:cs="黑体"/>
              <w:color w:val="auto"/>
              <w:highlight w:val="none"/>
            </w:rPr>
            <w:fldChar w:fldCharType="end"/>
          </w:r>
        </w:p>
        <w:p w14:paraId="1EA8ACAE">
          <w:pPr>
            <w:pStyle w:val="14"/>
            <w:keepNext w:val="0"/>
            <w:keepLines w:val="0"/>
            <w:pageBreakBefore w:val="0"/>
            <w:widowControl w:val="0"/>
            <w:kinsoku/>
            <w:wordWrap/>
            <w:overflowPunct/>
            <w:topLinePunct w:val="0"/>
            <w:autoSpaceDE/>
            <w:autoSpaceDN/>
            <w:bidi w:val="0"/>
            <w:adjustRightInd w:val="0"/>
            <w:snapToGrid w:val="0"/>
            <w:spacing w:line="320" w:lineRule="exact"/>
            <w:ind w:left="0" w:leftChars="0" w:firstLine="420" w:firstLineChars="200"/>
            <w:jc w:val="left"/>
            <w:textAlignment w:val="auto"/>
            <w:rPr>
              <w:rFonts w:hint="eastAsia" w:ascii="黑体" w:hAnsi="黑体" w:eastAsia="黑体" w:cs="黑体"/>
              <w:b/>
              <w:bCs/>
              <w:color w:val="auto"/>
              <w:kern w:val="44"/>
              <w:sz w:val="44"/>
              <w:szCs w:val="44"/>
              <w:highlight w:val="none"/>
              <w:lang w:val="en-US" w:eastAsia="zh-CN" w:bidi="ar-SA"/>
            </w:rPr>
          </w:pPr>
          <w:r>
            <w:rPr>
              <w:rFonts w:hint="eastAsia" w:ascii="黑体" w:hAnsi="黑体" w:eastAsia="黑体" w:cs="黑体"/>
              <w:color w:val="auto"/>
              <w:highlight w:val="none"/>
            </w:rPr>
            <w:fldChar w:fldCharType="end"/>
          </w:r>
        </w:p>
      </w:sdtContent>
    </w:sdt>
    <w:p w14:paraId="344431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076D909A">
      <w:pPr>
        <w:pStyle w:val="2"/>
        <w:keepNext/>
        <w:keepLines/>
        <w:pageBreakBefore w:val="0"/>
        <w:widowControl w:val="0"/>
        <w:kinsoku/>
        <w:wordWrap/>
        <w:overflowPunct/>
        <w:topLinePunct w:val="0"/>
        <w:autoSpaceDE/>
        <w:autoSpaceDN/>
        <w:bidi w:val="0"/>
        <w:adjustRightInd/>
        <w:snapToGrid/>
        <w:spacing w:before="0" w:after="0"/>
        <w:jc w:val="center"/>
        <w:textAlignment w:val="auto"/>
        <w:rPr>
          <w:rFonts w:hint="eastAsia" w:ascii="黑体" w:hAnsi="黑体" w:eastAsia="黑体" w:cs="黑体"/>
          <w:b w:val="0"/>
          <w:bCs w:val="0"/>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bookmarkStart w:id="6" w:name="_Toc15396599"/>
      <w:bookmarkStart w:id="7" w:name="_Toc15377196"/>
    </w:p>
    <w:p w14:paraId="4E876EB0">
      <w:pPr>
        <w:pStyle w:val="2"/>
        <w:keepNext/>
        <w:keepLines/>
        <w:pageBreakBefore w:val="0"/>
        <w:widowControl w:val="0"/>
        <w:kinsoku/>
        <w:wordWrap/>
        <w:overflowPunct/>
        <w:topLinePunct w:val="0"/>
        <w:autoSpaceDE/>
        <w:autoSpaceDN/>
        <w:bidi w:val="0"/>
        <w:adjustRightInd/>
        <w:snapToGrid/>
        <w:spacing w:before="0" w:after="0"/>
        <w:jc w:val="center"/>
        <w:textAlignment w:val="auto"/>
        <w:rPr>
          <w:rFonts w:hint="eastAsia" w:ascii="黑体" w:hAnsi="黑体" w:eastAsia="黑体" w:cs="黑体"/>
          <w:b w:val="0"/>
          <w:bCs w:val="0"/>
        </w:rPr>
      </w:pPr>
      <w:bookmarkStart w:id="8" w:name="_Toc13958"/>
      <w:r>
        <w:rPr>
          <w:rFonts w:hint="eastAsia" w:ascii="黑体" w:hAnsi="黑体" w:eastAsia="黑体" w:cs="黑体"/>
          <w:b w:val="0"/>
          <w:bCs w:val="0"/>
        </w:rPr>
        <w:t>第一部分</w:t>
      </w:r>
      <w:r>
        <w:rPr>
          <w:rFonts w:hint="eastAsia" w:ascii="黑体" w:hAnsi="黑体" w:eastAsia="黑体" w:cs="黑体"/>
          <w:b w:val="0"/>
          <w:bCs w:val="0"/>
          <w:lang w:val="en-US" w:eastAsia="zh-CN"/>
        </w:rPr>
        <w:t xml:space="preserve"> </w:t>
      </w:r>
      <w:r>
        <w:rPr>
          <w:rFonts w:hint="eastAsia" w:ascii="黑体" w:hAnsi="黑体" w:eastAsia="黑体" w:cs="黑体"/>
          <w:b w:val="0"/>
          <w:bCs w:val="0"/>
        </w:rPr>
        <w:t xml:space="preserve"> 部门概况</w:t>
      </w:r>
      <w:bookmarkEnd w:id="6"/>
      <w:bookmarkEnd w:id="7"/>
      <w:bookmarkEnd w:id="8"/>
    </w:p>
    <w:p w14:paraId="48262E6E">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default" w:ascii="Times New Roman" w:hAnsi="Times New Roman" w:eastAsia="黑体" w:cs="Times New Roman"/>
          <w:b w:val="0"/>
          <w:color w:val="auto"/>
          <w:highlight w:val="none"/>
          <w:lang w:val="en-US" w:eastAsia="zh-CN"/>
        </w:rPr>
      </w:pPr>
      <w:bookmarkStart w:id="9" w:name="_Toc14053"/>
      <w:bookmarkStart w:id="10" w:name="_Toc3411"/>
      <w:r>
        <w:rPr>
          <w:rFonts w:hint="eastAsia" w:ascii="Times New Roman" w:hAnsi="Times New Roman" w:eastAsia="黑体" w:cs="Times New Roman"/>
          <w:b w:val="0"/>
          <w:color w:val="auto"/>
          <w:highlight w:val="none"/>
          <w:lang w:val="en-US" w:eastAsia="zh-CN"/>
        </w:rPr>
        <w:t>一、主要职责</w:t>
      </w:r>
      <w:bookmarkEnd w:id="9"/>
      <w:bookmarkEnd w:id="10"/>
    </w:p>
    <w:p w14:paraId="5F884424">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11" w:name="_Toc5335"/>
      <w:bookmarkStart w:id="12" w:name="_Toc20271"/>
      <w:bookmarkStart w:id="13" w:name="_Toc29384"/>
      <w:bookmarkStart w:id="14" w:name="_Toc25441"/>
      <w:bookmarkStart w:id="15" w:name="_Toc7090"/>
      <w:bookmarkStart w:id="16" w:name="_Toc28801"/>
      <w:r>
        <w:rPr>
          <w:rFonts w:hint="default" w:ascii="Times New Roman" w:hAnsi="Times New Roman" w:eastAsia="方正仿宋_GBK" w:cs="Times New Roman"/>
          <w:b w:val="0"/>
          <w:bCs w:val="0"/>
          <w:color w:val="auto"/>
          <w:kern w:val="2"/>
          <w:sz w:val="32"/>
          <w:szCs w:val="32"/>
          <w:lang w:val="en-US" w:eastAsia="zh-CN" w:bidi="ar-SA"/>
        </w:rPr>
        <w:t>1.向州委巡察工作领导小组办公室报送巡察工作规划、年度计划、年度总结、重要情况和信息；</w:t>
      </w:r>
      <w:bookmarkEnd w:id="11"/>
      <w:bookmarkEnd w:id="12"/>
      <w:bookmarkEnd w:id="13"/>
      <w:bookmarkEnd w:id="14"/>
      <w:bookmarkEnd w:id="15"/>
      <w:bookmarkEnd w:id="16"/>
    </w:p>
    <w:p w14:paraId="541EA58A">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17" w:name="_Toc21808"/>
      <w:bookmarkStart w:id="18" w:name="_Toc31084"/>
      <w:bookmarkStart w:id="19" w:name="_Toc7068"/>
      <w:bookmarkStart w:id="20" w:name="_Toc16528"/>
      <w:bookmarkStart w:id="21" w:name="_Toc30123"/>
      <w:bookmarkStart w:id="22" w:name="_Toc7153"/>
      <w:r>
        <w:rPr>
          <w:rFonts w:hint="default" w:ascii="Times New Roman" w:hAnsi="Times New Roman" w:eastAsia="方正仿宋_GBK" w:cs="Times New Roman"/>
          <w:b w:val="0"/>
          <w:bCs w:val="0"/>
          <w:color w:val="auto"/>
          <w:kern w:val="2"/>
          <w:sz w:val="32"/>
          <w:szCs w:val="32"/>
          <w:lang w:val="en-US" w:eastAsia="zh-CN" w:bidi="ar-SA"/>
        </w:rPr>
        <w:t>2.向县委巡察工作领导小组报告工作情况，传达贯彻县委巡察工作领导小组的决策和部署；</w:t>
      </w:r>
      <w:bookmarkEnd w:id="17"/>
      <w:bookmarkEnd w:id="18"/>
      <w:bookmarkEnd w:id="19"/>
      <w:bookmarkEnd w:id="20"/>
      <w:bookmarkEnd w:id="21"/>
      <w:bookmarkEnd w:id="22"/>
    </w:p>
    <w:p w14:paraId="7C87DE49">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23" w:name="_Toc3408"/>
      <w:bookmarkStart w:id="24" w:name="_Toc24917"/>
      <w:r>
        <w:rPr>
          <w:rFonts w:hint="default" w:ascii="Times New Roman" w:hAnsi="Times New Roman" w:eastAsia="方正仿宋_GBK" w:cs="Times New Roman"/>
          <w:b w:val="0"/>
          <w:bCs w:val="0"/>
          <w:color w:val="auto"/>
          <w:kern w:val="2"/>
          <w:sz w:val="32"/>
          <w:szCs w:val="32"/>
          <w:lang w:val="en-US" w:eastAsia="zh-CN" w:bidi="ar-SA"/>
        </w:rPr>
        <w:t>3.统筹、协调、指导巡察组开展工作；</w:t>
      </w:r>
      <w:bookmarkEnd w:id="23"/>
      <w:bookmarkEnd w:id="24"/>
    </w:p>
    <w:p w14:paraId="4CC4ED1F">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25" w:name="_Toc22946"/>
      <w:r>
        <w:rPr>
          <w:rFonts w:hint="default" w:ascii="Times New Roman" w:hAnsi="Times New Roman" w:eastAsia="方正仿宋_GBK" w:cs="Times New Roman"/>
          <w:b w:val="0"/>
          <w:bCs w:val="0"/>
          <w:color w:val="auto"/>
          <w:kern w:val="2"/>
          <w:sz w:val="32"/>
          <w:szCs w:val="32"/>
          <w:lang w:val="en-US" w:eastAsia="zh-CN" w:bidi="ar-SA"/>
        </w:rPr>
        <w:t>4.承担政策研究、制度建设等工作，对县委和县委巡察工作领导小组决定的事项进行督办；</w:t>
      </w:r>
      <w:bookmarkEnd w:id="25"/>
    </w:p>
    <w:p w14:paraId="3E93F526">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26" w:name="_Toc28445"/>
      <w:r>
        <w:rPr>
          <w:rFonts w:hint="default" w:ascii="Times New Roman" w:hAnsi="Times New Roman" w:eastAsia="方正仿宋_GBK" w:cs="Times New Roman"/>
          <w:b w:val="0"/>
          <w:bCs w:val="0"/>
          <w:color w:val="auto"/>
          <w:kern w:val="2"/>
          <w:sz w:val="32"/>
          <w:szCs w:val="32"/>
          <w:lang w:val="en-US" w:eastAsia="zh-CN" w:bidi="ar-SA"/>
        </w:rPr>
        <w:t>5.配合县纪委、县委组织部等部门对巡察工作人员进行培训、考核、监督和管理；</w:t>
      </w:r>
      <w:bookmarkEnd w:id="26"/>
    </w:p>
    <w:p w14:paraId="4C713BD0">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27" w:name="_Toc25286"/>
      <w:r>
        <w:rPr>
          <w:rFonts w:hint="default" w:ascii="Times New Roman" w:hAnsi="Times New Roman" w:eastAsia="方正仿宋_GBK" w:cs="Times New Roman"/>
          <w:b w:val="0"/>
          <w:bCs w:val="0"/>
          <w:color w:val="auto"/>
          <w:kern w:val="2"/>
          <w:sz w:val="32"/>
          <w:szCs w:val="32"/>
          <w:lang w:val="en-US" w:eastAsia="zh-CN" w:bidi="ar-SA"/>
        </w:rPr>
        <w:t>6.建立健全与纪检、政法、组织、审计、信访等部门的联系机制，负责与其进行沟通衔接；</w:t>
      </w:r>
      <w:bookmarkEnd w:id="27"/>
    </w:p>
    <w:p w14:paraId="6A9F323D">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28" w:name="_Toc17020"/>
      <w:bookmarkStart w:id="29" w:name="_Toc16687"/>
      <w:r>
        <w:rPr>
          <w:rFonts w:hint="default" w:ascii="Times New Roman" w:hAnsi="Times New Roman" w:eastAsia="方正仿宋_GBK" w:cs="Times New Roman"/>
          <w:b w:val="0"/>
          <w:bCs w:val="0"/>
          <w:color w:val="auto"/>
          <w:kern w:val="2"/>
          <w:sz w:val="32"/>
          <w:szCs w:val="32"/>
          <w:lang w:val="en-US" w:eastAsia="zh-CN" w:bidi="ar-SA"/>
        </w:rPr>
        <w:t>7.办理县委巡察工作领导小组和上级巡察办交办的其他事项。</w:t>
      </w:r>
      <w:bookmarkEnd w:id="28"/>
      <w:bookmarkEnd w:id="29"/>
    </w:p>
    <w:p w14:paraId="56E6429F">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30" w:name="_Toc25724"/>
      <w:bookmarkStart w:id="31" w:name="_Toc14523"/>
      <w:r>
        <w:rPr>
          <w:rFonts w:hint="eastAsia" w:ascii="Times New Roman" w:hAnsi="Times New Roman" w:eastAsia="黑体" w:cs="Times New Roman"/>
          <w:b w:val="0"/>
          <w:color w:val="auto"/>
          <w:highlight w:val="none"/>
          <w:lang w:val="en-US" w:eastAsia="zh-CN"/>
        </w:rPr>
        <w:t>二、机构设置</w:t>
      </w:r>
      <w:bookmarkEnd w:id="30"/>
      <w:bookmarkEnd w:id="31"/>
    </w:p>
    <w:p w14:paraId="343D27C9">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32" w:name="_Toc7410"/>
      <w:r>
        <w:rPr>
          <w:rFonts w:hint="default" w:ascii="Times New Roman" w:hAnsi="Times New Roman" w:eastAsia="方正仿宋_GBK" w:cs="Times New Roman"/>
          <w:b w:val="0"/>
          <w:bCs w:val="0"/>
          <w:color w:val="auto"/>
          <w:kern w:val="2"/>
          <w:sz w:val="32"/>
          <w:szCs w:val="32"/>
          <w:lang w:val="en-US" w:eastAsia="zh-CN" w:bidi="ar-SA"/>
        </w:rPr>
        <w:t>阿坝州壤塘县巡察工作服务中心下属二级预算单位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个，其中行政单位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个，参照公务员法管理的事业单位0个，其他事业单位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w:t>
      </w:r>
      <w:bookmarkEnd w:id="32"/>
    </w:p>
    <w:p w14:paraId="4643162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666B35E">
      <w:pPr>
        <w:pStyle w:val="2"/>
        <w:jc w:val="center"/>
        <w:rPr>
          <w:rFonts w:ascii="Times New Roman" w:hAnsi="Times New Roman"/>
          <w:color w:val="auto"/>
          <w:highlight w:val="none"/>
        </w:rPr>
      </w:pPr>
      <w:bookmarkStart w:id="33" w:name="_Toc15377204"/>
      <w:bookmarkStart w:id="34" w:name="_Toc13828"/>
      <w:bookmarkStart w:id="35" w:name="_Toc15396602"/>
      <w:r>
        <w:rPr>
          <w:rFonts w:hint="eastAsia" w:ascii="黑体" w:hAnsi="黑体" w:eastAsia="黑体" w:cs="黑体"/>
          <w:b w:val="0"/>
          <w:color w:val="auto"/>
          <w:highlight w:val="none"/>
        </w:rPr>
        <w:t>第二部分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val="en-US" w:eastAsia="zh-CN"/>
        </w:rPr>
        <w:t>2025年度</w:t>
      </w:r>
      <w:r>
        <w:rPr>
          <w:rFonts w:hint="eastAsia" w:ascii="黑体" w:hAnsi="黑体" w:eastAsia="黑体" w:cs="黑体"/>
          <w:b w:val="0"/>
          <w:color w:val="auto"/>
          <w:highlight w:val="none"/>
        </w:rPr>
        <w:t>部门决算情况说明</w:t>
      </w:r>
      <w:bookmarkEnd w:id="33"/>
      <w:bookmarkEnd w:id="34"/>
      <w:bookmarkEnd w:id="35"/>
    </w:p>
    <w:p w14:paraId="159F80C6">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36" w:name="_Toc15396603"/>
      <w:bookmarkStart w:id="37" w:name="_Toc15377205"/>
      <w:bookmarkStart w:id="38" w:name="_Toc16210"/>
      <w:r>
        <w:rPr>
          <w:rFonts w:hint="eastAsia" w:ascii="Times New Roman" w:hAnsi="Times New Roman" w:eastAsia="黑体" w:cs="Times New Roman"/>
          <w:b w:val="0"/>
          <w:color w:val="auto"/>
          <w:highlight w:val="none"/>
          <w:lang w:val="en-US" w:eastAsia="zh-CN"/>
        </w:rPr>
        <w:t>一、收入支出决算总体情况说明</w:t>
      </w:r>
      <w:bookmarkEnd w:id="36"/>
      <w:bookmarkEnd w:id="37"/>
      <w:bookmarkEnd w:id="38"/>
    </w:p>
    <w:p w14:paraId="519D2AE1">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39" w:name="_Toc24177"/>
      <w:r>
        <w:rPr>
          <w:rFonts w:hint="eastAsia" w:ascii="Times New Roman" w:hAnsi="Times New Roman" w:eastAsia="方正仿宋_GBK" w:cs="Times New Roman"/>
          <w:b w:val="0"/>
          <w:bCs w:val="0"/>
          <w:color w:val="auto"/>
          <w:kern w:val="2"/>
          <w:sz w:val="32"/>
          <w:szCs w:val="32"/>
          <w:lang w:val="en-US" w:eastAsia="zh-CN" w:bidi="ar-SA"/>
        </w:rPr>
        <w:t>2025年度收入、支出总计均为123.81万元。与上年度相比，收入、支出总计各增加34.39万元，增长38.46%。主要变动原因是本年度人员编制增加，人数增长，工资福利性支出增加。</w:t>
      </w:r>
      <w:bookmarkEnd w:id="39"/>
    </w:p>
    <w:p w14:paraId="1BB8979D">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40" w:name="_Toc18347"/>
      <w:r>
        <w:rPr>
          <w:rFonts w:hint="eastAsia" w:ascii="Times New Roman" w:hAnsi="Times New Roman" w:eastAsia="方正仿宋_GBK" w:cs="Times New Roman"/>
          <w:b w:val="0"/>
          <w:bCs w:val="0"/>
          <w:color w:val="auto"/>
          <w:kern w:val="2"/>
          <w:sz w:val="32"/>
          <w:szCs w:val="32"/>
          <w:lang w:val="en-US" w:eastAsia="zh-CN" w:bidi="ar-SA"/>
        </w:rPr>
        <w:t>（图1：收入、支出决算总计变动情况图）（柱状图）</w:t>
      </w:r>
      <w:bookmarkEnd w:id="40"/>
    </w:p>
    <w:p w14:paraId="54ED02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1" name="图片 1" descr="收入支出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入支出决算总计变动情况图片1"/>
                    <pic:cNvPicPr>
                      <a:picLocks noChangeAspect="1"/>
                    </pic:cNvPicPr>
                  </pic:nvPicPr>
                  <pic:blipFill>
                    <a:blip r:embed="rId9"/>
                    <a:stretch>
                      <a:fillRect/>
                    </a:stretch>
                  </pic:blipFill>
                  <pic:spPr>
                    <a:xfrm>
                      <a:off x="0" y="0"/>
                      <a:ext cx="4838065" cy="2753995"/>
                    </a:xfrm>
                    <a:prstGeom prst="rect">
                      <a:avLst/>
                    </a:prstGeom>
                  </pic:spPr>
                </pic:pic>
              </a:graphicData>
            </a:graphic>
          </wp:inline>
        </w:drawing>
      </w:r>
    </w:p>
    <w:p w14:paraId="5E6D9EA2">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41" w:name="_Toc15377206"/>
      <w:bookmarkStart w:id="42" w:name="_Toc24811"/>
      <w:bookmarkStart w:id="43" w:name="_Toc15396604"/>
      <w:r>
        <w:rPr>
          <w:rFonts w:hint="eastAsia" w:ascii="Times New Roman" w:hAnsi="Times New Roman" w:eastAsia="黑体" w:cs="Times New Roman"/>
          <w:b w:val="0"/>
          <w:color w:val="auto"/>
          <w:highlight w:val="none"/>
          <w:lang w:val="en-US" w:eastAsia="zh-CN"/>
        </w:rPr>
        <w:t>二、收入决算情况说明</w:t>
      </w:r>
      <w:bookmarkEnd w:id="41"/>
      <w:bookmarkEnd w:id="42"/>
      <w:bookmarkEnd w:id="43"/>
    </w:p>
    <w:p w14:paraId="02486E9C">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44" w:name="_Toc8216"/>
      <w:r>
        <w:rPr>
          <w:rFonts w:hint="eastAsia" w:ascii="Times New Roman" w:hAnsi="Times New Roman" w:eastAsia="方正仿宋_GBK" w:cs="Times New Roman"/>
          <w:b w:val="0"/>
          <w:bCs w:val="0"/>
          <w:color w:val="auto"/>
          <w:kern w:val="2"/>
          <w:sz w:val="32"/>
          <w:szCs w:val="32"/>
          <w:lang w:val="en-US" w:eastAsia="zh-CN" w:bidi="ar-SA"/>
        </w:rPr>
        <w:t>2025年度本年收入合计123.81万元，其中：一般公共预算财政拨款收入123.81万元，占100%。（注：仅罗列本部门涉及的收入）</w:t>
      </w:r>
      <w:bookmarkEnd w:id="44"/>
    </w:p>
    <w:p w14:paraId="772B476F">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45" w:name="_Toc13016"/>
      <w:r>
        <w:rPr>
          <w:rFonts w:hint="eastAsia" w:ascii="Times New Roman" w:hAnsi="Times New Roman" w:eastAsia="方正仿宋_GBK" w:cs="Times New Roman"/>
          <w:b w:val="0"/>
          <w:bCs w:val="0"/>
          <w:color w:val="auto"/>
          <w:kern w:val="2"/>
          <w:sz w:val="32"/>
          <w:szCs w:val="32"/>
          <w:lang w:val="en-US" w:eastAsia="zh-CN" w:bidi="ar-SA"/>
        </w:rPr>
        <w:t>（图2：收入决算结构图）（饼状图）</w:t>
      </w:r>
      <w:bookmarkEnd w:id="45"/>
    </w:p>
    <w:p w14:paraId="3B8CAB8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568575"/>
            <wp:effectExtent l="0" t="0" r="635" b="3175"/>
            <wp:docPr id="9" name="图片 9" descr="收入决算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收入决算图片1"/>
                    <pic:cNvPicPr>
                      <a:picLocks noChangeAspect="1"/>
                    </pic:cNvPicPr>
                  </pic:nvPicPr>
                  <pic:blipFill>
                    <a:blip r:embed="rId10"/>
                    <a:stretch>
                      <a:fillRect/>
                    </a:stretch>
                  </pic:blipFill>
                  <pic:spPr>
                    <a:xfrm>
                      <a:off x="0" y="0"/>
                      <a:ext cx="4838065" cy="2568575"/>
                    </a:xfrm>
                    <a:prstGeom prst="rect">
                      <a:avLst/>
                    </a:prstGeom>
                  </pic:spPr>
                </pic:pic>
              </a:graphicData>
            </a:graphic>
          </wp:inline>
        </w:drawing>
      </w:r>
    </w:p>
    <w:p w14:paraId="5C3A8D6F">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46" w:name="_Toc15377207"/>
      <w:bookmarkStart w:id="47" w:name="_Toc24070"/>
      <w:bookmarkStart w:id="48" w:name="_Toc15396605"/>
      <w:r>
        <w:rPr>
          <w:rFonts w:hint="eastAsia" w:ascii="Times New Roman" w:hAnsi="Times New Roman" w:eastAsia="黑体" w:cs="Times New Roman"/>
          <w:b w:val="0"/>
          <w:color w:val="auto"/>
          <w:highlight w:val="none"/>
          <w:lang w:val="en-US" w:eastAsia="zh-CN"/>
        </w:rPr>
        <w:t>三、支出决算情况说明</w:t>
      </w:r>
      <w:bookmarkEnd w:id="46"/>
      <w:bookmarkEnd w:id="47"/>
      <w:bookmarkEnd w:id="48"/>
    </w:p>
    <w:p w14:paraId="53AE7617">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49" w:name="_Toc31606"/>
      <w:r>
        <w:rPr>
          <w:rFonts w:hint="eastAsia" w:ascii="Times New Roman" w:hAnsi="Times New Roman" w:eastAsia="方正仿宋_GBK" w:cs="Times New Roman"/>
          <w:b w:val="0"/>
          <w:bCs w:val="0"/>
          <w:color w:val="auto"/>
          <w:kern w:val="2"/>
          <w:sz w:val="32"/>
          <w:szCs w:val="32"/>
          <w:lang w:val="en-US" w:eastAsia="zh-CN" w:bidi="ar-SA"/>
        </w:rPr>
        <w:t>2025年度本年支出合计123.81万元，其中：基本支出123.81万元，占100%。（注：仅罗列本部门涉及的支出）</w:t>
      </w:r>
      <w:bookmarkEnd w:id="49"/>
    </w:p>
    <w:p w14:paraId="06588740">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50" w:name="_Toc28647"/>
      <w:r>
        <w:rPr>
          <w:rFonts w:hint="eastAsia" w:ascii="Times New Roman" w:hAnsi="Times New Roman" w:eastAsia="方正仿宋_GBK" w:cs="Times New Roman"/>
          <w:b w:val="0"/>
          <w:bCs w:val="0"/>
          <w:color w:val="auto"/>
          <w:kern w:val="2"/>
          <w:sz w:val="32"/>
          <w:szCs w:val="32"/>
          <w:lang w:val="en-US" w:eastAsia="zh-CN" w:bidi="ar-SA"/>
        </w:rPr>
        <w:t>（图3：支出决算结构图）（饼状图）</w:t>
      </w:r>
      <w:bookmarkEnd w:id="50"/>
    </w:p>
    <w:p w14:paraId="178D6B6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10" name="图片 10" descr="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支出决算结构图片1"/>
                    <pic:cNvPicPr>
                      <a:picLocks noChangeAspect="1"/>
                    </pic:cNvPicPr>
                  </pic:nvPicPr>
                  <pic:blipFill>
                    <a:blip r:embed="rId11"/>
                    <a:stretch>
                      <a:fillRect/>
                    </a:stretch>
                  </pic:blipFill>
                  <pic:spPr>
                    <a:xfrm>
                      <a:off x="0" y="0"/>
                      <a:ext cx="4838065" cy="2753995"/>
                    </a:xfrm>
                    <a:prstGeom prst="rect">
                      <a:avLst/>
                    </a:prstGeom>
                  </pic:spPr>
                </pic:pic>
              </a:graphicData>
            </a:graphic>
          </wp:inline>
        </w:drawing>
      </w:r>
    </w:p>
    <w:p w14:paraId="7C69E7DC">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51" w:name="_Toc15396606"/>
      <w:bookmarkStart w:id="52" w:name="_Toc12727"/>
      <w:bookmarkStart w:id="53" w:name="_Toc15377208"/>
      <w:r>
        <w:rPr>
          <w:rFonts w:hint="eastAsia" w:ascii="Times New Roman" w:hAnsi="Times New Roman" w:eastAsia="黑体" w:cs="Times New Roman"/>
          <w:b w:val="0"/>
          <w:color w:val="auto"/>
          <w:highlight w:val="none"/>
          <w:lang w:val="en-US" w:eastAsia="zh-CN"/>
        </w:rPr>
        <w:t>四、财政拨款收入支出决算总体情况说明</w:t>
      </w:r>
      <w:bookmarkEnd w:id="51"/>
      <w:bookmarkEnd w:id="52"/>
      <w:bookmarkEnd w:id="53"/>
    </w:p>
    <w:p w14:paraId="2FC1B188">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54" w:name="_Toc27117"/>
      <w:r>
        <w:rPr>
          <w:rFonts w:hint="eastAsia" w:ascii="Times New Roman" w:hAnsi="Times New Roman" w:eastAsia="方正仿宋_GBK" w:cs="Times New Roman"/>
          <w:b w:val="0"/>
          <w:bCs w:val="0"/>
          <w:color w:val="auto"/>
          <w:kern w:val="2"/>
          <w:sz w:val="32"/>
          <w:szCs w:val="32"/>
          <w:lang w:val="en-US" w:eastAsia="zh-CN" w:bidi="ar-SA"/>
        </w:rPr>
        <w:t>2025年度财政拨款收入、支出总计均为123.81万元。与上年度相比，财政拨款收入、支出总计各增加34.39万元，增长38.46%。主要变动原因是本年度人员编制增加，人数增长，工资福利性支出增加。</w:t>
      </w:r>
      <w:bookmarkEnd w:id="54"/>
    </w:p>
    <w:p w14:paraId="1F3CD107">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（图4：财政拨款收、支决算总计变动情况）（柱状图）</w:t>
      </w:r>
    </w:p>
    <w:p w14:paraId="3935C7D0">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5" name="图片 5" descr="财政拨款收、支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财政拨款收、支决算总计变动情况图片1"/>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14:paraId="71B827A8">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55" w:name="_Toc17290"/>
      <w:bookmarkStart w:id="56" w:name="_Toc15396607"/>
      <w:bookmarkStart w:id="57" w:name="_Toc15377209"/>
      <w:r>
        <w:rPr>
          <w:rFonts w:hint="eastAsia" w:ascii="Times New Roman" w:hAnsi="Times New Roman" w:eastAsia="黑体" w:cs="Times New Roman"/>
          <w:b w:val="0"/>
          <w:color w:val="auto"/>
          <w:highlight w:val="none"/>
          <w:lang w:val="en-US" w:eastAsia="zh-CN"/>
        </w:rPr>
        <w:t>五、一般公共预算财政拨款支出决算情况说明</w:t>
      </w:r>
      <w:bookmarkEnd w:id="55"/>
      <w:bookmarkEnd w:id="56"/>
      <w:bookmarkEnd w:id="57"/>
    </w:p>
    <w:p w14:paraId="4AABC48E">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58" w:name="_Toc15377210"/>
      <w:r>
        <w:rPr>
          <w:rFonts w:hint="eastAsia" w:ascii="Times New Roman" w:hAnsi="Times New Roman" w:eastAsia="方正楷体_GBK" w:cs="Times New Roman"/>
          <w:b/>
          <w:bCs/>
          <w:color w:val="auto"/>
          <w:sz w:val="32"/>
          <w:szCs w:val="32"/>
          <w:lang w:val="en-US" w:eastAsia="zh-CN"/>
        </w:rPr>
        <w:t>（一）一般公共预算财政拨款支出决算总体情况</w:t>
      </w:r>
      <w:bookmarkEnd w:id="58"/>
    </w:p>
    <w:p w14:paraId="1419E461">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59" w:name="_Toc1059"/>
      <w:r>
        <w:rPr>
          <w:rFonts w:hint="eastAsia" w:ascii="Times New Roman" w:hAnsi="Times New Roman" w:eastAsia="方正仿宋_GBK" w:cs="Times New Roman"/>
          <w:b w:val="0"/>
          <w:bCs w:val="0"/>
          <w:color w:val="auto"/>
          <w:kern w:val="2"/>
          <w:sz w:val="32"/>
          <w:szCs w:val="32"/>
          <w:lang w:val="en-US" w:eastAsia="zh-CN" w:bidi="ar-SA"/>
        </w:rPr>
        <w:t>2025年度一般公共预算财政拨款支出123.81万元，占本年支出合计的100%。与上年度相比，一般公共预算财政拨款支出增加34.39万元，增长38.46%。主要变动原因是本年度人员编制增加，人数增长，工资福利性支出增加。</w:t>
      </w:r>
      <w:bookmarkEnd w:id="59"/>
    </w:p>
    <w:p w14:paraId="0520A328">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（图5：一般公共预算财政拨款支出决算变动情况）（柱状图）</w:t>
      </w:r>
    </w:p>
    <w:p w14:paraId="2312A9A3">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307840" cy="2452370"/>
            <wp:effectExtent l="0" t="0" r="16510" b="5080"/>
            <wp:docPr id="7" name="图片 7" descr="一般公共预算财政拨款支出决算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变动情况图片1"/>
                    <pic:cNvPicPr>
                      <a:picLocks noChangeAspect="1"/>
                    </pic:cNvPicPr>
                  </pic:nvPicPr>
                  <pic:blipFill>
                    <a:blip r:embed="rId13"/>
                    <a:stretch>
                      <a:fillRect/>
                    </a:stretch>
                  </pic:blipFill>
                  <pic:spPr>
                    <a:xfrm>
                      <a:off x="0" y="0"/>
                      <a:ext cx="4307840" cy="2452370"/>
                    </a:xfrm>
                    <a:prstGeom prst="rect">
                      <a:avLst/>
                    </a:prstGeom>
                  </pic:spPr>
                </pic:pic>
              </a:graphicData>
            </a:graphic>
          </wp:inline>
        </w:drawing>
      </w:r>
    </w:p>
    <w:p w14:paraId="75F46538">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60" w:name="_Toc15377211"/>
      <w:r>
        <w:rPr>
          <w:rFonts w:hint="eastAsia" w:ascii="Times New Roman" w:hAnsi="Times New Roman" w:eastAsia="方正楷体_GBK" w:cs="Times New Roman"/>
          <w:b/>
          <w:bCs/>
          <w:color w:val="auto"/>
          <w:sz w:val="32"/>
          <w:szCs w:val="32"/>
          <w:lang w:val="en-US" w:eastAsia="zh-CN"/>
        </w:rPr>
        <w:t>（二）一般公共预算财政拨款支出决算结构情况</w:t>
      </w:r>
      <w:bookmarkEnd w:id="60"/>
    </w:p>
    <w:p w14:paraId="1C2BB068">
      <w:pPr>
        <w:spacing w:line="600" w:lineRule="exact"/>
        <w:ind w:firstLine="640"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2025年度一般公共预算财政拨款支出123.81万元，主要用于以下方面：一般公共服务支出89.9万元，占72.61%；社会保障和就业支出18.38万元，占14.85%；卫生健康支出6.2万元，占5%；住房保障支出9.34万元，占7.54%。</w:t>
      </w:r>
      <w:r>
        <w:rPr>
          <w:rFonts w:hint="eastAsia" w:ascii="Times New Roman" w:hAnsi="Times New Roman" w:eastAsia="方正仿宋_GBK" w:cs="Times New Roman"/>
          <w:b/>
          <w:bCs/>
          <w:color w:val="auto"/>
          <w:kern w:val="2"/>
          <w:sz w:val="32"/>
          <w:szCs w:val="32"/>
          <w:lang w:val="en-US" w:eastAsia="zh-CN" w:bidi="ar-SA"/>
        </w:rPr>
        <w:t>（注：仅罗列本部门涉及的支出）</w:t>
      </w:r>
    </w:p>
    <w:p w14:paraId="314ED68C">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（图6：一般公共预算财政拨款支出决算结构）（饼状图）</w:t>
      </w:r>
    </w:p>
    <w:p w14:paraId="7F6D8C5C">
      <w:pPr>
        <w:spacing w:line="240" w:lineRule="auto"/>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default"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8" name="图片 8" descr="一般公共预算财政拨款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一般公共预算财政拨款支出决算结构图片1"/>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14344010">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61" w:name="_Toc15377212"/>
      <w:r>
        <w:rPr>
          <w:rFonts w:hint="eastAsia" w:ascii="Times New Roman" w:hAnsi="Times New Roman" w:eastAsia="方正楷体_GBK" w:cs="Times New Roman"/>
          <w:b/>
          <w:bCs/>
          <w:color w:val="auto"/>
          <w:sz w:val="32"/>
          <w:szCs w:val="32"/>
          <w:lang w:val="en-US" w:eastAsia="zh-CN"/>
        </w:rPr>
        <w:t>（三）一般公共预算财政拨款支出决算具体情况</w:t>
      </w:r>
      <w:bookmarkEnd w:id="61"/>
    </w:p>
    <w:p w14:paraId="27ABA94E">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bookmarkStart w:id="62" w:name="_Toc15377213"/>
      <w:bookmarkStart w:id="63" w:name="_Toc15378460"/>
      <w:bookmarkStart w:id="64" w:name="_Toc15377444"/>
      <w:r>
        <w:rPr>
          <w:rFonts w:hint="eastAsia" w:ascii="Times New Roman" w:hAnsi="Times New Roman" w:eastAsia="方正仿宋_GBK" w:cs="Times New Roman"/>
          <w:b w:val="0"/>
          <w:bCs w:val="0"/>
          <w:color w:val="auto"/>
          <w:kern w:val="2"/>
          <w:sz w:val="32"/>
          <w:szCs w:val="32"/>
          <w:lang w:val="en-US" w:eastAsia="zh-CN" w:bidi="ar-SA"/>
        </w:rPr>
        <w:t>2025年度一般公共预算支出决算数为123.81，完成预算100%。其中：</w:t>
      </w:r>
      <w:bookmarkEnd w:id="62"/>
      <w:bookmarkEnd w:id="63"/>
      <w:bookmarkEnd w:id="64"/>
    </w:p>
    <w:p w14:paraId="62058EE1">
      <w:pPr>
        <w:spacing w:line="600" w:lineRule="exact"/>
        <w:ind w:firstLine="643"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1.一般公共服务（类）201（款）20111（项）：</w:t>
      </w:r>
      <w:r>
        <w:rPr>
          <w:rFonts w:hint="eastAsia" w:ascii="Times New Roman" w:hAnsi="Times New Roman" w:eastAsia="方正仿宋_GBK" w:cs="Times New Roman"/>
          <w:b w:val="0"/>
          <w:bCs w:val="0"/>
          <w:color w:val="auto"/>
          <w:kern w:val="2"/>
          <w:sz w:val="32"/>
          <w:szCs w:val="32"/>
          <w:lang w:val="en-US" w:eastAsia="zh-CN" w:bidi="ar-SA"/>
        </w:rPr>
        <w:t xml:space="preserve"> 支出决算为89.9万元，完成预算100%，决算数等于预算数。</w:t>
      </w:r>
    </w:p>
    <w:p w14:paraId="41E8A08A">
      <w:pPr>
        <w:spacing w:line="600" w:lineRule="exact"/>
        <w:ind w:firstLine="643"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 xml:space="preserve">2.社会保障和就业（类）208（款）20805（项）： </w:t>
      </w:r>
      <w:r>
        <w:rPr>
          <w:rFonts w:hint="eastAsia" w:ascii="Times New Roman" w:hAnsi="Times New Roman" w:eastAsia="方正仿宋_GBK" w:cs="Times New Roman"/>
          <w:b w:val="0"/>
          <w:bCs w:val="0"/>
          <w:color w:val="auto"/>
          <w:kern w:val="2"/>
          <w:sz w:val="32"/>
          <w:szCs w:val="32"/>
          <w:lang w:val="en-US" w:eastAsia="zh-CN" w:bidi="ar-SA"/>
        </w:rPr>
        <w:t>支出决算为18.38万元，完成预算100%，决算数等于预算数。</w:t>
      </w:r>
    </w:p>
    <w:p w14:paraId="4230EBBF">
      <w:pPr>
        <w:spacing w:line="600" w:lineRule="exact"/>
        <w:ind w:firstLine="643"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3.卫生健康（类）210（款）21011（项）：</w:t>
      </w:r>
      <w:r>
        <w:rPr>
          <w:rFonts w:hint="eastAsia" w:ascii="Times New Roman" w:hAnsi="Times New Roman" w:eastAsia="方正仿宋_GBK" w:cs="Times New Roman"/>
          <w:b w:val="0"/>
          <w:bCs w:val="0"/>
          <w:color w:val="auto"/>
          <w:kern w:val="2"/>
          <w:sz w:val="32"/>
          <w:szCs w:val="32"/>
          <w:lang w:val="en-US" w:eastAsia="zh-CN" w:bidi="ar-SA"/>
        </w:rPr>
        <w:t>支出决算为6.2万元，完成预算100%，决算数等于预算数。</w:t>
      </w:r>
    </w:p>
    <w:p w14:paraId="144EAADA">
      <w:pPr>
        <w:spacing w:line="600" w:lineRule="exact"/>
        <w:ind w:firstLine="643"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4.住房保障（类）221（款）22102（项）：</w:t>
      </w:r>
      <w:r>
        <w:rPr>
          <w:rFonts w:hint="eastAsia" w:ascii="Times New Roman" w:hAnsi="Times New Roman" w:eastAsia="方正仿宋_GBK" w:cs="Times New Roman"/>
          <w:b w:val="0"/>
          <w:bCs w:val="0"/>
          <w:color w:val="auto"/>
          <w:kern w:val="2"/>
          <w:sz w:val="32"/>
          <w:szCs w:val="32"/>
          <w:lang w:val="en-US" w:eastAsia="zh-CN" w:bidi="ar-SA"/>
        </w:rPr>
        <w:t>支出决算为9.34万元，完成预算100%，决算数等于预算数。</w:t>
      </w:r>
    </w:p>
    <w:p w14:paraId="2CDBA5D5">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color w:val="auto"/>
          <w:kern w:val="2"/>
          <w:sz w:val="32"/>
          <w:szCs w:val="32"/>
          <w:lang w:val="en-US" w:eastAsia="zh-CN" w:bidi="ar-SA"/>
        </w:rPr>
        <w:t>（注：仅罗列本部门涉及的全部功能分类科目，至项级。上述“预算”口径为全年预算数。增减变动原因为决算数〈项级〉和全年预算数〈项级〉比较，与预算数持平可以不写原因）</w:t>
      </w:r>
    </w:p>
    <w:p w14:paraId="1A41FD44">
      <w:pPr>
        <w:tabs>
          <w:tab w:val="right" w:pos="8306"/>
        </w:tabs>
        <w:spacing w:line="600" w:lineRule="exact"/>
        <w:ind w:firstLine="640"/>
        <w:outlineLvl w:val="1"/>
        <w:rPr>
          <w:rStyle w:val="29"/>
          <w:rFonts w:ascii="Times New Roman" w:hAnsi="Times New Roman"/>
          <w:color w:val="auto"/>
          <w:highlight w:val="none"/>
        </w:rPr>
      </w:pPr>
      <w:bookmarkStart w:id="65" w:name="_Toc23946"/>
      <w:bookmarkStart w:id="66" w:name="_Toc15396608"/>
      <w:bookmarkStart w:id="67" w:name="_Toc15377214"/>
      <w:r>
        <w:rPr>
          <w:rFonts w:hint="eastAsia" w:ascii="Times New Roman" w:hAnsi="Times New Roman" w:eastAsia="黑体" w:cs="Times New Roman"/>
          <w:b w:val="0"/>
          <w:bCs/>
          <w:color w:val="auto"/>
          <w:kern w:val="2"/>
          <w:sz w:val="32"/>
          <w:szCs w:val="32"/>
          <w:highlight w:val="none"/>
          <w:lang w:val="en-US" w:eastAsia="zh-CN" w:bidi="ar-SA"/>
        </w:rPr>
        <w:t>六、一般公共预算财政拨款基本支出决算情况说明</w:t>
      </w:r>
      <w:bookmarkEnd w:id="65"/>
      <w:bookmarkEnd w:id="66"/>
      <w:bookmarkEnd w:id="67"/>
      <w:r>
        <w:rPr>
          <w:rStyle w:val="29"/>
          <w:rFonts w:ascii="Times New Roman" w:hAnsi="Times New Roman" w:eastAsia="黑体"/>
          <w:b w:val="0"/>
          <w:color w:val="auto"/>
          <w:highlight w:val="none"/>
        </w:rPr>
        <w:tab/>
      </w:r>
    </w:p>
    <w:p w14:paraId="7DD83520">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2025年度一般公共预算财政拨款基本支出123.81万元，其中：</w:t>
      </w:r>
    </w:p>
    <w:p w14:paraId="3530890F">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人员经费112.67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方正仿宋_GBK" w:cs="Times New Roman"/>
          <w:b w:val="0"/>
          <w:bCs w:val="0"/>
          <w:color w:val="auto"/>
          <w:kern w:val="2"/>
          <w:sz w:val="32"/>
          <w:szCs w:val="32"/>
          <w:lang w:val="en-US" w:eastAsia="zh-CN" w:bidi="ar-SA"/>
        </w:rPr>
        <w:br w:type="textWrapping"/>
      </w:r>
      <w:r>
        <w:rPr>
          <w:rFonts w:hint="eastAsia" w:ascii="Times New Roman" w:hAnsi="Times New Roman" w:eastAsia="方正仿宋_GBK" w:cs="Times New Roman"/>
          <w:b w:val="0"/>
          <w:bCs w:val="0"/>
          <w:color w:val="auto"/>
          <w:kern w:val="2"/>
          <w:sz w:val="32"/>
          <w:szCs w:val="32"/>
          <w:lang w:val="en-US" w:eastAsia="zh-CN" w:bidi="ar-SA"/>
        </w:rPr>
        <w:t>　　公用经费11.14万元，主要包括：办公费、印刷费、咨询费、手续费、水费、电费、邮电费、取暖费、物业管理费、差旅费、、维修（护）费、工会经费、福利费、其他交通费、税金及附加费用、其他商品和服务支出、办公设备购置、专用设备购置、信息网络及软件购置更新、其他资本性支出等。</w:t>
      </w:r>
    </w:p>
    <w:p w14:paraId="04507DF9">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（注：仅罗列本部门实际支出涉及的经济分类科目）</w:t>
      </w:r>
    </w:p>
    <w:p w14:paraId="0EDA74D2">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Style w:val="29"/>
          <w:rFonts w:ascii="Times New Roman" w:hAnsi="Times New Roman" w:eastAsia="黑体"/>
          <w:b w:val="0"/>
          <w:bCs/>
          <w:color w:val="auto"/>
          <w:highlight w:val="none"/>
        </w:rPr>
      </w:pPr>
      <w:bookmarkStart w:id="68" w:name="_Toc32401"/>
      <w:bookmarkStart w:id="69" w:name="_Toc15377215"/>
      <w:bookmarkStart w:id="70" w:name="_Toc15396609"/>
      <w:r>
        <w:rPr>
          <w:rFonts w:hint="eastAsia" w:ascii="Times New Roman" w:hAnsi="Times New Roman" w:eastAsia="黑体" w:cs="Times New Roman"/>
          <w:b w:val="0"/>
          <w:color w:val="auto"/>
          <w:highlight w:val="none"/>
          <w:lang w:val="en-US" w:eastAsia="zh-CN"/>
        </w:rPr>
        <w:t>七、财政拨款“三公”经费支出决算情况说明</w:t>
      </w:r>
      <w:bookmarkEnd w:id="68"/>
      <w:bookmarkEnd w:id="69"/>
      <w:bookmarkEnd w:id="70"/>
    </w:p>
    <w:p w14:paraId="0B1FCCA7">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71" w:name="_Toc15377216"/>
      <w:r>
        <w:rPr>
          <w:rFonts w:hint="eastAsia" w:ascii="Times New Roman" w:hAnsi="Times New Roman" w:eastAsia="方正楷体_GBK" w:cs="Times New Roman"/>
          <w:b/>
          <w:bCs/>
          <w:color w:val="auto"/>
          <w:sz w:val="32"/>
          <w:szCs w:val="32"/>
          <w:lang w:val="en-US" w:eastAsia="zh-CN"/>
        </w:rPr>
        <w:t>（一）财政拨款“三公”经费支出决算总体情况说明</w:t>
      </w:r>
      <w:bookmarkEnd w:id="71"/>
    </w:p>
    <w:p w14:paraId="5D21A317">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2025年度财政拨款“三公”经费支出决算为0万元，完成预算0%，较上年度增加/减少0万元，增长/下降0%。决算数等于预算数（或与预算数持平）。</w:t>
      </w:r>
    </w:p>
    <w:p w14:paraId="4F6E7A36">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（注：上述“预算”口径为全年预算数，包括一般公共预算和政府性基金预算财政拨款支出决算情况，与预算数持平可以不写原因）</w:t>
      </w:r>
    </w:p>
    <w:p w14:paraId="799A22C2">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72" w:name="_Toc15377217"/>
      <w:r>
        <w:rPr>
          <w:rFonts w:hint="eastAsia" w:ascii="Times New Roman" w:hAnsi="Times New Roman" w:eastAsia="方正楷体_GBK" w:cs="Times New Roman"/>
          <w:b/>
          <w:bCs/>
          <w:color w:val="auto"/>
          <w:sz w:val="32"/>
          <w:szCs w:val="32"/>
          <w:lang w:val="en-US" w:eastAsia="zh-CN"/>
        </w:rPr>
        <w:t>（二）财政拨款“三公”经费支出决算具体情况说明</w:t>
      </w:r>
      <w:bookmarkEnd w:id="72"/>
    </w:p>
    <w:p w14:paraId="6AD92361">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2025年度财政拨款“三公”经费支出决算中，因公出国（境）费支出决算0万元，占0%；公务用车购置及运行维护费支出决算0万元，占0%；公务接待费支出决算0万元，占0%。具体情况如下：</w:t>
      </w:r>
    </w:p>
    <w:p w14:paraId="1E38C8AA">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（图7：财政拨款“三公”经费支出结构）（饼状图）</w:t>
      </w:r>
    </w:p>
    <w:p w14:paraId="5823BF42">
      <w:pPr>
        <w:spacing w:line="240" w:lineRule="auto"/>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4131945" cy="2352040"/>
            <wp:effectExtent l="0" t="0" r="1905" b="10160"/>
            <wp:docPr id="11" name="图片 11" descr="三公经费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三公经费图片1"/>
                    <pic:cNvPicPr>
                      <a:picLocks noChangeAspect="1"/>
                    </pic:cNvPicPr>
                  </pic:nvPicPr>
                  <pic:blipFill>
                    <a:blip r:embed="rId15"/>
                    <a:stretch>
                      <a:fillRect/>
                    </a:stretch>
                  </pic:blipFill>
                  <pic:spPr>
                    <a:xfrm>
                      <a:off x="0" y="0"/>
                      <a:ext cx="4131945" cy="2352040"/>
                    </a:xfrm>
                    <a:prstGeom prst="rect">
                      <a:avLst/>
                    </a:prstGeom>
                  </pic:spPr>
                </pic:pic>
              </a:graphicData>
            </a:graphic>
          </wp:inline>
        </w:drawing>
      </w:r>
    </w:p>
    <w:p w14:paraId="0B48F5D4">
      <w:pPr>
        <w:spacing w:line="600" w:lineRule="exact"/>
        <w:ind w:firstLine="64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1.因公出国（境）经费支出0万元，完成预算0%。</w:t>
      </w:r>
      <w:r>
        <w:rPr>
          <w:rFonts w:hint="eastAsia" w:ascii="Times New Roman" w:hAnsi="Times New Roman" w:eastAsia="方正仿宋_GBK" w:cs="Times New Roman"/>
          <w:b w:val="0"/>
          <w:bCs w:val="0"/>
          <w:color w:val="auto"/>
          <w:kern w:val="2"/>
          <w:sz w:val="32"/>
          <w:szCs w:val="32"/>
          <w:lang w:val="en-US" w:eastAsia="zh-CN" w:bidi="ar-SA"/>
        </w:rPr>
        <w:t>全年安排因公出国（境）团组0次，出国（境）0人。因公出国（境）支出决算比上年度增加/减少0万元，增长/下降0%。</w:t>
      </w:r>
    </w:p>
    <w:p w14:paraId="7AEEA30D">
      <w:pPr>
        <w:spacing w:line="600" w:lineRule="exact"/>
        <w:ind w:firstLine="64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2.公务用车购置及运行维护费支出0万元，完成预算0%。</w:t>
      </w:r>
      <w:r>
        <w:rPr>
          <w:rFonts w:hint="eastAsia" w:ascii="Times New Roman" w:hAnsi="Times New Roman" w:eastAsia="方正仿宋_GBK" w:cs="Times New Roman"/>
          <w:b w:val="0"/>
          <w:bCs w:val="0"/>
          <w:color w:val="auto"/>
          <w:kern w:val="2"/>
          <w:sz w:val="32"/>
          <w:szCs w:val="32"/>
          <w:lang w:val="en-US" w:eastAsia="zh-CN" w:bidi="ar-SA"/>
        </w:rPr>
        <w:t>公务用车购置及运行维护费支出决算比上年度增加/减少0万元，增长/下降0%。</w:t>
      </w:r>
    </w:p>
    <w:p w14:paraId="284824BE">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1BA57F0B">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公务用车运行维护费支出0万元。</w:t>
      </w:r>
    </w:p>
    <w:p w14:paraId="4857E19E">
      <w:pPr>
        <w:spacing w:line="600" w:lineRule="exact"/>
        <w:ind w:firstLine="643"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3.公务接待费支出0万元，完成预算0%。</w:t>
      </w:r>
      <w:r>
        <w:rPr>
          <w:rFonts w:hint="eastAsia" w:ascii="Times New Roman" w:hAnsi="Times New Roman" w:eastAsia="方正仿宋_GBK" w:cs="Times New Roman"/>
          <w:b w:val="0"/>
          <w:bCs w:val="0"/>
          <w:color w:val="auto"/>
          <w:kern w:val="2"/>
          <w:sz w:val="32"/>
          <w:szCs w:val="32"/>
          <w:lang w:val="en-US" w:eastAsia="zh-CN" w:bidi="ar-SA"/>
        </w:rPr>
        <w:t>公务接待费支出决算比上年度增加/减少0万元，增长/下降0%。其中：</w:t>
      </w:r>
    </w:p>
    <w:p w14:paraId="2C0D94A9">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国内公务接待支出0万元，国内公务接待0批次，0人次（不包括陪同人员），共计支出0万元。</w:t>
      </w:r>
    </w:p>
    <w:p w14:paraId="56014B29">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外事接待支出0万元。外事接待0批次，0人次（不包括陪同人员），共计支出0万元。</w:t>
      </w:r>
      <w:bookmarkStart w:id="73" w:name="_Toc15377218"/>
      <w:bookmarkStart w:id="74" w:name="_Toc15396610"/>
    </w:p>
    <w:p w14:paraId="4ED39489">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75" w:name="_Toc30234"/>
      <w:r>
        <w:rPr>
          <w:rFonts w:hint="eastAsia" w:ascii="Times New Roman" w:hAnsi="Times New Roman" w:eastAsia="黑体" w:cs="Times New Roman"/>
          <w:b w:val="0"/>
          <w:color w:val="auto"/>
          <w:highlight w:val="none"/>
          <w:lang w:val="en-US" w:eastAsia="zh-CN"/>
        </w:rPr>
        <w:t>八、政府性基金预算支出决算情况说明</w:t>
      </w:r>
      <w:bookmarkEnd w:id="73"/>
      <w:bookmarkEnd w:id="74"/>
      <w:bookmarkEnd w:id="75"/>
    </w:p>
    <w:p w14:paraId="7D07E37E">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2025年度政府性基金预算财政拨款支出0万元，占本年支出合计的0%。与上年度相比，政府性基金预算财政拨款支出增加/减少0万元，增长/下降0%。</w:t>
      </w:r>
    </w:p>
    <w:p w14:paraId="13F09DCA">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（注：支出数与上年持平可以不写原因）</w:t>
      </w:r>
    </w:p>
    <w:p w14:paraId="7F61669E">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Style w:val="29"/>
          <w:rFonts w:ascii="Times New Roman" w:hAnsi="Times New Roman" w:eastAsia="黑体"/>
          <w:b w:val="0"/>
          <w:bCs/>
          <w:color w:val="auto"/>
          <w:highlight w:val="none"/>
        </w:rPr>
      </w:pPr>
      <w:bookmarkStart w:id="76" w:name="_Toc15377219"/>
      <w:bookmarkStart w:id="77" w:name="_Toc18581"/>
      <w:bookmarkStart w:id="78" w:name="_Toc15396611"/>
      <w:r>
        <w:rPr>
          <w:rFonts w:hint="eastAsia" w:ascii="Times New Roman" w:hAnsi="Times New Roman" w:eastAsia="黑体" w:cs="Times New Roman"/>
          <w:b w:val="0"/>
          <w:color w:val="auto"/>
          <w:highlight w:val="none"/>
          <w:lang w:val="en-US" w:eastAsia="zh-CN"/>
        </w:rPr>
        <w:t>九、国有资本经营预算支出决算情况说明</w:t>
      </w:r>
      <w:bookmarkEnd w:id="76"/>
      <w:bookmarkEnd w:id="77"/>
      <w:bookmarkEnd w:id="78"/>
    </w:p>
    <w:p w14:paraId="7E1BC958">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2025年度国有资本经营预算财政拨款支出0万元，占本年支出合计的0%。与上年度相比，国有资本经营预算财政拨款支出增加/减少0万元，增长/下降0%。</w:t>
      </w:r>
    </w:p>
    <w:p w14:paraId="3E3057D7">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（注：支出数与上年持平可以不写原因）</w:t>
      </w:r>
    </w:p>
    <w:p w14:paraId="4CBFDE37">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Style w:val="29"/>
          <w:rFonts w:hint="eastAsia" w:ascii="Times New Roman" w:hAnsi="Times New Roman" w:eastAsia="黑体"/>
          <w:b w:val="0"/>
          <w:bCs/>
          <w:color w:val="auto"/>
          <w:highlight w:val="none"/>
        </w:rPr>
      </w:pPr>
      <w:bookmarkStart w:id="79" w:name="_Toc2829"/>
      <w:bookmarkStart w:id="80" w:name="_Toc15396612"/>
      <w:bookmarkStart w:id="81" w:name="_Toc15377221"/>
      <w:r>
        <w:rPr>
          <w:rFonts w:hint="eastAsia" w:ascii="Times New Roman" w:hAnsi="Times New Roman" w:eastAsia="黑体" w:cs="Times New Roman"/>
          <w:b w:val="0"/>
          <w:color w:val="auto"/>
          <w:highlight w:val="none"/>
          <w:lang w:val="en-US" w:eastAsia="zh-CN"/>
        </w:rPr>
        <w:t>十、其他重要事项的情况说明</w:t>
      </w:r>
      <w:bookmarkEnd w:id="79"/>
      <w:bookmarkEnd w:id="80"/>
      <w:bookmarkEnd w:id="81"/>
    </w:p>
    <w:p w14:paraId="206FC15F">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82" w:name="_Toc15377222"/>
      <w:r>
        <w:rPr>
          <w:rFonts w:hint="eastAsia" w:ascii="Times New Roman" w:hAnsi="Times New Roman" w:eastAsia="方正楷体_GBK" w:cs="Times New Roman"/>
          <w:b/>
          <w:bCs/>
          <w:color w:val="auto"/>
          <w:sz w:val="32"/>
          <w:szCs w:val="32"/>
          <w:lang w:val="en-US" w:eastAsia="zh-CN"/>
        </w:rPr>
        <w:t>（一）机关运行经费支出情况</w:t>
      </w:r>
      <w:bookmarkEnd w:id="82"/>
    </w:p>
    <w:p w14:paraId="70A695C7">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2025年度，中共壤塘县委巡察工作服务中心机关运行经费支出0万元，比上年度增加/减少0万元，增长/下降0%（或与上年度决算数持平）。</w:t>
      </w:r>
    </w:p>
    <w:p w14:paraId="15147474">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（注：支出数与上年持平可以不写原因）</w:t>
      </w:r>
    </w:p>
    <w:p w14:paraId="58862263">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83" w:name="_Toc15377223"/>
      <w:r>
        <w:rPr>
          <w:rFonts w:hint="eastAsia" w:ascii="Times New Roman" w:hAnsi="Times New Roman" w:eastAsia="方正楷体_GBK" w:cs="Times New Roman"/>
          <w:b/>
          <w:bCs/>
          <w:color w:val="auto"/>
          <w:sz w:val="32"/>
          <w:szCs w:val="32"/>
          <w:lang w:val="en-US" w:eastAsia="zh-CN"/>
        </w:rPr>
        <w:t>（二）政府采购支出情况</w:t>
      </w:r>
      <w:bookmarkEnd w:id="83"/>
    </w:p>
    <w:p w14:paraId="567A346B">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中共壤塘县委巡察工作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6CE1B661">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bookmarkStart w:id="84" w:name="_Toc15377224"/>
      <w:r>
        <w:rPr>
          <w:rFonts w:hint="eastAsia" w:ascii="Times New Roman" w:hAnsi="Times New Roman" w:eastAsia="方正楷体_GBK" w:cs="Times New Roman"/>
          <w:b/>
          <w:bCs/>
          <w:color w:val="auto"/>
          <w:sz w:val="32"/>
          <w:szCs w:val="32"/>
          <w:lang w:val="en-US" w:eastAsia="zh-CN"/>
        </w:rPr>
        <w:t>（三）国有资产占有使用情况</w:t>
      </w:r>
      <w:bookmarkEnd w:id="84"/>
    </w:p>
    <w:p w14:paraId="79A59F64">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截至2025年12月31日，中共壤塘县委巡察工作服务中心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14:paraId="1165D2D6">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楷体_GBK" w:cs="Times New Roman"/>
          <w:b/>
          <w:bCs/>
          <w:color w:val="auto"/>
          <w:sz w:val="32"/>
          <w:szCs w:val="32"/>
          <w:lang w:val="en-US" w:eastAsia="zh-CN"/>
        </w:rPr>
      </w:pPr>
      <w:r>
        <w:rPr>
          <w:rFonts w:hint="eastAsia" w:ascii="Times New Roman" w:hAnsi="Times New Roman" w:eastAsia="方正楷体_GBK" w:cs="Times New Roman"/>
          <w:b/>
          <w:bCs/>
          <w:color w:val="auto"/>
          <w:sz w:val="32"/>
          <w:szCs w:val="32"/>
          <w:lang w:val="en-US" w:eastAsia="zh-CN"/>
        </w:rPr>
        <w:t>（四）预算绩效管理情况</w:t>
      </w:r>
    </w:p>
    <w:p w14:paraId="53C7E5EA">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根据预算绩效管理要求，中共壤塘县委巡察工作服务中心在2025年度，未安排200万元及以上项目，故对0</w:t>
      </w:r>
      <w:r>
        <w:rPr>
          <w:rFonts w:hint="default" w:ascii="Times New Roman" w:hAnsi="Times New Roman" w:eastAsia="方正仿宋_GBK" w:cs="Times New Roman"/>
          <w:b w:val="0"/>
          <w:bCs w:val="0"/>
          <w:color w:val="auto"/>
          <w:kern w:val="2"/>
          <w:sz w:val="32"/>
          <w:szCs w:val="32"/>
          <w:lang w:val="en-US" w:eastAsia="zh-CN" w:bidi="ar-SA"/>
        </w:rPr>
        <w:t>个项目开展了预算事前绩效评估，对</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个项目编制了绩效目标</w:t>
      </w:r>
      <w:r>
        <w:rPr>
          <w:rFonts w:hint="eastAsia" w:ascii="Times New Roman" w:hAnsi="Times New Roman" w:eastAsia="方正仿宋_GBK" w:cs="Times New Roman"/>
          <w:b w:val="0"/>
          <w:bCs w:val="0"/>
          <w:color w:val="auto"/>
          <w:kern w:val="2"/>
          <w:sz w:val="32"/>
          <w:szCs w:val="32"/>
          <w:lang w:val="en-US" w:eastAsia="zh-CN" w:bidi="ar-SA"/>
        </w:rPr>
        <w:t>，在</w:t>
      </w:r>
      <w:r>
        <w:rPr>
          <w:rFonts w:hint="default" w:ascii="Times New Roman" w:hAnsi="Times New Roman" w:eastAsia="方正仿宋_GBK" w:cs="Times New Roman"/>
          <w:b w:val="0"/>
          <w:bCs w:val="0"/>
          <w:color w:val="auto"/>
          <w:kern w:val="2"/>
          <w:sz w:val="32"/>
          <w:szCs w:val="32"/>
          <w:lang w:val="en-US" w:eastAsia="zh-CN" w:bidi="ar-SA"/>
        </w:rPr>
        <w:t>预算执行过程中，选取</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个项目开展绩效监控。</w:t>
      </w:r>
    </w:p>
    <w:p w14:paraId="691E2BB6">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组织对2025年度一般公共预算开展绩效自评，形成部门预算绩效自评报告自评得分为89分，绩效自评综述；良好。绩效自评报告详见中共壤塘县委巡察办工作领导小组办公室本级附件。</w:t>
      </w:r>
    </w:p>
    <w:p w14:paraId="39359AD6">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487FABFA">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2BA70A8E">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243D7934">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35E1A8E3">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4B606637">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315C938F">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3EA6E452">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2BD7E2FF">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39E97630">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25B05654">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345F2E1F">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06854BFC">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6750E1B5">
      <w:pPr>
        <w:spacing w:line="600" w:lineRule="exact"/>
        <w:ind w:firstLine="640" w:firstLineChars="200"/>
        <w:rPr>
          <w:rFonts w:hint="eastAsia" w:ascii="Times New Roman" w:hAnsi="Times New Roman" w:eastAsia="方正仿宋_GBK" w:cs="Times New Roman"/>
          <w:b w:val="0"/>
          <w:bCs w:val="0"/>
          <w:color w:val="auto"/>
          <w:kern w:val="2"/>
          <w:sz w:val="32"/>
          <w:szCs w:val="32"/>
          <w:lang w:val="en-US" w:eastAsia="zh-CN" w:bidi="ar-SA"/>
        </w:rPr>
      </w:pPr>
    </w:p>
    <w:p w14:paraId="2236D8C3">
      <w:pPr>
        <w:pStyle w:val="2"/>
        <w:bidi w:val="0"/>
        <w:jc w:val="center"/>
        <w:rPr>
          <w:rFonts w:ascii="Times New Roman" w:hAnsi="Times New Roman"/>
          <w:b/>
          <w:color w:val="auto"/>
          <w:sz w:val="44"/>
          <w:szCs w:val="44"/>
          <w:highlight w:val="none"/>
        </w:rPr>
      </w:pPr>
      <w:bookmarkStart w:id="85" w:name="_Toc15396613"/>
      <w:bookmarkStart w:id="86" w:name="_Toc15377225"/>
      <w:bookmarkStart w:id="87" w:name="_Toc9819"/>
      <w:r>
        <w:rPr>
          <w:rFonts w:hint="eastAsia" w:ascii="黑体" w:hAnsi="黑体" w:eastAsia="黑体" w:cs="黑体"/>
          <w:b w:val="0"/>
          <w:bCs w:val="0"/>
        </w:rPr>
        <w:t>第</w:t>
      </w:r>
      <w:r>
        <w:rPr>
          <w:rFonts w:hint="eastAsia" w:ascii="黑体" w:hAnsi="黑体" w:eastAsia="黑体" w:cs="黑体"/>
          <w:b w:val="0"/>
          <w:bCs w:val="0"/>
          <w:lang w:eastAsia="zh-CN"/>
        </w:rPr>
        <w:t>三</w:t>
      </w:r>
      <w:r>
        <w:rPr>
          <w:rFonts w:hint="eastAsia" w:ascii="黑体" w:hAnsi="黑体" w:eastAsia="黑体" w:cs="黑体"/>
          <w:b w:val="0"/>
          <w:bCs w:val="0"/>
        </w:rPr>
        <w:t>部分</w:t>
      </w:r>
      <w:r>
        <w:rPr>
          <w:rFonts w:hint="eastAsia" w:ascii="黑体" w:hAnsi="黑体" w:eastAsia="黑体" w:cs="黑体"/>
          <w:b w:val="0"/>
          <w:bCs w:val="0"/>
          <w:lang w:val="en-US" w:eastAsia="zh-CN"/>
        </w:rPr>
        <w:t xml:space="preserve">  </w:t>
      </w:r>
      <w:r>
        <w:rPr>
          <w:rFonts w:hint="eastAsia" w:ascii="黑体" w:hAnsi="黑体" w:eastAsia="黑体" w:cs="黑体"/>
          <w:b w:val="0"/>
          <w:bCs w:val="0"/>
        </w:rPr>
        <w:t>名词解释</w:t>
      </w:r>
      <w:bookmarkEnd w:id="85"/>
      <w:bookmarkEnd w:id="86"/>
      <w:bookmarkEnd w:id="87"/>
    </w:p>
    <w:p w14:paraId="1D681518">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88" w:name="_Toc25520"/>
      <w:bookmarkStart w:id="89" w:name="_Toc4823"/>
      <w:bookmarkStart w:id="90" w:name="_Toc6953"/>
      <w:bookmarkStart w:id="91" w:name="_Toc32164"/>
      <w:bookmarkStart w:id="92" w:name="_Toc3214"/>
      <w:bookmarkStart w:id="93" w:name="_Toc10774"/>
      <w:bookmarkStart w:id="94" w:name="_Toc28862"/>
      <w:bookmarkStart w:id="95" w:name="_Toc272"/>
      <w:bookmarkStart w:id="96" w:name="_Toc2226"/>
      <w:bookmarkStart w:id="97" w:name="_Toc12568"/>
      <w:bookmarkStart w:id="98" w:name="_Toc6268"/>
      <w:bookmarkStart w:id="99" w:name="_Toc6577"/>
      <w:bookmarkStart w:id="100" w:name="_Toc10833"/>
      <w:r>
        <w:rPr>
          <w:rFonts w:hint="default" w:ascii="Times New Roman" w:hAnsi="Times New Roman" w:eastAsia="方正仿宋_GBK" w:cs="Times New Roman"/>
          <w:b w:val="0"/>
          <w:bCs w:val="0"/>
          <w:color w:val="auto"/>
          <w:kern w:val="2"/>
          <w:sz w:val="32"/>
          <w:szCs w:val="32"/>
          <w:lang w:val="en-US" w:eastAsia="zh-CN" w:bidi="ar-SA"/>
        </w:rPr>
        <w:t>1.财政拨款收入：指单位从同级财政部门取得的财政预算资金。</w:t>
      </w:r>
      <w:bookmarkEnd w:id="88"/>
      <w:bookmarkEnd w:id="89"/>
      <w:bookmarkEnd w:id="90"/>
      <w:bookmarkEnd w:id="91"/>
      <w:bookmarkEnd w:id="92"/>
      <w:bookmarkEnd w:id="93"/>
      <w:bookmarkEnd w:id="94"/>
      <w:bookmarkEnd w:id="95"/>
      <w:bookmarkEnd w:id="96"/>
      <w:bookmarkEnd w:id="97"/>
      <w:bookmarkEnd w:id="98"/>
      <w:bookmarkEnd w:id="99"/>
      <w:bookmarkEnd w:id="100"/>
    </w:p>
    <w:p w14:paraId="06B0FF2E">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2.事业收入：指事业单位开展专业业务活动及辅助活动取得的收入。</w:t>
      </w:r>
    </w:p>
    <w:p w14:paraId="2C8EEC3F">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3.经营收入：指事业单位在专业业务活动及其辅助活动之外开展非独立核算经营活动取得的收入。</w:t>
      </w:r>
    </w:p>
    <w:p w14:paraId="0F444E9A">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101" w:name="_Toc9201"/>
      <w:bookmarkStart w:id="102" w:name="_Toc3311"/>
      <w:bookmarkStart w:id="103" w:name="_Toc25882"/>
      <w:bookmarkStart w:id="104" w:name="_Toc31682"/>
      <w:bookmarkStart w:id="105" w:name="_Toc22145"/>
      <w:bookmarkStart w:id="106" w:name="_Toc22692"/>
      <w:bookmarkStart w:id="107" w:name="_Toc11305"/>
      <w:bookmarkStart w:id="108" w:name="_Toc24172"/>
      <w:bookmarkStart w:id="109" w:name="_Toc18028"/>
      <w:bookmarkStart w:id="110" w:name="_Toc17990"/>
      <w:bookmarkStart w:id="111" w:name="_Toc11751"/>
      <w:bookmarkStart w:id="112" w:name="_Toc9913"/>
      <w:bookmarkStart w:id="113" w:name="_Toc15470"/>
      <w:r>
        <w:rPr>
          <w:rFonts w:hint="default" w:ascii="Times New Roman" w:hAnsi="Times New Roman" w:eastAsia="方正仿宋_GBK" w:cs="Times New Roman"/>
          <w:b w:val="0"/>
          <w:bCs w:val="0"/>
          <w:color w:val="auto"/>
          <w:kern w:val="2"/>
          <w:sz w:val="32"/>
          <w:szCs w:val="32"/>
          <w:lang w:val="en-US" w:eastAsia="zh-CN" w:bidi="ar-SA"/>
        </w:rPr>
        <w:t>4.其他收入：指单位取得的除上述收入以外的各项收入。</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0615CC00">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0091053">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6.年初结转和结余：指以前年度尚未完成、结转到本年按有关规定继续使用的资金。</w:t>
      </w:r>
    </w:p>
    <w:p w14:paraId="6CF95668">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7.结余分配：指事业单位按照事业单位会计制度的规定从非财政补助结余中分配的事业基金和职工福利基金等。</w:t>
      </w:r>
    </w:p>
    <w:p w14:paraId="5D7EF1D1">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8.年末结转和结余：指单位按有关规定结转到下年或以后年度继续使用的资金。</w:t>
      </w:r>
    </w:p>
    <w:p w14:paraId="5462682C">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9.一般公共服务：指反映政府提供</w:t>
      </w:r>
      <w:r>
        <w:rPr>
          <w:rFonts w:hint="eastAsia" w:ascii="Times New Roman" w:hAnsi="Times New Roman" w:eastAsia="方正仿宋_GBK" w:cs="Times New Roman"/>
          <w:b w:val="0"/>
          <w:bCs w:val="0"/>
          <w:color w:val="auto"/>
          <w:kern w:val="2"/>
          <w:sz w:val="32"/>
          <w:szCs w:val="32"/>
          <w:lang w:val="en-US" w:eastAsia="zh-CN" w:bidi="ar-SA"/>
        </w:rPr>
        <w:t>一般公共服务支出</w:t>
      </w:r>
      <w:r>
        <w:rPr>
          <w:rFonts w:hint="default" w:ascii="Times New Roman" w:hAnsi="Times New Roman" w:eastAsia="方正仿宋_GBK" w:cs="Times New Roman"/>
          <w:b w:val="0"/>
          <w:bCs w:val="0"/>
          <w:color w:val="auto"/>
          <w:kern w:val="2"/>
          <w:sz w:val="32"/>
          <w:szCs w:val="32"/>
          <w:lang w:val="en-US" w:eastAsia="zh-CN" w:bidi="ar-SA"/>
        </w:rPr>
        <w:t>。</w:t>
      </w:r>
    </w:p>
    <w:p w14:paraId="1F9F8E13">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10.外交：指反映政府外交事务支出。</w:t>
      </w:r>
    </w:p>
    <w:p w14:paraId="212313F4">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11.公共安全：指反映政府维护社会公共安全方面的支出。</w:t>
      </w:r>
    </w:p>
    <w:p w14:paraId="5E2137A5">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12.教育 ：指反映政府教育事务支出。</w:t>
      </w:r>
    </w:p>
    <w:p w14:paraId="3CC5B054">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13.科学技术：指反映科学技术方面的支出。</w:t>
      </w:r>
    </w:p>
    <w:p w14:paraId="6BC991E7">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14.文化体育与传媒 ：指反映政府在文化、体育、文物、广播影视、新闻出版等方面的支出。</w:t>
      </w:r>
    </w:p>
    <w:p w14:paraId="6790EE18">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bookmarkStart w:id="114" w:name="_Toc13110"/>
      <w:bookmarkStart w:id="115" w:name="_Toc27305"/>
      <w:bookmarkStart w:id="116" w:name="_Toc29189"/>
      <w:bookmarkStart w:id="117" w:name="_Toc26100"/>
      <w:bookmarkStart w:id="118" w:name="_Toc25335"/>
      <w:bookmarkStart w:id="119" w:name="_Toc6254"/>
      <w:bookmarkStart w:id="120" w:name="_Toc31702"/>
      <w:bookmarkStart w:id="121" w:name="_Toc12383"/>
      <w:bookmarkStart w:id="122" w:name="_Toc17567"/>
      <w:bookmarkStart w:id="123" w:name="_Toc22841"/>
      <w:bookmarkStart w:id="124" w:name="_Toc13570"/>
      <w:bookmarkStart w:id="125" w:name="_Toc21042"/>
      <w:bookmarkStart w:id="126" w:name="_Toc12388"/>
      <w:r>
        <w:rPr>
          <w:rFonts w:hint="default" w:ascii="Times New Roman" w:hAnsi="Times New Roman" w:eastAsia="方正仿宋_GBK" w:cs="Times New Roman"/>
          <w:b w:val="0"/>
          <w:bCs w:val="0"/>
          <w:color w:val="auto"/>
          <w:kern w:val="2"/>
          <w:sz w:val="32"/>
          <w:szCs w:val="32"/>
          <w:lang w:val="en-US" w:eastAsia="zh-CN" w:bidi="ar-SA"/>
        </w:rPr>
        <w:t>15.社会保障和就业：指反映政府在社会保障与就业方面的支出。</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04F0AC86">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16.医疗卫生与计划生育：指反映医疗卫生与计划生育、中医等管理事务方面的支出。</w:t>
      </w:r>
    </w:p>
    <w:p w14:paraId="3E95040C">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17.节能环保：指反映政府节能环保支出。</w:t>
      </w:r>
    </w:p>
    <w:p w14:paraId="44DD0946">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18.城乡社区：指反映政府城乡管理事务支出。</w:t>
      </w:r>
    </w:p>
    <w:p w14:paraId="0F70D437">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19.农林水：指反映政府农林水支出。</w:t>
      </w:r>
    </w:p>
    <w:p w14:paraId="1855CE40">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20.交通运输：指反映交通运输和邮政业务相关的支出。</w:t>
      </w:r>
    </w:p>
    <w:p w14:paraId="1C1E3AF4">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21.资源勘探信息等：指反映用于资源勘探、制造业、建筑业、工业信息等方面的支出。</w:t>
      </w:r>
    </w:p>
    <w:p w14:paraId="1ADA093D">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22.商业服务业：指反映商业服务等方面的支出。</w:t>
      </w:r>
    </w:p>
    <w:p w14:paraId="241C2A52">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23.金融：指反映金融方面的支出。</w:t>
      </w:r>
    </w:p>
    <w:p w14:paraId="0711601E">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24.国土海洋气象：指反映政府用于国土资源、海洋、测绘、地震、气象等公益服务事业方面的支出。</w:t>
      </w:r>
    </w:p>
    <w:p w14:paraId="1A34AFF6">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25.住房保障：指集中反映政府用于住房方面的支出。</w:t>
      </w:r>
    </w:p>
    <w:p w14:paraId="4C00B9BB">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26.粮油物资储备：指反映政府用于粮油物资储备方面的支出。</w:t>
      </w:r>
    </w:p>
    <w:p w14:paraId="1F32888C">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27.基本支出：指为保障机构正常运转、完成日常工作任务而发生的人员支出和公用支出。</w:t>
      </w:r>
    </w:p>
    <w:p w14:paraId="7E31DA78">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28.项目支出：指在基本支出之外为完成特定行政任务和事业发展目标所发生的支出。</w:t>
      </w:r>
    </w:p>
    <w:p w14:paraId="5E7934B9">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29.经营支出：指事业单位在专业业务活动及其辅助活动之外开展非独立核算经营活动发生的支出。</w:t>
      </w:r>
    </w:p>
    <w:p w14:paraId="10BE2BF8">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5D344C3">
      <w:pPr>
        <w:spacing w:line="600" w:lineRule="exact"/>
        <w:ind w:firstLine="640" w:firstLineChars="200"/>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6E900C">
      <w:pPr>
        <w:spacing w:line="600" w:lineRule="exact"/>
        <w:ind w:firstLine="643" w:firstLineChars="200"/>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（注：名词解释部分请根据各部门实际列支情况罗列，并根据本部门职责职能增减名词解释内容）</w:t>
      </w:r>
    </w:p>
    <w:p w14:paraId="5D446DFD">
      <w:pPr>
        <w:pStyle w:val="2"/>
        <w:bidi w:val="0"/>
        <w:jc w:val="both"/>
        <w:rPr>
          <w:rFonts w:hint="eastAsia" w:ascii="Times New Roman" w:hAnsi="Times New Roman" w:eastAsia="黑体"/>
          <w:color w:val="auto"/>
          <w:sz w:val="44"/>
          <w:szCs w:val="44"/>
          <w:highlight w:val="none"/>
        </w:rPr>
      </w:pPr>
      <w:bookmarkStart w:id="127" w:name="_Toc15377226"/>
      <w:r>
        <w:rPr>
          <w:rFonts w:hint="eastAsia" w:ascii="Times New Roman" w:hAnsi="Times New Roman" w:eastAsia="仿宋_GB2312" w:cs="仿宋_GB2312"/>
          <w:color w:val="auto"/>
          <w:kern w:val="2"/>
          <w:szCs w:val="32"/>
          <w:highlight w:val="none"/>
          <w:lang w:val="en-US" w:eastAsia="zh-CN" w:bidi="ar-SA"/>
        </w:rPr>
        <w:br w:type="page"/>
      </w:r>
      <w:bookmarkStart w:id="128" w:name="_Toc15396618"/>
    </w:p>
    <w:p w14:paraId="0E9543EC">
      <w:pPr>
        <w:pStyle w:val="2"/>
        <w:bidi w:val="0"/>
        <w:jc w:val="center"/>
        <w:rPr>
          <w:rFonts w:hint="eastAsia" w:ascii="Times New Roman" w:hAnsi="Times New Roman" w:eastAsia="仿宋_GB2312" w:cs="仿宋_GB2312"/>
          <w:color w:val="auto"/>
          <w:sz w:val="32"/>
          <w:szCs w:val="32"/>
          <w:highlight w:val="none"/>
        </w:rPr>
      </w:pPr>
      <w:bookmarkStart w:id="129" w:name="_Toc15109"/>
      <w:r>
        <w:rPr>
          <w:rFonts w:hint="eastAsia" w:ascii="黑体" w:hAnsi="黑体" w:eastAsia="黑体" w:cs="黑体"/>
          <w:b w:val="0"/>
          <w:bCs w:val="0"/>
        </w:rPr>
        <w:t>第</w:t>
      </w:r>
      <w:r>
        <w:rPr>
          <w:rFonts w:hint="eastAsia" w:ascii="黑体" w:hAnsi="黑体" w:eastAsia="黑体" w:cs="黑体"/>
          <w:b w:val="0"/>
          <w:bCs w:val="0"/>
          <w:lang w:val="en-US" w:eastAsia="zh-CN"/>
        </w:rPr>
        <w:t>四</w:t>
      </w:r>
      <w:r>
        <w:rPr>
          <w:rFonts w:hint="eastAsia" w:ascii="黑体" w:hAnsi="黑体" w:eastAsia="黑体" w:cs="黑体"/>
          <w:b w:val="0"/>
          <w:bCs w:val="0"/>
        </w:rPr>
        <w:t>部分 附表</w:t>
      </w:r>
      <w:bookmarkEnd w:id="127"/>
      <w:bookmarkEnd w:id="128"/>
      <w:bookmarkEnd w:id="129"/>
      <w:bookmarkStart w:id="130" w:name="_Toc15396619"/>
    </w:p>
    <w:p w14:paraId="3A77339D">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31" w:name="_Toc23864"/>
      <w:r>
        <w:rPr>
          <w:rFonts w:hint="eastAsia" w:ascii="Times New Roman" w:hAnsi="Times New Roman" w:eastAsia="黑体" w:cs="Times New Roman"/>
          <w:b w:val="0"/>
          <w:color w:val="auto"/>
          <w:highlight w:val="none"/>
          <w:lang w:val="en-US" w:eastAsia="zh-CN"/>
        </w:rPr>
        <w:t>一、收入支出决算总表</w:t>
      </w:r>
      <w:bookmarkEnd w:id="130"/>
      <w:bookmarkEnd w:id="131"/>
    </w:p>
    <w:p w14:paraId="78F4439C">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32" w:name="_Toc23095"/>
      <w:bookmarkStart w:id="133" w:name="_Toc15396620"/>
      <w:r>
        <w:rPr>
          <w:rFonts w:hint="eastAsia" w:ascii="Times New Roman" w:hAnsi="Times New Roman" w:eastAsia="黑体" w:cs="Times New Roman"/>
          <w:b w:val="0"/>
          <w:color w:val="auto"/>
          <w:highlight w:val="none"/>
          <w:lang w:val="en-US" w:eastAsia="zh-CN"/>
        </w:rPr>
        <w:t>二、收入决算表</w:t>
      </w:r>
      <w:bookmarkEnd w:id="132"/>
      <w:bookmarkEnd w:id="133"/>
    </w:p>
    <w:p w14:paraId="44553824">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34" w:name="_Toc27623"/>
      <w:bookmarkStart w:id="135" w:name="_Toc15396621"/>
      <w:r>
        <w:rPr>
          <w:rFonts w:hint="eastAsia" w:ascii="Times New Roman" w:hAnsi="Times New Roman" w:eastAsia="黑体" w:cs="Times New Roman"/>
          <w:b w:val="0"/>
          <w:color w:val="auto"/>
          <w:highlight w:val="none"/>
          <w:lang w:val="en-US" w:eastAsia="zh-CN"/>
        </w:rPr>
        <w:t>三、支出决算表</w:t>
      </w:r>
      <w:bookmarkEnd w:id="134"/>
      <w:bookmarkEnd w:id="135"/>
    </w:p>
    <w:p w14:paraId="5446024B">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36" w:name="_Toc17021"/>
      <w:bookmarkStart w:id="137" w:name="_Toc15396622"/>
      <w:r>
        <w:rPr>
          <w:rFonts w:hint="eastAsia" w:ascii="Times New Roman" w:hAnsi="Times New Roman" w:eastAsia="黑体" w:cs="Times New Roman"/>
          <w:b w:val="0"/>
          <w:color w:val="auto"/>
          <w:highlight w:val="none"/>
          <w:lang w:val="en-US" w:eastAsia="zh-CN"/>
        </w:rPr>
        <w:t>四、财政拨款收入支出决算总表</w:t>
      </w:r>
      <w:bookmarkEnd w:id="136"/>
      <w:bookmarkEnd w:id="137"/>
    </w:p>
    <w:p w14:paraId="11D7837E">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38" w:name="_Toc27319"/>
      <w:bookmarkStart w:id="139" w:name="_Toc15396623"/>
      <w:r>
        <w:rPr>
          <w:rFonts w:hint="eastAsia" w:ascii="Times New Roman" w:hAnsi="Times New Roman" w:eastAsia="黑体" w:cs="Times New Roman"/>
          <w:b w:val="0"/>
          <w:color w:val="auto"/>
          <w:highlight w:val="none"/>
          <w:lang w:val="en-US" w:eastAsia="zh-CN"/>
        </w:rPr>
        <w:t>五、财政拨款支出决算明细表</w:t>
      </w:r>
      <w:bookmarkEnd w:id="138"/>
      <w:bookmarkEnd w:id="139"/>
      <w:bookmarkStart w:id="140" w:name="_Toc15396624"/>
    </w:p>
    <w:p w14:paraId="1DA5A035">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41" w:name="_Toc16713"/>
      <w:r>
        <w:rPr>
          <w:rFonts w:hint="eastAsia" w:ascii="Times New Roman" w:hAnsi="Times New Roman" w:eastAsia="黑体" w:cs="Times New Roman"/>
          <w:b w:val="0"/>
          <w:color w:val="auto"/>
          <w:highlight w:val="none"/>
          <w:lang w:val="en-US" w:eastAsia="zh-CN"/>
        </w:rPr>
        <w:t>六、一般公共预算财政拨款支出决算表</w:t>
      </w:r>
      <w:bookmarkEnd w:id="140"/>
      <w:bookmarkEnd w:id="141"/>
    </w:p>
    <w:p w14:paraId="2C84AC10">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42" w:name="_Toc5702"/>
      <w:bookmarkStart w:id="143" w:name="_Toc15396625"/>
      <w:r>
        <w:rPr>
          <w:rFonts w:hint="eastAsia" w:ascii="Times New Roman" w:hAnsi="Times New Roman" w:eastAsia="黑体" w:cs="Times New Roman"/>
          <w:b w:val="0"/>
          <w:color w:val="auto"/>
          <w:highlight w:val="none"/>
          <w:lang w:val="en-US" w:eastAsia="zh-CN"/>
        </w:rPr>
        <w:t>七、一般公共预算财政拨款支出决算明细表</w:t>
      </w:r>
      <w:bookmarkEnd w:id="142"/>
      <w:bookmarkEnd w:id="143"/>
    </w:p>
    <w:p w14:paraId="4140E21C">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44" w:name="_Toc31203"/>
      <w:bookmarkStart w:id="145" w:name="_Toc15396626"/>
      <w:r>
        <w:rPr>
          <w:rFonts w:hint="eastAsia" w:ascii="Times New Roman" w:hAnsi="Times New Roman" w:eastAsia="黑体" w:cs="Times New Roman"/>
          <w:b w:val="0"/>
          <w:color w:val="auto"/>
          <w:highlight w:val="none"/>
          <w:lang w:val="en-US" w:eastAsia="zh-CN"/>
        </w:rPr>
        <w:t>八、一般公共预算财政拨款基本支出决算表</w:t>
      </w:r>
      <w:bookmarkEnd w:id="144"/>
      <w:bookmarkEnd w:id="145"/>
    </w:p>
    <w:p w14:paraId="7AC7DC9B">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46" w:name="_Toc8509"/>
      <w:bookmarkStart w:id="147" w:name="_Toc15396627"/>
      <w:r>
        <w:rPr>
          <w:rFonts w:hint="eastAsia" w:ascii="Times New Roman" w:hAnsi="Times New Roman" w:eastAsia="黑体" w:cs="Times New Roman"/>
          <w:b w:val="0"/>
          <w:color w:val="auto"/>
          <w:highlight w:val="none"/>
          <w:lang w:val="en-US" w:eastAsia="zh-CN"/>
        </w:rPr>
        <w:t>九、一般公共预算财政拨款项目支出决算表</w:t>
      </w:r>
      <w:bookmarkEnd w:id="146"/>
      <w:bookmarkEnd w:id="147"/>
    </w:p>
    <w:p w14:paraId="7E2C9A8C">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48" w:name="_Toc15396628"/>
      <w:bookmarkStart w:id="149" w:name="_Toc1746"/>
      <w:r>
        <w:rPr>
          <w:rFonts w:hint="eastAsia" w:ascii="Times New Roman" w:hAnsi="Times New Roman" w:eastAsia="黑体" w:cs="Times New Roman"/>
          <w:b w:val="0"/>
          <w:color w:val="auto"/>
          <w:highlight w:val="none"/>
          <w:lang w:val="en-US" w:eastAsia="zh-CN"/>
        </w:rPr>
        <w:t>十、</w:t>
      </w:r>
      <w:bookmarkEnd w:id="148"/>
      <w:r>
        <w:rPr>
          <w:rFonts w:hint="eastAsia" w:ascii="Times New Roman" w:hAnsi="Times New Roman" w:eastAsia="黑体" w:cs="Times New Roman"/>
          <w:b w:val="0"/>
          <w:color w:val="auto"/>
          <w:highlight w:val="none"/>
          <w:lang w:val="en-US" w:eastAsia="zh-CN"/>
        </w:rPr>
        <w:t>政府性基金预算财政拨款收入支出决算表</w:t>
      </w:r>
      <w:bookmarkEnd w:id="149"/>
    </w:p>
    <w:p w14:paraId="70AE8903">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50" w:name="_Toc15396629"/>
      <w:bookmarkStart w:id="151" w:name="_Toc3223"/>
      <w:r>
        <w:rPr>
          <w:rFonts w:hint="eastAsia" w:ascii="Times New Roman" w:hAnsi="Times New Roman" w:eastAsia="黑体" w:cs="Times New Roman"/>
          <w:b w:val="0"/>
          <w:color w:val="auto"/>
          <w:highlight w:val="none"/>
          <w:lang w:val="en-US" w:eastAsia="zh-CN"/>
        </w:rPr>
        <w:t>十一、</w:t>
      </w:r>
      <w:bookmarkEnd w:id="150"/>
      <w:r>
        <w:rPr>
          <w:rFonts w:hint="eastAsia" w:ascii="Times New Roman" w:hAnsi="Times New Roman" w:eastAsia="黑体" w:cs="Times New Roman"/>
          <w:b w:val="0"/>
          <w:color w:val="auto"/>
          <w:highlight w:val="none"/>
          <w:lang w:val="en-US" w:eastAsia="zh-CN"/>
        </w:rPr>
        <w:t>国有资本经营预算财政拨款收入支出决算表</w:t>
      </w:r>
      <w:bookmarkEnd w:id="151"/>
    </w:p>
    <w:p w14:paraId="5F9DFEF2">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52" w:name="_Toc15396630"/>
      <w:bookmarkStart w:id="153" w:name="_Toc15210"/>
      <w:r>
        <w:rPr>
          <w:rFonts w:hint="eastAsia" w:ascii="Times New Roman" w:hAnsi="Times New Roman" w:eastAsia="黑体" w:cs="Times New Roman"/>
          <w:b w:val="0"/>
          <w:color w:val="auto"/>
          <w:highlight w:val="none"/>
          <w:lang w:val="en-US" w:eastAsia="zh-CN"/>
        </w:rPr>
        <w:t>十二、</w:t>
      </w:r>
      <w:bookmarkEnd w:id="152"/>
      <w:r>
        <w:rPr>
          <w:rFonts w:hint="eastAsia" w:ascii="Times New Roman" w:hAnsi="Times New Roman" w:eastAsia="黑体" w:cs="Times New Roman"/>
          <w:b w:val="0"/>
          <w:color w:val="auto"/>
          <w:highlight w:val="none"/>
          <w:lang w:val="en-US" w:eastAsia="zh-CN"/>
        </w:rPr>
        <w:t>国有资本经营预算财政拨款支出决算表</w:t>
      </w:r>
      <w:bookmarkEnd w:id="153"/>
    </w:p>
    <w:p w14:paraId="55CAFA94">
      <w:pPr>
        <w:pStyle w:val="3"/>
        <w:keepNext/>
        <w:keepLines/>
        <w:pageBreakBefore w:val="0"/>
        <w:widowControl w:val="0"/>
        <w:suppressAutoHyphens/>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Times New Roman"/>
          <w:b w:val="0"/>
          <w:color w:val="auto"/>
          <w:highlight w:val="none"/>
          <w:lang w:val="en-US" w:eastAsia="zh-CN"/>
        </w:rPr>
      </w:pPr>
      <w:bookmarkStart w:id="154" w:name="_Toc15396631"/>
      <w:bookmarkStart w:id="155" w:name="_Toc893"/>
      <w:r>
        <w:rPr>
          <w:rFonts w:hint="eastAsia" w:ascii="Times New Roman" w:hAnsi="Times New Roman" w:eastAsia="黑体" w:cs="Times New Roman"/>
          <w:b w:val="0"/>
          <w:color w:val="auto"/>
          <w:highlight w:val="none"/>
          <w:lang w:val="en-US" w:eastAsia="zh-CN"/>
        </w:rPr>
        <w:t>十三、</w:t>
      </w:r>
      <w:bookmarkEnd w:id="154"/>
      <w:r>
        <w:rPr>
          <w:rFonts w:hint="eastAsia" w:ascii="Times New Roman" w:hAnsi="Times New Roman" w:eastAsia="黑体" w:cs="Times New Roman"/>
          <w:b w:val="0"/>
          <w:color w:val="auto"/>
          <w:highlight w:val="none"/>
          <w:lang w:val="en-US" w:eastAsia="zh-CN"/>
        </w:rPr>
        <w:t>财政拨款“三公”经费支出决算表</w:t>
      </w:r>
      <w:bookmarkEnd w:id="155"/>
    </w:p>
    <w:p w14:paraId="426B80B4">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58C8F">
    <w:pPr>
      <w:pStyle w:val="10"/>
      <w:jc w:val="center"/>
    </w:pPr>
  </w:p>
  <w:p w14:paraId="6B8B534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5C110">
    <w:pPr>
      <w:pStyle w:val="10"/>
      <w:jc w:val="center"/>
    </w:pPr>
  </w:p>
  <w:p w14:paraId="2D5D09D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1422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11F7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811F7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2694">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4662805</wp:posOffset>
              </wp:positionH>
              <wp:positionV relativeFrom="paragraph">
                <wp:posOffset>23495</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9E56B6">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7.15pt;margin-top:1.85pt;height:144pt;width:144pt;mso-position-horizontal-relative:margin;mso-wrap-style:none;z-index:251660288;mso-width-relative:page;mso-height-relative:page;" filled="f" stroked="f" coordsize="21600,21600" o:gfxdata="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ohqHPXAAAACgEAAA8AAAAAAAAAAQAgAAAAIgAAAGRycy9kb3ducmV2Lnht&#10;bFBLAQIUABQAAAAIAIdO4kBhrYRyMwIAAGMEAAAOAAAAAAAAAAEAIAAAACYBAABkcnMvZTJvRG9j&#10;LnhtbFBLBQYAAAAABgAGAFkBAADLBQAAAAA=&#10;">
              <v:fill on="f" focussize="0,0"/>
              <v:stroke on="f" weight="0.5pt"/>
              <v:imagedata o:title=""/>
              <o:lock v:ext="edit" aspectratio="f"/>
              <v:textbox inset="0mm,0mm,0mm,0mm" style="mso-fit-shape-to-text:t;">
                <w:txbxContent>
                  <w:p w14:paraId="029E56B6">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p w14:paraId="6162B56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1BFB">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C900AD"/>
    <w:rsid w:val="02317B1B"/>
    <w:rsid w:val="02C349EA"/>
    <w:rsid w:val="02FEBE30"/>
    <w:rsid w:val="061E35DE"/>
    <w:rsid w:val="06530982"/>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8E5B5C"/>
    <w:rsid w:val="16BB723D"/>
    <w:rsid w:val="16F13FCB"/>
    <w:rsid w:val="18095BFD"/>
    <w:rsid w:val="186504BB"/>
    <w:rsid w:val="1938089F"/>
    <w:rsid w:val="19A445FC"/>
    <w:rsid w:val="1B7D550C"/>
    <w:rsid w:val="1BE8440E"/>
    <w:rsid w:val="1CF06FD5"/>
    <w:rsid w:val="1D155CEE"/>
    <w:rsid w:val="1DE178F3"/>
    <w:rsid w:val="1E740ACF"/>
    <w:rsid w:val="1EFE080E"/>
    <w:rsid w:val="1FF35744"/>
    <w:rsid w:val="1FF6BC77"/>
    <w:rsid w:val="21417A0D"/>
    <w:rsid w:val="21962A9E"/>
    <w:rsid w:val="21AE7C77"/>
    <w:rsid w:val="22BC3C41"/>
    <w:rsid w:val="23860B96"/>
    <w:rsid w:val="23B337F3"/>
    <w:rsid w:val="240371BF"/>
    <w:rsid w:val="260F557C"/>
    <w:rsid w:val="27BB0DA8"/>
    <w:rsid w:val="281408E2"/>
    <w:rsid w:val="281F3249"/>
    <w:rsid w:val="29FD04D3"/>
    <w:rsid w:val="2A143BA5"/>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005920"/>
    <w:rsid w:val="3D98207C"/>
    <w:rsid w:val="3D9B0D99"/>
    <w:rsid w:val="3DEE7CF3"/>
    <w:rsid w:val="3DF02244"/>
    <w:rsid w:val="3E78745D"/>
    <w:rsid w:val="3FF4CAE0"/>
    <w:rsid w:val="3FF7B227"/>
    <w:rsid w:val="40E54C45"/>
    <w:rsid w:val="41313393"/>
    <w:rsid w:val="41E50F35"/>
    <w:rsid w:val="421D38CB"/>
    <w:rsid w:val="43A407DF"/>
    <w:rsid w:val="442F4047"/>
    <w:rsid w:val="44515BEA"/>
    <w:rsid w:val="44925DBA"/>
    <w:rsid w:val="44E268DA"/>
    <w:rsid w:val="453F7E5B"/>
    <w:rsid w:val="46AB7308"/>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F42A57"/>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E8113D"/>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162730"/>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5CF5328"/>
    <w:rsid w:val="F77DBEB1"/>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f45541-f9b1-41f7-bc7a-e02a37a0ec1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4992</Words>
  <Characters>5368</Characters>
  <Lines>61</Lines>
  <Paragraphs>17</Paragraphs>
  <TotalTime>2</TotalTime>
  <ScaleCrop>false</ScaleCrop>
  <LinksUpToDate>false</LinksUpToDate>
  <CharactersWithSpaces>5424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suma</cp:lastModifiedBy>
  <cp:lastPrinted>2026-10-19T15:55:34Z</cp:lastPrinted>
  <dcterms:modified xsi:type="dcterms:W3CDTF">2026-10-19T15:55:37Z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eyJoZGlkIjoiOWE1ZmMwODRmNGU1YzNkNTlmMmJmYjRhNmFjZDYwNDMiLCJ1c2VySWQiOiI0MjY2ODMzOTIifQ==</vt:lpwstr>
  </property>
</Properties>
</file>