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ind w:firstLine="1687" w:firstLineChars="300"/>
        <w:jc w:val="both"/>
        <w:outlineLvl w:val="0"/>
        <w:rPr>
          <w:rFonts w:hint="eastAsia" w:asciiTheme="majorEastAsia" w:hAnsiTheme="majorEastAsia" w:eastAsiaTheme="majorEastAsia" w:cstheme="majorEastAsia"/>
          <w:b/>
          <w:bCs/>
          <w:color w:val="000000"/>
          <w:sz w:val="56"/>
          <w:szCs w:val="56"/>
          <w:lang w:val="en-US" w:eastAsia="zh-CN"/>
        </w:rPr>
      </w:pPr>
      <w:bookmarkStart w:id="0" w:name="_Toc15377425"/>
      <w:bookmarkStart w:id="1" w:name="_Toc15306267"/>
      <w:bookmarkStart w:id="2" w:name="_Toc15377193"/>
      <w:bookmarkStart w:id="3" w:name="_Toc15396597"/>
      <w:bookmarkStart w:id="4" w:name="_Toc15396475"/>
      <w:bookmarkStart w:id="5" w:name="_Toc15378441"/>
      <w:r>
        <w:rPr>
          <w:rFonts w:hint="eastAsia" w:asciiTheme="majorEastAsia" w:hAnsiTheme="majorEastAsia" w:eastAsiaTheme="majorEastAsia" w:cstheme="majorEastAsia"/>
          <w:b/>
          <w:bCs/>
          <w:color w:val="000000"/>
          <w:sz w:val="56"/>
          <w:szCs w:val="56"/>
          <w:lang w:val="en-US" w:eastAsia="zh-CN"/>
        </w:rPr>
        <w:t>四川省阿坝州壤塘县</w:t>
      </w:r>
    </w:p>
    <w:p>
      <w:pPr>
        <w:adjustRightInd w:val="0"/>
        <w:snapToGrid w:val="0"/>
        <w:spacing w:line="360" w:lineRule="auto"/>
        <w:ind w:left="2248" w:leftChars="267" w:hanging="1687" w:hangingChars="300"/>
        <w:jc w:val="both"/>
        <w:outlineLvl w:val="0"/>
        <w:rPr>
          <w:rFonts w:hint="default" w:asciiTheme="majorEastAsia" w:hAnsiTheme="majorEastAsia" w:eastAsiaTheme="majorEastAsia" w:cstheme="majorEastAsia"/>
          <w:b/>
          <w:bCs/>
          <w:color w:val="000000"/>
          <w:sz w:val="56"/>
          <w:szCs w:val="56"/>
          <w:lang w:val="en-US" w:eastAsia="zh-CN"/>
        </w:rPr>
      </w:pPr>
      <w:r>
        <w:rPr>
          <w:rFonts w:hint="eastAsia" w:asciiTheme="majorEastAsia" w:hAnsiTheme="majorEastAsia" w:eastAsiaTheme="majorEastAsia" w:cstheme="majorEastAsia"/>
          <w:b/>
          <w:bCs/>
          <w:color w:val="000000"/>
          <w:sz w:val="56"/>
          <w:szCs w:val="56"/>
          <w:lang w:val="en-US" w:eastAsia="zh-CN"/>
        </w:rPr>
        <w:t>纪律检查委员会</w:t>
      </w:r>
      <w:r>
        <w:rPr>
          <w:rFonts w:hint="eastAsia" w:asciiTheme="majorEastAsia" w:hAnsiTheme="majorEastAsia" w:eastAsiaTheme="majorEastAsia" w:cstheme="majorEastAsia"/>
          <w:b/>
          <w:bCs/>
          <w:color w:val="000000"/>
          <w:sz w:val="56"/>
          <w:szCs w:val="56"/>
        </w:rPr>
        <w:t>201</w:t>
      </w:r>
      <w:r>
        <w:rPr>
          <w:rFonts w:hint="eastAsia" w:asciiTheme="majorEastAsia" w:hAnsiTheme="majorEastAsia" w:eastAsiaTheme="majorEastAsia" w:cstheme="majorEastAsia"/>
          <w:b/>
          <w:bCs/>
          <w:color w:val="000000"/>
          <w:sz w:val="56"/>
          <w:szCs w:val="56"/>
          <w:lang w:val="en-US" w:eastAsia="zh-CN"/>
        </w:rPr>
        <w:t>9</w:t>
      </w:r>
      <w:r>
        <w:rPr>
          <w:rFonts w:hint="eastAsia" w:asciiTheme="majorEastAsia" w:hAnsiTheme="majorEastAsia" w:eastAsiaTheme="majorEastAsia" w:cstheme="majorEastAsia"/>
          <w:b/>
          <w:bCs/>
          <w:color w:val="000000"/>
          <w:sz w:val="56"/>
          <w:szCs w:val="56"/>
        </w:rPr>
        <w:t>年度</w:t>
      </w:r>
      <w:bookmarkEnd w:id="0"/>
      <w:bookmarkEnd w:id="1"/>
      <w:bookmarkEnd w:id="2"/>
      <w:bookmarkEnd w:id="3"/>
      <w:bookmarkEnd w:id="4"/>
      <w:bookmarkEnd w:id="5"/>
      <w:bookmarkStart w:id="6" w:name="_Toc15377426"/>
      <w:bookmarkStart w:id="7" w:name="_Toc15306268"/>
      <w:bookmarkStart w:id="8" w:name="_Toc15396476"/>
      <w:bookmarkStart w:id="9" w:name="_Toc15377194"/>
      <w:bookmarkStart w:id="10" w:name="_Toc15396598"/>
      <w:bookmarkStart w:id="11" w:name="_Toc15378442"/>
      <w:r>
        <w:rPr>
          <w:rFonts w:hint="eastAsia" w:asciiTheme="majorEastAsia" w:hAnsiTheme="majorEastAsia" w:eastAsiaTheme="majorEastAsia" w:cstheme="majorEastAsia"/>
          <w:b/>
          <w:bCs/>
          <w:color w:val="000000"/>
          <w:sz w:val="56"/>
          <w:szCs w:val="56"/>
        </w:rPr>
        <w:t>决算</w:t>
      </w:r>
      <w:bookmarkEnd w:id="6"/>
      <w:bookmarkEnd w:id="7"/>
      <w:bookmarkEnd w:id="8"/>
      <w:bookmarkEnd w:id="9"/>
      <w:bookmarkEnd w:id="10"/>
      <w:bookmarkEnd w:id="11"/>
      <w:r>
        <w:rPr>
          <w:rFonts w:hint="eastAsia" w:asciiTheme="majorEastAsia" w:hAnsiTheme="majorEastAsia" w:eastAsiaTheme="majorEastAsia" w:cstheme="majorEastAsia"/>
          <w:b/>
          <w:bCs/>
          <w:color w:val="000000"/>
          <w:sz w:val="56"/>
          <w:szCs w:val="56"/>
          <w:lang w:val="en-US" w:eastAsia="zh-CN"/>
        </w:rPr>
        <w:t>公开编制说明</w:t>
      </w:r>
    </w:p>
    <w:p>
      <w:pPr>
        <w:autoSpaceDE w:val="0"/>
        <w:autoSpaceDN w:val="0"/>
        <w:adjustRightInd w:val="0"/>
        <w:ind w:firstLine="1276"/>
        <w:jc w:val="left"/>
        <w:rPr>
          <w:rFonts w:ascii="黑体" w:hAnsi="黑体" w:eastAsia="黑体"/>
          <w:color w:val="000000"/>
          <w:sz w:val="48"/>
          <w:szCs w:val="48"/>
        </w:rPr>
      </w:pPr>
      <w:r>
        <w:rPr>
          <w:rFonts w:ascii="方正小标宋简体" w:hAnsi="宋体" w:eastAsia="方正小标宋简体"/>
          <w:sz w:val="36"/>
          <w:szCs w:val="36"/>
        </w:rPr>
        <w:br w:type="page"/>
      </w:r>
      <w:r>
        <w:rPr>
          <w:rFonts w:hint="eastAsia" w:ascii="黑体" w:hAnsi="黑体" w:eastAsia="黑体"/>
          <w:color w:val="000000"/>
          <w:sz w:val="48"/>
          <w:szCs w:val="48"/>
        </w:rPr>
        <w:t>目录</w:t>
      </w:r>
    </w:p>
    <w:p>
      <w:bookmarkStart w:id="73" w:name="_GoBack"/>
      <w:bookmarkEnd w:id="73"/>
    </w:p>
    <w:p>
      <w:pPr>
        <w:pStyle w:val="11"/>
        <w:adjustRightInd w:val="0"/>
        <w:snapToGrid w:val="0"/>
        <w:spacing w:before="0" w:line="440" w:lineRule="exact"/>
        <w:jc w:val="left"/>
        <w:rPr>
          <w:rFonts w:hint="default" w:ascii="Times New Roman" w:hAnsi="Times New Roman" w:eastAsia="宋体" w:cs="Times New Roman"/>
          <w:kern w:val="2"/>
          <w:sz w:val="24"/>
          <w:szCs w:val="24"/>
          <w:lang w:val="en-US" w:eastAsia="zh-CN" w:bidi="ar-SA"/>
        </w:rPr>
      </w:pPr>
      <w:r>
        <w:rPr>
          <w:rFonts w:hint="eastAsia"/>
          <w:sz w:val="24"/>
        </w:rPr>
        <w:t>第一部分</w:t>
      </w:r>
      <w:r>
        <w:rPr>
          <w:sz w:val="24"/>
        </w:rPr>
        <w:t xml:space="preserve"> </w:t>
      </w:r>
      <w:r>
        <w:rPr>
          <w:rFonts w:hint="eastAsia"/>
          <w:sz w:val="24"/>
        </w:rPr>
        <w:t>部门概况</w:t>
      </w:r>
      <w:r>
        <w:rPr>
          <w:rFonts w:hint="eastAsia"/>
          <w:sz w:val="24"/>
          <w:lang w:val="en-US" w:eastAsia="zh-CN"/>
        </w:rPr>
        <w:t>..................................................</w:t>
      </w:r>
      <w:r>
        <w:rPr>
          <w:rFonts w:hint="eastAsia" w:ascii="Times New Roman" w:hAnsi="Times New Roman" w:eastAsia="宋体" w:cs="Times New Roman"/>
          <w:kern w:val="2"/>
          <w:sz w:val="24"/>
          <w:szCs w:val="24"/>
          <w:lang w:val="en-US" w:eastAsia="zh-CN" w:bidi="ar-SA"/>
        </w:rPr>
        <w:t>4</w:t>
      </w:r>
    </w:p>
    <w:p>
      <w:pPr>
        <w:pStyle w:val="12"/>
        <w:adjustRightInd w:val="0"/>
        <w:snapToGrid w:val="0"/>
        <w:spacing w:line="440" w:lineRule="exact"/>
        <w:jc w:val="left"/>
        <w:rPr>
          <w:rFonts w:hint="default" w:ascii="仿宋" w:hAnsi="仿宋" w:eastAsia="宋体"/>
          <w:sz w:val="24"/>
          <w:lang w:val="en-US" w:eastAsia="zh-CN"/>
        </w:rPr>
      </w:pPr>
      <w:r>
        <w:rPr>
          <w:rFonts w:hint="eastAsia"/>
          <w:sz w:val="24"/>
        </w:rPr>
        <w:t>一、基本职能及主要工作</w:t>
      </w:r>
      <w:r>
        <w:rPr>
          <w:rFonts w:hint="eastAsia"/>
          <w:sz w:val="24"/>
          <w:lang w:val="en-US" w:eastAsia="zh-CN"/>
        </w:rPr>
        <w:t>..................................................................................4</w:t>
      </w:r>
    </w:p>
    <w:p>
      <w:pPr>
        <w:pStyle w:val="12"/>
        <w:adjustRightInd w:val="0"/>
        <w:snapToGrid w:val="0"/>
        <w:spacing w:line="440" w:lineRule="exact"/>
        <w:jc w:val="left"/>
        <w:rPr>
          <w:rFonts w:hint="default" w:ascii="仿宋" w:hAnsi="仿宋" w:eastAsia="宋体" w:cstheme="minorBidi"/>
          <w:sz w:val="24"/>
          <w:lang w:val="en-US" w:eastAsia="zh-CN"/>
        </w:rPr>
      </w:pPr>
      <w:r>
        <w:rPr>
          <w:rFonts w:hint="eastAsia"/>
          <w:sz w:val="24"/>
        </w:rPr>
        <w:t>二、机构设置</w:t>
      </w:r>
      <w:r>
        <w:rPr>
          <w:rFonts w:hint="eastAsia"/>
          <w:sz w:val="24"/>
          <w:lang w:val="en-US" w:eastAsia="zh-CN"/>
        </w:rPr>
        <w:t>......................................................................................................9</w:t>
      </w:r>
    </w:p>
    <w:p>
      <w:pPr>
        <w:pStyle w:val="11"/>
        <w:adjustRightInd w:val="0"/>
        <w:snapToGrid w:val="0"/>
        <w:spacing w:before="0" w:line="440" w:lineRule="exact"/>
        <w:jc w:val="left"/>
        <w:rPr>
          <w:rFonts w:hint="default" w:ascii="Times New Roman" w:hAnsi="Times New Roman" w:eastAsia="宋体" w:cs="Times New Roman"/>
          <w:kern w:val="2"/>
          <w:sz w:val="24"/>
          <w:szCs w:val="24"/>
          <w:lang w:val="en-US" w:eastAsia="zh-CN" w:bidi="ar-SA"/>
        </w:rPr>
      </w:pPr>
      <w:r>
        <w:rPr>
          <w:rFonts w:hint="eastAsia"/>
          <w:sz w:val="24"/>
        </w:rPr>
        <w:t>第二部分度部门决算情况说明</w:t>
      </w:r>
      <w:r>
        <w:rPr>
          <w:rFonts w:hint="eastAsia"/>
          <w:sz w:val="24"/>
          <w:lang w:val="en-US" w:eastAsia="zh-CN"/>
        </w:rPr>
        <w:t>........................................</w:t>
      </w:r>
      <w:r>
        <w:rPr>
          <w:rFonts w:hint="eastAsia" w:ascii="Times New Roman" w:hAnsi="Times New Roman" w:eastAsia="宋体" w:cs="Times New Roman"/>
          <w:kern w:val="2"/>
          <w:sz w:val="24"/>
          <w:szCs w:val="24"/>
          <w:lang w:val="en-US" w:eastAsia="zh-CN" w:bidi="ar-SA"/>
        </w:rPr>
        <w:t>10</w:t>
      </w:r>
    </w:p>
    <w:p>
      <w:pPr>
        <w:pStyle w:val="12"/>
        <w:adjustRightInd w:val="0"/>
        <w:snapToGrid w:val="0"/>
        <w:spacing w:line="440" w:lineRule="exact"/>
        <w:jc w:val="left"/>
        <w:rPr>
          <w:rFonts w:hint="default" w:ascii="仿宋" w:hAnsi="仿宋" w:eastAsia="宋体" w:cstheme="minorBidi"/>
          <w:sz w:val="24"/>
          <w:lang w:val="en-US" w:eastAsia="zh-CN"/>
        </w:rPr>
      </w:pPr>
      <w:r>
        <w:rPr>
          <w:rFonts w:hint="eastAsia"/>
          <w:sz w:val="24"/>
        </w:rPr>
        <w:t>一、收入支出决算总体情况说明</w:t>
      </w:r>
      <w:r>
        <w:rPr>
          <w:rFonts w:hint="eastAsia"/>
          <w:sz w:val="24"/>
          <w:lang w:val="en-US" w:eastAsia="zh-CN"/>
        </w:rPr>
        <w:t>.....................................................................10</w:t>
      </w:r>
    </w:p>
    <w:p>
      <w:pPr>
        <w:pStyle w:val="12"/>
        <w:adjustRightInd w:val="0"/>
        <w:snapToGrid w:val="0"/>
        <w:spacing w:line="440" w:lineRule="exact"/>
        <w:jc w:val="left"/>
        <w:rPr>
          <w:rFonts w:hint="default" w:ascii="仿宋" w:hAnsi="仿宋" w:eastAsia="宋体" w:cstheme="minorBidi"/>
          <w:sz w:val="24"/>
          <w:lang w:val="en-US" w:eastAsia="zh-CN"/>
        </w:rPr>
      </w:pPr>
      <w:r>
        <w:rPr>
          <w:rFonts w:hint="eastAsia"/>
          <w:sz w:val="24"/>
        </w:rPr>
        <w:t>二、收入决算情况说明</w:t>
      </w:r>
      <w:r>
        <w:rPr>
          <w:rFonts w:hint="eastAsia"/>
          <w:sz w:val="24"/>
          <w:lang w:val="en-US" w:eastAsia="zh-CN"/>
        </w:rPr>
        <w:t>.....................................................................................11</w:t>
      </w:r>
    </w:p>
    <w:p>
      <w:pPr>
        <w:pStyle w:val="12"/>
        <w:adjustRightInd w:val="0"/>
        <w:snapToGrid w:val="0"/>
        <w:spacing w:line="440" w:lineRule="exact"/>
        <w:jc w:val="left"/>
        <w:rPr>
          <w:rFonts w:hint="default" w:ascii="仿宋" w:hAnsi="仿宋" w:eastAsia="宋体" w:cstheme="minorBidi"/>
          <w:sz w:val="24"/>
          <w:lang w:val="en-US" w:eastAsia="zh-CN"/>
        </w:rPr>
      </w:pPr>
      <w:r>
        <w:rPr>
          <w:rFonts w:hint="eastAsia"/>
          <w:sz w:val="24"/>
        </w:rPr>
        <w:t>三、支出决算情况说明</w:t>
      </w:r>
      <w:r>
        <w:rPr>
          <w:rFonts w:hint="eastAsia"/>
          <w:sz w:val="24"/>
          <w:lang w:val="en-US" w:eastAsia="zh-CN"/>
        </w:rPr>
        <w:t>.....................................................................................11</w:t>
      </w:r>
    </w:p>
    <w:p>
      <w:pPr>
        <w:pStyle w:val="12"/>
        <w:adjustRightInd w:val="0"/>
        <w:snapToGrid w:val="0"/>
        <w:spacing w:line="440" w:lineRule="exact"/>
        <w:jc w:val="left"/>
        <w:rPr>
          <w:rFonts w:hint="default" w:ascii="仿宋" w:hAnsi="仿宋" w:eastAsia="宋体" w:cstheme="minorBidi"/>
          <w:sz w:val="24"/>
          <w:lang w:val="en-US" w:eastAsia="zh-CN"/>
        </w:rPr>
      </w:pPr>
      <w:r>
        <w:rPr>
          <w:rFonts w:hint="eastAsia"/>
          <w:sz w:val="24"/>
        </w:rPr>
        <w:t>四、财政拨款收入支出决算总体情况说明</w:t>
      </w:r>
      <w:r>
        <w:rPr>
          <w:rFonts w:hint="eastAsia"/>
          <w:sz w:val="24"/>
          <w:lang w:val="en-US" w:eastAsia="zh-CN"/>
        </w:rPr>
        <w:t>.....................................................12</w:t>
      </w:r>
    </w:p>
    <w:p>
      <w:pPr>
        <w:pStyle w:val="12"/>
        <w:adjustRightInd w:val="0"/>
        <w:snapToGrid w:val="0"/>
        <w:spacing w:line="440" w:lineRule="exact"/>
        <w:jc w:val="left"/>
        <w:rPr>
          <w:rFonts w:hint="default" w:ascii="仿宋" w:hAnsi="仿宋" w:eastAsia="宋体" w:cstheme="minorBidi"/>
          <w:sz w:val="24"/>
          <w:lang w:val="en-US" w:eastAsia="zh-CN"/>
        </w:rPr>
      </w:pPr>
      <w:r>
        <w:rPr>
          <w:rFonts w:hint="eastAsia"/>
          <w:sz w:val="24"/>
        </w:rPr>
        <w:t>五、一般公共预算财政拨款支出决算情况说明</w:t>
      </w:r>
      <w:r>
        <w:rPr>
          <w:rFonts w:hint="eastAsia"/>
          <w:sz w:val="24"/>
          <w:lang w:val="en-US" w:eastAsia="zh-CN"/>
        </w:rPr>
        <w:t>.............................................12</w:t>
      </w:r>
    </w:p>
    <w:p>
      <w:pPr>
        <w:pStyle w:val="12"/>
        <w:adjustRightInd w:val="0"/>
        <w:snapToGrid w:val="0"/>
        <w:spacing w:line="440" w:lineRule="exact"/>
        <w:jc w:val="left"/>
        <w:rPr>
          <w:rFonts w:hint="default" w:ascii="仿宋" w:hAnsi="仿宋" w:eastAsia="宋体" w:cstheme="minorBidi"/>
          <w:sz w:val="24"/>
          <w:lang w:val="en-US" w:eastAsia="zh-CN"/>
        </w:rPr>
      </w:pPr>
      <w:r>
        <w:rPr>
          <w:rFonts w:hint="eastAsia"/>
          <w:sz w:val="24"/>
        </w:rPr>
        <w:t>六、一般公共预算财政拨款基本支出决算情况说明</w:t>
      </w:r>
      <w:r>
        <w:rPr>
          <w:rFonts w:hint="eastAsia"/>
          <w:sz w:val="24"/>
          <w:lang w:val="en-US" w:eastAsia="zh-CN"/>
        </w:rPr>
        <w:t>.....................................15</w:t>
      </w:r>
    </w:p>
    <w:p>
      <w:pPr>
        <w:pStyle w:val="12"/>
        <w:adjustRightInd w:val="0"/>
        <w:snapToGrid w:val="0"/>
        <w:spacing w:line="440" w:lineRule="exact"/>
        <w:jc w:val="left"/>
        <w:rPr>
          <w:rFonts w:hint="default" w:ascii="仿宋" w:hAnsi="仿宋" w:eastAsia="宋体" w:cstheme="minorBidi"/>
          <w:sz w:val="24"/>
          <w:lang w:val="en-US" w:eastAsia="zh-CN"/>
        </w:rPr>
      </w:pPr>
      <w:r>
        <w:rPr>
          <w:rFonts w:hint="eastAsia"/>
          <w:sz w:val="24"/>
        </w:rPr>
        <w:t>七、</w:t>
      </w:r>
      <w:r>
        <w:rPr>
          <w:sz w:val="24"/>
        </w:rPr>
        <w:t>“</w:t>
      </w:r>
      <w:r>
        <w:rPr>
          <w:rFonts w:hint="eastAsia"/>
          <w:sz w:val="24"/>
        </w:rPr>
        <w:t>三公”经费财政拨款支出决算情况说明</w:t>
      </w:r>
      <w:r>
        <w:rPr>
          <w:rFonts w:hint="eastAsia"/>
          <w:sz w:val="24"/>
          <w:lang w:val="en-US" w:eastAsia="zh-CN"/>
        </w:rPr>
        <w:t>...............................................16</w:t>
      </w:r>
    </w:p>
    <w:p>
      <w:pPr>
        <w:pStyle w:val="12"/>
        <w:adjustRightInd w:val="0"/>
        <w:snapToGrid w:val="0"/>
        <w:spacing w:line="440" w:lineRule="exact"/>
        <w:jc w:val="left"/>
        <w:rPr>
          <w:rFonts w:hint="default" w:ascii="仿宋" w:hAnsi="仿宋" w:eastAsia="宋体" w:cstheme="minorBidi"/>
          <w:sz w:val="24"/>
          <w:lang w:val="en-US" w:eastAsia="zh-CN"/>
        </w:rPr>
      </w:pPr>
      <w:r>
        <w:rPr>
          <w:rFonts w:hint="eastAsia"/>
          <w:sz w:val="24"/>
        </w:rPr>
        <w:t>八、政府性基金预算支出决算情况说明</w:t>
      </w:r>
      <w:r>
        <w:rPr>
          <w:rFonts w:hint="eastAsia"/>
          <w:sz w:val="24"/>
          <w:lang w:val="en-US" w:eastAsia="zh-CN"/>
        </w:rPr>
        <w:t>.........................................................17</w:t>
      </w:r>
    </w:p>
    <w:p>
      <w:pPr>
        <w:pStyle w:val="12"/>
        <w:adjustRightInd w:val="0"/>
        <w:snapToGrid w:val="0"/>
        <w:spacing w:line="440" w:lineRule="exact"/>
        <w:ind w:leftChars="0"/>
        <w:jc w:val="left"/>
        <w:rPr>
          <w:rFonts w:hint="default" w:ascii="仿宋" w:hAnsi="仿宋" w:eastAsia="宋体"/>
          <w:sz w:val="24"/>
          <w:lang w:val="en-US" w:eastAsia="zh-CN"/>
        </w:rPr>
      </w:pPr>
      <w:r>
        <w:rPr>
          <w:rFonts w:hint="eastAsia" w:ascii="仿宋" w:hAnsi="仿宋" w:eastAsia="仿宋"/>
          <w:sz w:val="24"/>
        </w:rPr>
        <w:t>九、</w:t>
      </w:r>
      <w:r>
        <w:rPr>
          <w:sz w:val="24"/>
        </w:rPr>
        <w:t xml:space="preserve"> 国</w:t>
      </w:r>
      <w:r>
        <w:rPr>
          <w:rFonts w:hint="eastAsia"/>
          <w:sz w:val="24"/>
        </w:rPr>
        <w:t>有资本经营预算支出决算情况说明</w:t>
      </w:r>
      <w:r>
        <w:rPr>
          <w:rFonts w:hint="eastAsia"/>
          <w:sz w:val="24"/>
          <w:lang w:val="en-US" w:eastAsia="zh-CN"/>
        </w:rPr>
        <w:t>...................................................18</w:t>
      </w:r>
    </w:p>
    <w:p>
      <w:pPr>
        <w:adjustRightInd w:val="0"/>
        <w:snapToGrid w:val="0"/>
        <w:spacing w:line="440" w:lineRule="exact"/>
        <w:ind w:firstLine="480" w:firstLineChars="200"/>
        <w:jc w:val="left"/>
        <w:rPr>
          <w:rFonts w:ascii="仿宋" w:hAnsi="仿宋" w:eastAsia="仿宋" w:cstheme="minorBidi"/>
          <w:sz w:val="24"/>
        </w:rPr>
      </w:pPr>
      <w:r>
        <w:rPr>
          <w:rStyle w:val="15"/>
          <w:rFonts w:hint="eastAsia" w:ascii="仿宋" w:hAnsi="仿宋" w:eastAsia="仿宋"/>
          <w:color w:val="000000" w:themeColor="text1"/>
          <w:sz w:val="24"/>
          <w:u w:val="none"/>
        </w:rPr>
        <w:t>十、</w:t>
      </w:r>
      <w:r>
        <w:rPr>
          <w:rFonts w:hint="eastAsia"/>
          <w:sz w:val="24"/>
        </w:rPr>
        <w:t>其他重要事项的情况说明</w:t>
      </w:r>
      <w:r>
        <w:rPr>
          <w:rFonts w:hint="eastAsia"/>
          <w:sz w:val="24"/>
          <w:lang w:val="en-US" w:eastAsia="zh-CN"/>
        </w:rPr>
        <w:t>........................................................................18</w:t>
      </w:r>
    </w:p>
    <w:p>
      <w:pPr>
        <w:pStyle w:val="11"/>
        <w:adjustRightInd w:val="0"/>
        <w:snapToGrid w:val="0"/>
        <w:spacing w:before="0" w:line="440" w:lineRule="exact"/>
        <w:jc w:val="left"/>
        <w:rPr>
          <w:rFonts w:hint="default" w:ascii="Times New Roman" w:hAnsi="Times New Roman" w:eastAsia="宋体" w:cs="Times New Roman"/>
          <w:kern w:val="2"/>
          <w:sz w:val="24"/>
          <w:szCs w:val="24"/>
          <w:lang w:val="en-US" w:eastAsia="zh-CN" w:bidi="ar-SA"/>
        </w:rPr>
      </w:pPr>
      <w:r>
        <w:rPr>
          <w:rFonts w:hint="eastAsia"/>
          <w:sz w:val="24"/>
        </w:rPr>
        <w:t>第三部分</w:t>
      </w:r>
      <w:r>
        <w:rPr>
          <w:sz w:val="24"/>
        </w:rPr>
        <w:t xml:space="preserve"> </w:t>
      </w:r>
      <w:r>
        <w:rPr>
          <w:rFonts w:hint="eastAsia"/>
          <w:sz w:val="24"/>
        </w:rPr>
        <w:t>名词解释</w:t>
      </w:r>
      <w:r>
        <w:rPr>
          <w:rFonts w:hint="eastAsia" w:cstheme="minorBidi"/>
          <w:sz w:val="24"/>
          <w:szCs w:val="24"/>
          <w:lang w:val="en-US" w:eastAsia="zh-CN"/>
        </w:rPr>
        <w:t>.................................................</w:t>
      </w:r>
      <w:r>
        <w:rPr>
          <w:rFonts w:hint="eastAsia" w:ascii="Times New Roman" w:hAnsi="Times New Roman" w:eastAsia="宋体" w:cs="Times New Roman"/>
          <w:kern w:val="2"/>
          <w:sz w:val="24"/>
          <w:szCs w:val="24"/>
          <w:lang w:val="en-US" w:eastAsia="zh-CN" w:bidi="ar-SA"/>
        </w:rPr>
        <w:t>19</w:t>
      </w:r>
    </w:p>
    <w:p>
      <w:pPr>
        <w:pStyle w:val="12"/>
        <w:adjustRightInd w:val="0"/>
        <w:snapToGrid w:val="0"/>
        <w:spacing w:line="440" w:lineRule="exact"/>
        <w:jc w:val="left"/>
        <w:rPr>
          <w:rFonts w:hint="default" w:ascii="仿宋" w:hAnsi="仿宋" w:eastAsia="宋体" w:cstheme="minorBidi"/>
          <w:sz w:val="24"/>
          <w:lang w:val="en-US" w:eastAsia="zh-CN"/>
        </w:rPr>
      </w:pPr>
      <w:r>
        <w:rPr>
          <w:rFonts w:hint="eastAsia"/>
          <w:sz w:val="24"/>
        </w:rPr>
        <w:t>附件</w:t>
      </w:r>
      <w:r>
        <w:rPr>
          <w:sz w:val="24"/>
        </w:rPr>
        <w:t>1</w:t>
      </w:r>
      <w:r>
        <w:rPr>
          <w:rFonts w:hint="eastAsia"/>
          <w:sz w:val="24"/>
          <w:lang w:val="en-US" w:eastAsia="zh-CN"/>
        </w:rPr>
        <w:t>..................................................................................................................23</w:t>
      </w:r>
    </w:p>
    <w:p>
      <w:pPr>
        <w:pStyle w:val="12"/>
        <w:adjustRightInd w:val="0"/>
        <w:snapToGrid w:val="0"/>
        <w:spacing w:line="440" w:lineRule="exact"/>
        <w:jc w:val="left"/>
        <w:rPr>
          <w:rFonts w:hint="default" w:ascii="仿宋" w:hAnsi="仿宋" w:eastAsia="宋体" w:cstheme="minorBidi"/>
          <w:sz w:val="24"/>
          <w:lang w:val="en-US" w:eastAsia="zh-CN"/>
        </w:rPr>
      </w:pPr>
      <w:r>
        <w:rPr>
          <w:rFonts w:hint="eastAsia"/>
          <w:sz w:val="24"/>
        </w:rPr>
        <w:t>附件</w:t>
      </w:r>
      <w:r>
        <w:rPr>
          <w:sz w:val="24"/>
        </w:rPr>
        <w:t>2</w:t>
      </w:r>
      <w:r>
        <w:rPr>
          <w:rFonts w:hint="eastAsia"/>
          <w:sz w:val="24"/>
          <w:lang w:val="en-US" w:eastAsia="zh-CN"/>
        </w:rPr>
        <w:t>..................................................................................................................24</w:t>
      </w:r>
    </w:p>
    <w:p>
      <w:pPr>
        <w:pStyle w:val="11"/>
        <w:adjustRightInd w:val="0"/>
        <w:snapToGrid w:val="0"/>
        <w:spacing w:before="0" w:line="440" w:lineRule="exact"/>
        <w:jc w:val="left"/>
        <w:rPr>
          <w:rFonts w:hint="default" w:ascii="Times New Roman" w:hAnsi="Times New Roman" w:eastAsia="宋体" w:cs="Times New Roman"/>
          <w:kern w:val="2"/>
          <w:sz w:val="24"/>
          <w:szCs w:val="24"/>
          <w:lang w:val="en-US" w:eastAsia="zh-CN" w:bidi="ar-SA"/>
        </w:rPr>
      </w:pPr>
      <w:r>
        <w:rPr>
          <w:rFonts w:hint="eastAsia"/>
          <w:sz w:val="24"/>
        </w:rPr>
        <w:t>第五部分</w:t>
      </w:r>
      <w:r>
        <w:rPr>
          <w:sz w:val="24"/>
        </w:rPr>
        <w:t xml:space="preserve"> </w:t>
      </w:r>
      <w:r>
        <w:rPr>
          <w:rFonts w:hint="eastAsia"/>
          <w:sz w:val="24"/>
        </w:rPr>
        <w:t>附表</w:t>
      </w:r>
      <w:r>
        <w:rPr>
          <w:rFonts w:hint="eastAsia"/>
          <w:sz w:val="24"/>
          <w:lang w:val="en-US" w:eastAsia="zh-CN"/>
        </w:rPr>
        <w:t>.....................................................</w:t>
      </w:r>
      <w:r>
        <w:rPr>
          <w:rFonts w:hint="eastAsia" w:ascii="Times New Roman" w:hAnsi="Times New Roman" w:eastAsia="宋体" w:cs="Times New Roman"/>
          <w:kern w:val="2"/>
          <w:sz w:val="24"/>
          <w:szCs w:val="24"/>
          <w:lang w:val="en-US" w:eastAsia="zh-CN" w:bidi="ar-SA"/>
        </w:rPr>
        <w:t>28</w:t>
      </w:r>
    </w:p>
    <w:p>
      <w:pPr>
        <w:pStyle w:val="12"/>
        <w:adjustRightInd w:val="0"/>
        <w:snapToGrid w:val="0"/>
        <w:spacing w:line="440" w:lineRule="exact"/>
        <w:jc w:val="left"/>
        <w:rPr>
          <w:rFonts w:hint="default" w:ascii="Times New Roman" w:hAnsi="Times New Roman" w:eastAsia="宋体" w:cs="Times New Roman"/>
          <w:kern w:val="2"/>
          <w:sz w:val="24"/>
          <w:szCs w:val="24"/>
          <w:lang w:val="en-US" w:eastAsia="zh-CN" w:bidi="ar-SA"/>
        </w:rPr>
      </w:pPr>
      <w:r>
        <w:rPr>
          <w:rFonts w:hint="eastAsia" w:ascii="仿宋" w:hAnsi="仿宋" w:eastAsia="仿宋"/>
          <w:sz w:val="24"/>
        </w:rPr>
        <w:t>一、</w:t>
      </w:r>
      <w:r>
        <w:rPr>
          <w:rFonts w:hint="eastAsia"/>
          <w:sz w:val="24"/>
        </w:rPr>
        <w:t>收入支出决算总表</w:t>
      </w:r>
      <w:r>
        <w:rPr>
          <w:rFonts w:hint="eastAsia"/>
          <w:sz w:val="24"/>
          <w:lang w:val="en-US" w:eastAsia="zh-CN"/>
        </w:rPr>
        <w:t>.....................................................................................</w:t>
      </w:r>
      <w:r>
        <w:rPr>
          <w:rFonts w:hint="eastAsia" w:ascii="Times New Roman" w:hAnsi="Times New Roman" w:eastAsia="宋体" w:cs="Times New Roman"/>
          <w:kern w:val="2"/>
          <w:sz w:val="24"/>
          <w:szCs w:val="24"/>
          <w:lang w:val="en-US" w:eastAsia="zh-CN" w:bidi="ar-SA"/>
        </w:rPr>
        <w:t>28</w:t>
      </w:r>
    </w:p>
    <w:p>
      <w:pPr>
        <w:pStyle w:val="12"/>
        <w:adjustRightInd w:val="0"/>
        <w:snapToGrid w:val="0"/>
        <w:spacing w:line="440" w:lineRule="exact"/>
        <w:jc w:val="left"/>
        <w:rPr>
          <w:rFonts w:hint="default" w:ascii="仿宋" w:hAnsi="仿宋" w:eastAsia="宋体" w:cstheme="minorBidi"/>
          <w:sz w:val="24"/>
          <w:lang w:val="en-US" w:eastAsia="zh-CN"/>
        </w:rPr>
      </w:pPr>
      <w:r>
        <w:rPr>
          <w:rFonts w:hint="eastAsia" w:ascii="仿宋" w:hAnsi="仿宋" w:eastAsia="仿宋"/>
          <w:sz w:val="24"/>
        </w:rPr>
        <w:t>二、</w:t>
      </w:r>
      <w:r>
        <w:rPr>
          <w:rFonts w:hint="eastAsia"/>
          <w:sz w:val="24"/>
        </w:rPr>
        <w:t>收入</w:t>
      </w:r>
      <w:r>
        <w:rPr>
          <w:rFonts w:hint="eastAsia" w:ascii="仿宋" w:hAnsi="仿宋" w:eastAsia="仿宋"/>
          <w:sz w:val="24"/>
        </w:rPr>
        <w:t>决算</w:t>
      </w:r>
      <w:r>
        <w:rPr>
          <w:rFonts w:hint="eastAsia"/>
          <w:sz w:val="24"/>
        </w:rPr>
        <w:t>表</w:t>
      </w:r>
      <w:r>
        <w:rPr>
          <w:rFonts w:hint="eastAsia"/>
          <w:sz w:val="24"/>
          <w:lang w:val="en-US" w:eastAsia="zh-CN"/>
        </w:rPr>
        <w:t>.................................................................................................28</w:t>
      </w:r>
    </w:p>
    <w:p>
      <w:pPr>
        <w:pStyle w:val="12"/>
        <w:adjustRightInd w:val="0"/>
        <w:snapToGrid w:val="0"/>
        <w:spacing w:line="440" w:lineRule="exact"/>
        <w:jc w:val="left"/>
        <w:rPr>
          <w:rFonts w:hint="default" w:ascii="仿宋" w:hAnsi="仿宋" w:eastAsia="宋体" w:cstheme="minorBidi"/>
          <w:sz w:val="24"/>
          <w:lang w:val="en-US" w:eastAsia="zh-CN"/>
        </w:rPr>
      </w:pPr>
      <w:r>
        <w:rPr>
          <w:rFonts w:hint="eastAsia" w:ascii="仿宋" w:hAnsi="仿宋" w:eastAsia="仿宋"/>
          <w:sz w:val="24"/>
        </w:rPr>
        <w:t>三、</w:t>
      </w:r>
      <w:r>
        <w:rPr>
          <w:rFonts w:hint="eastAsia"/>
          <w:sz w:val="24"/>
        </w:rPr>
        <w:t>支出</w:t>
      </w:r>
      <w:r>
        <w:rPr>
          <w:rFonts w:hint="eastAsia" w:ascii="仿宋" w:hAnsi="仿宋" w:eastAsia="仿宋"/>
          <w:sz w:val="24"/>
        </w:rPr>
        <w:t>决算</w:t>
      </w:r>
      <w:r>
        <w:rPr>
          <w:rFonts w:hint="eastAsia"/>
          <w:sz w:val="24"/>
        </w:rPr>
        <w:t>表</w:t>
      </w:r>
      <w:r>
        <w:rPr>
          <w:rFonts w:hint="eastAsia"/>
          <w:sz w:val="24"/>
          <w:lang w:val="en-US" w:eastAsia="zh-CN"/>
        </w:rPr>
        <w:t>.................................................................................................28</w:t>
      </w:r>
    </w:p>
    <w:p>
      <w:pPr>
        <w:pStyle w:val="12"/>
        <w:adjustRightInd w:val="0"/>
        <w:snapToGrid w:val="0"/>
        <w:spacing w:line="440" w:lineRule="exact"/>
        <w:jc w:val="left"/>
        <w:rPr>
          <w:rFonts w:hint="default" w:ascii="仿宋" w:hAnsi="仿宋" w:eastAsia="宋体" w:cstheme="minorBidi"/>
          <w:sz w:val="24"/>
          <w:lang w:val="en-US" w:eastAsia="zh-CN"/>
        </w:rPr>
      </w:pPr>
      <w:r>
        <w:rPr>
          <w:rFonts w:hint="eastAsia" w:ascii="仿宋" w:hAnsi="仿宋" w:eastAsia="仿宋"/>
          <w:sz w:val="24"/>
        </w:rPr>
        <w:t>四、</w:t>
      </w:r>
      <w:r>
        <w:rPr>
          <w:rFonts w:hint="eastAsia"/>
          <w:sz w:val="24"/>
        </w:rPr>
        <w:t>财政拨款收入支出决算总表</w:t>
      </w:r>
      <w:r>
        <w:rPr>
          <w:rFonts w:hint="eastAsia"/>
          <w:sz w:val="24"/>
          <w:lang w:val="en-US" w:eastAsia="zh-CN"/>
        </w:rPr>
        <w:t>.....................................................................28</w:t>
      </w:r>
    </w:p>
    <w:p>
      <w:pPr>
        <w:pStyle w:val="12"/>
        <w:adjustRightInd w:val="0"/>
        <w:snapToGrid w:val="0"/>
        <w:spacing w:line="440" w:lineRule="exact"/>
        <w:jc w:val="left"/>
        <w:rPr>
          <w:rFonts w:hint="default"/>
          <w:sz w:val="24"/>
          <w:lang w:val="en-US" w:eastAsia="zh-CN"/>
        </w:rPr>
      </w:pPr>
      <w:r>
        <w:rPr>
          <w:rFonts w:hint="eastAsia" w:ascii="仿宋" w:hAnsi="仿宋" w:eastAsia="仿宋"/>
          <w:sz w:val="24"/>
        </w:rPr>
        <w:t>五、财政拨款支出决算明细表</w:t>
      </w:r>
      <w:r>
        <w:rPr>
          <w:rFonts w:hint="eastAsia" w:ascii="仿宋" w:hAnsi="仿宋" w:eastAsia="仿宋"/>
          <w:sz w:val="24"/>
          <w:lang w:val="en-US" w:eastAsia="zh-CN"/>
        </w:rPr>
        <w:t>....................................</w:t>
      </w:r>
      <w:r>
        <w:rPr>
          <w:rFonts w:hint="eastAsia"/>
          <w:sz w:val="24"/>
          <w:lang w:val="en-US" w:eastAsia="zh-CN"/>
        </w:rPr>
        <w:t>28</w:t>
      </w:r>
    </w:p>
    <w:p>
      <w:pPr>
        <w:pStyle w:val="12"/>
        <w:adjustRightInd w:val="0"/>
        <w:snapToGrid w:val="0"/>
        <w:spacing w:line="440" w:lineRule="exact"/>
        <w:jc w:val="left"/>
        <w:rPr>
          <w:rFonts w:hint="default" w:ascii="仿宋" w:hAnsi="仿宋" w:eastAsia="宋体" w:cstheme="minorBidi"/>
          <w:sz w:val="24"/>
          <w:lang w:val="en-US" w:eastAsia="zh-CN"/>
        </w:rPr>
      </w:pPr>
      <w:r>
        <w:rPr>
          <w:rFonts w:hint="eastAsia" w:ascii="仿宋" w:hAnsi="仿宋" w:eastAsia="仿宋"/>
          <w:sz w:val="24"/>
        </w:rPr>
        <w:t>六、</w:t>
      </w:r>
      <w:r>
        <w:rPr>
          <w:rFonts w:hint="eastAsia"/>
          <w:sz w:val="24"/>
        </w:rPr>
        <w:t>一般公共预算财政拨款支出决算表</w:t>
      </w:r>
      <w:r>
        <w:rPr>
          <w:rFonts w:hint="eastAsia"/>
          <w:sz w:val="24"/>
          <w:lang w:val="en-US" w:eastAsia="zh-CN"/>
        </w:rPr>
        <w:t>.........................................................28</w:t>
      </w:r>
    </w:p>
    <w:p>
      <w:pPr>
        <w:pStyle w:val="12"/>
        <w:adjustRightInd w:val="0"/>
        <w:snapToGrid w:val="0"/>
        <w:spacing w:line="440" w:lineRule="exact"/>
        <w:jc w:val="left"/>
        <w:rPr>
          <w:rFonts w:hint="default" w:ascii="仿宋" w:hAnsi="仿宋" w:eastAsia="宋体" w:cstheme="minorBidi"/>
          <w:sz w:val="24"/>
          <w:lang w:val="en-US" w:eastAsia="zh-CN"/>
        </w:rPr>
      </w:pPr>
      <w:r>
        <w:rPr>
          <w:rFonts w:hint="eastAsia" w:ascii="仿宋" w:hAnsi="仿宋" w:eastAsia="仿宋"/>
          <w:sz w:val="24"/>
        </w:rPr>
        <w:t>七、</w:t>
      </w:r>
      <w:r>
        <w:rPr>
          <w:rFonts w:hint="eastAsia"/>
          <w:sz w:val="24"/>
        </w:rPr>
        <w:t>一般公共预算财政拨款支出决算明细表</w:t>
      </w:r>
      <w:r>
        <w:rPr>
          <w:rFonts w:hint="eastAsia"/>
          <w:sz w:val="24"/>
          <w:lang w:val="en-US" w:eastAsia="zh-CN"/>
        </w:rPr>
        <w:t>.................................................28</w:t>
      </w:r>
    </w:p>
    <w:p>
      <w:pPr>
        <w:pStyle w:val="12"/>
        <w:adjustRightInd w:val="0"/>
        <w:snapToGrid w:val="0"/>
        <w:spacing w:line="440" w:lineRule="exact"/>
        <w:jc w:val="left"/>
        <w:rPr>
          <w:rFonts w:hint="default" w:ascii="仿宋" w:hAnsi="仿宋" w:eastAsia="宋体" w:cstheme="minorBidi"/>
          <w:sz w:val="24"/>
          <w:lang w:val="en-US" w:eastAsia="zh-CN"/>
        </w:rPr>
      </w:pPr>
      <w:r>
        <w:rPr>
          <w:rFonts w:hint="eastAsia" w:ascii="仿宋" w:hAnsi="仿宋" w:eastAsia="仿宋"/>
          <w:sz w:val="24"/>
        </w:rPr>
        <w:t>八、</w:t>
      </w:r>
      <w:r>
        <w:rPr>
          <w:rFonts w:hint="eastAsia"/>
          <w:sz w:val="24"/>
        </w:rPr>
        <w:t>一般公共预算财政拨款基本支出决算表</w:t>
      </w:r>
      <w:r>
        <w:rPr>
          <w:rFonts w:hint="eastAsia"/>
          <w:sz w:val="24"/>
          <w:lang w:val="en-US" w:eastAsia="zh-CN"/>
        </w:rPr>
        <w:t>.................................................28</w:t>
      </w:r>
    </w:p>
    <w:p>
      <w:pPr>
        <w:pStyle w:val="12"/>
        <w:adjustRightInd w:val="0"/>
        <w:snapToGrid w:val="0"/>
        <w:spacing w:line="440" w:lineRule="exact"/>
        <w:jc w:val="left"/>
        <w:rPr>
          <w:rFonts w:hint="default" w:ascii="仿宋" w:hAnsi="仿宋" w:eastAsia="宋体" w:cstheme="minorBidi"/>
          <w:sz w:val="24"/>
          <w:lang w:val="en-US" w:eastAsia="zh-CN"/>
        </w:rPr>
      </w:pPr>
      <w:r>
        <w:rPr>
          <w:rFonts w:hint="eastAsia" w:ascii="仿宋" w:hAnsi="仿宋" w:eastAsia="仿宋"/>
          <w:sz w:val="24"/>
        </w:rPr>
        <w:t>九、</w:t>
      </w:r>
      <w:r>
        <w:rPr>
          <w:rFonts w:hint="eastAsia"/>
          <w:sz w:val="24"/>
        </w:rPr>
        <w:t>一般公共预算财政拨款项目支出决算表</w:t>
      </w:r>
      <w:r>
        <w:rPr>
          <w:rFonts w:hint="eastAsia"/>
          <w:sz w:val="24"/>
          <w:lang w:val="en-US" w:eastAsia="zh-CN"/>
        </w:rPr>
        <w:t>...................................................28</w:t>
      </w:r>
    </w:p>
    <w:p>
      <w:pPr>
        <w:pStyle w:val="12"/>
        <w:adjustRightInd w:val="0"/>
        <w:snapToGrid w:val="0"/>
        <w:spacing w:line="440" w:lineRule="exact"/>
        <w:jc w:val="left"/>
        <w:rPr>
          <w:rFonts w:hint="default" w:ascii="仿宋" w:hAnsi="仿宋" w:eastAsia="宋体" w:cstheme="minorBidi"/>
          <w:sz w:val="24"/>
          <w:lang w:val="en-US" w:eastAsia="zh-CN"/>
        </w:rPr>
      </w:pPr>
      <w:r>
        <w:rPr>
          <w:rFonts w:hint="eastAsia" w:ascii="仿宋" w:hAnsi="仿宋" w:eastAsia="仿宋"/>
          <w:sz w:val="24"/>
        </w:rPr>
        <w:t>十、</w:t>
      </w:r>
      <w:r>
        <w:rPr>
          <w:rFonts w:hint="eastAsia"/>
          <w:sz w:val="24"/>
        </w:rPr>
        <w:t>一般公共预算财政拨款“三公”经费支出决算表</w:t>
      </w:r>
      <w:r>
        <w:rPr>
          <w:rFonts w:hint="eastAsia"/>
          <w:sz w:val="24"/>
          <w:lang w:val="en-US" w:eastAsia="zh-CN"/>
        </w:rPr>
        <w:t>...................................28</w:t>
      </w:r>
    </w:p>
    <w:p>
      <w:pPr>
        <w:pStyle w:val="12"/>
        <w:adjustRightInd w:val="0"/>
        <w:snapToGrid w:val="0"/>
        <w:spacing w:line="440" w:lineRule="exact"/>
        <w:jc w:val="left"/>
        <w:rPr>
          <w:rFonts w:hint="default" w:ascii="仿宋" w:hAnsi="仿宋" w:eastAsia="宋体" w:cstheme="minorBidi"/>
          <w:sz w:val="24"/>
          <w:lang w:val="en-US" w:eastAsia="zh-CN"/>
        </w:rPr>
      </w:pPr>
      <w:r>
        <w:rPr>
          <w:rFonts w:hint="eastAsia" w:ascii="仿宋" w:hAnsi="仿宋" w:eastAsia="仿宋"/>
          <w:sz w:val="24"/>
        </w:rPr>
        <w:t>十一、</w:t>
      </w:r>
      <w:r>
        <w:rPr>
          <w:rFonts w:hint="eastAsia"/>
          <w:sz w:val="24"/>
        </w:rPr>
        <w:t>政府性基金预算财政拨款收入支出决算表</w:t>
      </w:r>
      <w:r>
        <w:rPr>
          <w:rFonts w:hint="eastAsia"/>
          <w:sz w:val="24"/>
          <w:lang w:val="en-US" w:eastAsia="zh-CN"/>
        </w:rPr>
        <w:t>............................................28</w:t>
      </w:r>
      <w:r>
        <w:rPr>
          <w:rFonts w:hint="eastAsia" w:ascii="仿宋" w:hAnsi="仿宋" w:eastAsia="仿宋"/>
          <w:sz w:val="24"/>
        </w:rPr>
        <w:t>十二、</w:t>
      </w:r>
      <w:r>
        <w:rPr>
          <w:rFonts w:hint="eastAsia"/>
          <w:sz w:val="24"/>
        </w:rPr>
        <w:t>政府性基金预算财政拨款“三公”经费支出决算表</w:t>
      </w:r>
      <w:r>
        <w:rPr>
          <w:rFonts w:hint="eastAsia"/>
          <w:sz w:val="24"/>
          <w:lang w:val="en-US" w:eastAsia="zh-CN"/>
        </w:rPr>
        <w:t>............................28</w:t>
      </w:r>
    </w:p>
    <w:p>
      <w:pPr>
        <w:pStyle w:val="12"/>
        <w:adjustRightInd w:val="0"/>
        <w:snapToGrid w:val="0"/>
        <w:spacing w:line="440" w:lineRule="exact"/>
        <w:jc w:val="left"/>
        <w:rPr>
          <w:rFonts w:hint="default" w:ascii="仿宋" w:hAnsi="仿宋" w:eastAsia="宋体" w:cstheme="minorBidi"/>
          <w:sz w:val="24"/>
          <w:lang w:val="en-US" w:eastAsia="zh-CN"/>
        </w:rPr>
      </w:pPr>
      <w:r>
        <w:rPr>
          <w:rFonts w:hint="eastAsia" w:ascii="仿宋" w:hAnsi="仿宋" w:eastAsia="仿宋"/>
          <w:sz w:val="24"/>
        </w:rPr>
        <w:t>十三、</w:t>
      </w:r>
      <w:r>
        <w:rPr>
          <w:rFonts w:hint="eastAsia"/>
          <w:sz w:val="24"/>
        </w:rPr>
        <w:t>国有资本经营预算支出决算表</w:t>
      </w:r>
      <w:r>
        <w:rPr>
          <w:rFonts w:hint="eastAsia"/>
          <w:sz w:val="24"/>
          <w:lang w:val="en-US" w:eastAsia="zh-CN"/>
        </w:rPr>
        <w:t>................................................................28</w:t>
      </w:r>
    </w:p>
    <w:p>
      <w:pPr>
        <w:widowControl/>
        <w:spacing w:line="440" w:lineRule="exact"/>
        <w:jc w:val="left"/>
        <w:rPr>
          <w:rFonts w:ascii="仿宋" w:hAnsi="仿宋" w:eastAsia="仿宋"/>
          <w:bCs/>
          <w:kern w:val="44"/>
          <w:sz w:val="24"/>
        </w:rPr>
      </w:pPr>
      <w:bookmarkStart w:id="12" w:name="_Toc15396599"/>
      <w:bookmarkStart w:id="13" w:name="_Toc15377196"/>
      <w:r>
        <w:rPr>
          <w:rFonts w:ascii="仿宋" w:hAnsi="仿宋" w:eastAsia="仿宋"/>
          <w:b/>
          <w:sz w:val="24"/>
        </w:rPr>
        <w:br w:type="page"/>
      </w:r>
    </w:p>
    <w:p>
      <w:pPr>
        <w:pStyle w:val="3"/>
        <w:jc w:val="center"/>
        <w:rPr>
          <w:rStyle w:val="25"/>
          <w:rFonts w:ascii="黑体" w:hAnsi="黑体" w:eastAsia="黑体"/>
          <w:b/>
          <w:bCs w:val="0"/>
        </w:rPr>
      </w:pPr>
      <w:r>
        <w:rPr>
          <w:rFonts w:hint="eastAsia" w:ascii="黑体" w:hAnsi="黑体" w:eastAsia="黑体"/>
          <w:b w:val="0"/>
        </w:rPr>
        <w:t xml:space="preserve">第一部分 </w:t>
      </w:r>
      <w:r>
        <w:rPr>
          <w:rStyle w:val="25"/>
          <w:rFonts w:hint="eastAsia" w:ascii="黑体" w:hAnsi="黑体" w:eastAsia="黑体"/>
          <w:b w:val="0"/>
          <w:bCs w:val="0"/>
        </w:rPr>
        <w:t>部门概况</w:t>
      </w:r>
      <w:bookmarkEnd w:id="12"/>
      <w:bookmarkEnd w:id="13"/>
    </w:p>
    <w:p>
      <w:pPr>
        <w:widowControl/>
        <w:jc w:val="left"/>
        <w:rPr>
          <w:rFonts w:ascii="黑体" w:eastAsia="黑体"/>
          <w:color w:val="000000"/>
          <w:sz w:val="32"/>
          <w:szCs w:val="32"/>
        </w:rPr>
      </w:pPr>
    </w:p>
    <w:p>
      <w:pPr>
        <w:pStyle w:val="4"/>
        <w:rPr>
          <w:rStyle w:val="26"/>
          <w:rFonts w:ascii="仿宋" w:hAnsi="仿宋" w:eastAsia="仿宋"/>
          <w:b w:val="0"/>
          <w:bCs w:val="0"/>
        </w:rPr>
      </w:pPr>
      <w:bookmarkStart w:id="14" w:name="_Toc15377197"/>
      <w:bookmarkStart w:id="15" w:name="_Toc15396600"/>
      <w:r>
        <w:rPr>
          <w:rFonts w:hint="eastAsia" w:ascii="黑体" w:hAnsi="黑体" w:eastAsia="黑体"/>
          <w:b w:val="0"/>
          <w:color w:val="000000"/>
        </w:rPr>
        <w:t>一、基</w:t>
      </w:r>
      <w:r>
        <w:rPr>
          <w:rStyle w:val="26"/>
          <w:rFonts w:hint="eastAsia" w:ascii="黑体" w:hAnsi="黑体" w:eastAsia="黑体"/>
          <w:b w:val="0"/>
          <w:bCs w:val="0"/>
        </w:rPr>
        <w:t>本职能及主要工作</w:t>
      </w:r>
      <w:bookmarkEnd w:id="14"/>
      <w:bookmarkEnd w:id="15"/>
    </w:p>
    <w:p>
      <w:pPr>
        <w:pStyle w:val="6"/>
        <w:adjustRightInd w:val="0"/>
        <w:snapToGrid w:val="0"/>
        <w:spacing w:before="93" w:line="600" w:lineRule="exact"/>
        <w:ind w:firstLine="672" w:firstLineChars="210"/>
        <w:outlineLvl w:val="2"/>
        <w:rPr>
          <w:rFonts w:hint="eastAsia" w:ascii="仿宋" w:hAnsi="仿宋" w:eastAsia="仿宋"/>
          <w:bCs/>
          <w:color w:val="000000"/>
          <w:sz w:val="32"/>
          <w:szCs w:val="32"/>
        </w:rPr>
      </w:pPr>
      <w:bookmarkStart w:id="16" w:name="_Toc15377198"/>
      <w:bookmarkStart w:id="17" w:name="_Toc15378445"/>
      <w:r>
        <w:rPr>
          <w:rFonts w:hint="eastAsia" w:ascii="仿宋" w:hAnsi="仿宋" w:eastAsia="仿宋"/>
          <w:bCs/>
          <w:color w:val="000000"/>
          <w:sz w:val="32"/>
          <w:szCs w:val="32"/>
        </w:rPr>
        <w:t>（一）主要职能。</w:t>
      </w:r>
      <w:bookmarkEnd w:id="16"/>
      <w:bookmarkEnd w:id="17"/>
    </w:p>
    <w:p>
      <w:pPr>
        <w:pStyle w:val="6"/>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bCs/>
          <w:sz w:val="32"/>
          <w:szCs w:val="32"/>
        </w:rPr>
      </w:pPr>
      <w:r>
        <w:rPr>
          <w:rFonts w:hint="eastAsia"/>
          <w:bCs/>
          <w:sz w:val="32"/>
          <w:szCs w:val="32"/>
        </w:rPr>
        <w:t>1、主管全县党的纪律检查工作；</w:t>
      </w:r>
    </w:p>
    <w:p>
      <w:pPr>
        <w:pStyle w:val="6"/>
        <w:keepNext w:val="0"/>
        <w:keepLines w:val="0"/>
        <w:pageBreakBefore w:val="0"/>
        <w:widowControl w:val="0"/>
        <w:kinsoku/>
        <w:wordWrap/>
        <w:overflowPunct/>
        <w:topLinePunct w:val="0"/>
        <w:autoSpaceDE/>
        <w:autoSpaceDN/>
        <w:bidi w:val="0"/>
        <w:adjustRightInd w:val="0"/>
        <w:snapToGrid w:val="0"/>
        <w:spacing w:line="560" w:lineRule="exact"/>
        <w:ind w:firstLine="672" w:firstLineChars="210"/>
        <w:textAlignment w:val="auto"/>
        <w:rPr>
          <w:rFonts w:hint="eastAsia"/>
          <w:bCs/>
          <w:sz w:val="32"/>
          <w:szCs w:val="32"/>
        </w:rPr>
      </w:pPr>
      <w:r>
        <w:rPr>
          <w:rFonts w:hint="eastAsia"/>
          <w:bCs/>
          <w:sz w:val="32"/>
          <w:szCs w:val="32"/>
        </w:rPr>
        <w:t>2、主管全县行政监察工作；</w:t>
      </w:r>
    </w:p>
    <w:p>
      <w:pPr>
        <w:pStyle w:val="6"/>
        <w:keepNext w:val="0"/>
        <w:keepLines w:val="0"/>
        <w:pageBreakBefore w:val="0"/>
        <w:widowControl w:val="0"/>
        <w:kinsoku/>
        <w:wordWrap/>
        <w:overflowPunct/>
        <w:topLinePunct w:val="0"/>
        <w:autoSpaceDE/>
        <w:autoSpaceDN/>
        <w:bidi w:val="0"/>
        <w:adjustRightInd w:val="0"/>
        <w:snapToGrid w:val="0"/>
        <w:spacing w:line="560" w:lineRule="exact"/>
        <w:ind w:firstLine="672" w:firstLineChars="210"/>
        <w:textAlignment w:val="auto"/>
        <w:rPr>
          <w:rFonts w:hint="eastAsia"/>
          <w:sz w:val="32"/>
          <w:szCs w:val="32"/>
        </w:rPr>
      </w:pPr>
      <w:r>
        <w:rPr>
          <w:rFonts w:hint="eastAsia"/>
          <w:sz w:val="32"/>
          <w:szCs w:val="32"/>
        </w:rPr>
        <w:t>3、负责调查处理县级党政群机关各部门、各乡镇党的组织和县委管理的党员干部违反党的章程及其他党内法规的案件，决定给予或取消对这些案件中的党员的处分，受理党员的控告和申诉；</w:t>
      </w:r>
    </w:p>
    <w:p>
      <w:pPr>
        <w:pStyle w:val="6"/>
        <w:keepNext w:val="0"/>
        <w:keepLines w:val="0"/>
        <w:pageBreakBefore w:val="0"/>
        <w:widowControl w:val="0"/>
        <w:kinsoku/>
        <w:wordWrap/>
        <w:overflowPunct/>
        <w:topLinePunct w:val="0"/>
        <w:autoSpaceDE/>
        <w:autoSpaceDN/>
        <w:bidi w:val="0"/>
        <w:adjustRightInd w:val="0"/>
        <w:snapToGrid w:val="0"/>
        <w:spacing w:line="560" w:lineRule="exact"/>
        <w:ind w:firstLine="672" w:firstLineChars="210"/>
        <w:textAlignment w:val="auto"/>
        <w:rPr>
          <w:rFonts w:hint="eastAsia"/>
          <w:sz w:val="32"/>
          <w:szCs w:val="32"/>
        </w:rPr>
      </w:pPr>
      <w:r>
        <w:rPr>
          <w:rFonts w:hint="eastAsia"/>
          <w:sz w:val="32"/>
          <w:szCs w:val="32"/>
        </w:rPr>
        <w:t>4、负责调查处理县政府各部门及其工作人员、各乡镇人民政府及其主要负责人违反国家政策、法律、法规以及违反政纪的行为，并根据责任人所犯错误的情节轻重,作出撤职及撤职以下的行政处分(对涉及选举产生的领导干部按法定程序办理);受理监察对象不服政纪处分的申诉,受理个人或单位监察对象违纪行为的检举、控告；</w:t>
      </w:r>
    </w:p>
    <w:p>
      <w:pPr>
        <w:pStyle w:val="6"/>
        <w:keepNext w:val="0"/>
        <w:keepLines w:val="0"/>
        <w:pageBreakBefore w:val="0"/>
        <w:widowControl w:val="0"/>
        <w:kinsoku/>
        <w:wordWrap/>
        <w:overflowPunct/>
        <w:topLinePunct w:val="0"/>
        <w:autoSpaceDE/>
        <w:autoSpaceDN/>
        <w:bidi w:val="0"/>
        <w:adjustRightInd w:val="0"/>
        <w:snapToGrid w:val="0"/>
        <w:spacing w:line="560" w:lineRule="exact"/>
        <w:ind w:firstLine="672" w:firstLineChars="210"/>
        <w:textAlignment w:val="auto"/>
        <w:rPr>
          <w:rFonts w:hint="eastAsia"/>
          <w:sz w:val="32"/>
          <w:szCs w:val="32"/>
        </w:rPr>
      </w:pPr>
      <w:r>
        <w:rPr>
          <w:rFonts w:hint="eastAsia"/>
          <w:sz w:val="32"/>
          <w:szCs w:val="32"/>
        </w:rPr>
        <w:t>5、按照上级党委和县委的要求,负责作出关于维护党纪的决定,制定全县党风党纪教育规划,配合有关部门做好党的纪检工作方针、政策的宣传工作和对党员遵守纪律的教育工作；</w:t>
      </w:r>
    </w:p>
    <w:p>
      <w:pPr>
        <w:pStyle w:val="6"/>
        <w:keepNext w:val="0"/>
        <w:keepLines w:val="0"/>
        <w:pageBreakBefore w:val="0"/>
        <w:widowControl w:val="0"/>
        <w:kinsoku/>
        <w:wordWrap/>
        <w:overflowPunct/>
        <w:topLinePunct w:val="0"/>
        <w:autoSpaceDE/>
        <w:autoSpaceDN/>
        <w:bidi w:val="0"/>
        <w:adjustRightInd w:val="0"/>
        <w:snapToGrid w:val="0"/>
        <w:spacing w:line="560" w:lineRule="exact"/>
        <w:ind w:firstLine="672" w:firstLineChars="210"/>
        <w:textAlignment w:val="auto"/>
        <w:rPr>
          <w:rFonts w:hint="eastAsia"/>
          <w:sz w:val="32"/>
          <w:szCs w:val="32"/>
        </w:rPr>
      </w:pPr>
      <w:r>
        <w:rPr>
          <w:rFonts w:hint="eastAsia"/>
          <w:sz w:val="32"/>
          <w:szCs w:val="32"/>
        </w:rPr>
        <w:t>6、会同有关部门做好行政监察工作的方针、政策和法律法规的宣传工作，教育国家工作人员，遵纪守法、为政清廉；</w:t>
      </w:r>
    </w:p>
    <w:p>
      <w:pPr>
        <w:pStyle w:val="6"/>
        <w:keepNext w:val="0"/>
        <w:keepLines w:val="0"/>
        <w:pageBreakBefore w:val="0"/>
        <w:widowControl w:val="0"/>
        <w:kinsoku/>
        <w:wordWrap/>
        <w:overflowPunct/>
        <w:topLinePunct w:val="0"/>
        <w:autoSpaceDE/>
        <w:autoSpaceDN/>
        <w:bidi w:val="0"/>
        <w:adjustRightInd w:val="0"/>
        <w:snapToGrid w:val="0"/>
        <w:spacing w:line="560" w:lineRule="exact"/>
        <w:ind w:firstLine="672" w:firstLineChars="210"/>
        <w:textAlignment w:val="auto"/>
        <w:rPr>
          <w:rFonts w:hint="eastAsia"/>
          <w:sz w:val="32"/>
          <w:szCs w:val="32"/>
        </w:rPr>
      </w:pPr>
      <w:r>
        <w:rPr>
          <w:rFonts w:hint="eastAsia"/>
          <w:sz w:val="32"/>
          <w:szCs w:val="32"/>
        </w:rPr>
        <w:t>7、负责对党的纪律检查工作理论及有关问题进行调查研究，拟定党纪条规和政策规定在本地区实施细则，参与制定地区性的党内法规；</w:t>
      </w:r>
    </w:p>
    <w:p>
      <w:pPr>
        <w:pStyle w:val="6"/>
        <w:keepNext w:val="0"/>
        <w:keepLines w:val="0"/>
        <w:pageBreakBefore w:val="0"/>
        <w:widowControl w:val="0"/>
        <w:kinsoku/>
        <w:wordWrap/>
        <w:overflowPunct/>
        <w:topLinePunct w:val="0"/>
        <w:autoSpaceDE/>
        <w:autoSpaceDN/>
        <w:bidi w:val="0"/>
        <w:adjustRightInd w:val="0"/>
        <w:snapToGrid w:val="0"/>
        <w:spacing w:line="560" w:lineRule="exact"/>
        <w:ind w:firstLine="672" w:firstLineChars="210"/>
        <w:textAlignment w:val="auto"/>
        <w:rPr>
          <w:rFonts w:hint="eastAsia"/>
          <w:sz w:val="32"/>
          <w:szCs w:val="32"/>
        </w:rPr>
      </w:pPr>
      <w:r>
        <w:rPr>
          <w:rFonts w:hint="eastAsia"/>
          <w:sz w:val="32"/>
          <w:szCs w:val="32"/>
        </w:rPr>
        <w:t>8、调查研究县政府各部门和乡政府制定有关政策法规情况，对其违反国家法律和有损国家利益的条款，提出修改、补充工撤消的建议；</w:t>
      </w:r>
    </w:p>
    <w:p>
      <w:pPr>
        <w:pStyle w:val="6"/>
        <w:keepNext w:val="0"/>
        <w:keepLines w:val="0"/>
        <w:pageBreakBefore w:val="0"/>
        <w:widowControl w:val="0"/>
        <w:kinsoku/>
        <w:wordWrap/>
        <w:overflowPunct/>
        <w:topLinePunct w:val="0"/>
        <w:autoSpaceDE/>
        <w:autoSpaceDN/>
        <w:bidi w:val="0"/>
        <w:adjustRightInd w:val="0"/>
        <w:snapToGrid w:val="0"/>
        <w:spacing w:line="560" w:lineRule="exact"/>
        <w:ind w:firstLine="672" w:firstLineChars="210"/>
        <w:textAlignment w:val="auto"/>
        <w:rPr>
          <w:rFonts w:hint="eastAsia" w:ascii="仿宋" w:hAnsi="仿宋" w:eastAsia="仿宋"/>
          <w:bCs/>
          <w:color w:val="000000"/>
          <w:sz w:val="32"/>
          <w:szCs w:val="32"/>
        </w:rPr>
      </w:pPr>
      <w:r>
        <w:rPr>
          <w:rFonts w:hint="eastAsia"/>
          <w:sz w:val="32"/>
          <w:szCs w:val="32"/>
        </w:rPr>
        <w:t>9、承办州纪委、州监察局和县委、县政府工作报告授权和交办的其他任务。</w:t>
      </w:r>
    </w:p>
    <w:p>
      <w:pPr>
        <w:pStyle w:val="6"/>
        <w:adjustRightInd w:val="0"/>
        <w:snapToGrid w:val="0"/>
        <w:spacing w:before="93" w:line="600" w:lineRule="exact"/>
        <w:ind w:firstLine="672" w:firstLineChars="210"/>
        <w:outlineLvl w:val="2"/>
        <w:rPr>
          <w:rFonts w:hint="eastAsia" w:ascii="仿宋" w:hAnsi="仿宋" w:eastAsia="仿宋"/>
          <w:bCs/>
          <w:color w:val="000000"/>
          <w:sz w:val="32"/>
          <w:szCs w:val="32"/>
        </w:rPr>
      </w:pPr>
      <w:bookmarkStart w:id="18" w:name="_Toc15378446"/>
      <w:bookmarkStart w:id="19" w:name="_Toc15377199"/>
      <w:r>
        <w:rPr>
          <w:rFonts w:hint="eastAsia" w:ascii="仿宋" w:hAnsi="仿宋" w:eastAsia="仿宋"/>
          <w:bCs/>
          <w:color w:val="000000"/>
          <w:sz w:val="32"/>
          <w:szCs w:val="32"/>
        </w:rPr>
        <w:t>（二）</w:t>
      </w:r>
      <w:r>
        <w:rPr>
          <w:rFonts w:ascii="仿宋" w:hAnsi="仿宋" w:eastAsia="仿宋"/>
          <w:bCs/>
          <w:color w:val="000000"/>
          <w:sz w:val="32"/>
          <w:szCs w:val="32"/>
        </w:rPr>
        <w:t>201</w:t>
      </w:r>
      <w:r>
        <w:rPr>
          <w:rFonts w:hint="eastAsia" w:ascii="仿宋" w:hAnsi="仿宋" w:eastAsia="仿宋"/>
          <w:bCs/>
          <w:color w:val="000000"/>
          <w:sz w:val="32"/>
          <w:szCs w:val="32"/>
        </w:rPr>
        <w:t>9年重点工作完成情况。</w:t>
      </w:r>
      <w:bookmarkEnd w:id="18"/>
      <w:bookmarkEnd w:id="19"/>
    </w:p>
    <w:p>
      <w:pPr>
        <w:pStyle w:val="8"/>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val="en-US" w:eastAsia="zh-CN"/>
        </w:rPr>
        <w:t>2</w:t>
      </w:r>
      <w:r>
        <w:rPr>
          <w:rFonts w:hint="eastAsia" w:ascii="仿宋_GB2312" w:hAnsi="仿宋_GB2312" w:eastAsia="仿宋_GB2312" w:cs="仿宋_GB2312"/>
          <w:sz w:val="32"/>
          <w:szCs w:val="32"/>
          <w:lang w:val="en-US" w:eastAsia="zh-CN"/>
        </w:rPr>
        <w:t>019年，全县纪检监察工作以习近平新时代中国特色社会主义思想为指导，不断增强“四个意识”、坚定“四个自信”、做到“两个维护”，坚持稳中求进总基调，忠实履行党章和宪法赋予的职责，推动新时代纪检监察工作高质量发展，为加快建设川西北阿坝生态示范区“美丽壤巴拉家园”提供坚强保障，现将全年工作总结如下。</w:t>
      </w:r>
    </w:p>
    <w:p>
      <w:pPr>
        <w:pStyle w:val="8"/>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黑体" w:hAnsi="黑体" w:eastAsia="黑体" w:cs="黑体"/>
          <w:b w:val="0"/>
          <w:bCs/>
          <w:kern w:val="2"/>
          <w:sz w:val="32"/>
          <w:szCs w:val="32"/>
          <w:lang w:val="en-US" w:eastAsia="zh-CN" w:bidi="ar-SA"/>
        </w:rPr>
      </w:pPr>
      <w:r>
        <w:rPr>
          <w:rFonts w:hint="eastAsia" w:ascii="黑体" w:hAnsi="黑体" w:eastAsia="黑体" w:cs="黑体"/>
          <w:b w:val="0"/>
          <w:bCs/>
          <w:kern w:val="2"/>
          <w:sz w:val="32"/>
          <w:szCs w:val="32"/>
          <w:lang w:val="en-US" w:eastAsia="zh-CN" w:bidi="ar-SA"/>
        </w:rPr>
        <w:t>一、主要工作开展情况及主要做法</w:t>
      </w:r>
    </w:p>
    <w:p>
      <w:pPr>
        <w:pStyle w:val="8"/>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560" w:firstLineChars="200"/>
        <w:jc w:val="both"/>
        <w:textAlignment w:val="auto"/>
        <w:outlineLvl w:val="9"/>
        <w:rPr>
          <w:rFonts w:hint="eastAsia" w:ascii="方正楷体_GBK" w:hAnsi="方正楷体_GBK" w:eastAsia="方正楷体_GBK" w:cs="方正楷体_GBK"/>
          <w:b/>
          <w:bCs w:val="0"/>
          <w:color w:val="000000"/>
          <w:kern w:val="0"/>
          <w:sz w:val="28"/>
          <w:szCs w:val="20"/>
        </w:rPr>
      </w:pPr>
      <w:r>
        <w:rPr>
          <w:rFonts w:hint="eastAsia" w:ascii="方正楷体_GBK" w:hAnsi="方正楷体_GBK" w:eastAsia="方正楷体_GBK" w:cs="方正楷体_GBK"/>
          <w:b/>
          <w:bCs w:val="0"/>
          <w:kern w:val="2"/>
          <w:sz w:val="28"/>
          <w:szCs w:val="28"/>
          <w:lang w:val="en-US" w:eastAsia="zh-CN" w:bidi="ar-SA"/>
        </w:rPr>
        <w:t>（一）突出政治定位，</w:t>
      </w:r>
      <w:r>
        <w:rPr>
          <w:rFonts w:hint="eastAsia" w:ascii="方正楷体_GBK" w:hAnsi="方正楷体_GBK" w:eastAsia="方正楷体_GBK" w:cs="方正楷体_GBK"/>
          <w:b/>
          <w:bCs w:val="0"/>
          <w:color w:val="000000"/>
          <w:kern w:val="0"/>
          <w:sz w:val="28"/>
          <w:szCs w:val="20"/>
        </w:rPr>
        <w:t>严明政治纪律和政治规矩</w:t>
      </w:r>
    </w:p>
    <w:p>
      <w:pPr>
        <w:pStyle w:val="8"/>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对学习贯彻习近平新时代中国特色社会主义思想和党中央、省委、州委、县委重要决策部署落实情况开展监督检查；把意识形态,党员干部讲规矩、守纪律情况纳入政治巡察和监督执纪重要内容；立足藏区实际，重点监督破坏民族团结、关键时刻不敢站出来、“两面人”“骑墙派”的党员干部。今年对1名违反政治纪律、破坏民族团结的机关干部给予行政记大过处分；规范党内政治生活，加强对民主集中制、民主生活会、党务公开等各项制度执行情况监督检查。</w:t>
      </w:r>
    </w:p>
    <w:p>
      <w:pPr>
        <w:pStyle w:val="8"/>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560" w:firstLineChars="200"/>
        <w:jc w:val="both"/>
        <w:textAlignment w:val="auto"/>
        <w:outlineLvl w:val="9"/>
        <w:rPr>
          <w:rFonts w:hint="eastAsia" w:ascii="方正楷体_GBK" w:hAnsi="方正楷体_GBK" w:eastAsia="方正楷体_GBK" w:cs="方正楷体_GBK"/>
          <w:b/>
          <w:bCs w:val="0"/>
          <w:kern w:val="2"/>
          <w:sz w:val="28"/>
          <w:szCs w:val="28"/>
          <w:lang w:val="en-US" w:eastAsia="zh-CN" w:bidi="ar-SA"/>
        </w:rPr>
      </w:pPr>
      <w:r>
        <w:rPr>
          <w:rFonts w:hint="eastAsia" w:ascii="方正楷体_GBK" w:hAnsi="方正楷体_GBK" w:eastAsia="方正楷体_GBK" w:cs="方正楷体_GBK"/>
          <w:b/>
          <w:bCs w:val="0"/>
          <w:kern w:val="2"/>
          <w:sz w:val="28"/>
          <w:szCs w:val="28"/>
          <w:lang w:val="en-US" w:eastAsia="zh-CN" w:bidi="ar-SA"/>
        </w:rPr>
        <w:t>（二）围绕全面从严治党，忠实履行主责主业</w:t>
      </w:r>
    </w:p>
    <w:p>
      <w:pPr>
        <w:keepNext w:val="0"/>
        <w:keepLines w:val="0"/>
        <w:pageBreakBefore w:val="0"/>
        <w:kinsoku/>
        <w:wordWrap/>
        <w:overflowPunct/>
        <w:topLinePunct w:val="0"/>
        <w:autoSpaceDE/>
        <w:autoSpaceDN/>
        <w:bidi w:val="0"/>
        <w:adjustRightInd/>
        <w:snapToGrid/>
        <w:spacing w:line="560" w:lineRule="exact"/>
        <w:ind w:firstLine="642"/>
        <w:textAlignment w:val="auto"/>
        <w:rPr>
          <w:rFonts w:hint="eastAsia" w:ascii="仿宋" w:hAnsi="仿宋" w:eastAsia="仿宋" w:cs="仿宋"/>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1、压实“两个责任”，确保党风廉政建设见实效。一是细化党委主体责任和纪委监督责任，县委主要负责人同县级各部门、各乡镇“一把手”签订《党风廉政建设主体责任书》160余份，实行乡镇、部门向纪委全会述责述廉；县纪委主要负责人同乡镇纪委书记、派驻纪检机构签订《党风廉政建设监督责任书》33份。二是加强对党风廉政建设的指导和监督，建立完善并推行党风廉政建设责任制落实和报告机制。县级干部到联系乡镇、部门开展廉政提醒谈话；县委常委，县人大、县政府、县政协、县法院、县检察院党组书记向县委主要负责人报告主体责任落实情况。全年向县级领导发出廉政建设责任制落实提示单37份。</w:t>
      </w:r>
    </w:p>
    <w:p>
      <w:pPr>
        <w:widowControl w:val="0"/>
        <w:numPr>
          <w:ilvl w:val="0"/>
          <w:numId w:val="0"/>
        </w:numPr>
        <w:wordWrap/>
        <w:adjustRightInd/>
        <w:snapToGrid/>
        <w:spacing w:line="560" w:lineRule="exact"/>
        <w:ind w:firstLine="640" w:firstLineChars="200"/>
        <w:jc w:val="both"/>
        <w:textAlignment w:val="auto"/>
        <w:rPr>
          <w:rFonts w:hint="default" w:ascii="仿宋_GB2312" w:hAnsi="仿宋_GB2312" w:eastAsia="仿宋_GB2312" w:cs="仿宋_GB2312"/>
          <w:b w:val="0"/>
          <w:bCs w:val="0"/>
          <w:kern w:val="2"/>
          <w:sz w:val="32"/>
          <w:szCs w:val="32"/>
          <w:lang w:val="en-US" w:eastAsia="zh-CN" w:bidi="ar-SA"/>
        </w:rPr>
      </w:pPr>
      <w:r>
        <w:rPr>
          <w:rFonts w:hint="eastAsia" w:ascii="方正仿宋_GBK" w:hAnsi="方正仿宋_GBK" w:eastAsia="方正仿宋_GBK" w:cs="方正仿宋_GBK"/>
          <w:b/>
          <w:bCs w:val="0"/>
          <w:kern w:val="2"/>
          <w:sz w:val="32"/>
          <w:szCs w:val="32"/>
          <w:lang w:val="en-US" w:eastAsia="zh-CN" w:bidi="ar-SA"/>
        </w:rPr>
        <w:t>2、突出主责主业，</w:t>
      </w:r>
      <w:r>
        <w:rPr>
          <w:rFonts w:hint="eastAsia" w:ascii="方正仿宋_GBK" w:hAnsi="方正仿宋_GBK" w:eastAsia="方正仿宋_GBK" w:cs="方正仿宋_GBK"/>
          <w:b/>
          <w:bCs w:val="0"/>
          <w:color w:val="000000"/>
          <w:sz w:val="32"/>
          <w:szCs w:val="32"/>
          <w:highlight w:val="none"/>
          <w:lang w:eastAsia="zh-CN"/>
        </w:rPr>
        <w:t>持续加强</w:t>
      </w:r>
      <w:r>
        <w:rPr>
          <w:rFonts w:hint="eastAsia" w:ascii="方正仿宋_GBK" w:hAnsi="方正仿宋_GBK" w:eastAsia="方正仿宋_GBK" w:cs="方正仿宋_GBK"/>
          <w:b/>
          <w:bCs w:val="0"/>
          <w:color w:val="000000"/>
          <w:sz w:val="32"/>
          <w:szCs w:val="32"/>
          <w:highlight w:val="none"/>
        </w:rPr>
        <w:t>纪律审查</w:t>
      </w:r>
      <w:r>
        <w:rPr>
          <w:rFonts w:hint="eastAsia" w:ascii="方正仿宋_GBK" w:hAnsi="方正仿宋_GBK" w:eastAsia="方正仿宋_GBK" w:cs="方正仿宋_GBK"/>
          <w:b/>
          <w:bCs w:val="0"/>
          <w:color w:val="000000"/>
          <w:sz w:val="32"/>
          <w:szCs w:val="32"/>
          <w:highlight w:val="none"/>
          <w:lang w:eastAsia="zh-CN"/>
        </w:rPr>
        <w:t>力度</w:t>
      </w:r>
      <w:r>
        <w:rPr>
          <w:rFonts w:hint="eastAsia" w:ascii="楷体" w:hAnsi="楷体" w:eastAsia="楷体" w:cs="楷体"/>
          <w:b/>
          <w:bCs w:val="0"/>
          <w:color w:val="000000"/>
          <w:sz w:val="32"/>
          <w:szCs w:val="32"/>
          <w:highlight w:val="none"/>
          <w:lang w:eastAsia="zh-CN"/>
        </w:rPr>
        <w:t>。</w:t>
      </w:r>
      <w:r>
        <w:rPr>
          <w:rFonts w:hint="eastAsia" w:ascii="黑体" w:hAnsi="黑体" w:eastAsia="黑体" w:cs="黑体"/>
          <w:b w:val="0"/>
          <w:bCs/>
          <w:color w:val="000000"/>
          <w:sz w:val="32"/>
          <w:szCs w:val="32"/>
          <w:highlight w:val="none"/>
          <w:lang w:eastAsia="zh-CN"/>
        </w:rPr>
        <w:t>一是</w:t>
      </w:r>
      <w:r>
        <w:rPr>
          <w:rFonts w:hint="eastAsia" w:ascii="仿宋_GB2312" w:hAnsi="仿宋_GB2312" w:eastAsia="仿宋_GB2312" w:cs="仿宋_GB2312"/>
          <w:b w:val="0"/>
          <w:bCs w:val="0"/>
          <w:kern w:val="2"/>
          <w:sz w:val="32"/>
          <w:szCs w:val="32"/>
          <w:lang w:val="en-US" w:eastAsia="zh-CN" w:bidi="ar-SA"/>
        </w:rPr>
        <w:t>加强信访检举举报平台建设，乡镇纪委和派驻纪检监察组全覆盖建设举报平台，畅通信访渠道；今年接到群众来信来访来电12件，已全部办结。</w:t>
      </w:r>
      <w:r>
        <w:rPr>
          <w:rFonts w:hint="eastAsia" w:ascii="黑体" w:hAnsi="黑体" w:eastAsia="黑体" w:cs="黑体"/>
          <w:sz w:val="32"/>
          <w:szCs w:val="32"/>
          <w:lang w:eastAsia="zh-CN"/>
        </w:rPr>
        <w:t>二是</w:t>
      </w:r>
      <w:r>
        <w:rPr>
          <w:rFonts w:hint="eastAsia" w:ascii="仿宋_GB2312" w:hAnsi="仿宋_GB2312" w:eastAsia="仿宋_GB2312" w:cs="仿宋_GB2312"/>
          <w:b w:val="0"/>
          <w:bCs w:val="0"/>
          <w:kern w:val="2"/>
          <w:sz w:val="32"/>
          <w:szCs w:val="32"/>
          <w:lang w:val="en-US" w:eastAsia="zh-CN" w:bidi="ar-SA"/>
        </w:rPr>
        <w:t>强化问题线索处置，通过信访、监督检查、巡视巡察等渠道，共收到问题线索97条，处置97条，处置率100%。对党的十八大以来问题线索进行了“大起底”，对线索处置工作开展“回头看”，共起底1条处置结果不合理问题线索。</w:t>
      </w:r>
      <w:r>
        <w:rPr>
          <w:rFonts w:hint="eastAsia" w:ascii="黑体" w:hAnsi="黑体" w:eastAsia="黑体" w:cs="黑体"/>
          <w:sz w:val="32"/>
          <w:szCs w:val="32"/>
          <w:lang w:val="en-US" w:eastAsia="zh-CN"/>
        </w:rPr>
        <w:t>三是</w:t>
      </w:r>
      <w:r>
        <w:rPr>
          <w:rFonts w:hint="eastAsia" w:ascii="仿宋_GB2312" w:hAnsi="仿宋_GB2312" w:eastAsia="仿宋_GB2312" w:cs="仿宋_GB2312"/>
          <w:b w:val="0"/>
          <w:bCs w:val="0"/>
          <w:kern w:val="2"/>
          <w:sz w:val="32"/>
          <w:szCs w:val="32"/>
          <w:lang w:val="en-US" w:eastAsia="zh-CN" w:bidi="ar-SA"/>
        </w:rPr>
        <w:t>加强纪律审查调查力度，截止11月，立案57件（较去年全年增加8件），结案48件，给予党纪政务处分47人，组织处理75人，挽回经济损失57万余元。严肃查处县就业局汪静严重违纪违法案，给予其开除党籍和开除公职处分。</w:t>
      </w:r>
      <w:r>
        <w:rPr>
          <w:rFonts w:hint="eastAsia" w:ascii="黑体" w:hAnsi="黑体" w:eastAsia="黑体" w:cs="黑体"/>
          <w:color w:val="auto"/>
          <w:sz w:val="32"/>
          <w:szCs w:val="32"/>
          <w:lang w:eastAsia="zh-CN"/>
        </w:rPr>
        <w:t>四是</w:t>
      </w:r>
      <w:r>
        <w:rPr>
          <w:rFonts w:hint="eastAsia" w:ascii="仿宋_GB2312" w:hAnsi="仿宋_GB2312" w:eastAsia="仿宋_GB2312" w:cs="仿宋_GB2312"/>
          <w:b w:val="0"/>
          <w:bCs w:val="0"/>
          <w:kern w:val="2"/>
          <w:sz w:val="32"/>
          <w:szCs w:val="32"/>
          <w:lang w:val="en-US" w:eastAsia="zh-CN" w:bidi="ar-SA"/>
        </w:rPr>
        <w:t>加大通报曝光力度，截止11月共通报违反中央八项规定精神案件3起3人，扶贫领域案件8起11人，形式主义官僚主义问题3起8人。</w:t>
      </w:r>
    </w:p>
    <w:p>
      <w:pPr>
        <w:wordWrap/>
        <w:adjustRightIn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方正仿宋_GBK" w:hAnsi="方正仿宋_GBK" w:eastAsia="方正仿宋_GBK" w:cs="方正仿宋_GBK"/>
          <w:b/>
          <w:bCs w:val="0"/>
          <w:sz w:val="32"/>
          <w:szCs w:val="32"/>
          <w:lang w:val="en-US" w:eastAsia="zh-CN"/>
        </w:rPr>
        <w:t>3、</w:t>
      </w:r>
      <w:r>
        <w:rPr>
          <w:rFonts w:hint="eastAsia" w:ascii="方正仿宋_GBK" w:hAnsi="方正仿宋_GBK" w:eastAsia="方正仿宋_GBK" w:cs="方正仿宋_GBK"/>
          <w:b/>
          <w:bCs w:val="0"/>
          <w:sz w:val="32"/>
          <w:szCs w:val="32"/>
        </w:rPr>
        <w:t>常态化</w:t>
      </w:r>
      <w:r>
        <w:rPr>
          <w:rFonts w:hint="eastAsia" w:ascii="方正仿宋_GBK" w:hAnsi="方正仿宋_GBK" w:eastAsia="方正仿宋_GBK" w:cs="方正仿宋_GBK"/>
          <w:b/>
          <w:bCs w:val="0"/>
          <w:sz w:val="32"/>
          <w:szCs w:val="32"/>
          <w:lang w:eastAsia="zh-CN"/>
        </w:rPr>
        <w:t>推进正</w:t>
      </w:r>
      <w:r>
        <w:rPr>
          <w:rFonts w:hint="eastAsia" w:ascii="方正仿宋_GBK" w:hAnsi="方正仿宋_GBK" w:eastAsia="方正仿宋_GBK" w:cs="方正仿宋_GBK"/>
          <w:b/>
          <w:bCs w:val="0"/>
          <w:sz w:val="32"/>
          <w:szCs w:val="32"/>
        </w:rPr>
        <w:t>风肃纪</w:t>
      </w:r>
      <w:r>
        <w:rPr>
          <w:rFonts w:hint="eastAsia" w:ascii="方正仿宋_GBK" w:hAnsi="方正仿宋_GBK" w:eastAsia="方正仿宋_GBK" w:cs="方正仿宋_GBK"/>
          <w:b/>
          <w:bCs w:val="0"/>
          <w:sz w:val="32"/>
          <w:szCs w:val="32"/>
          <w:lang w:eastAsia="zh-CN"/>
        </w:rPr>
        <w:t>，进一步加强作风建设</w:t>
      </w:r>
      <w:r>
        <w:rPr>
          <w:rFonts w:hint="eastAsia" w:ascii="方正仿宋_GBK" w:hAnsi="方正仿宋_GBK" w:eastAsia="方正仿宋_GBK" w:cs="方正仿宋_GBK"/>
          <w:b/>
          <w:bCs w:val="0"/>
          <w:sz w:val="32"/>
          <w:szCs w:val="32"/>
          <w:lang w:val="en-US" w:eastAsia="zh-CN"/>
        </w:rPr>
        <w:t>。</w:t>
      </w:r>
      <w:r>
        <w:rPr>
          <w:rFonts w:hint="eastAsia" w:ascii="黑体" w:hAnsi="黑体" w:eastAsia="黑体" w:cs="黑体"/>
          <w:b w:val="0"/>
          <w:bCs/>
          <w:kern w:val="2"/>
          <w:sz w:val="32"/>
          <w:szCs w:val="32"/>
          <w:lang w:val="en-US" w:eastAsia="zh-CN" w:bidi="ar-SA"/>
        </w:rPr>
        <w:t>一是</w:t>
      </w:r>
      <w:r>
        <w:rPr>
          <w:rFonts w:hint="eastAsia" w:ascii="仿宋_GB2312" w:hAnsi="仿宋_GB2312" w:eastAsia="仿宋_GB2312" w:cs="仿宋_GB2312"/>
          <w:b w:val="0"/>
          <w:bCs/>
          <w:sz w:val="32"/>
          <w:szCs w:val="32"/>
          <w:lang w:eastAsia="zh-CN"/>
        </w:rPr>
        <w:t>坚持源头管控，加强廉洁警示教育。</w:t>
      </w:r>
      <w:r>
        <w:rPr>
          <w:rFonts w:hint="eastAsia" w:ascii="仿宋_GB2312" w:hAnsi="仿宋_GB2312" w:eastAsia="仿宋_GB2312" w:cs="仿宋_GB2312"/>
          <w:b w:val="0"/>
          <w:bCs/>
          <w:sz w:val="32"/>
          <w:szCs w:val="32"/>
          <w:lang w:val="en-US" w:eastAsia="zh-CN"/>
        </w:rPr>
        <w:t>督导全县会前学纪，每季度制定并下发会前学纪内容；组织全县党员干部观看警示教育片，在全县掀起“两书一片”学习热潮；利用媒体、广播、微信公众号等平台开展党风廉政宣传教育</w:t>
      </w:r>
      <w:r>
        <w:rPr>
          <w:rFonts w:hint="eastAsia" w:ascii="仿宋_GB2312" w:hAnsi="仿宋_GB2312" w:eastAsia="仿宋_GB2312" w:cs="仿宋_GB2312"/>
          <w:b w:val="0"/>
          <w:bCs/>
          <w:sz w:val="32"/>
          <w:szCs w:val="32"/>
          <w:lang w:eastAsia="zh-CN"/>
        </w:rPr>
        <w:t>，被省级媒体采用</w:t>
      </w:r>
      <w:r>
        <w:rPr>
          <w:rFonts w:hint="eastAsia" w:ascii="仿宋_GB2312" w:hAnsi="仿宋_GB2312" w:eastAsia="仿宋_GB2312" w:cs="仿宋_GB2312"/>
          <w:b w:val="0"/>
          <w:bCs/>
          <w:sz w:val="32"/>
          <w:szCs w:val="32"/>
          <w:lang w:val="en-US" w:eastAsia="zh-CN"/>
        </w:rPr>
        <w:t>11篇，州级媒体采用35篇；对4批次50人进行了干部任前廉政知识考试；建立</w:t>
      </w:r>
      <w:r>
        <w:rPr>
          <w:rFonts w:hint="eastAsia" w:ascii="仿宋_GB2312" w:hAnsi="仿宋_GB2312" w:eastAsia="仿宋_GB2312" w:cs="仿宋_GB2312"/>
          <w:b w:val="0"/>
          <w:bCs/>
          <w:sz w:val="32"/>
          <w:szCs w:val="32"/>
          <w:lang w:eastAsia="zh-CN"/>
        </w:rPr>
        <w:t>日常监督检查台账，重大节庆节点发送廉政提示短信</w:t>
      </w:r>
      <w:r>
        <w:rPr>
          <w:rFonts w:hint="eastAsia" w:ascii="仿宋_GB2312" w:hAnsi="仿宋_GB2312" w:eastAsia="仿宋_GB2312" w:cs="仿宋_GB2312"/>
          <w:b w:val="0"/>
          <w:bCs/>
          <w:sz w:val="32"/>
          <w:szCs w:val="32"/>
          <w:lang w:val="en-US" w:eastAsia="zh-CN"/>
        </w:rPr>
        <w:t>1500余条；分两批次组织县处级干部、科级干部和全县村委会主任106人赴金堂监狱、德阳阿坝监狱接受现场警示教育。</w:t>
      </w:r>
      <w:r>
        <w:rPr>
          <w:rFonts w:hint="eastAsia" w:ascii="黑体" w:hAnsi="黑体" w:eastAsia="黑体" w:cs="黑体"/>
          <w:sz w:val="32"/>
          <w:szCs w:val="32"/>
          <w:lang w:val="en-US" w:eastAsia="zh-CN"/>
        </w:rPr>
        <w:t>二是</w:t>
      </w:r>
      <w:r>
        <w:rPr>
          <w:rFonts w:hint="eastAsia" w:ascii="仿宋_GB2312" w:hAnsi="仿宋_GB2312" w:eastAsia="仿宋_GB2312" w:cs="仿宋_GB2312"/>
          <w:b w:val="0"/>
          <w:bCs/>
          <w:sz w:val="32"/>
          <w:szCs w:val="32"/>
          <w:lang w:val="en-US" w:eastAsia="zh-CN"/>
        </w:rPr>
        <w:t>坚决查处公款互相宴请、赠送节礼、违规接待等问题，</w:t>
      </w:r>
      <w:r>
        <w:rPr>
          <w:rFonts w:hint="eastAsia" w:ascii="仿宋_GB2312" w:hAnsi="仿宋_GB2312" w:eastAsia="仿宋_GB2312" w:cs="仿宋_GB2312"/>
          <w:b w:val="0"/>
          <w:bCs/>
          <w:sz w:val="32"/>
          <w:szCs w:val="32"/>
          <w:lang w:eastAsia="zh-CN"/>
        </w:rPr>
        <w:t>查处违反中央八项规定精神问题</w:t>
      </w:r>
      <w:r>
        <w:rPr>
          <w:rFonts w:hint="eastAsia" w:ascii="仿宋_GB2312" w:hAnsi="仿宋_GB2312" w:eastAsia="仿宋_GB2312" w:cs="仿宋_GB2312"/>
          <w:b w:val="0"/>
          <w:bCs/>
          <w:sz w:val="32"/>
          <w:szCs w:val="32"/>
          <w:lang w:val="en-US" w:eastAsia="zh-CN"/>
        </w:rPr>
        <w:t>24个，立案10件10人，在全县通报曝光。</w:t>
      </w:r>
      <w:r>
        <w:rPr>
          <w:rFonts w:hint="eastAsia" w:ascii="黑体" w:hAnsi="黑体" w:eastAsia="黑体" w:cs="黑体"/>
          <w:b w:val="0"/>
          <w:bCs/>
          <w:kern w:val="2"/>
          <w:sz w:val="32"/>
          <w:szCs w:val="32"/>
          <w:lang w:val="en-US" w:eastAsia="zh-CN" w:bidi="ar-SA"/>
        </w:rPr>
        <w:t>三是</w:t>
      </w:r>
      <w:r>
        <w:rPr>
          <w:rFonts w:hint="eastAsia" w:ascii="仿宋_GB2312" w:hAnsi="仿宋_GB2312" w:eastAsia="仿宋_GB2312" w:cs="仿宋_GB2312"/>
          <w:b w:val="0"/>
          <w:bCs/>
          <w:sz w:val="32"/>
          <w:szCs w:val="32"/>
          <w:lang w:val="en-US" w:eastAsia="zh-CN"/>
        </w:rPr>
        <w:t>协助县委做好蒲波严重违纪违法案件“以案促改”工作，扎实推进“整治形式主义、官僚主义，利用地方名贵特产谋取私利，‘赌博敛财’、‘带病提拔’”四个专项整治工作，纳入全县3月群众工作和政治巡察内容，对发现出的问题限期整改。立案查处形式主义、官僚主义问题12件，党纪政务处分12人。开展党员干部利用地方特产谋取私利专项检查5次，签订《承诺书》40余份。联合公安部门开展“赌博敛财”专项整治1次，收到公安机关移交问题线索1条，立案1件1人。开展国家公职人员参与民间非法借贷专项整治工作，罗列八条可能违纪违法的行为，发出限期主动说清的通告，进一步规范公职人员日常行为。</w:t>
      </w:r>
      <w:r>
        <w:rPr>
          <w:rFonts w:hint="eastAsia" w:ascii="黑体" w:hAnsi="黑体" w:eastAsia="黑体" w:cs="黑体"/>
          <w:color w:val="000000"/>
          <w:sz w:val="32"/>
          <w:szCs w:val="32"/>
          <w:lang w:eastAsia="zh-CN"/>
        </w:rPr>
        <w:t>四是</w:t>
      </w:r>
      <w:r>
        <w:rPr>
          <w:rFonts w:hint="eastAsia" w:ascii="仿宋_GB2312" w:hAnsi="仿宋_GB2312" w:eastAsia="仿宋_GB2312" w:cs="仿宋_GB2312"/>
          <w:b w:val="0"/>
          <w:bCs/>
          <w:sz w:val="32"/>
          <w:szCs w:val="32"/>
          <w:lang w:val="en-US" w:eastAsia="zh-CN"/>
        </w:rPr>
        <w:t>对干部严管厚爱，贯通运用监督执纪“四种形态”，严把谈话和函询质量关，建立完善谈心谈话制度，积极探索与组织部门谈话函询工作相互通报协调机制；推进公开宣布处分决定“四个面对面”，强化对受处分人员的回访教育，推动处分影响期满且表现优秀的党员干部再起用。严把干部廉政意见回复关，防止“带病提拔”。</w:t>
      </w:r>
    </w:p>
    <w:p>
      <w:pPr>
        <w:wordWrap/>
        <w:adjustRightInd/>
        <w:spacing w:line="560" w:lineRule="exact"/>
        <w:ind w:firstLine="640" w:firstLineChars="200"/>
        <w:textAlignment w:val="auto"/>
        <w:rPr>
          <w:rFonts w:hint="eastAsia" w:ascii="仿宋_GB2312" w:hAnsi="仿宋_GB2312" w:eastAsia="仿宋_GB2312" w:cs="仿宋_GB2312"/>
          <w:b w:val="0"/>
          <w:bCs/>
          <w:sz w:val="32"/>
          <w:szCs w:val="32"/>
          <w:lang w:val="en-US" w:eastAsia="zh-CN"/>
        </w:rPr>
      </w:pPr>
      <w:r>
        <w:rPr>
          <w:rFonts w:hint="eastAsia" w:ascii="方正仿宋_GBK" w:hAnsi="方正仿宋_GBK" w:eastAsia="方正仿宋_GBK" w:cs="方正仿宋_GBK"/>
          <w:b/>
          <w:bCs w:val="0"/>
          <w:kern w:val="2"/>
          <w:sz w:val="32"/>
          <w:szCs w:val="32"/>
          <w:lang w:val="en-US" w:eastAsia="zh-CN" w:bidi="ar-SA"/>
        </w:rPr>
        <w:t>4、突出“纪律作风保障年”活动，大力整治群众身边腐败和作风问题</w:t>
      </w:r>
      <w:r>
        <w:rPr>
          <w:rFonts w:hint="eastAsia" w:ascii="楷体" w:hAnsi="楷体" w:eastAsia="楷体" w:cs="楷体"/>
          <w:b/>
          <w:bCs w:val="0"/>
          <w:kern w:val="2"/>
          <w:sz w:val="32"/>
          <w:szCs w:val="32"/>
          <w:lang w:val="en-US" w:eastAsia="zh-CN" w:bidi="ar-SA"/>
        </w:rPr>
        <w:t>。</w:t>
      </w:r>
      <w:r>
        <w:rPr>
          <w:rFonts w:hint="eastAsia" w:ascii="黑体" w:hAnsi="黑体" w:eastAsia="黑体" w:cs="黑体"/>
          <w:b w:val="0"/>
          <w:bCs/>
          <w:kern w:val="2"/>
          <w:sz w:val="32"/>
          <w:szCs w:val="32"/>
          <w:lang w:val="en-US" w:eastAsia="zh-CN" w:bidi="ar-SA"/>
        </w:rPr>
        <w:t>一是</w:t>
      </w:r>
      <w:r>
        <w:rPr>
          <w:rFonts w:hint="eastAsia" w:ascii="仿宋_GB2312" w:hAnsi="仿宋_GB2312" w:eastAsia="仿宋_GB2312" w:cs="仿宋_GB2312"/>
          <w:b w:val="0"/>
          <w:bCs/>
          <w:sz w:val="32"/>
          <w:szCs w:val="32"/>
          <w:lang w:val="en-US" w:eastAsia="zh-CN"/>
        </w:rPr>
        <w:t>紧紧围绕脱贫摘帽、再攻坚之年，县委、县政府部署的中心工作，进一步加大对脱贫攻坚基础设施建设的监督检查力度，全年共督促相关部门和现场监督11次，发现问题48个，责成业主对施工监理处罚20余次，有效保证了基础设施进度、质量、工程款拨付等工作，强力助推了我县脱贫攻坚。</w:t>
      </w:r>
      <w:r>
        <w:rPr>
          <w:rFonts w:hint="eastAsia" w:ascii="黑体" w:hAnsi="黑体" w:eastAsia="黑体" w:cs="黑体"/>
          <w:b w:val="0"/>
          <w:bCs/>
          <w:kern w:val="2"/>
          <w:sz w:val="32"/>
          <w:szCs w:val="32"/>
          <w:lang w:val="en-US" w:eastAsia="zh-CN" w:bidi="ar-SA"/>
        </w:rPr>
        <w:t>二是</w:t>
      </w:r>
      <w:r>
        <w:rPr>
          <w:rFonts w:hint="eastAsia" w:ascii="仿宋_GB2312" w:hAnsi="仿宋_GB2312" w:eastAsia="仿宋_GB2312" w:cs="仿宋_GB2312"/>
          <w:b w:val="0"/>
          <w:bCs/>
          <w:sz w:val="32"/>
          <w:szCs w:val="32"/>
          <w:lang w:val="en-US" w:eastAsia="zh-CN"/>
        </w:rPr>
        <w:t>严肃查处扶贫领域侵害群众利益问题，开展“微腐败”专项整治，共收到扶贫领域问题线索17条，立案审查14件，给予党纪政务处分14人，组织处理9人。</w:t>
      </w:r>
      <w:r>
        <w:rPr>
          <w:rFonts w:hint="eastAsia" w:ascii="黑体" w:hAnsi="黑体" w:eastAsia="黑体" w:cs="黑体"/>
          <w:color w:val="000000"/>
          <w:sz w:val="32"/>
          <w:szCs w:val="32"/>
          <w:shd w:val="clear" w:color="auto" w:fill="FFFFFF"/>
          <w:lang w:val="en-US" w:eastAsia="zh-CN"/>
        </w:rPr>
        <w:t>三是</w:t>
      </w:r>
      <w:r>
        <w:rPr>
          <w:rFonts w:hint="eastAsia" w:ascii="仿宋_GB2312" w:hAnsi="仿宋_GB2312" w:eastAsia="仿宋_GB2312" w:cs="仿宋_GB2312"/>
          <w:b w:val="0"/>
          <w:bCs/>
          <w:sz w:val="32"/>
          <w:szCs w:val="32"/>
          <w:lang w:val="en-US" w:eastAsia="zh-CN"/>
        </w:rPr>
        <w:t>深挖彻查涉黑涉恶腐败和“保护伞”，进一步健全信息沟通、双向移送、同步介入、核查反馈等机制，共收到问题线索6条，初核了结2件，立案查处4名农村党员犯故意伤害罪的涉恶案件，均给予开除党籍处分。</w:t>
      </w:r>
    </w:p>
    <w:p>
      <w:pPr>
        <w:pStyle w:val="8"/>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560" w:firstLineChars="200"/>
        <w:jc w:val="both"/>
        <w:textAlignment w:val="auto"/>
        <w:outlineLvl w:val="9"/>
        <w:rPr>
          <w:rFonts w:hint="eastAsia" w:ascii="方正楷体_GBK" w:hAnsi="方正楷体_GBK" w:eastAsia="方正楷体_GBK" w:cs="方正楷体_GBK"/>
          <w:b/>
          <w:bCs w:val="0"/>
          <w:kern w:val="2"/>
          <w:sz w:val="28"/>
          <w:szCs w:val="28"/>
          <w:lang w:val="en-US" w:eastAsia="zh-CN" w:bidi="ar-SA"/>
        </w:rPr>
      </w:pPr>
      <w:r>
        <w:rPr>
          <w:rFonts w:hint="eastAsia" w:ascii="方正楷体_GBK" w:hAnsi="方正楷体_GBK" w:eastAsia="方正楷体_GBK" w:cs="方正楷体_GBK"/>
          <w:b/>
          <w:bCs w:val="0"/>
          <w:kern w:val="2"/>
          <w:sz w:val="28"/>
          <w:szCs w:val="28"/>
          <w:lang w:val="en-US" w:eastAsia="zh-CN" w:bidi="ar-SA"/>
        </w:rPr>
        <w:t>（三）扛起巡视巡察政治责任，做好整改“后半篇文章”</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sz w:val="32"/>
          <w:szCs w:val="32"/>
          <w:lang w:val="en-US" w:eastAsia="zh-CN"/>
        </w:rPr>
      </w:pPr>
      <w:r>
        <w:rPr>
          <w:rFonts w:hint="eastAsia" w:ascii="黑体" w:hAnsi="黑体" w:eastAsia="黑体" w:cs="黑体"/>
          <w:b w:val="0"/>
          <w:bCs/>
          <w:kern w:val="2"/>
          <w:sz w:val="32"/>
          <w:szCs w:val="32"/>
          <w:lang w:val="en-US" w:eastAsia="zh-CN" w:bidi="ar-SA"/>
        </w:rPr>
        <w:t>一是</w:t>
      </w:r>
      <w:r>
        <w:rPr>
          <w:rFonts w:hint="eastAsia" w:ascii="仿宋_GB2312" w:hAnsi="仿宋_GB2312" w:eastAsia="仿宋_GB2312" w:cs="仿宋_GB2312"/>
          <w:b w:val="0"/>
          <w:bCs/>
          <w:sz w:val="32"/>
          <w:szCs w:val="32"/>
          <w:lang w:val="en-US" w:eastAsia="zh-CN"/>
        </w:rPr>
        <w:t>县委巡察办开展第四轮、第五轮巡察，对12个部门、6个乡镇、34个村党组织开展常规巡察，对7个部门和2个乡镇开展巡察回头看。第四轮移交纪委问题线索10件（第五轮还未移送），经县纪委核实，立案3件，结案2件，党纪政务处分2人，组织处理34人。</w:t>
      </w:r>
      <w:r>
        <w:rPr>
          <w:rFonts w:hint="eastAsia" w:ascii="黑体" w:hAnsi="黑体" w:eastAsia="黑体" w:cs="黑体"/>
          <w:sz w:val="32"/>
          <w:szCs w:val="32"/>
          <w:lang w:eastAsia="zh-CN"/>
        </w:rPr>
        <w:t>二是</w:t>
      </w:r>
      <w:r>
        <w:rPr>
          <w:rFonts w:hint="eastAsia" w:ascii="仿宋_GB2312" w:hAnsi="仿宋_GB2312" w:eastAsia="仿宋_GB2312" w:cs="仿宋_GB2312"/>
          <w:b w:val="0"/>
          <w:bCs/>
          <w:sz w:val="32"/>
          <w:szCs w:val="32"/>
          <w:lang w:val="en-US" w:eastAsia="zh-CN"/>
        </w:rPr>
        <w:t>将省委第十巡视组巡视反馈问题纳入“不忘初心、牢记使命”专项整改任务，明确责任单位、整改时限。召开巡视巡察问题集体约谈暨集体谈心谈话会，县委书记约谈全县副县级以上领导干部、乡镇党委书记及县级各部门主要负责人、办公室主任、财会人员260余人，压紧压实巡视巡察整改责任。</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560" w:firstLineChars="200"/>
        <w:textAlignment w:val="auto"/>
        <w:rPr>
          <w:rFonts w:hint="eastAsia" w:ascii="方正楷体_GBK" w:hAnsi="方正楷体_GBK" w:eastAsia="方正楷体_GBK" w:cs="方正楷体_GBK"/>
          <w:b/>
          <w:bCs w:val="0"/>
          <w:kern w:val="2"/>
          <w:sz w:val="28"/>
          <w:szCs w:val="28"/>
          <w:lang w:val="en-US" w:eastAsia="zh-CN" w:bidi="ar-SA"/>
        </w:rPr>
      </w:pPr>
      <w:r>
        <w:rPr>
          <w:rFonts w:hint="eastAsia" w:ascii="方正楷体_GBK" w:hAnsi="方正楷体_GBK" w:eastAsia="方正楷体_GBK" w:cs="方正楷体_GBK"/>
          <w:b/>
          <w:bCs w:val="0"/>
          <w:kern w:val="2"/>
          <w:sz w:val="28"/>
          <w:szCs w:val="28"/>
          <w:lang w:val="en-US" w:eastAsia="zh-CN" w:bidi="ar-SA"/>
        </w:rPr>
        <w:t>加强自身建设，打造忠诚干净担当的纪检监察铁军</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bCs/>
          <w:color w:val="000000"/>
          <w:sz w:val="32"/>
          <w:szCs w:val="32"/>
        </w:rPr>
      </w:pPr>
      <w:r>
        <w:rPr>
          <w:rFonts w:hint="eastAsia" w:ascii="黑体" w:hAnsi="黑体" w:eastAsia="黑体" w:cs="黑体"/>
          <w:b w:val="0"/>
          <w:bCs/>
          <w:kern w:val="2"/>
          <w:sz w:val="32"/>
          <w:szCs w:val="32"/>
          <w:lang w:val="en-US" w:eastAsia="zh-CN" w:bidi="ar-SA"/>
        </w:rPr>
        <w:t>一是</w:t>
      </w:r>
      <w:r>
        <w:rPr>
          <w:rFonts w:hint="eastAsia" w:ascii="仿宋_GB2312" w:hAnsi="仿宋_GB2312" w:eastAsia="仿宋_GB2312" w:cs="仿宋_GB2312"/>
          <w:b w:val="0"/>
          <w:bCs/>
          <w:sz w:val="32"/>
          <w:szCs w:val="32"/>
          <w:lang w:val="en-US" w:eastAsia="zh-CN"/>
        </w:rPr>
        <w:t>深化监察体制改革，县委政府高度重视全县纪检监察工作，配齐配强6个县级派驻纪检监察组、12个乡镇纪委监察室干部，实现对所有行使公权力的公职人员监察全覆盖，日常监督形成常态，派驻纪检监察组和乡镇纪委今年查办案件29件。</w:t>
      </w:r>
      <w:r>
        <w:rPr>
          <w:rFonts w:hint="eastAsia" w:ascii="黑体" w:hAnsi="黑体" w:eastAsia="黑体" w:cs="黑体"/>
          <w:b w:val="0"/>
          <w:bCs/>
          <w:kern w:val="2"/>
          <w:sz w:val="32"/>
          <w:szCs w:val="32"/>
          <w:lang w:val="en-US" w:eastAsia="zh-CN" w:bidi="ar-SA"/>
        </w:rPr>
        <w:t>二是</w:t>
      </w:r>
      <w:r>
        <w:rPr>
          <w:rFonts w:hint="eastAsia" w:ascii="仿宋_GB2312" w:hAnsi="仿宋_GB2312" w:eastAsia="仿宋_GB2312" w:cs="仿宋_GB2312"/>
          <w:b w:val="0"/>
          <w:bCs/>
          <w:sz w:val="32"/>
          <w:szCs w:val="32"/>
          <w:lang w:val="en-US" w:eastAsia="zh-CN"/>
        </w:rPr>
        <w:t>扎实开展“不忘初心、牢记使命”主题教育，开展集中学习教育，领导班子深入调查研究，形成调研报告2篇，召开调研成果交流会，深入分析调研课题，提出解决问题的思路和举措；深入检视问题，全力抓好整改落实。</w:t>
      </w:r>
      <w:r>
        <w:rPr>
          <w:rFonts w:hint="eastAsia" w:ascii="黑体" w:hAnsi="黑体" w:eastAsia="黑体" w:cs="黑体"/>
          <w:b w:val="0"/>
          <w:bCs/>
          <w:kern w:val="2"/>
          <w:sz w:val="32"/>
          <w:szCs w:val="32"/>
          <w:lang w:val="en-US" w:eastAsia="zh-CN" w:bidi="ar-SA"/>
        </w:rPr>
        <w:t>三是</w:t>
      </w:r>
      <w:r>
        <w:rPr>
          <w:rFonts w:hint="eastAsia" w:ascii="仿宋_GB2312" w:hAnsi="仿宋_GB2312" w:eastAsia="仿宋_GB2312" w:cs="仿宋_GB2312"/>
          <w:b w:val="0"/>
          <w:bCs/>
          <w:sz w:val="32"/>
          <w:szCs w:val="32"/>
          <w:lang w:val="en-US" w:eastAsia="zh-CN"/>
        </w:rPr>
        <w:t>结合纪检监察干部“全员培训”，组织机关、派驻纪检监察组、乡镇纪委监察室集中学习120人次，进一步提高干部履职能力和业务水平。到上级部门挂职锻炼2人次、跟案学习15人次。</w:t>
      </w:r>
      <w:r>
        <w:rPr>
          <w:rFonts w:hint="eastAsia" w:ascii="黑体" w:hAnsi="黑体" w:eastAsia="黑体" w:cs="黑体"/>
          <w:b w:val="0"/>
          <w:bCs/>
          <w:kern w:val="2"/>
          <w:sz w:val="32"/>
          <w:szCs w:val="32"/>
          <w:lang w:val="en-US" w:eastAsia="zh-CN" w:bidi="ar-SA"/>
        </w:rPr>
        <w:t>四是</w:t>
      </w:r>
      <w:r>
        <w:rPr>
          <w:rFonts w:hint="eastAsia" w:ascii="仿宋_GB2312" w:hAnsi="仿宋_GB2312" w:eastAsia="仿宋_GB2312" w:cs="仿宋_GB2312"/>
          <w:b w:val="0"/>
          <w:bCs/>
          <w:sz w:val="32"/>
          <w:szCs w:val="32"/>
          <w:lang w:val="en-US" w:eastAsia="zh-CN"/>
        </w:rPr>
        <w:t>坚决防止“灯下黑”，接受州纪委内部督查；坚持刀刃向内，今年查处1名原纪检组长违纪问题，给予党内严重警告处分；2名原纪检干部违反工作纪律受到组织处理。</w:t>
      </w:r>
      <w:r>
        <w:rPr>
          <w:rFonts w:hint="eastAsia" w:ascii="黑体" w:hAnsi="黑体" w:eastAsia="黑体" w:cs="黑体"/>
          <w:b w:val="0"/>
          <w:bCs/>
          <w:kern w:val="2"/>
          <w:sz w:val="32"/>
          <w:szCs w:val="32"/>
          <w:lang w:val="en-US" w:eastAsia="zh-CN" w:bidi="ar-SA"/>
        </w:rPr>
        <w:t>五是</w:t>
      </w:r>
      <w:r>
        <w:rPr>
          <w:rFonts w:hint="eastAsia" w:ascii="仿宋_GB2312" w:hAnsi="仿宋_GB2312" w:eastAsia="仿宋_GB2312" w:cs="仿宋_GB2312"/>
          <w:b w:val="0"/>
          <w:bCs/>
          <w:sz w:val="32"/>
          <w:szCs w:val="32"/>
          <w:lang w:val="en-US" w:eastAsia="zh-CN"/>
        </w:rPr>
        <w:t>严格执行监督执纪工作规则，强化安全办案、文明办案意识，确保审查调查对象和涉案人员“双安全”，坚决守住不发生办案安全事故底线。</w:t>
      </w:r>
      <w:r>
        <w:rPr>
          <w:rFonts w:hint="eastAsia" w:ascii="黑体" w:hAnsi="黑体" w:eastAsia="黑体" w:cs="黑体"/>
          <w:b w:val="0"/>
          <w:bCs/>
          <w:kern w:val="2"/>
          <w:sz w:val="32"/>
          <w:szCs w:val="32"/>
          <w:lang w:val="en-US" w:eastAsia="zh-CN" w:bidi="ar-SA"/>
        </w:rPr>
        <w:t>六是</w:t>
      </w:r>
      <w:r>
        <w:rPr>
          <w:rFonts w:hint="eastAsia" w:ascii="仿宋_GB2312" w:hAnsi="仿宋_GB2312" w:eastAsia="仿宋_GB2312" w:cs="仿宋_GB2312"/>
          <w:b w:val="0"/>
          <w:bCs/>
          <w:sz w:val="32"/>
          <w:szCs w:val="32"/>
          <w:lang w:val="en-US" w:eastAsia="zh-CN"/>
        </w:rPr>
        <w:t>扎实开展脱贫攻坚帮扶工作，认真落实“六个一帮扶”。</w:t>
      </w:r>
    </w:p>
    <w:p>
      <w:pPr>
        <w:pStyle w:val="4"/>
        <w:rPr>
          <w:rStyle w:val="26"/>
          <w:b w:val="0"/>
          <w:bCs w:val="0"/>
        </w:rPr>
      </w:pPr>
      <w:bookmarkStart w:id="20" w:name="_Toc15377200"/>
      <w:bookmarkStart w:id="21" w:name="_Toc15396601"/>
      <w:r>
        <w:rPr>
          <w:rFonts w:hint="eastAsia" w:ascii="黑体" w:eastAsia="黑体"/>
          <w:b w:val="0"/>
          <w:color w:val="000000"/>
        </w:rPr>
        <w:t>二、</w:t>
      </w:r>
      <w:r>
        <w:rPr>
          <w:rFonts w:hint="eastAsia" w:ascii="黑体" w:hAnsi="黑体" w:eastAsia="黑体"/>
          <w:b w:val="0"/>
          <w:color w:val="000000"/>
        </w:rPr>
        <w:t>机</w:t>
      </w:r>
      <w:r>
        <w:rPr>
          <w:rStyle w:val="26"/>
          <w:rFonts w:hint="eastAsia" w:ascii="黑体" w:hAnsi="黑体" w:eastAsia="黑体"/>
          <w:b w:val="0"/>
          <w:bCs w:val="0"/>
        </w:rPr>
        <w:t>构设置</w:t>
      </w:r>
      <w:bookmarkEnd w:id="20"/>
      <w:bookmarkEnd w:id="21"/>
    </w:p>
    <w:p>
      <w:pPr>
        <w:ind w:firstLine="640" w:firstLineChars="200"/>
        <w:rPr>
          <w:rFonts w:ascii="仿宋" w:hAnsi="仿宋" w:eastAsia="仿宋"/>
          <w:color w:val="000000"/>
          <w:kern w:val="0"/>
          <w:sz w:val="32"/>
          <w:szCs w:val="32"/>
        </w:rPr>
      </w:pPr>
      <w:r>
        <w:rPr>
          <w:rFonts w:hint="eastAsia" w:ascii="仿宋" w:hAnsi="仿宋" w:eastAsia="仿宋"/>
          <w:sz w:val="32"/>
          <w:szCs w:val="32"/>
          <w:lang w:val="en-US" w:eastAsia="zh-CN"/>
        </w:rPr>
        <w:t>壤塘县纪律检查委员会</w:t>
      </w:r>
      <w:r>
        <w:rPr>
          <w:rFonts w:hint="eastAsia" w:ascii="仿宋" w:hAnsi="仿宋" w:eastAsia="仿宋"/>
          <w:sz w:val="32"/>
          <w:szCs w:val="32"/>
        </w:rPr>
        <w:t>下属二级单位</w:t>
      </w:r>
      <w:r>
        <w:rPr>
          <w:rFonts w:hint="eastAsia" w:ascii="仿宋" w:hAnsi="仿宋" w:eastAsia="仿宋"/>
          <w:sz w:val="32"/>
          <w:szCs w:val="32"/>
          <w:lang w:val="en-US" w:eastAsia="zh-CN"/>
        </w:rPr>
        <w:t>0</w:t>
      </w:r>
      <w:r>
        <w:rPr>
          <w:rFonts w:hint="eastAsia" w:ascii="仿宋" w:hAnsi="仿宋" w:eastAsia="仿宋"/>
          <w:sz w:val="32"/>
          <w:szCs w:val="32"/>
        </w:rPr>
        <w:t>个</w:t>
      </w:r>
      <w:r>
        <w:rPr>
          <w:rFonts w:hint="eastAsia" w:ascii="仿宋" w:hAnsi="仿宋" w:eastAsia="仿宋"/>
          <w:sz w:val="32"/>
          <w:szCs w:val="32"/>
          <w:lang w:eastAsia="zh-CN"/>
        </w:rPr>
        <w:t>。</w:t>
      </w:r>
    </w:p>
    <w:p>
      <w:pPr>
        <w:pStyle w:val="3"/>
        <w:ind w:right="440"/>
        <w:jc w:val="right"/>
        <w:rPr>
          <w:rStyle w:val="25"/>
          <w:rFonts w:ascii="黑体" w:hAnsi="黑体" w:eastAsia="黑体"/>
          <w:b w:val="0"/>
          <w:bCs w:val="0"/>
        </w:rPr>
      </w:pPr>
      <w:bookmarkStart w:id="22" w:name="_Toc15377204"/>
      <w:bookmarkStart w:id="23" w:name="_Toc15396602"/>
      <w:r>
        <w:rPr>
          <w:rFonts w:hint="eastAsia" w:ascii="黑体" w:hAnsi="黑体" w:eastAsia="黑体"/>
          <w:b w:val="0"/>
          <w:color w:val="000000"/>
        </w:rPr>
        <w:t>第二部分</w:t>
      </w:r>
      <w:r>
        <w:rPr>
          <w:rFonts w:hint="eastAsia" w:ascii="黑体" w:hAnsi="黑体" w:eastAsia="黑体"/>
          <w:color w:val="000000"/>
        </w:rPr>
        <w:t xml:space="preserve"> </w:t>
      </w:r>
      <w:r>
        <w:rPr>
          <w:rStyle w:val="25"/>
          <w:rFonts w:hint="eastAsia" w:ascii="黑体" w:hAnsi="黑体" w:eastAsia="黑体"/>
          <w:b w:val="0"/>
          <w:bCs w:val="0"/>
        </w:rPr>
        <w:t>2019年度部门决算情况说明</w:t>
      </w:r>
      <w:bookmarkEnd w:id="22"/>
      <w:bookmarkEnd w:id="23"/>
    </w:p>
    <w:p/>
    <w:p>
      <w:pPr>
        <w:pStyle w:val="24"/>
        <w:numPr>
          <w:ilvl w:val="0"/>
          <w:numId w:val="2"/>
        </w:numPr>
        <w:spacing w:line="600" w:lineRule="exact"/>
        <w:ind w:firstLineChars="0"/>
        <w:outlineLvl w:val="1"/>
        <w:rPr>
          <w:rStyle w:val="26"/>
          <w:rFonts w:ascii="黑体" w:hAnsi="黑体" w:eastAsia="黑体"/>
          <w:b w:val="0"/>
        </w:rPr>
      </w:pPr>
      <w:bookmarkStart w:id="24" w:name="_Toc15396603"/>
      <w:bookmarkStart w:id="25" w:name="_Toc15377205"/>
      <w:r>
        <w:rPr>
          <w:rFonts w:hint="eastAsia" w:ascii="黑体" w:hAnsi="黑体" w:eastAsia="黑体"/>
          <w:color w:val="000000"/>
          <w:sz w:val="32"/>
          <w:szCs w:val="32"/>
        </w:rPr>
        <w:t>收</w:t>
      </w:r>
      <w:r>
        <w:rPr>
          <w:rStyle w:val="26"/>
          <w:rFonts w:hint="eastAsia" w:ascii="黑体" w:hAnsi="黑体" w:eastAsia="黑体"/>
          <w:b w:val="0"/>
        </w:rPr>
        <w:t>入支出决算总体情况说明</w:t>
      </w:r>
      <w:bookmarkEnd w:id="24"/>
      <w:bookmarkEnd w:id="25"/>
    </w:p>
    <w:p>
      <w:pPr>
        <w:spacing w:line="240" w:lineRule="auto"/>
        <w:ind w:firstLine="640" w:firstLineChars="200"/>
        <w:rPr>
          <w:rFonts w:hint="eastAsia" w:ascii="仿宋" w:hAnsi="仿宋" w:eastAsia="仿宋"/>
          <w:color w:val="000000"/>
          <w:sz w:val="32"/>
          <w:szCs w:val="32"/>
          <w:lang w:val="en-US" w:eastAsia="zh-CN"/>
        </w:rPr>
      </w:pPr>
      <w:r>
        <w:rPr>
          <w:rFonts w:hint="eastAsia" w:ascii="仿宋" w:hAnsi="仿宋" w:eastAsia="仿宋"/>
          <w:color w:val="000000"/>
          <w:sz w:val="32"/>
          <w:szCs w:val="32"/>
        </w:rPr>
        <w:t>2019年度收</w:t>
      </w:r>
      <w:r>
        <w:rPr>
          <w:rFonts w:hint="eastAsia" w:ascii="仿宋" w:hAnsi="仿宋" w:eastAsia="仿宋"/>
          <w:color w:val="000000"/>
          <w:sz w:val="32"/>
          <w:szCs w:val="32"/>
          <w:lang w:val="en-US" w:eastAsia="zh-CN"/>
        </w:rPr>
        <w:t>入</w:t>
      </w:r>
      <w:r>
        <w:rPr>
          <w:rFonts w:hint="eastAsia" w:ascii="仿宋" w:hAnsi="仿宋" w:eastAsia="仿宋"/>
          <w:color w:val="000000"/>
          <w:sz w:val="32"/>
          <w:szCs w:val="32"/>
        </w:rPr>
        <w:t>总计</w:t>
      </w:r>
      <w:r>
        <w:rPr>
          <w:rFonts w:hint="eastAsia" w:ascii="仿宋" w:hAnsi="仿宋" w:eastAsia="仿宋"/>
          <w:color w:val="000000"/>
          <w:sz w:val="32"/>
          <w:szCs w:val="32"/>
          <w:lang w:val="en-US" w:eastAsia="zh-CN"/>
        </w:rPr>
        <w:t>732.42</w:t>
      </w:r>
      <w:r>
        <w:rPr>
          <w:rFonts w:hint="eastAsia" w:ascii="仿宋" w:hAnsi="仿宋" w:eastAsia="仿宋"/>
          <w:color w:val="000000"/>
          <w:sz w:val="32"/>
          <w:szCs w:val="32"/>
        </w:rPr>
        <w:t>万元。与2018年相比，收</w:t>
      </w:r>
      <w:r>
        <w:rPr>
          <w:rFonts w:hint="eastAsia" w:ascii="仿宋" w:hAnsi="仿宋" w:eastAsia="仿宋"/>
          <w:color w:val="000000"/>
          <w:sz w:val="32"/>
          <w:szCs w:val="32"/>
          <w:lang w:val="en-US" w:eastAsia="zh-CN"/>
        </w:rPr>
        <w:t>入</w:t>
      </w:r>
      <w:r>
        <w:rPr>
          <w:rFonts w:hint="eastAsia" w:ascii="仿宋" w:hAnsi="仿宋" w:eastAsia="仿宋"/>
          <w:color w:val="000000"/>
          <w:sz w:val="32"/>
          <w:szCs w:val="32"/>
        </w:rPr>
        <w:t>总计增加</w:t>
      </w:r>
      <w:r>
        <w:rPr>
          <w:rFonts w:hint="eastAsia" w:ascii="仿宋" w:hAnsi="仿宋" w:eastAsia="仿宋"/>
          <w:color w:val="000000"/>
          <w:sz w:val="32"/>
          <w:szCs w:val="32"/>
          <w:lang w:val="en-US" w:eastAsia="zh-CN"/>
        </w:rPr>
        <w:t>209.62</w:t>
      </w:r>
      <w:r>
        <w:rPr>
          <w:rFonts w:hint="eastAsia" w:ascii="仿宋" w:hAnsi="仿宋" w:eastAsia="仿宋"/>
          <w:color w:val="000000"/>
          <w:sz w:val="32"/>
          <w:szCs w:val="32"/>
        </w:rPr>
        <w:t>万元，增长</w:t>
      </w:r>
      <w:r>
        <w:rPr>
          <w:rFonts w:hint="eastAsia" w:ascii="仿宋" w:hAnsi="仿宋" w:eastAsia="仿宋"/>
          <w:color w:val="000000"/>
          <w:sz w:val="32"/>
          <w:szCs w:val="32"/>
          <w:lang w:val="en-US" w:eastAsia="zh-CN"/>
        </w:rPr>
        <w:t>40.10</w:t>
      </w:r>
      <w:r>
        <w:rPr>
          <w:rFonts w:ascii="仿宋" w:hAnsi="仿宋" w:eastAsia="仿宋"/>
          <w:color w:val="000000"/>
          <w:sz w:val="32"/>
          <w:szCs w:val="32"/>
        </w:rPr>
        <w:t>%</w:t>
      </w:r>
      <w:r>
        <w:rPr>
          <w:rFonts w:hint="eastAsia" w:ascii="仿宋" w:hAnsi="仿宋" w:eastAsia="仿宋"/>
          <w:color w:val="000000"/>
          <w:sz w:val="32"/>
          <w:szCs w:val="32"/>
        </w:rPr>
        <w:t>。主要变动原因是</w:t>
      </w:r>
      <w:r>
        <w:rPr>
          <w:rFonts w:hint="eastAsia" w:ascii="仿宋" w:hAnsi="仿宋" w:eastAsia="仿宋"/>
          <w:color w:val="000000"/>
          <w:sz w:val="32"/>
          <w:szCs w:val="32"/>
          <w:lang w:val="en-US" w:eastAsia="zh-CN"/>
        </w:rPr>
        <w:t>按照三立方案，我单位编制新增人员较多，导致相应的工资福利及商品服务增加。2019年度支出总计732.42万元。与2018年相比，支出增加209.62万元，增长40.10％，主要变动原因是人员增加，相对的工资福利及商品服务支出增加。</w:t>
      </w:r>
    </w:p>
    <w:p>
      <w:pPr>
        <w:spacing w:line="240" w:lineRule="auto"/>
        <w:jc w:val="left"/>
        <w:rPr>
          <w:rFonts w:hint="eastAsia" w:ascii="仿宋_GB2312" w:eastAsia="仿宋_GB2312"/>
          <w:color w:val="000000"/>
          <w:sz w:val="32"/>
          <w:szCs w:val="32"/>
          <w:lang w:eastAsia="zh-CN"/>
        </w:rPr>
      </w:pPr>
      <w:r>
        <w:rPr>
          <w:rFonts w:hint="eastAsia" w:ascii="仿宋_GB2312" w:eastAsia="仿宋_GB2312"/>
          <w:color w:val="000000"/>
          <w:sz w:val="32"/>
          <w:szCs w:val="32"/>
          <w:lang w:eastAsia="zh-CN"/>
        </w:rPr>
        <w:drawing>
          <wp:inline distT="0" distB="0" distL="114300" distR="114300">
            <wp:extent cx="4958080" cy="2231390"/>
            <wp:effectExtent l="0" t="0" r="7620" b="3810"/>
            <wp:docPr id="8" name="图片 8" descr="2018、2019年度收入支出对比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2018、2019年度收入支出对比图"/>
                    <pic:cNvPicPr>
                      <a:picLocks noChangeAspect="1"/>
                    </pic:cNvPicPr>
                  </pic:nvPicPr>
                  <pic:blipFill>
                    <a:blip r:embed="rId6"/>
                    <a:stretch>
                      <a:fillRect/>
                    </a:stretch>
                  </pic:blipFill>
                  <pic:spPr>
                    <a:xfrm>
                      <a:off x="0" y="0"/>
                      <a:ext cx="4958080" cy="2231390"/>
                    </a:xfrm>
                    <a:prstGeom prst="rect">
                      <a:avLst/>
                    </a:prstGeom>
                  </pic:spPr>
                </pic:pic>
              </a:graphicData>
            </a:graphic>
          </wp:inline>
        </w:drawing>
      </w:r>
    </w:p>
    <w:p>
      <w:pPr>
        <w:pStyle w:val="24"/>
        <w:numPr>
          <w:ilvl w:val="0"/>
          <w:numId w:val="2"/>
        </w:numPr>
        <w:spacing w:line="600" w:lineRule="exact"/>
        <w:ind w:firstLineChars="0"/>
        <w:outlineLvl w:val="1"/>
        <w:rPr>
          <w:rStyle w:val="26"/>
          <w:rFonts w:ascii="黑体" w:hAnsi="黑体" w:eastAsia="黑体"/>
          <w:b w:val="0"/>
        </w:rPr>
      </w:pPr>
      <w:bookmarkStart w:id="26" w:name="_Toc15377206"/>
      <w:bookmarkStart w:id="27" w:name="_Toc15396604"/>
      <w:r>
        <w:rPr>
          <w:rFonts w:hint="eastAsia" w:ascii="黑体" w:hAnsi="黑体" w:eastAsia="黑体"/>
          <w:color w:val="000000"/>
          <w:sz w:val="32"/>
          <w:szCs w:val="32"/>
        </w:rPr>
        <w:t>收</w:t>
      </w:r>
      <w:r>
        <w:rPr>
          <w:rStyle w:val="26"/>
          <w:rFonts w:hint="eastAsia" w:ascii="黑体" w:hAnsi="黑体" w:eastAsia="黑体"/>
          <w:b w:val="0"/>
        </w:rPr>
        <w:t>入决算情况说明</w:t>
      </w:r>
      <w:bookmarkEnd w:id="26"/>
      <w:bookmarkEnd w:id="27"/>
    </w:p>
    <w:p>
      <w:pPr>
        <w:spacing w:line="600" w:lineRule="exact"/>
        <w:ind w:firstLine="640" w:firstLineChars="200"/>
        <w:outlineLvl w:val="1"/>
        <w:rPr>
          <w:rFonts w:ascii="仿宋" w:hAnsi="仿宋"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rPr>
        <w:t>9年本年收入合计730.31万元，其中：一般公共预算财政拨款收入730.31万元，占</w:t>
      </w:r>
      <w:r>
        <w:rPr>
          <w:rFonts w:hint="eastAsia" w:ascii="仿宋" w:hAnsi="仿宋" w:eastAsia="仿宋"/>
          <w:color w:val="000000"/>
          <w:sz w:val="32"/>
          <w:szCs w:val="32"/>
          <w:lang w:val="en-US" w:eastAsia="zh-CN"/>
        </w:rPr>
        <w:t>100</w:t>
      </w:r>
      <w:r>
        <w:rPr>
          <w:rFonts w:ascii="仿宋" w:hAnsi="仿宋" w:eastAsia="仿宋"/>
          <w:color w:val="000000"/>
          <w:sz w:val="32"/>
          <w:szCs w:val="32"/>
        </w:rPr>
        <w:t>%</w:t>
      </w:r>
      <w:r>
        <w:rPr>
          <w:rFonts w:hint="eastAsia" w:ascii="仿宋" w:hAnsi="仿宋" w:eastAsia="仿宋"/>
          <w:color w:val="000000"/>
          <w:sz w:val="32"/>
          <w:szCs w:val="32"/>
        </w:rPr>
        <w:t>；政府性基金预算财政拨款收入</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w:t>
      </w:r>
      <w:r>
        <w:rPr>
          <w:rFonts w:hint="eastAsia" w:ascii="仿宋" w:hAnsi="仿宋" w:eastAsia="仿宋"/>
          <w:color w:val="000000" w:themeColor="text1"/>
          <w:sz w:val="32"/>
          <w:szCs w:val="32"/>
        </w:rPr>
        <w:t>上级补助收入</w:t>
      </w:r>
      <w:r>
        <w:rPr>
          <w:rFonts w:hint="eastAsia" w:ascii="仿宋" w:hAnsi="仿宋" w:eastAsia="仿宋"/>
          <w:color w:val="000000" w:themeColor="text1"/>
          <w:sz w:val="32"/>
          <w:szCs w:val="32"/>
          <w:lang w:val="en-US" w:eastAsia="zh-CN"/>
        </w:rPr>
        <w:t>0</w:t>
      </w:r>
      <w:r>
        <w:rPr>
          <w:rFonts w:hint="eastAsia" w:ascii="仿宋" w:hAnsi="仿宋" w:eastAsia="仿宋"/>
          <w:color w:val="000000"/>
          <w:sz w:val="32"/>
          <w:szCs w:val="32"/>
        </w:rPr>
        <w:t>万元；事业收入</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万元；经营收入</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万元；附属单位上缴收入</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万元；其他收入</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w:t>
      </w:r>
    </w:p>
    <w:p>
      <w:pPr>
        <w:spacing w:line="240" w:lineRule="auto"/>
        <w:rPr>
          <w:rFonts w:hint="eastAsia" w:ascii="仿宋_GB2312" w:eastAsia="仿宋_GB2312"/>
          <w:color w:val="FF0000"/>
          <w:sz w:val="32"/>
          <w:szCs w:val="32"/>
          <w:lang w:eastAsia="zh-CN"/>
        </w:rPr>
      </w:pPr>
      <w:r>
        <w:rPr>
          <w:rFonts w:hint="eastAsia" w:ascii="仿宋_GB2312" w:eastAsia="仿宋_GB2312"/>
          <w:color w:val="FF0000"/>
          <w:sz w:val="32"/>
          <w:szCs w:val="32"/>
          <w:lang w:eastAsia="zh-CN"/>
        </w:rPr>
        <w:drawing>
          <wp:inline distT="0" distB="0" distL="114300" distR="114300">
            <wp:extent cx="5297805" cy="2755265"/>
            <wp:effectExtent l="0" t="0" r="17145" b="6985"/>
            <wp:docPr id="2" name="图片 2" descr="2019年收入结构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2019年收入结构图"/>
                    <pic:cNvPicPr>
                      <a:picLocks noChangeAspect="1"/>
                    </pic:cNvPicPr>
                  </pic:nvPicPr>
                  <pic:blipFill>
                    <a:blip r:embed="rId7"/>
                    <a:stretch>
                      <a:fillRect/>
                    </a:stretch>
                  </pic:blipFill>
                  <pic:spPr>
                    <a:xfrm>
                      <a:off x="0" y="0"/>
                      <a:ext cx="5297805" cy="2755265"/>
                    </a:xfrm>
                    <a:prstGeom prst="rect">
                      <a:avLst/>
                    </a:prstGeom>
                  </pic:spPr>
                </pic:pic>
              </a:graphicData>
            </a:graphic>
          </wp:inline>
        </w:drawing>
      </w:r>
    </w:p>
    <w:p>
      <w:pPr>
        <w:pStyle w:val="24"/>
        <w:numPr>
          <w:ilvl w:val="0"/>
          <w:numId w:val="2"/>
        </w:numPr>
        <w:spacing w:line="600" w:lineRule="exact"/>
        <w:ind w:firstLineChars="0"/>
        <w:outlineLvl w:val="1"/>
        <w:rPr>
          <w:rStyle w:val="26"/>
          <w:rFonts w:ascii="黑体" w:hAnsi="黑体" w:eastAsia="黑体"/>
          <w:b w:val="0"/>
        </w:rPr>
      </w:pPr>
      <w:bookmarkStart w:id="28" w:name="_Toc15377207"/>
      <w:bookmarkStart w:id="29" w:name="_Toc15396605"/>
      <w:r>
        <w:rPr>
          <w:rFonts w:hint="eastAsia" w:ascii="黑体" w:hAnsi="黑体" w:eastAsia="黑体"/>
          <w:color w:val="000000"/>
          <w:sz w:val="32"/>
          <w:szCs w:val="32"/>
        </w:rPr>
        <w:t>支</w:t>
      </w:r>
      <w:r>
        <w:rPr>
          <w:rStyle w:val="26"/>
          <w:rFonts w:hint="eastAsia" w:ascii="黑体" w:hAnsi="黑体" w:eastAsia="黑体"/>
          <w:b w:val="0"/>
        </w:rPr>
        <w:t>出决算情况说明</w:t>
      </w:r>
      <w:bookmarkEnd w:id="28"/>
      <w:bookmarkEnd w:id="29"/>
    </w:p>
    <w:p>
      <w:pPr>
        <w:spacing w:line="600" w:lineRule="exact"/>
        <w:ind w:firstLine="640" w:firstLineChars="200"/>
        <w:outlineLvl w:val="1"/>
        <w:rPr>
          <w:rFonts w:ascii="仿宋" w:hAnsi="仿宋"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rPr>
        <w:t>9年本年支出合计726.29万元，其中：基本支出673.63万元，；项目支出52.66万元，；上缴上级支出</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万元；经营支出</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万元；对附属单位补助支出</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w:t>
      </w:r>
    </w:p>
    <w:p>
      <w:pPr>
        <w:spacing w:line="240" w:lineRule="auto"/>
        <w:outlineLvl w:val="1"/>
        <w:rPr>
          <w:rFonts w:hint="eastAsia" w:ascii="黑体" w:hAnsi="黑体" w:eastAsia="黑体"/>
          <w:color w:val="000000"/>
          <w:sz w:val="32"/>
          <w:szCs w:val="32"/>
          <w:lang w:eastAsia="zh-CN"/>
        </w:rPr>
      </w:pPr>
      <w:bookmarkStart w:id="30" w:name="_Toc15377208"/>
      <w:bookmarkStart w:id="31" w:name="_Toc15396606"/>
      <w:r>
        <w:rPr>
          <w:rFonts w:hint="eastAsia" w:ascii="黑体" w:hAnsi="黑体" w:eastAsia="黑体"/>
          <w:color w:val="000000"/>
          <w:sz w:val="32"/>
          <w:szCs w:val="32"/>
          <w:lang w:eastAsia="zh-CN"/>
        </w:rPr>
        <w:drawing>
          <wp:inline distT="0" distB="0" distL="114300" distR="114300">
            <wp:extent cx="5346065" cy="2869565"/>
            <wp:effectExtent l="0" t="0" r="6985" b="6985"/>
            <wp:docPr id="3" name="图片 3" descr="2019年支出决算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2019年支出决算图"/>
                    <pic:cNvPicPr>
                      <a:picLocks noChangeAspect="1"/>
                    </pic:cNvPicPr>
                  </pic:nvPicPr>
                  <pic:blipFill>
                    <a:blip r:embed="rId8"/>
                    <a:stretch>
                      <a:fillRect/>
                    </a:stretch>
                  </pic:blipFill>
                  <pic:spPr>
                    <a:xfrm>
                      <a:off x="0" y="0"/>
                      <a:ext cx="5346065" cy="2869565"/>
                    </a:xfrm>
                    <a:prstGeom prst="rect">
                      <a:avLst/>
                    </a:prstGeom>
                  </pic:spPr>
                </pic:pic>
              </a:graphicData>
            </a:graphic>
          </wp:inline>
        </w:drawing>
      </w:r>
    </w:p>
    <w:p>
      <w:pPr>
        <w:spacing w:line="600" w:lineRule="exact"/>
        <w:ind w:firstLine="320" w:firstLineChars="100"/>
        <w:outlineLvl w:val="1"/>
        <w:rPr>
          <w:rStyle w:val="26"/>
          <w:rFonts w:ascii="黑体" w:hAnsi="黑体" w:eastAsia="黑体"/>
          <w:b w:val="0"/>
        </w:rPr>
      </w:pPr>
      <w:r>
        <w:rPr>
          <w:rFonts w:hint="eastAsia" w:ascii="黑体" w:hAnsi="黑体" w:eastAsia="黑体"/>
          <w:color w:val="000000"/>
          <w:sz w:val="32"/>
          <w:szCs w:val="32"/>
        </w:rPr>
        <w:t>四、财</w:t>
      </w:r>
      <w:r>
        <w:rPr>
          <w:rStyle w:val="26"/>
          <w:rFonts w:hint="eastAsia" w:ascii="黑体" w:hAnsi="黑体" w:eastAsia="黑体"/>
          <w:b w:val="0"/>
        </w:rPr>
        <w:t>政拨款收入支出决算总体情况说明</w:t>
      </w:r>
      <w:bookmarkEnd w:id="30"/>
      <w:bookmarkEnd w:id="31"/>
    </w:p>
    <w:p>
      <w:pPr>
        <w:spacing w:line="600" w:lineRule="exact"/>
        <w:ind w:firstLine="640"/>
        <w:rPr>
          <w:rFonts w:ascii="仿宋" w:hAnsi="仿宋"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rPr>
        <w:t>9年财政拨款收、支总计732.38万元。与</w:t>
      </w:r>
      <w:r>
        <w:rPr>
          <w:rFonts w:ascii="仿宋" w:hAnsi="仿宋" w:eastAsia="仿宋"/>
          <w:color w:val="000000"/>
          <w:sz w:val="32"/>
          <w:szCs w:val="32"/>
        </w:rPr>
        <w:t>201</w:t>
      </w:r>
      <w:r>
        <w:rPr>
          <w:rFonts w:hint="eastAsia" w:ascii="仿宋" w:hAnsi="仿宋" w:eastAsia="仿宋"/>
          <w:color w:val="000000"/>
          <w:sz w:val="32"/>
          <w:szCs w:val="32"/>
        </w:rPr>
        <w:t>8年相比，财政拨款收、支总计各增加</w:t>
      </w:r>
      <w:r>
        <w:rPr>
          <w:rFonts w:hint="eastAsia" w:ascii="仿宋" w:hAnsi="仿宋" w:eastAsia="仿宋"/>
          <w:color w:val="000000"/>
          <w:sz w:val="32"/>
          <w:szCs w:val="32"/>
          <w:lang w:val="en-US" w:eastAsia="zh-CN"/>
        </w:rPr>
        <w:t>203.52</w:t>
      </w:r>
      <w:r>
        <w:rPr>
          <w:rFonts w:hint="eastAsia" w:ascii="仿宋" w:hAnsi="仿宋" w:eastAsia="仿宋"/>
          <w:color w:val="000000"/>
          <w:sz w:val="32"/>
          <w:szCs w:val="32"/>
        </w:rPr>
        <w:t>万元，增长</w:t>
      </w:r>
      <w:r>
        <w:rPr>
          <w:rFonts w:hint="eastAsia" w:ascii="仿宋" w:hAnsi="仿宋" w:eastAsia="仿宋"/>
          <w:color w:val="000000"/>
          <w:sz w:val="32"/>
          <w:szCs w:val="32"/>
          <w:lang w:val="en-US" w:eastAsia="zh-CN"/>
        </w:rPr>
        <w:t>38.93％</w:t>
      </w:r>
      <w:r>
        <w:rPr>
          <w:rFonts w:hint="eastAsia" w:ascii="仿宋" w:hAnsi="仿宋" w:eastAsia="仿宋"/>
          <w:color w:val="000000"/>
          <w:sz w:val="32"/>
          <w:szCs w:val="32"/>
        </w:rPr>
        <w:t>。主要变动原因是</w:t>
      </w:r>
      <w:r>
        <w:rPr>
          <w:rFonts w:hint="eastAsia" w:ascii="仿宋" w:hAnsi="仿宋" w:eastAsia="仿宋"/>
          <w:color w:val="000000"/>
          <w:sz w:val="32"/>
          <w:szCs w:val="32"/>
          <w:lang w:val="en-US" w:eastAsia="zh-CN"/>
        </w:rPr>
        <w:t>人员新增，相应的工资福利支出及商品服务支出增加；调整住房公积金、养老职业、职业年金基数，相应的社会保险缴费增加。</w:t>
      </w:r>
    </w:p>
    <w:p>
      <w:pPr>
        <w:spacing w:line="240" w:lineRule="auto"/>
        <w:rPr>
          <w:rFonts w:hint="eastAsia" w:ascii="仿宋" w:hAnsi="仿宋" w:eastAsia="仿宋"/>
          <w:b/>
          <w:color w:val="00B050"/>
          <w:sz w:val="32"/>
          <w:szCs w:val="32"/>
          <w:lang w:eastAsia="zh-CN"/>
        </w:rPr>
      </w:pPr>
      <w:r>
        <w:rPr>
          <w:rFonts w:hint="eastAsia" w:ascii="仿宋" w:hAnsi="仿宋" w:eastAsia="仿宋"/>
          <w:b/>
          <w:color w:val="00B050"/>
          <w:sz w:val="32"/>
          <w:szCs w:val="32"/>
          <w:lang w:eastAsia="zh-CN"/>
        </w:rPr>
        <w:drawing>
          <wp:inline distT="0" distB="0" distL="114300" distR="114300">
            <wp:extent cx="5183505" cy="2755265"/>
            <wp:effectExtent l="0" t="0" r="17145" b="6985"/>
            <wp:docPr id="4" name="图片 4" descr="2018、2019财政拨款收、支决算总计变动情况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2018、2019财政拨款收、支决算总计变动情况图"/>
                    <pic:cNvPicPr>
                      <a:picLocks noChangeAspect="1"/>
                    </pic:cNvPicPr>
                  </pic:nvPicPr>
                  <pic:blipFill>
                    <a:blip r:embed="rId9"/>
                    <a:stretch>
                      <a:fillRect/>
                    </a:stretch>
                  </pic:blipFill>
                  <pic:spPr>
                    <a:xfrm>
                      <a:off x="0" y="0"/>
                      <a:ext cx="5183505" cy="2755265"/>
                    </a:xfrm>
                    <a:prstGeom prst="rect">
                      <a:avLst/>
                    </a:prstGeom>
                  </pic:spPr>
                </pic:pic>
              </a:graphicData>
            </a:graphic>
          </wp:inline>
        </w:drawing>
      </w:r>
    </w:p>
    <w:p>
      <w:pPr>
        <w:spacing w:line="600" w:lineRule="exact"/>
        <w:ind w:firstLine="640" w:firstLineChars="200"/>
        <w:outlineLvl w:val="1"/>
        <w:rPr>
          <w:rStyle w:val="26"/>
          <w:rFonts w:ascii="黑体" w:hAnsi="黑体" w:eastAsia="黑体"/>
          <w:b w:val="0"/>
        </w:rPr>
      </w:pPr>
      <w:bookmarkStart w:id="32" w:name="_Toc15377209"/>
      <w:bookmarkStart w:id="33" w:name="_Toc15396607"/>
      <w:r>
        <w:rPr>
          <w:rFonts w:hint="eastAsia" w:ascii="黑体" w:hAnsi="黑体" w:eastAsia="黑体"/>
          <w:color w:val="000000"/>
          <w:sz w:val="32"/>
          <w:szCs w:val="32"/>
        </w:rPr>
        <w:t>五、</w:t>
      </w:r>
      <w:r>
        <w:rPr>
          <w:rFonts w:hint="eastAsia" w:ascii="黑体" w:hAnsi="黑体" w:eastAsia="黑体"/>
          <w:b/>
          <w:color w:val="000000"/>
          <w:sz w:val="32"/>
          <w:szCs w:val="32"/>
        </w:rPr>
        <w:t>一</w:t>
      </w:r>
      <w:r>
        <w:rPr>
          <w:rStyle w:val="26"/>
          <w:rFonts w:hint="eastAsia" w:ascii="黑体" w:hAnsi="黑体" w:eastAsia="黑体"/>
          <w:b w:val="0"/>
        </w:rPr>
        <w:t>般公共预算财政拨款支出决算情况说明</w:t>
      </w:r>
      <w:bookmarkEnd w:id="32"/>
      <w:bookmarkEnd w:id="33"/>
    </w:p>
    <w:p>
      <w:pPr>
        <w:spacing w:line="600" w:lineRule="exact"/>
        <w:ind w:firstLine="643" w:firstLineChars="200"/>
        <w:outlineLvl w:val="2"/>
        <w:rPr>
          <w:rFonts w:ascii="仿宋" w:hAnsi="仿宋" w:eastAsia="仿宋"/>
          <w:b/>
          <w:color w:val="000000"/>
          <w:sz w:val="32"/>
          <w:szCs w:val="32"/>
        </w:rPr>
      </w:pPr>
      <w:bookmarkStart w:id="34" w:name="_Toc15377210"/>
      <w:r>
        <w:rPr>
          <w:rFonts w:hint="eastAsia" w:ascii="仿宋" w:hAnsi="仿宋" w:eastAsia="仿宋"/>
          <w:b/>
          <w:color w:val="000000"/>
          <w:sz w:val="32"/>
          <w:szCs w:val="32"/>
        </w:rPr>
        <w:t>（一）一般公共预算财政拨款支出决算总体情况</w:t>
      </w:r>
      <w:bookmarkEnd w:id="34"/>
    </w:p>
    <w:p>
      <w:pPr>
        <w:spacing w:line="600" w:lineRule="exact"/>
        <w:ind w:firstLine="640"/>
        <w:rPr>
          <w:rFonts w:ascii="仿宋" w:hAnsi="仿宋"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rPr>
        <w:t>9年一般公共预算财政拨款支出732.38万元，占本年支出合计的</w:t>
      </w:r>
      <w:r>
        <w:rPr>
          <w:rFonts w:hint="eastAsia" w:ascii="仿宋" w:hAnsi="仿宋" w:eastAsia="仿宋"/>
          <w:color w:val="000000"/>
          <w:sz w:val="32"/>
          <w:szCs w:val="32"/>
          <w:lang w:val="en-US" w:eastAsia="zh-CN"/>
        </w:rPr>
        <w:t>100</w:t>
      </w:r>
      <w:r>
        <w:rPr>
          <w:rFonts w:ascii="仿宋" w:hAnsi="仿宋" w:eastAsia="仿宋"/>
          <w:color w:val="000000"/>
          <w:sz w:val="32"/>
          <w:szCs w:val="32"/>
        </w:rPr>
        <w:t>%</w:t>
      </w:r>
      <w:r>
        <w:rPr>
          <w:rFonts w:hint="eastAsia" w:ascii="仿宋" w:hAnsi="仿宋" w:eastAsia="仿宋"/>
          <w:color w:val="000000"/>
          <w:sz w:val="32"/>
          <w:szCs w:val="32"/>
        </w:rPr>
        <w:t>。与</w:t>
      </w:r>
      <w:r>
        <w:rPr>
          <w:rFonts w:ascii="仿宋" w:hAnsi="仿宋" w:eastAsia="仿宋"/>
          <w:color w:val="000000"/>
          <w:sz w:val="32"/>
          <w:szCs w:val="32"/>
        </w:rPr>
        <w:t>201</w:t>
      </w:r>
      <w:r>
        <w:rPr>
          <w:rFonts w:hint="eastAsia" w:ascii="仿宋" w:hAnsi="仿宋" w:eastAsia="仿宋"/>
          <w:color w:val="000000"/>
          <w:sz w:val="32"/>
          <w:szCs w:val="32"/>
        </w:rPr>
        <w:t>8年相比，一般公共预算财政拨款增加</w:t>
      </w:r>
      <w:r>
        <w:rPr>
          <w:rFonts w:hint="eastAsia" w:ascii="仿宋" w:hAnsi="仿宋" w:eastAsia="仿宋"/>
          <w:color w:val="000000"/>
          <w:sz w:val="32"/>
          <w:szCs w:val="32"/>
          <w:lang w:val="en-US" w:eastAsia="zh-CN"/>
        </w:rPr>
        <w:t>209.61</w:t>
      </w:r>
      <w:r>
        <w:rPr>
          <w:rFonts w:hint="eastAsia" w:ascii="仿宋" w:hAnsi="仿宋" w:eastAsia="仿宋"/>
          <w:color w:val="000000"/>
          <w:sz w:val="32"/>
          <w:szCs w:val="32"/>
        </w:rPr>
        <w:t>万元，增长</w:t>
      </w:r>
      <w:r>
        <w:rPr>
          <w:rFonts w:hint="eastAsia" w:ascii="仿宋" w:hAnsi="仿宋" w:eastAsia="仿宋"/>
          <w:color w:val="000000"/>
          <w:sz w:val="32"/>
          <w:szCs w:val="32"/>
          <w:lang w:val="en-US" w:eastAsia="zh-CN"/>
        </w:rPr>
        <w:t>40.10</w:t>
      </w:r>
      <w:r>
        <w:rPr>
          <w:rFonts w:ascii="仿宋" w:hAnsi="仿宋" w:eastAsia="仿宋"/>
          <w:color w:val="000000"/>
          <w:sz w:val="32"/>
          <w:szCs w:val="32"/>
        </w:rPr>
        <w:t>%</w:t>
      </w:r>
      <w:r>
        <w:rPr>
          <w:rFonts w:hint="eastAsia" w:ascii="仿宋" w:hAnsi="仿宋" w:eastAsia="仿宋"/>
          <w:color w:val="000000"/>
          <w:sz w:val="32"/>
          <w:szCs w:val="32"/>
        </w:rPr>
        <w:t>。主要变动原因是</w:t>
      </w:r>
      <w:r>
        <w:rPr>
          <w:rFonts w:hint="eastAsia" w:ascii="仿宋" w:hAnsi="仿宋" w:eastAsia="仿宋"/>
          <w:color w:val="000000"/>
          <w:sz w:val="32"/>
          <w:szCs w:val="32"/>
          <w:lang w:val="en-US" w:eastAsia="zh-CN"/>
        </w:rPr>
        <w:t>人员新增，相应的工资福利支出及商品服务支出增加；调整住房公积金、养老职业、职业年金基数，相应的社会保险缴费增加。</w:t>
      </w:r>
    </w:p>
    <w:p>
      <w:pPr>
        <w:spacing w:line="240" w:lineRule="auto"/>
        <w:rPr>
          <w:rFonts w:hint="eastAsia" w:ascii="仿宋" w:hAnsi="仿宋" w:eastAsia="仿宋"/>
          <w:color w:val="000000" w:themeColor="text1"/>
          <w:sz w:val="32"/>
          <w:szCs w:val="32"/>
          <w:lang w:eastAsia="zh-CN"/>
        </w:rPr>
      </w:pPr>
      <w:r>
        <w:rPr>
          <w:rFonts w:hint="eastAsia" w:ascii="仿宋" w:hAnsi="仿宋" w:eastAsia="仿宋"/>
          <w:color w:val="000000" w:themeColor="text1"/>
          <w:sz w:val="32"/>
          <w:szCs w:val="32"/>
          <w:lang w:eastAsia="zh-CN"/>
        </w:rPr>
        <w:drawing>
          <wp:inline distT="0" distB="0" distL="114300" distR="114300">
            <wp:extent cx="5460365" cy="3183255"/>
            <wp:effectExtent l="0" t="0" r="6985" b="17145"/>
            <wp:docPr id="5" name="图片 5" descr="一般公共预算财政拨款支出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一般公共预算财政拨款支出图"/>
                    <pic:cNvPicPr>
                      <a:picLocks noChangeAspect="1"/>
                    </pic:cNvPicPr>
                  </pic:nvPicPr>
                  <pic:blipFill>
                    <a:blip r:embed="rId10"/>
                    <a:stretch>
                      <a:fillRect/>
                    </a:stretch>
                  </pic:blipFill>
                  <pic:spPr>
                    <a:xfrm>
                      <a:off x="0" y="0"/>
                      <a:ext cx="5460365" cy="3183255"/>
                    </a:xfrm>
                    <a:prstGeom prst="rect">
                      <a:avLst/>
                    </a:prstGeom>
                  </pic:spPr>
                </pic:pic>
              </a:graphicData>
            </a:graphic>
          </wp:inline>
        </w:drawing>
      </w:r>
    </w:p>
    <w:p>
      <w:pPr>
        <w:spacing w:line="600" w:lineRule="exact"/>
        <w:ind w:firstLine="643" w:firstLineChars="200"/>
        <w:outlineLvl w:val="2"/>
        <w:rPr>
          <w:rFonts w:ascii="仿宋" w:hAnsi="仿宋" w:eastAsia="仿宋"/>
          <w:b/>
          <w:color w:val="000000"/>
          <w:sz w:val="32"/>
          <w:szCs w:val="32"/>
        </w:rPr>
      </w:pPr>
      <w:bookmarkStart w:id="35" w:name="_Toc15377211"/>
      <w:r>
        <w:rPr>
          <w:rFonts w:hint="eastAsia" w:ascii="仿宋" w:hAnsi="仿宋" w:eastAsia="仿宋"/>
          <w:b/>
          <w:color w:val="000000"/>
          <w:sz w:val="32"/>
          <w:szCs w:val="32"/>
        </w:rPr>
        <w:t>（二）一般公共预算财政拨款支出决算结构情况</w:t>
      </w:r>
      <w:bookmarkEnd w:id="35"/>
    </w:p>
    <w:p>
      <w:pPr>
        <w:spacing w:line="600" w:lineRule="exact"/>
        <w:ind w:firstLine="640" w:firstLineChars="200"/>
        <w:rPr>
          <w:rFonts w:hint="eastAsia" w:ascii="仿宋" w:hAnsi="仿宋" w:eastAsia="仿宋"/>
          <w:color w:val="000000" w:themeColor="text1"/>
          <w:sz w:val="32"/>
          <w:szCs w:val="32"/>
        </w:rPr>
      </w:pPr>
      <w:r>
        <w:rPr>
          <w:rFonts w:ascii="仿宋" w:hAnsi="仿宋" w:eastAsia="仿宋"/>
          <w:color w:val="000000"/>
          <w:sz w:val="32"/>
          <w:szCs w:val="32"/>
        </w:rPr>
        <w:t>201</w:t>
      </w:r>
      <w:r>
        <w:rPr>
          <w:rFonts w:hint="eastAsia" w:ascii="仿宋" w:hAnsi="仿宋" w:eastAsia="仿宋"/>
          <w:color w:val="000000"/>
          <w:sz w:val="32"/>
          <w:szCs w:val="32"/>
          <w:lang w:val="en-US" w:eastAsia="zh-CN"/>
        </w:rPr>
        <w:t>9</w:t>
      </w:r>
      <w:r>
        <w:rPr>
          <w:rFonts w:hint="eastAsia" w:ascii="仿宋" w:hAnsi="仿宋" w:eastAsia="仿宋"/>
          <w:color w:val="000000"/>
          <w:sz w:val="32"/>
          <w:szCs w:val="32"/>
        </w:rPr>
        <w:t>年一般公共预算财政拨款支出732.38万元，主要用于以下方面</w:t>
      </w:r>
      <w:r>
        <w:rPr>
          <w:rFonts w:ascii="仿宋" w:hAnsi="仿宋" w:eastAsia="仿宋"/>
          <w:color w:val="000000"/>
          <w:sz w:val="32"/>
          <w:szCs w:val="32"/>
        </w:rPr>
        <w:t>:</w:t>
      </w:r>
      <w:r>
        <w:rPr>
          <w:rFonts w:hint="eastAsia" w:ascii="仿宋" w:hAnsi="仿宋" w:eastAsia="仿宋"/>
          <w:b/>
          <w:color w:val="000000"/>
          <w:sz w:val="32"/>
          <w:szCs w:val="32"/>
        </w:rPr>
        <w:t>一般公共服务</w:t>
      </w:r>
      <w:r>
        <w:rPr>
          <w:rFonts w:hint="eastAsia" w:ascii="仿宋" w:hAnsi="仿宋" w:eastAsia="仿宋"/>
          <w:color w:val="000000"/>
          <w:sz w:val="32"/>
          <w:szCs w:val="32"/>
        </w:rPr>
        <w:t>支出584.55万元，占</w:t>
      </w:r>
      <w:r>
        <w:rPr>
          <w:rFonts w:hint="eastAsia" w:ascii="仿宋" w:hAnsi="仿宋" w:eastAsia="仿宋"/>
          <w:color w:val="000000"/>
          <w:sz w:val="32"/>
          <w:szCs w:val="32"/>
          <w:lang w:val="en-US" w:eastAsia="zh-CN"/>
        </w:rPr>
        <w:t>79.82</w:t>
      </w:r>
      <w:r>
        <w:rPr>
          <w:rFonts w:ascii="仿宋" w:hAnsi="仿宋" w:eastAsia="仿宋"/>
          <w:color w:val="000000"/>
          <w:sz w:val="32"/>
          <w:szCs w:val="32"/>
        </w:rPr>
        <w:t>%</w:t>
      </w:r>
      <w:r>
        <w:rPr>
          <w:rFonts w:hint="eastAsia" w:ascii="仿宋" w:hAnsi="仿宋" w:eastAsia="仿宋"/>
          <w:color w:val="000000"/>
          <w:sz w:val="32"/>
          <w:szCs w:val="32"/>
        </w:rPr>
        <w:t>；</w:t>
      </w:r>
      <w:r>
        <w:rPr>
          <w:rFonts w:hint="eastAsia" w:ascii="仿宋" w:hAnsi="仿宋" w:eastAsia="仿宋"/>
          <w:b/>
          <w:color w:val="000000"/>
          <w:sz w:val="32"/>
          <w:szCs w:val="32"/>
        </w:rPr>
        <w:t>教育支出</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w:t>
      </w:r>
      <w:r>
        <w:rPr>
          <w:rFonts w:hint="eastAsia" w:ascii="仿宋" w:hAnsi="仿宋" w:eastAsia="仿宋"/>
          <w:b/>
          <w:color w:val="000000"/>
          <w:sz w:val="32"/>
          <w:szCs w:val="32"/>
        </w:rPr>
        <w:t>科学技术</w:t>
      </w:r>
      <w:r>
        <w:rPr>
          <w:rFonts w:hint="eastAsia" w:ascii="仿宋" w:hAnsi="仿宋" w:eastAsia="仿宋"/>
          <w:color w:val="000000"/>
          <w:sz w:val="32"/>
          <w:szCs w:val="32"/>
        </w:rPr>
        <w:t>支出</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w:t>
      </w:r>
      <w:r>
        <w:rPr>
          <w:rFonts w:hint="eastAsia" w:ascii="仿宋" w:hAnsi="仿宋" w:eastAsia="仿宋"/>
          <w:b/>
          <w:color w:val="000000"/>
          <w:sz w:val="32"/>
          <w:szCs w:val="32"/>
        </w:rPr>
        <w:t>社会保障和就业</w:t>
      </w:r>
      <w:r>
        <w:rPr>
          <w:rFonts w:hint="eastAsia" w:ascii="仿宋" w:hAnsi="仿宋" w:eastAsia="仿宋"/>
          <w:color w:val="000000"/>
          <w:sz w:val="32"/>
          <w:szCs w:val="32"/>
        </w:rPr>
        <w:t>支出77.03万元，占</w:t>
      </w:r>
      <w:r>
        <w:rPr>
          <w:rFonts w:hint="eastAsia" w:ascii="仿宋" w:hAnsi="仿宋" w:eastAsia="仿宋"/>
          <w:color w:val="000000"/>
          <w:sz w:val="32"/>
          <w:szCs w:val="32"/>
          <w:lang w:val="en-US" w:eastAsia="zh-CN"/>
        </w:rPr>
        <w:t>10.52</w:t>
      </w:r>
      <w:r>
        <w:rPr>
          <w:rFonts w:ascii="仿宋" w:hAnsi="仿宋" w:eastAsia="仿宋"/>
          <w:color w:val="000000"/>
          <w:sz w:val="32"/>
          <w:szCs w:val="32"/>
        </w:rPr>
        <w:t>%</w:t>
      </w:r>
      <w:r>
        <w:rPr>
          <w:rFonts w:hint="eastAsia" w:ascii="仿宋" w:hAnsi="仿宋" w:eastAsia="仿宋"/>
          <w:color w:val="000000"/>
          <w:sz w:val="32"/>
          <w:szCs w:val="32"/>
        </w:rPr>
        <w:t>；医疗卫生支出16.36万元，占</w:t>
      </w:r>
      <w:r>
        <w:rPr>
          <w:rFonts w:hint="eastAsia" w:ascii="仿宋" w:hAnsi="仿宋" w:eastAsia="仿宋"/>
          <w:color w:val="000000"/>
          <w:sz w:val="32"/>
          <w:szCs w:val="32"/>
          <w:lang w:val="en-US" w:eastAsia="zh-CN"/>
        </w:rPr>
        <w:t>2.23</w:t>
      </w:r>
      <w:r>
        <w:rPr>
          <w:rFonts w:ascii="仿宋" w:hAnsi="仿宋" w:eastAsia="仿宋"/>
          <w:color w:val="000000"/>
          <w:sz w:val="32"/>
          <w:szCs w:val="32"/>
        </w:rPr>
        <w:t>%</w:t>
      </w:r>
      <w:r>
        <w:rPr>
          <w:rFonts w:hint="eastAsia" w:ascii="仿宋" w:hAnsi="仿宋" w:eastAsia="仿宋"/>
          <w:color w:val="000000"/>
          <w:sz w:val="32"/>
          <w:szCs w:val="32"/>
        </w:rPr>
        <w:t>；住房保障支出48.35万元，占</w:t>
      </w:r>
      <w:r>
        <w:rPr>
          <w:rFonts w:hint="eastAsia" w:ascii="仿宋" w:hAnsi="仿宋" w:eastAsia="仿宋"/>
          <w:color w:val="000000"/>
          <w:sz w:val="32"/>
          <w:szCs w:val="32"/>
          <w:lang w:val="en-US" w:eastAsia="zh-CN"/>
        </w:rPr>
        <w:t>6.60</w:t>
      </w:r>
      <w:r>
        <w:rPr>
          <w:rFonts w:ascii="仿宋" w:hAnsi="仿宋" w:eastAsia="仿宋"/>
          <w:color w:val="000000"/>
          <w:sz w:val="32"/>
          <w:szCs w:val="32"/>
        </w:rPr>
        <w:t>%</w:t>
      </w:r>
      <w:r>
        <w:rPr>
          <w:rFonts w:hint="eastAsia" w:ascii="仿宋" w:hAnsi="仿宋" w:eastAsia="仿宋"/>
          <w:color w:val="000000"/>
          <w:sz w:val="32"/>
          <w:szCs w:val="32"/>
        </w:rPr>
        <w:t>。</w:t>
      </w:r>
    </w:p>
    <w:p>
      <w:pPr>
        <w:spacing w:line="600" w:lineRule="exact"/>
        <w:ind w:firstLine="640" w:firstLineChars="200"/>
        <w:rPr>
          <w:rFonts w:hint="eastAsia" w:ascii="仿宋" w:hAnsi="仿宋" w:eastAsia="仿宋"/>
          <w:color w:val="000000" w:themeColor="text1"/>
          <w:sz w:val="32"/>
          <w:szCs w:val="32"/>
        </w:rPr>
      </w:pPr>
    </w:p>
    <w:p>
      <w:pPr>
        <w:spacing w:line="240" w:lineRule="auto"/>
        <w:rPr>
          <w:rFonts w:hint="eastAsia" w:ascii="仿宋" w:hAnsi="仿宋" w:eastAsia="仿宋"/>
          <w:color w:val="000000"/>
          <w:sz w:val="32"/>
          <w:szCs w:val="32"/>
          <w:lang w:val="en-US" w:eastAsia="zh-CN"/>
        </w:rPr>
      </w:pPr>
      <w:r>
        <w:rPr>
          <w:rFonts w:hint="eastAsia" w:ascii="仿宋" w:hAnsi="仿宋" w:eastAsia="仿宋"/>
          <w:color w:val="000000"/>
          <w:sz w:val="32"/>
          <w:szCs w:val="32"/>
          <w:lang w:val="en-US" w:eastAsia="zh-CN"/>
        </w:rPr>
        <w:drawing>
          <wp:inline distT="0" distB="0" distL="114300" distR="114300">
            <wp:extent cx="5318760" cy="2931160"/>
            <wp:effectExtent l="0" t="0" r="2540" b="2540"/>
            <wp:docPr id="6" name="图片 6" descr="一般公共预算财政拨款支出决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一般公共预算财政拨款支出决算"/>
                    <pic:cNvPicPr>
                      <a:picLocks noChangeAspect="1"/>
                    </pic:cNvPicPr>
                  </pic:nvPicPr>
                  <pic:blipFill>
                    <a:blip r:embed="rId11"/>
                    <a:stretch>
                      <a:fillRect/>
                    </a:stretch>
                  </pic:blipFill>
                  <pic:spPr>
                    <a:xfrm>
                      <a:off x="0" y="0"/>
                      <a:ext cx="5318760" cy="2931160"/>
                    </a:xfrm>
                    <a:prstGeom prst="rect">
                      <a:avLst/>
                    </a:prstGeom>
                  </pic:spPr>
                </pic:pic>
              </a:graphicData>
            </a:graphic>
          </wp:inline>
        </w:drawing>
      </w:r>
    </w:p>
    <w:p>
      <w:pPr>
        <w:spacing w:line="600" w:lineRule="exact"/>
        <w:ind w:firstLine="640" w:firstLineChars="200"/>
        <w:rPr>
          <w:rFonts w:ascii="仿宋" w:hAnsi="仿宋" w:eastAsia="仿宋"/>
          <w:color w:val="000000"/>
          <w:sz w:val="32"/>
          <w:szCs w:val="32"/>
        </w:rPr>
      </w:pPr>
    </w:p>
    <w:p>
      <w:pPr>
        <w:spacing w:line="600" w:lineRule="exact"/>
        <w:ind w:firstLine="643" w:firstLineChars="200"/>
        <w:outlineLvl w:val="2"/>
        <w:rPr>
          <w:rFonts w:ascii="仿宋" w:hAnsi="仿宋" w:eastAsia="仿宋"/>
          <w:b/>
          <w:color w:val="000000"/>
          <w:sz w:val="32"/>
          <w:szCs w:val="32"/>
        </w:rPr>
      </w:pPr>
      <w:bookmarkStart w:id="36" w:name="_Toc15377212"/>
      <w:r>
        <w:rPr>
          <w:rFonts w:hint="eastAsia" w:ascii="仿宋" w:hAnsi="仿宋" w:eastAsia="仿宋"/>
          <w:b/>
          <w:color w:val="000000"/>
          <w:sz w:val="32"/>
          <w:szCs w:val="32"/>
        </w:rPr>
        <w:t>（三）一般公共预算财政拨款支出决算具体情况</w:t>
      </w:r>
      <w:bookmarkEnd w:id="36"/>
    </w:p>
    <w:p>
      <w:pPr>
        <w:spacing w:line="600" w:lineRule="exact"/>
        <w:ind w:firstLine="643" w:firstLineChars="200"/>
        <w:outlineLvl w:val="2"/>
        <w:rPr>
          <w:rFonts w:ascii="仿宋" w:hAnsi="仿宋" w:eastAsia="仿宋"/>
          <w:color w:val="FF0000"/>
          <w:sz w:val="32"/>
          <w:szCs w:val="32"/>
        </w:rPr>
      </w:pPr>
      <w:bookmarkStart w:id="37" w:name="_Toc15377444"/>
      <w:bookmarkStart w:id="38" w:name="_Toc15378460"/>
      <w:bookmarkStart w:id="39" w:name="_Toc15377213"/>
      <w:r>
        <w:rPr>
          <w:rFonts w:hint="eastAsia" w:ascii="仿宋" w:hAnsi="仿宋" w:eastAsia="仿宋"/>
          <w:b/>
          <w:color w:val="000000" w:themeColor="text1"/>
          <w:sz w:val="32"/>
          <w:szCs w:val="32"/>
        </w:rPr>
        <w:t>2019年般公共预算支出决算数为</w:t>
      </w:r>
      <w:r>
        <w:rPr>
          <w:rFonts w:hint="eastAsia" w:ascii="仿宋" w:hAnsi="仿宋" w:eastAsia="仿宋"/>
          <w:color w:val="000000"/>
          <w:sz w:val="32"/>
          <w:szCs w:val="32"/>
        </w:rPr>
        <w:t>732.38</w:t>
      </w:r>
      <w:r>
        <w:rPr>
          <w:rFonts w:hint="eastAsia" w:ascii="仿宋" w:hAnsi="仿宋" w:eastAsia="仿宋"/>
          <w:color w:val="000000"/>
          <w:sz w:val="32"/>
          <w:szCs w:val="32"/>
          <w:lang w:val="en-US" w:eastAsia="zh-CN"/>
        </w:rPr>
        <w:t>万元</w:t>
      </w:r>
      <w:r>
        <w:rPr>
          <w:rFonts w:hint="eastAsia" w:ascii="仿宋" w:hAnsi="仿宋" w:eastAsia="仿宋"/>
          <w:color w:val="000000" w:themeColor="text1"/>
          <w:sz w:val="32"/>
          <w:szCs w:val="32"/>
        </w:rPr>
        <w:t>，</w:t>
      </w:r>
      <w:r>
        <w:rPr>
          <w:rStyle w:val="14"/>
          <w:rFonts w:hint="eastAsia" w:ascii="仿宋" w:hAnsi="仿宋" w:eastAsia="仿宋"/>
          <w:bCs/>
          <w:color w:val="000000" w:themeColor="text1"/>
          <w:sz w:val="32"/>
          <w:szCs w:val="32"/>
        </w:rPr>
        <w:t>完成</w:t>
      </w:r>
      <w:r>
        <w:rPr>
          <w:rStyle w:val="14"/>
          <w:rFonts w:hint="eastAsia" w:ascii="仿宋" w:hAnsi="仿宋" w:eastAsia="仿宋"/>
          <w:bCs/>
          <w:color w:val="000000"/>
          <w:sz w:val="32"/>
          <w:szCs w:val="32"/>
        </w:rPr>
        <w:t>预算</w:t>
      </w:r>
      <w:r>
        <w:rPr>
          <w:rStyle w:val="14"/>
          <w:rFonts w:hint="eastAsia" w:ascii="仿宋" w:hAnsi="仿宋" w:eastAsia="仿宋"/>
          <w:bCs/>
          <w:color w:val="000000"/>
          <w:sz w:val="32"/>
          <w:szCs w:val="32"/>
          <w:lang w:val="en-US" w:eastAsia="zh-CN"/>
        </w:rPr>
        <w:t>100</w:t>
      </w:r>
      <w:r>
        <w:rPr>
          <w:rStyle w:val="14"/>
          <w:rFonts w:ascii="仿宋" w:hAnsi="仿宋" w:eastAsia="仿宋"/>
          <w:bCs/>
          <w:color w:val="000000"/>
          <w:sz w:val="32"/>
          <w:szCs w:val="32"/>
        </w:rPr>
        <w:t>%</w:t>
      </w:r>
      <w:r>
        <w:rPr>
          <w:rStyle w:val="14"/>
          <w:rFonts w:hint="eastAsia" w:ascii="仿宋" w:hAnsi="仿宋" w:eastAsia="仿宋"/>
          <w:bCs/>
          <w:color w:val="000000"/>
          <w:sz w:val="32"/>
          <w:szCs w:val="32"/>
        </w:rPr>
        <w:t>。其中：</w:t>
      </w:r>
      <w:bookmarkEnd w:id="37"/>
      <w:bookmarkEnd w:id="38"/>
      <w:bookmarkEnd w:id="39"/>
    </w:p>
    <w:p>
      <w:pPr>
        <w:spacing w:line="600" w:lineRule="exact"/>
        <w:ind w:firstLine="643" w:firstLineChars="200"/>
        <w:rPr>
          <w:rFonts w:ascii="仿宋" w:hAnsi="仿宋" w:eastAsia="仿宋"/>
          <w:b/>
          <w:color w:val="000000"/>
          <w:sz w:val="32"/>
          <w:szCs w:val="32"/>
        </w:rPr>
      </w:pPr>
      <w:r>
        <w:rPr>
          <w:rStyle w:val="14"/>
          <w:rFonts w:ascii="仿宋" w:hAnsi="仿宋" w:eastAsia="仿宋"/>
          <w:bCs/>
          <w:color w:val="000000"/>
          <w:sz w:val="32"/>
          <w:szCs w:val="32"/>
        </w:rPr>
        <w:t>1.</w:t>
      </w:r>
      <w:r>
        <w:rPr>
          <w:rStyle w:val="14"/>
          <w:rFonts w:hint="eastAsia" w:ascii="仿宋" w:hAnsi="仿宋" w:eastAsia="仿宋"/>
          <w:bCs/>
          <w:color w:val="000000"/>
          <w:sz w:val="32"/>
          <w:szCs w:val="32"/>
        </w:rPr>
        <w:t>一般公共服务（类）</w:t>
      </w:r>
      <w:r>
        <w:rPr>
          <w:rStyle w:val="14"/>
          <w:rFonts w:hint="eastAsia" w:ascii="仿宋" w:hAnsi="仿宋" w:eastAsia="仿宋"/>
          <w:bCs/>
          <w:color w:val="000000"/>
          <w:sz w:val="32"/>
          <w:szCs w:val="32"/>
          <w:lang w:val="en-US" w:eastAsia="zh-CN"/>
        </w:rPr>
        <w:t>201</w:t>
      </w:r>
      <w:r>
        <w:rPr>
          <w:rStyle w:val="14"/>
          <w:rFonts w:hint="eastAsia" w:ascii="仿宋" w:hAnsi="仿宋" w:eastAsia="仿宋"/>
          <w:bCs/>
          <w:color w:val="000000"/>
          <w:sz w:val="32"/>
          <w:szCs w:val="32"/>
        </w:rPr>
        <w:t>（款）</w:t>
      </w:r>
      <w:r>
        <w:rPr>
          <w:rStyle w:val="14"/>
          <w:rFonts w:hint="eastAsia" w:ascii="仿宋" w:hAnsi="仿宋" w:eastAsia="仿宋"/>
          <w:bCs/>
          <w:color w:val="000000"/>
          <w:sz w:val="32"/>
          <w:szCs w:val="32"/>
          <w:lang w:val="en-US" w:eastAsia="zh-CN"/>
        </w:rPr>
        <w:t>20111</w:t>
      </w:r>
      <w:r>
        <w:rPr>
          <w:rStyle w:val="14"/>
          <w:rFonts w:hint="eastAsia" w:ascii="仿宋" w:hAnsi="仿宋" w:eastAsia="仿宋"/>
          <w:bCs/>
          <w:color w:val="000000"/>
          <w:sz w:val="32"/>
          <w:szCs w:val="32"/>
        </w:rPr>
        <w:t>（项）</w:t>
      </w:r>
      <w:r>
        <w:rPr>
          <w:rStyle w:val="14"/>
          <w:rFonts w:ascii="仿宋" w:hAnsi="仿宋" w:eastAsia="仿宋"/>
          <w:bCs/>
          <w:color w:val="000000"/>
          <w:sz w:val="32"/>
          <w:szCs w:val="32"/>
        </w:rPr>
        <w:t>:</w:t>
      </w:r>
      <w:r>
        <w:rPr>
          <w:rStyle w:val="14"/>
          <w:rFonts w:hint="eastAsia" w:ascii="仿宋" w:hAnsi="仿宋" w:eastAsia="仿宋"/>
          <w:b w:val="0"/>
          <w:bCs/>
          <w:color w:val="000000"/>
          <w:sz w:val="32"/>
          <w:szCs w:val="32"/>
        </w:rPr>
        <w:t>支出决算为</w:t>
      </w:r>
      <w:r>
        <w:rPr>
          <w:rFonts w:hint="eastAsia" w:ascii="仿宋" w:hAnsi="仿宋" w:eastAsia="仿宋"/>
          <w:color w:val="000000"/>
          <w:sz w:val="32"/>
          <w:szCs w:val="32"/>
        </w:rPr>
        <w:t>584.55</w:t>
      </w:r>
      <w:r>
        <w:rPr>
          <w:rStyle w:val="14"/>
          <w:rFonts w:hint="eastAsia" w:ascii="仿宋" w:hAnsi="仿宋" w:eastAsia="仿宋"/>
          <w:b w:val="0"/>
          <w:bCs/>
          <w:color w:val="000000"/>
          <w:sz w:val="32"/>
          <w:szCs w:val="32"/>
        </w:rPr>
        <w:t>万元，完成预算</w:t>
      </w:r>
      <w:r>
        <w:rPr>
          <w:rStyle w:val="14"/>
          <w:rFonts w:hint="eastAsia" w:ascii="仿宋" w:hAnsi="仿宋" w:eastAsia="仿宋"/>
          <w:b w:val="0"/>
          <w:bCs/>
          <w:color w:val="000000"/>
          <w:sz w:val="32"/>
          <w:szCs w:val="32"/>
          <w:lang w:val="en-US" w:eastAsia="zh-CN"/>
        </w:rPr>
        <w:t>100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，决算数</w:t>
      </w:r>
      <w:r>
        <w:rPr>
          <w:rStyle w:val="14"/>
          <w:rFonts w:hint="eastAsia" w:ascii="仿宋" w:hAnsi="仿宋" w:eastAsia="仿宋"/>
          <w:b w:val="0"/>
          <w:bCs/>
          <w:color w:val="000000"/>
          <w:sz w:val="32"/>
          <w:szCs w:val="32"/>
          <w:lang w:val="en-US" w:eastAsia="zh-CN"/>
        </w:rPr>
        <w:t>等于</w:t>
      </w:r>
      <w:r>
        <w:rPr>
          <w:rStyle w:val="14"/>
          <w:rFonts w:hint="eastAsia" w:ascii="仿宋" w:hAnsi="仿宋" w:eastAsia="仿宋"/>
          <w:b w:val="0"/>
          <w:bCs/>
          <w:color w:val="000000"/>
          <w:sz w:val="32"/>
          <w:szCs w:val="32"/>
        </w:rPr>
        <w:t>预算数的主要原因是</w:t>
      </w:r>
      <w:r>
        <w:rPr>
          <w:rStyle w:val="14"/>
          <w:rFonts w:hint="eastAsia" w:ascii="仿宋" w:hAnsi="仿宋" w:eastAsia="仿宋"/>
          <w:b w:val="0"/>
          <w:bCs/>
          <w:color w:val="000000"/>
          <w:sz w:val="32"/>
          <w:szCs w:val="32"/>
          <w:lang w:val="en-US" w:eastAsia="zh-CN"/>
        </w:rPr>
        <w:t>工资上调，人员增加</w:t>
      </w:r>
      <w:r>
        <w:rPr>
          <w:rStyle w:val="14"/>
          <w:rFonts w:hint="eastAsia" w:ascii="仿宋" w:hAnsi="仿宋" w:eastAsia="仿宋"/>
          <w:b w:val="0"/>
          <w:bCs/>
          <w:color w:val="000000"/>
          <w:sz w:val="32"/>
          <w:szCs w:val="32"/>
        </w:rPr>
        <w:t>。</w:t>
      </w:r>
    </w:p>
    <w:p>
      <w:pPr>
        <w:spacing w:line="600" w:lineRule="exact"/>
        <w:ind w:firstLine="643" w:firstLineChars="200"/>
        <w:rPr>
          <w:rFonts w:ascii="仿宋" w:hAnsi="仿宋" w:eastAsia="仿宋"/>
          <w:b/>
          <w:color w:val="000000"/>
          <w:sz w:val="32"/>
          <w:szCs w:val="32"/>
        </w:rPr>
      </w:pPr>
      <w:r>
        <w:rPr>
          <w:rStyle w:val="14"/>
          <w:rFonts w:ascii="仿宋" w:hAnsi="仿宋" w:eastAsia="仿宋"/>
          <w:bCs/>
          <w:color w:val="000000"/>
          <w:sz w:val="32"/>
          <w:szCs w:val="32"/>
        </w:rPr>
        <w:t>2.</w:t>
      </w:r>
      <w:r>
        <w:rPr>
          <w:rStyle w:val="14"/>
          <w:rFonts w:hint="eastAsia" w:ascii="仿宋" w:hAnsi="仿宋" w:eastAsia="仿宋"/>
          <w:bCs/>
          <w:color w:val="000000"/>
          <w:sz w:val="32"/>
          <w:szCs w:val="32"/>
        </w:rPr>
        <w:t>教育（类）（款）（项）</w:t>
      </w:r>
      <w:r>
        <w:rPr>
          <w:rStyle w:val="14"/>
          <w:rFonts w:ascii="仿宋" w:hAnsi="仿宋" w:eastAsia="仿宋"/>
          <w:bCs/>
          <w:color w:val="000000"/>
          <w:sz w:val="32"/>
          <w:szCs w:val="32"/>
        </w:rPr>
        <w:t>:</w:t>
      </w:r>
      <w:r>
        <w:rPr>
          <w:rStyle w:val="14"/>
          <w:rFonts w:hint="eastAsia" w:ascii="仿宋" w:hAnsi="仿宋" w:eastAsia="仿宋"/>
          <w:b w:val="0"/>
          <w:bCs/>
          <w:color w:val="000000"/>
          <w:sz w:val="32"/>
          <w:szCs w:val="32"/>
        </w:rPr>
        <w:t>支出决算为</w:t>
      </w:r>
      <w:r>
        <w:rPr>
          <w:rStyle w:val="14"/>
          <w:rFonts w:hint="eastAsia" w:ascii="仿宋" w:hAnsi="仿宋" w:eastAsia="仿宋"/>
          <w:b w:val="0"/>
          <w:bCs/>
          <w:color w:val="000000"/>
          <w:sz w:val="32"/>
          <w:szCs w:val="32"/>
          <w:lang w:val="en-US" w:eastAsia="zh-CN"/>
        </w:rPr>
        <w:t>0</w:t>
      </w:r>
      <w:r>
        <w:rPr>
          <w:rStyle w:val="14"/>
          <w:rFonts w:hint="eastAsia" w:ascii="仿宋" w:hAnsi="仿宋" w:eastAsia="仿宋"/>
          <w:b w:val="0"/>
          <w:bCs/>
          <w:color w:val="000000"/>
          <w:sz w:val="32"/>
          <w:szCs w:val="32"/>
        </w:rPr>
        <w:t>万元。</w:t>
      </w:r>
    </w:p>
    <w:p>
      <w:pPr>
        <w:spacing w:line="600" w:lineRule="exact"/>
        <w:ind w:firstLine="643" w:firstLineChars="200"/>
        <w:rPr>
          <w:rFonts w:ascii="仿宋" w:hAnsi="仿宋" w:eastAsia="仿宋"/>
          <w:b/>
          <w:color w:val="000000"/>
          <w:sz w:val="32"/>
          <w:szCs w:val="32"/>
        </w:rPr>
      </w:pPr>
      <w:r>
        <w:rPr>
          <w:rStyle w:val="14"/>
          <w:rFonts w:ascii="仿宋" w:hAnsi="仿宋" w:eastAsia="仿宋"/>
          <w:bCs/>
          <w:color w:val="000000"/>
          <w:sz w:val="32"/>
          <w:szCs w:val="32"/>
        </w:rPr>
        <w:t>3.</w:t>
      </w:r>
      <w:r>
        <w:rPr>
          <w:rStyle w:val="14"/>
          <w:rFonts w:hint="eastAsia" w:ascii="仿宋" w:hAnsi="仿宋" w:eastAsia="仿宋"/>
          <w:bCs/>
          <w:color w:val="000000"/>
          <w:sz w:val="32"/>
          <w:szCs w:val="32"/>
        </w:rPr>
        <w:t>科学技术（类）（款）（项）</w:t>
      </w:r>
      <w:r>
        <w:rPr>
          <w:rStyle w:val="14"/>
          <w:rFonts w:ascii="仿宋" w:hAnsi="仿宋" w:eastAsia="仿宋"/>
          <w:bCs/>
          <w:color w:val="000000"/>
          <w:sz w:val="32"/>
          <w:szCs w:val="32"/>
        </w:rPr>
        <w:t>:</w:t>
      </w:r>
      <w:r>
        <w:rPr>
          <w:rStyle w:val="14"/>
          <w:rFonts w:hint="eastAsia" w:ascii="仿宋" w:hAnsi="仿宋" w:eastAsia="仿宋"/>
          <w:b w:val="0"/>
          <w:bCs/>
          <w:color w:val="000000"/>
          <w:sz w:val="32"/>
          <w:szCs w:val="32"/>
        </w:rPr>
        <w:t>支出决算为</w:t>
      </w:r>
      <w:r>
        <w:rPr>
          <w:rStyle w:val="14"/>
          <w:rFonts w:hint="eastAsia" w:ascii="仿宋" w:hAnsi="仿宋" w:eastAsia="仿宋"/>
          <w:b w:val="0"/>
          <w:bCs/>
          <w:color w:val="000000"/>
          <w:sz w:val="32"/>
          <w:szCs w:val="32"/>
          <w:lang w:val="en-US" w:eastAsia="zh-CN"/>
        </w:rPr>
        <w:t>0</w:t>
      </w:r>
      <w:r>
        <w:rPr>
          <w:rStyle w:val="14"/>
          <w:rFonts w:hint="eastAsia" w:ascii="仿宋" w:hAnsi="仿宋" w:eastAsia="仿宋"/>
          <w:b w:val="0"/>
          <w:bCs/>
          <w:color w:val="000000"/>
          <w:sz w:val="32"/>
          <w:szCs w:val="32"/>
        </w:rPr>
        <w:t>万元。</w:t>
      </w:r>
    </w:p>
    <w:p>
      <w:pPr>
        <w:spacing w:line="600" w:lineRule="exact"/>
        <w:ind w:firstLine="643" w:firstLineChars="200"/>
        <w:rPr>
          <w:rFonts w:ascii="仿宋" w:hAnsi="仿宋" w:eastAsia="仿宋"/>
          <w:b/>
          <w:color w:val="000000"/>
          <w:sz w:val="32"/>
          <w:szCs w:val="32"/>
        </w:rPr>
      </w:pPr>
      <w:r>
        <w:rPr>
          <w:rStyle w:val="14"/>
          <w:rFonts w:ascii="仿宋" w:hAnsi="仿宋" w:eastAsia="仿宋"/>
          <w:bCs/>
          <w:color w:val="000000"/>
          <w:sz w:val="32"/>
          <w:szCs w:val="32"/>
        </w:rPr>
        <w:t>4.</w:t>
      </w:r>
      <w:r>
        <w:rPr>
          <w:rStyle w:val="14"/>
          <w:rFonts w:hint="eastAsia" w:ascii="仿宋" w:hAnsi="仿宋" w:eastAsia="仿宋"/>
          <w:bCs/>
          <w:color w:val="000000"/>
          <w:sz w:val="32"/>
          <w:szCs w:val="32"/>
        </w:rPr>
        <w:t>文化体育与传媒（类）（款）（项）</w:t>
      </w:r>
      <w:r>
        <w:rPr>
          <w:rStyle w:val="14"/>
          <w:rFonts w:ascii="仿宋" w:hAnsi="仿宋" w:eastAsia="仿宋"/>
          <w:bCs/>
          <w:color w:val="000000"/>
          <w:sz w:val="32"/>
          <w:szCs w:val="32"/>
        </w:rPr>
        <w:t>:</w:t>
      </w:r>
      <w:r>
        <w:rPr>
          <w:rStyle w:val="14"/>
          <w:rFonts w:hint="eastAsia" w:ascii="仿宋" w:hAnsi="仿宋" w:eastAsia="仿宋"/>
          <w:b w:val="0"/>
          <w:bCs/>
          <w:color w:val="000000"/>
          <w:sz w:val="32"/>
          <w:szCs w:val="32"/>
        </w:rPr>
        <w:t>支出决算为</w:t>
      </w:r>
      <w:r>
        <w:rPr>
          <w:rStyle w:val="14"/>
          <w:rFonts w:hint="eastAsia" w:ascii="仿宋" w:hAnsi="仿宋" w:eastAsia="仿宋"/>
          <w:b w:val="0"/>
          <w:bCs/>
          <w:color w:val="000000"/>
          <w:sz w:val="32"/>
          <w:szCs w:val="32"/>
          <w:lang w:val="en-US" w:eastAsia="zh-CN"/>
        </w:rPr>
        <w:t>0</w:t>
      </w:r>
      <w:r>
        <w:rPr>
          <w:rStyle w:val="14"/>
          <w:rFonts w:hint="eastAsia" w:ascii="仿宋" w:hAnsi="仿宋" w:eastAsia="仿宋"/>
          <w:b w:val="0"/>
          <w:bCs/>
          <w:color w:val="000000"/>
          <w:sz w:val="32"/>
          <w:szCs w:val="32"/>
        </w:rPr>
        <w:t>万元。</w:t>
      </w:r>
    </w:p>
    <w:p>
      <w:pPr>
        <w:spacing w:line="600" w:lineRule="exact"/>
        <w:ind w:firstLine="643" w:firstLineChars="200"/>
        <w:rPr>
          <w:rFonts w:ascii="仿宋" w:hAnsi="仿宋" w:eastAsia="仿宋"/>
          <w:b/>
          <w:color w:val="000000"/>
          <w:sz w:val="32"/>
          <w:szCs w:val="32"/>
        </w:rPr>
      </w:pPr>
      <w:r>
        <w:rPr>
          <w:rStyle w:val="14"/>
          <w:rFonts w:ascii="仿宋" w:hAnsi="仿宋" w:eastAsia="仿宋"/>
          <w:bCs/>
          <w:color w:val="000000"/>
          <w:sz w:val="32"/>
          <w:szCs w:val="32"/>
        </w:rPr>
        <w:t>5.</w:t>
      </w:r>
      <w:r>
        <w:rPr>
          <w:rStyle w:val="14"/>
          <w:rFonts w:hint="eastAsia" w:ascii="仿宋" w:hAnsi="仿宋" w:eastAsia="仿宋"/>
          <w:bCs/>
          <w:color w:val="000000"/>
          <w:sz w:val="32"/>
          <w:szCs w:val="32"/>
        </w:rPr>
        <w:t>社会保障和就业（类）</w:t>
      </w:r>
      <w:r>
        <w:rPr>
          <w:rStyle w:val="14"/>
          <w:rFonts w:hint="eastAsia" w:ascii="仿宋" w:hAnsi="仿宋" w:eastAsia="仿宋"/>
          <w:bCs/>
          <w:color w:val="000000"/>
          <w:sz w:val="32"/>
          <w:szCs w:val="32"/>
          <w:lang w:val="en-US" w:eastAsia="zh-CN"/>
        </w:rPr>
        <w:t>208</w:t>
      </w:r>
      <w:r>
        <w:rPr>
          <w:rStyle w:val="14"/>
          <w:rFonts w:hint="eastAsia" w:ascii="仿宋" w:hAnsi="仿宋" w:eastAsia="仿宋"/>
          <w:bCs/>
          <w:color w:val="000000"/>
          <w:sz w:val="32"/>
          <w:szCs w:val="32"/>
        </w:rPr>
        <w:t>（款）</w:t>
      </w:r>
      <w:r>
        <w:rPr>
          <w:rStyle w:val="14"/>
          <w:rFonts w:hint="eastAsia" w:ascii="仿宋_GB2312" w:eastAsia="仿宋_GB2312"/>
          <w:color w:val="000000"/>
          <w:sz w:val="32"/>
          <w:szCs w:val="32"/>
          <w:lang w:val="en-US" w:eastAsia="zh-CN"/>
        </w:rPr>
        <w:t>20805</w:t>
      </w:r>
      <w:r>
        <w:rPr>
          <w:rStyle w:val="14"/>
          <w:rFonts w:hint="eastAsia" w:ascii="仿宋" w:hAnsi="仿宋" w:eastAsia="仿宋"/>
          <w:bCs/>
          <w:color w:val="000000"/>
          <w:sz w:val="32"/>
          <w:szCs w:val="32"/>
        </w:rPr>
        <w:t>（项）</w:t>
      </w:r>
      <w:r>
        <w:rPr>
          <w:rStyle w:val="14"/>
          <w:rFonts w:ascii="仿宋" w:hAnsi="仿宋" w:eastAsia="仿宋"/>
          <w:bCs/>
          <w:color w:val="000000"/>
          <w:sz w:val="32"/>
          <w:szCs w:val="32"/>
        </w:rPr>
        <w:t>:</w:t>
      </w:r>
      <w:r>
        <w:rPr>
          <w:rStyle w:val="14"/>
          <w:rFonts w:hint="eastAsia" w:ascii="仿宋" w:hAnsi="仿宋" w:eastAsia="仿宋"/>
          <w:b w:val="0"/>
          <w:bCs/>
          <w:color w:val="000000"/>
          <w:sz w:val="32"/>
          <w:szCs w:val="32"/>
        </w:rPr>
        <w:t>支出决算为</w:t>
      </w:r>
      <w:r>
        <w:rPr>
          <w:rFonts w:hint="eastAsia" w:ascii="仿宋" w:hAnsi="仿宋" w:eastAsia="仿宋"/>
          <w:color w:val="000000"/>
          <w:sz w:val="32"/>
          <w:szCs w:val="32"/>
        </w:rPr>
        <w:t>77.03</w:t>
      </w:r>
      <w:r>
        <w:rPr>
          <w:rStyle w:val="14"/>
          <w:rFonts w:hint="eastAsia" w:ascii="仿宋" w:hAnsi="仿宋" w:eastAsia="仿宋"/>
          <w:b w:val="0"/>
          <w:bCs/>
          <w:color w:val="000000"/>
          <w:sz w:val="32"/>
          <w:szCs w:val="32"/>
        </w:rPr>
        <w:t>万元，完成预算</w:t>
      </w:r>
      <w:r>
        <w:rPr>
          <w:rStyle w:val="14"/>
          <w:rFonts w:hint="eastAsia" w:ascii="仿宋" w:hAnsi="仿宋" w:eastAsia="仿宋"/>
          <w:b w:val="0"/>
          <w:bCs/>
          <w:color w:val="000000"/>
          <w:sz w:val="32"/>
          <w:szCs w:val="32"/>
          <w:lang w:val="en-US" w:eastAsia="zh-CN"/>
        </w:rPr>
        <w:t>100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，决算数</w:t>
      </w:r>
      <w:r>
        <w:rPr>
          <w:rStyle w:val="14"/>
          <w:rFonts w:hint="eastAsia" w:ascii="仿宋" w:hAnsi="仿宋" w:eastAsia="仿宋"/>
          <w:b w:val="0"/>
          <w:bCs/>
          <w:color w:val="000000"/>
          <w:sz w:val="32"/>
          <w:szCs w:val="32"/>
          <w:lang w:val="en-US" w:eastAsia="zh-CN"/>
        </w:rPr>
        <w:t>大于</w:t>
      </w:r>
      <w:r>
        <w:rPr>
          <w:rStyle w:val="14"/>
          <w:rFonts w:hint="eastAsia" w:ascii="仿宋" w:hAnsi="仿宋" w:eastAsia="仿宋"/>
          <w:b w:val="0"/>
          <w:bCs/>
          <w:color w:val="000000"/>
          <w:sz w:val="32"/>
          <w:szCs w:val="32"/>
        </w:rPr>
        <w:t>预算数的主要原因是</w:t>
      </w:r>
      <w:r>
        <w:rPr>
          <w:rStyle w:val="14"/>
          <w:rFonts w:hint="eastAsia" w:ascii="仿宋_GB2312" w:eastAsia="仿宋_GB2312"/>
          <w:b w:val="0"/>
          <w:color w:val="000000"/>
          <w:sz w:val="32"/>
          <w:szCs w:val="32"/>
          <w:lang w:eastAsia="zh-CN"/>
        </w:rPr>
        <w:t>工资上调、人员增加</w:t>
      </w:r>
      <w:r>
        <w:rPr>
          <w:rStyle w:val="14"/>
          <w:rFonts w:hint="eastAsia" w:ascii="仿宋" w:hAnsi="仿宋" w:eastAsia="仿宋"/>
          <w:b w:val="0"/>
          <w:bCs/>
          <w:color w:val="000000"/>
          <w:sz w:val="32"/>
          <w:szCs w:val="32"/>
        </w:rPr>
        <w:t>。</w:t>
      </w:r>
    </w:p>
    <w:p>
      <w:pPr>
        <w:spacing w:line="240" w:lineRule="auto"/>
        <w:ind w:firstLine="643" w:firstLineChars="200"/>
        <w:rPr>
          <w:rStyle w:val="14"/>
          <w:rFonts w:hint="eastAsia" w:ascii="仿宋" w:hAnsi="仿宋" w:eastAsia="仿宋"/>
          <w:b w:val="0"/>
          <w:bCs/>
          <w:color w:val="000000"/>
          <w:sz w:val="32"/>
          <w:szCs w:val="32"/>
        </w:rPr>
      </w:pPr>
      <w:r>
        <w:rPr>
          <w:rStyle w:val="14"/>
          <w:rFonts w:ascii="仿宋" w:hAnsi="仿宋" w:eastAsia="仿宋"/>
          <w:bCs/>
          <w:color w:val="000000"/>
          <w:sz w:val="32"/>
          <w:szCs w:val="32"/>
        </w:rPr>
        <w:t>6.</w:t>
      </w:r>
      <w:r>
        <w:rPr>
          <w:rStyle w:val="14"/>
          <w:rFonts w:hint="eastAsia" w:ascii="仿宋" w:hAnsi="仿宋" w:eastAsia="仿宋"/>
          <w:bCs/>
          <w:color w:val="000000"/>
          <w:sz w:val="32"/>
          <w:szCs w:val="32"/>
        </w:rPr>
        <w:t>医疗卫生与计划生育（类）</w:t>
      </w:r>
      <w:r>
        <w:rPr>
          <w:rStyle w:val="14"/>
          <w:rFonts w:hint="eastAsia" w:ascii="仿宋" w:hAnsi="仿宋" w:eastAsia="仿宋"/>
          <w:bCs/>
          <w:color w:val="000000"/>
          <w:sz w:val="32"/>
          <w:szCs w:val="32"/>
          <w:lang w:val="en-US" w:eastAsia="zh-CN"/>
        </w:rPr>
        <w:t>210</w:t>
      </w:r>
      <w:r>
        <w:rPr>
          <w:rStyle w:val="14"/>
          <w:rFonts w:hint="eastAsia" w:ascii="仿宋" w:hAnsi="仿宋" w:eastAsia="仿宋"/>
          <w:bCs/>
          <w:color w:val="000000"/>
          <w:sz w:val="32"/>
          <w:szCs w:val="32"/>
        </w:rPr>
        <w:t>（款）21011（项）</w:t>
      </w:r>
      <w:r>
        <w:rPr>
          <w:rStyle w:val="14"/>
          <w:rFonts w:ascii="仿宋" w:hAnsi="仿宋" w:eastAsia="仿宋"/>
          <w:bCs/>
          <w:color w:val="000000"/>
          <w:sz w:val="32"/>
          <w:szCs w:val="32"/>
        </w:rPr>
        <w:t>:</w:t>
      </w:r>
      <w:r>
        <w:rPr>
          <w:rStyle w:val="14"/>
          <w:rFonts w:hint="eastAsia" w:ascii="仿宋" w:hAnsi="仿宋" w:eastAsia="仿宋"/>
          <w:b w:val="0"/>
          <w:bCs/>
          <w:color w:val="000000"/>
          <w:sz w:val="32"/>
          <w:szCs w:val="32"/>
        </w:rPr>
        <w:t>支出决算为</w:t>
      </w:r>
      <w:r>
        <w:rPr>
          <w:rFonts w:hint="eastAsia" w:ascii="仿宋" w:hAnsi="仿宋" w:eastAsia="仿宋"/>
          <w:color w:val="000000"/>
          <w:sz w:val="32"/>
          <w:szCs w:val="32"/>
        </w:rPr>
        <w:t>16.36</w:t>
      </w:r>
      <w:r>
        <w:rPr>
          <w:rStyle w:val="14"/>
          <w:rFonts w:hint="eastAsia" w:ascii="仿宋" w:hAnsi="仿宋" w:eastAsia="仿宋"/>
          <w:b w:val="0"/>
          <w:bCs/>
          <w:color w:val="000000"/>
          <w:sz w:val="32"/>
          <w:szCs w:val="32"/>
        </w:rPr>
        <w:t>万元，完成预算</w:t>
      </w:r>
      <w:r>
        <w:rPr>
          <w:rStyle w:val="14"/>
          <w:rFonts w:hint="eastAsia" w:ascii="仿宋" w:hAnsi="仿宋" w:eastAsia="仿宋"/>
          <w:b w:val="0"/>
          <w:bCs/>
          <w:color w:val="000000"/>
          <w:sz w:val="32"/>
          <w:szCs w:val="32"/>
          <w:lang w:val="en-US" w:eastAsia="zh-CN"/>
        </w:rPr>
        <w:t>100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，决算数</w:t>
      </w:r>
      <w:r>
        <w:rPr>
          <w:rStyle w:val="14"/>
          <w:rFonts w:hint="eastAsia" w:ascii="仿宋" w:hAnsi="仿宋" w:eastAsia="仿宋"/>
          <w:b w:val="0"/>
          <w:bCs/>
          <w:color w:val="000000"/>
          <w:sz w:val="32"/>
          <w:szCs w:val="32"/>
          <w:lang w:val="en-US" w:eastAsia="zh-CN"/>
        </w:rPr>
        <w:t>大于</w:t>
      </w:r>
      <w:r>
        <w:rPr>
          <w:rStyle w:val="14"/>
          <w:rFonts w:hint="eastAsia" w:ascii="仿宋" w:hAnsi="仿宋" w:eastAsia="仿宋"/>
          <w:b w:val="0"/>
          <w:bCs/>
          <w:color w:val="000000"/>
          <w:sz w:val="32"/>
          <w:szCs w:val="32"/>
        </w:rPr>
        <w:t>预算数的主要原因是</w:t>
      </w:r>
      <w:r>
        <w:rPr>
          <w:rStyle w:val="14"/>
          <w:rFonts w:hint="eastAsia" w:ascii="仿宋_GB2312" w:eastAsia="仿宋_GB2312"/>
          <w:b w:val="0"/>
          <w:color w:val="000000"/>
          <w:sz w:val="32"/>
          <w:szCs w:val="32"/>
          <w:lang w:eastAsia="zh-CN"/>
        </w:rPr>
        <w:t>工资上调、人员增加</w:t>
      </w:r>
      <w:r>
        <w:rPr>
          <w:rStyle w:val="14"/>
          <w:rFonts w:hint="eastAsia" w:ascii="仿宋" w:hAnsi="仿宋" w:eastAsia="仿宋"/>
          <w:b w:val="0"/>
          <w:bCs/>
          <w:color w:val="000000"/>
          <w:sz w:val="32"/>
          <w:szCs w:val="32"/>
        </w:rPr>
        <w:t>。</w:t>
      </w:r>
    </w:p>
    <w:p>
      <w:pPr>
        <w:spacing w:line="240" w:lineRule="auto"/>
        <w:ind w:firstLine="643" w:firstLineChars="200"/>
        <w:rPr>
          <w:rStyle w:val="14"/>
          <w:rFonts w:hint="eastAsia" w:ascii="仿宋" w:hAnsi="仿宋" w:eastAsia="仿宋"/>
          <w:b w:val="0"/>
          <w:bCs/>
          <w:color w:val="000000"/>
          <w:sz w:val="32"/>
          <w:szCs w:val="32"/>
        </w:rPr>
      </w:pPr>
      <w:r>
        <w:rPr>
          <w:rStyle w:val="14"/>
          <w:rFonts w:hint="eastAsia" w:ascii="仿宋" w:hAnsi="仿宋" w:eastAsia="仿宋"/>
          <w:bCs/>
          <w:color w:val="000000"/>
          <w:sz w:val="32"/>
          <w:szCs w:val="32"/>
          <w:lang w:val="en-US" w:eastAsia="zh-CN"/>
        </w:rPr>
        <w:t>7.住房保障支出</w:t>
      </w:r>
      <w:r>
        <w:rPr>
          <w:rStyle w:val="14"/>
          <w:rFonts w:hint="eastAsia" w:ascii="仿宋" w:hAnsi="仿宋" w:eastAsia="仿宋"/>
          <w:bCs/>
          <w:color w:val="000000"/>
          <w:sz w:val="32"/>
          <w:szCs w:val="32"/>
        </w:rPr>
        <w:t>（类）</w:t>
      </w:r>
      <w:r>
        <w:rPr>
          <w:rStyle w:val="14"/>
          <w:rFonts w:hint="eastAsia" w:ascii="仿宋" w:hAnsi="仿宋" w:eastAsia="仿宋"/>
          <w:bCs/>
          <w:color w:val="000000"/>
          <w:sz w:val="32"/>
          <w:szCs w:val="32"/>
          <w:lang w:val="en-US" w:eastAsia="zh-CN"/>
        </w:rPr>
        <w:t>221</w:t>
      </w:r>
      <w:r>
        <w:rPr>
          <w:rStyle w:val="14"/>
          <w:rFonts w:hint="eastAsia" w:ascii="仿宋" w:hAnsi="仿宋" w:eastAsia="仿宋"/>
          <w:bCs/>
          <w:color w:val="000000"/>
          <w:sz w:val="32"/>
          <w:szCs w:val="32"/>
        </w:rPr>
        <w:t>（款）22102（项）</w:t>
      </w:r>
      <w:r>
        <w:rPr>
          <w:rStyle w:val="14"/>
          <w:rFonts w:hint="eastAsia" w:ascii="仿宋" w:hAnsi="仿宋" w:eastAsia="仿宋"/>
          <w:bCs/>
          <w:color w:val="000000"/>
          <w:sz w:val="32"/>
          <w:szCs w:val="32"/>
          <w:lang w:eastAsia="zh-CN"/>
        </w:rPr>
        <w:t>：</w:t>
      </w:r>
      <w:r>
        <w:rPr>
          <w:rStyle w:val="14"/>
          <w:rFonts w:hint="eastAsia" w:ascii="仿宋" w:hAnsi="仿宋" w:eastAsia="仿宋"/>
          <w:b w:val="0"/>
          <w:bCs/>
          <w:color w:val="000000"/>
          <w:sz w:val="32"/>
          <w:szCs w:val="32"/>
        </w:rPr>
        <w:t>支出决算为</w:t>
      </w:r>
      <w:r>
        <w:rPr>
          <w:rFonts w:hint="eastAsia" w:ascii="仿宋" w:hAnsi="仿宋" w:eastAsia="仿宋"/>
          <w:color w:val="000000"/>
          <w:sz w:val="32"/>
          <w:szCs w:val="32"/>
        </w:rPr>
        <w:t>48.35</w:t>
      </w:r>
      <w:r>
        <w:rPr>
          <w:rStyle w:val="14"/>
          <w:rFonts w:hint="eastAsia" w:ascii="仿宋" w:hAnsi="仿宋" w:eastAsia="仿宋"/>
          <w:b w:val="0"/>
          <w:bCs/>
          <w:color w:val="000000"/>
          <w:sz w:val="32"/>
          <w:szCs w:val="32"/>
        </w:rPr>
        <w:t>万元，完成预算</w:t>
      </w:r>
      <w:r>
        <w:rPr>
          <w:rStyle w:val="14"/>
          <w:rFonts w:hint="eastAsia" w:ascii="仿宋" w:hAnsi="仿宋" w:eastAsia="仿宋"/>
          <w:b w:val="0"/>
          <w:bCs/>
          <w:color w:val="000000"/>
          <w:sz w:val="32"/>
          <w:szCs w:val="32"/>
          <w:lang w:val="en-US" w:eastAsia="zh-CN"/>
        </w:rPr>
        <w:t>100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，决算数</w:t>
      </w:r>
      <w:r>
        <w:rPr>
          <w:rStyle w:val="14"/>
          <w:rFonts w:hint="eastAsia" w:ascii="仿宋" w:hAnsi="仿宋" w:eastAsia="仿宋"/>
          <w:b w:val="0"/>
          <w:bCs/>
          <w:color w:val="000000"/>
          <w:sz w:val="32"/>
          <w:szCs w:val="32"/>
          <w:lang w:val="en-US" w:eastAsia="zh-CN"/>
        </w:rPr>
        <w:t>大于</w:t>
      </w:r>
      <w:r>
        <w:rPr>
          <w:rStyle w:val="14"/>
          <w:rFonts w:hint="eastAsia" w:ascii="仿宋" w:hAnsi="仿宋" w:eastAsia="仿宋"/>
          <w:b w:val="0"/>
          <w:bCs/>
          <w:color w:val="000000"/>
          <w:sz w:val="32"/>
          <w:szCs w:val="32"/>
        </w:rPr>
        <w:t>预算数的主要原因是</w:t>
      </w:r>
      <w:r>
        <w:rPr>
          <w:rStyle w:val="14"/>
          <w:rFonts w:hint="eastAsia" w:ascii="仿宋_GB2312" w:eastAsia="仿宋_GB2312"/>
          <w:b w:val="0"/>
          <w:color w:val="000000"/>
          <w:sz w:val="32"/>
          <w:szCs w:val="32"/>
          <w:lang w:eastAsia="zh-CN"/>
        </w:rPr>
        <w:t>工资上调、人员增加</w:t>
      </w:r>
      <w:r>
        <w:rPr>
          <w:rStyle w:val="14"/>
          <w:rFonts w:hint="eastAsia" w:ascii="仿宋" w:hAnsi="仿宋" w:eastAsia="仿宋"/>
          <w:b w:val="0"/>
          <w:bCs/>
          <w:color w:val="000000"/>
          <w:sz w:val="32"/>
          <w:szCs w:val="32"/>
        </w:rPr>
        <w:t>。</w:t>
      </w:r>
    </w:p>
    <w:p>
      <w:pPr>
        <w:spacing w:line="240" w:lineRule="auto"/>
        <w:rPr>
          <w:rFonts w:hint="eastAsia" w:ascii="仿宋" w:hAnsi="仿宋" w:eastAsia="仿宋"/>
          <w:b/>
          <w:color w:val="000000"/>
          <w:sz w:val="32"/>
          <w:szCs w:val="32"/>
          <w:lang w:eastAsia="zh-CN"/>
        </w:rPr>
      </w:pPr>
      <w:r>
        <w:rPr>
          <w:rFonts w:hint="eastAsia" w:ascii="仿宋" w:hAnsi="仿宋" w:eastAsia="仿宋"/>
          <w:b/>
          <w:color w:val="000000"/>
          <w:sz w:val="32"/>
          <w:szCs w:val="32"/>
          <w:lang w:eastAsia="zh-CN"/>
        </w:rPr>
        <w:drawing>
          <wp:inline distT="0" distB="0" distL="114300" distR="114300">
            <wp:extent cx="5175885" cy="2755265"/>
            <wp:effectExtent l="0" t="0" r="5715" b="635"/>
            <wp:docPr id="7" name="图片 7" descr="一般公共预算财政拨款支出决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一般公共预算财政拨款支出决算"/>
                    <pic:cNvPicPr>
                      <a:picLocks noChangeAspect="1"/>
                    </pic:cNvPicPr>
                  </pic:nvPicPr>
                  <pic:blipFill>
                    <a:blip r:embed="rId11"/>
                    <a:stretch>
                      <a:fillRect/>
                    </a:stretch>
                  </pic:blipFill>
                  <pic:spPr>
                    <a:xfrm>
                      <a:off x="0" y="0"/>
                      <a:ext cx="5175885" cy="2755265"/>
                    </a:xfrm>
                    <a:prstGeom prst="rect">
                      <a:avLst/>
                    </a:prstGeom>
                  </pic:spPr>
                </pic:pic>
              </a:graphicData>
            </a:graphic>
          </wp:inline>
        </w:drawing>
      </w:r>
    </w:p>
    <w:p>
      <w:pPr>
        <w:tabs>
          <w:tab w:val="right" w:pos="8306"/>
        </w:tabs>
        <w:spacing w:line="600" w:lineRule="exact"/>
        <w:ind w:firstLine="640"/>
        <w:outlineLvl w:val="1"/>
        <w:rPr>
          <w:rStyle w:val="26"/>
        </w:rPr>
      </w:pPr>
      <w:bookmarkStart w:id="40" w:name="_Toc15377214"/>
      <w:bookmarkStart w:id="41" w:name="_Toc15396608"/>
      <w:r>
        <w:rPr>
          <w:rFonts w:hint="eastAsia" w:ascii="黑体" w:eastAsia="黑体"/>
          <w:color w:val="000000"/>
          <w:sz w:val="32"/>
          <w:szCs w:val="32"/>
        </w:rPr>
        <w:t>六</w:t>
      </w:r>
      <w:r>
        <w:rPr>
          <w:rFonts w:hint="eastAsia" w:ascii="黑体" w:eastAsia="黑体"/>
          <w:b/>
          <w:color w:val="000000"/>
          <w:sz w:val="32"/>
          <w:szCs w:val="32"/>
        </w:rPr>
        <w:t>、</w:t>
      </w:r>
      <w:r>
        <w:rPr>
          <w:rFonts w:hint="eastAsia" w:ascii="黑体" w:hAnsi="黑体" w:eastAsia="黑体"/>
          <w:b/>
          <w:color w:val="000000"/>
          <w:sz w:val="32"/>
          <w:szCs w:val="32"/>
        </w:rPr>
        <w:t>一</w:t>
      </w:r>
      <w:r>
        <w:rPr>
          <w:rStyle w:val="26"/>
          <w:rFonts w:hint="eastAsia" w:ascii="黑体" w:hAnsi="黑体" w:eastAsia="黑体"/>
          <w:b w:val="0"/>
        </w:rPr>
        <w:t>般公共预算财政拨款基本支出决算情况说明</w:t>
      </w:r>
      <w:bookmarkEnd w:id="40"/>
      <w:bookmarkEnd w:id="41"/>
      <w:r>
        <w:rPr>
          <w:rStyle w:val="26"/>
          <w:rFonts w:ascii="黑体" w:hAnsi="黑体" w:eastAsia="黑体"/>
          <w:b w:val="0"/>
        </w:rPr>
        <w:tab/>
      </w:r>
    </w:p>
    <w:p>
      <w:pPr>
        <w:spacing w:line="600" w:lineRule="exact"/>
        <w:ind w:firstLine="645"/>
        <w:rPr>
          <w:rFonts w:ascii="仿宋" w:hAnsi="仿宋"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rPr>
        <w:t>9年一般公共预算财政拨款基本支出</w:t>
      </w:r>
      <w:r>
        <w:rPr>
          <w:rFonts w:ascii="仿宋" w:hAnsi="仿宋" w:eastAsia="仿宋"/>
          <w:color w:val="000000"/>
          <w:sz w:val="32"/>
          <w:szCs w:val="32"/>
        </w:rPr>
        <w:t>**</w:t>
      </w:r>
      <w:r>
        <w:rPr>
          <w:rFonts w:hint="eastAsia" w:ascii="仿宋" w:hAnsi="仿宋" w:eastAsia="仿宋"/>
          <w:color w:val="000000"/>
          <w:sz w:val="32"/>
          <w:szCs w:val="32"/>
        </w:rPr>
        <w:t>万元，其中：</w:t>
      </w:r>
    </w:p>
    <w:p>
      <w:pPr>
        <w:spacing w:line="600" w:lineRule="exact"/>
        <w:ind w:firstLine="645"/>
        <w:rPr>
          <w:rFonts w:ascii="仿宋" w:hAnsi="仿宋" w:eastAsia="仿宋"/>
          <w:color w:val="000000"/>
          <w:sz w:val="32"/>
          <w:szCs w:val="32"/>
        </w:rPr>
      </w:pPr>
      <w:r>
        <w:rPr>
          <w:rFonts w:hint="eastAsia" w:ascii="仿宋" w:hAnsi="仿宋" w:eastAsia="仿宋"/>
          <w:color w:val="000000"/>
          <w:sz w:val="32"/>
          <w:szCs w:val="32"/>
        </w:rPr>
        <w:t>人员经费580.32万元，主要包括：基本工资、津贴补贴、奖金、伙食补助费、绩效工资、机关事业单位基本养老保险缴费、职业年金缴费、其他社会保障缴费、其他工资福利支出、离休费、退休费、抚恤金、生活补助、医疗费补助、奖励金、住房公积金、其他对个人和家庭的补助支出等。</w:t>
      </w:r>
      <w:r>
        <w:rPr>
          <w:rFonts w:ascii="仿宋" w:hAnsi="仿宋" w:eastAsia="仿宋"/>
          <w:color w:val="000000"/>
          <w:sz w:val="32"/>
          <w:szCs w:val="32"/>
        </w:rPr>
        <w:br w:type="textWrapping"/>
      </w:r>
      <w:r>
        <w:rPr>
          <w:rFonts w:hint="eastAsia" w:ascii="仿宋" w:hAnsi="仿宋" w:eastAsia="仿宋"/>
          <w:color w:val="000000"/>
          <w:sz w:val="32"/>
          <w:szCs w:val="32"/>
        </w:rPr>
        <w:t>　　日常公用经费93.3万元，主要包括：办公费、印刷费、咨询费、手续费、水费、电费、邮电费、取暖费、物业管理费、差旅费、因公出国（境）费用、维修（护）费、租赁费、会议费、培训费、公务接待费、劳务费、委托业务费、工会经费、福利费、公务用车运行维护费、其他交通费、税金及附加费用、其他商品和服务支出、办公设备购置、专用设备购置、信息网络及软件购置更新、其他资本性支出等。</w:t>
      </w:r>
    </w:p>
    <w:p>
      <w:pPr>
        <w:spacing w:line="600" w:lineRule="exact"/>
        <w:ind w:firstLine="640"/>
        <w:outlineLvl w:val="1"/>
        <w:rPr>
          <w:rStyle w:val="26"/>
          <w:rFonts w:ascii="黑体" w:hAnsi="黑体" w:eastAsia="黑体"/>
          <w:b w:val="0"/>
        </w:rPr>
      </w:pPr>
      <w:bookmarkStart w:id="42" w:name="_Toc15377215"/>
      <w:bookmarkStart w:id="43" w:name="_Toc15396609"/>
      <w:r>
        <w:rPr>
          <w:rFonts w:hint="eastAsia" w:ascii="黑体" w:eastAsia="黑体"/>
          <w:color w:val="000000"/>
          <w:sz w:val="32"/>
          <w:szCs w:val="32"/>
        </w:rPr>
        <w:t>七、</w:t>
      </w:r>
      <w:r>
        <w:rPr>
          <w:rStyle w:val="26"/>
          <w:rFonts w:hint="eastAsia" w:ascii="黑体" w:hAnsi="黑体" w:eastAsia="黑体"/>
        </w:rPr>
        <w:t>“</w:t>
      </w:r>
      <w:r>
        <w:rPr>
          <w:rStyle w:val="26"/>
          <w:rFonts w:hint="eastAsia" w:ascii="黑体" w:hAnsi="黑体" w:eastAsia="黑体"/>
          <w:b w:val="0"/>
        </w:rPr>
        <w:t>三公”经费财政拨款支出决算情况说明</w:t>
      </w:r>
      <w:bookmarkEnd w:id="42"/>
      <w:bookmarkEnd w:id="43"/>
    </w:p>
    <w:p>
      <w:pPr>
        <w:spacing w:line="600" w:lineRule="exact"/>
        <w:ind w:firstLine="640"/>
        <w:outlineLvl w:val="2"/>
        <w:rPr>
          <w:rFonts w:ascii="仿宋" w:hAnsi="仿宋" w:eastAsia="仿宋"/>
          <w:b/>
          <w:color w:val="000000"/>
          <w:sz w:val="32"/>
          <w:szCs w:val="32"/>
        </w:rPr>
      </w:pPr>
      <w:bookmarkStart w:id="44" w:name="_Toc15377216"/>
      <w:r>
        <w:rPr>
          <w:rFonts w:hint="eastAsia" w:ascii="仿宋" w:hAnsi="仿宋" w:eastAsia="仿宋"/>
          <w:b/>
          <w:color w:val="000000"/>
          <w:sz w:val="32"/>
          <w:szCs w:val="32"/>
        </w:rPr>
        <w:t>（一）“三公”经费财政拨款支出决算总体情况说明</w:t>
      </w:r>
      <w:bookmarkEnd w:id="44"/>
    </w:p>
    <w:p>
      <w:pPr>
        <w:spacing w:line="600" w:lineRule="exact"/>
        <w:ind w:firstLine="640"/>
        <w:rPr>
          <w:rFonts w:ascii="仿宋" w:hAnsi="仿宋"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rPr>
        <w:t>9年“三公”经费财政拨款支出决算为15.41万元，完成预算</w:t>
      </w:r>
      <w:r>
        <w:rPr>
          <w:rFonts w:hint="eastAsia" w:ascii="仿宋" w:hAnsi="仿宋" w:eastAsia="仿宋"/>
          <w:color w:val="000000"/>
          <w:sz w:val="32"/>
          <w:szCs w:val="32"/>
          <w:lang w:val="en-US" w:eastAsia="zh-CN"/>
        </w:rPr>
        <w:t>100</w:t>
      </w:r>
      <w:r>
        <w:rPr>
          <w:rFonts w:ascii="仿宋" w:hAnsi="仿宋" w:eastAsia="仿宋"/>
          <w:color w:val="000000"/>
          <w:sz w:val="32"/>
          <w:szCs w:val="32"/>
        </w:rPr>
        <w:t>%</w:t>
      </w:r>
      <w:r>
        <w:rPr>
          <w:rFonts w:hint="eastAsia" w:ascii="仿宋" w:hAnsi="仿宋" w:eastAsia="仿宋"/>
          <w:color w:val="000000"/>
          <w:sz w:val="32"/>
          <w:szCs w:val="32"/>
        </w:rPr>
        <w:t>，决算数小于预算数（或与预算数持平）的主要原因是</w:t>
      </w:r>
      <w:r>
        <w:rPr>
          <w:rFonts w:hint="eastAsia" w:ascii="仿宋" w:hAnsi="仿宋" w:eastAsia="仿宋"/>
          <w:color w:val="000000"/>
          <w:sz w:val="32"/>
          <w:szCs w:val="32"/>
          <w:lang w:val="en-US" w:eastAsia="zh-CN"/>
        </w:rPr>
        <w:t>日常</w:t>
      </w:r>
      <w:r>
        <w:rPr>
          <w:rFonts w:hint="eastAsia" w:ascii="仿宋_GB2312" w:eastAsia="仿宋_GB2312"/>
          <w:color w:val="000000"/>
          <w:sz w:val="32"/>
          <w:szCs w:val="32"/>
          <w:lang w:eastAsia="zh-CN"/>
        </w:rPr>
        <w:t>监督</w:t>
      </w:r>
      <w:r>
        <w:rPr>
          <w:rFonts w:hint="eastAsia" w:ascii="仿宋_GB2312" w:eastAsia="仿宋_GB2312"/>
          <w:color w:val="000000"/>
          <w:sz w:val="32"/>
          <w:szCs w:val="32"/>
          <w:lang w:val="en-US" w:eastAsia="zh-CN"/>
        </w:rPr>
        <w:t>工作的需要；</w:t>
      </w:r>
      <w:r>
        <w:rPr>
          <w:rFonts w:hint="eastAsia" w:ascii="仿宋_GB2312" w:eastAsia="仿宋_GB2312"/>
          <w:color w:val="000000"/>
          <w:sz w:val="32"/>
          <w:szCs w:val="32"/>
          <w:lang w:eastAsia="zh-CN"/>
        </w:rPr>
        <w:t>本单位</w:t>
      </w:r>
      <w:r>
        <w:rPr>
          <w:rFonts w:hint="eastAsia" w:ascii="仿宋_GB2312" w:eastAsia="仿宋_GB2312"/>
          <w:color w:val="000000"/>
          <w:sz w:val="32"/>
          <w:szCs w:val="32"/>
          <w:lang w:val="en-US" w:eastAsia="zh-CN"/>
        </w:rPr>
        <w:t>严格遵守八项规定，厉行节俭</w:t>
      </w:r>
      <w:r>
        <w:rPr>
          <w:rFonts w:hint="eastAsia" w:ascii="仿宋_GB2312" w:eastAsia="仿宋_GB2312"/>
          <w:color w:val="000000"/>
          <w:sz w:val="32"/>
          <w:szCs w:val="32"/>
        </w:rPr>
        <w:t>。</w:t>
      </w:r>
    </w:p>
    <w:p>
      <w:pPr>
        <w:spacing w:line="600" w:lineRule="exact"/>
        <w:ind w:firstLine="640"/>
        <w:outlineLvl w:val="2"/>
        <w:rPr>
          <w:rFonts w:ascii="仿宋" w:hAnsi="仿宋" w:eastAsia="仿宋"/>
          <w:b/>
          <w:color w:val="000000"/>
          <w:sz w:val="32"/>
          <w:szCs w:val="32"/>
        </w:rPr>
      </w:pPr>
      <w:bookmarkStart w:id="45" w:name="_Toc15377217"/>
      <w:r>
        <w:rPr>
          <w:rFonts w:hint="eastAsia" w:ascii="仿宋" w:hAnsi="仿宋" w:eastAsia="仿宋"/>
          <w:b/>
          <w:color w:val="000000"/>
          <w:sz w:val="32"/>
          <w:szCs w:val="32"/>
        </w:rPr>
        <w:t>（二）“三公”经费财政拨款支出决算具体情况说明</w:t>
      </w:r>
      <w:bookmarkEnd w:id="45"/>
    </w:p>
    <w:p>
      <w:pPr>
        <w:spacing w:line="600" w:lineRule="exact"/>
        <w:ind w:firstLine="640"/>
        <w:rPr>
          <w:rFonts w:ascii="仿宋" w:hAnsi="仿宋"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rPr>
        <w:t>9年“三公”经费财政拨款支出决算中，因公出国（境）费支出决算</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万元；公务用车购置及运行维护费支出决算15.41万元，占</w:t>
      </w:r>
      <w:r>
        <w:rPr>
          <w:rFonts w:hint="eastAsia" w:ascii="仿宋" w:hAnsi="仿宋" w:eastAsia="仿宋"/>
          <w:color w:val="000000"/>
          <w:sz w:val="32"/>
          <w:szCs w:val="32"/>
          <w:lang w:val="en-US" w:eastAsia="zh-CN"/>
        </w:rPr>
        <w:t>100</w:t>
      </w:r>
      <w:r>
        <w:rPr>
          <w:rFonts w:ascii="仿宋" w:hAnsi="仿宋" w:eastAsia="仿宋"/>
          <w:color w:val="000000"/>
          <w:sz w:val="32"/>
          <w:szCs w:val="32"/>
        </w:rPr>
        <w:t>%</w:t>
      </w:r>
      <w:r>
        <w:rPr>
          <w:rFonts w:hint="eastAsia" w:ascii="仿宋" w:hAnsi="仿宋" w:eastAsia="仿宋"/>
          <w:color w:val="000000"/>
          <w:sz w:val="32"/>
          <w:szCs w:val="32"/>
        </w:rPr>
        <w:t>；公务接待费支出决算</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万元。具体情况如下：</w:t>
      </w:r>
    </w:p>
    <w:p>
      <w:pPr>
        <w:spacing w:line="240" w:lineRule="auto"/>
        <w:rPr>
          <w:rFonts w:hint="eastAsia" w:ascii="仿宋" w:hAnsi="仿宋" w:eastAsia="仿宋"/>
          <w:color w:val="000000"/>
          <w:sz w:val="32"/>
          <w:szCs w:val="32"/>
          <w:lang w:eastAsia="zh-CN"/>
        </w:rPr>
      </w:pPr>
      <w:r>
        <w:rPr>
          <w:rFonts w:hint="eastAsia" w:ascii="仿宋" w:hAnsi="仿宋" w:eastAsia="仿宋"/>
          <w:color w:val="000000"/>
          <w:sz w:val="32"/>
          <w:szCs w:val="32"/>
          <w:lang w:eastAsia="zh-CN"/>
        </w:rPr>
        <w:drawing>
          <wp:inline distT="0" distB="0" distL="114300" distR="114300">
            <wp:extent cx="5423535" cy="2755265"/>
            <wp:effectExtent l="0" t="0" r="12065" b="635"/>
            <wp:docPr id="9" name="图片 9" descr="2019年度“三公”经费财政拨款支出结构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2019年度“三公”经费财政拨款支出结构图"/>
                    <pic:cNvPicPr>
                      <a:picLocks noChangeAspect="1"/>
                    </pic:cNvPicPr>
                  </pic:nvPicPr>
                  <pic:blipFill>
                    <a:blip r:embed="rId12"/>
                    <a:stretch>
                      <a:fillRect/>
                    </a:stretch>
                  </pic:blipFill>
                  <pic:spPr>
                    <a:xfrm>
                      <a:off x="0" y="0"/>
                      <a:ext cx="5423535" cy="2755265"/>
                    </a:xfrm>
                    <a:prstGeom prst="rect">
                      <a:avLst/>
                    </a:prstGeom>
                  </pic:spPr>
                </pic:pic>
              </a:graphicData>
            </a:graphic>
          </wp:inline>
        </w:drawing>
      </w:r>
    </w:p>
    <w:p>
      <w:pPr>
        <w:spacing w:line="600" w:lineRule="exact"/>
        <w:ind w:firstLine="640"/>
        <w:rPr>
          <w:rFonts w:ascii="仿宋_GB2312" w:eastAsia="仿宋_GB2312"/>
          <w:color w:val="000000"/>
          <w:sz w:val="32"/>
          <w:szCs w:val="32"/>
        </w:rPr>
      </w:pPr>
      <w:r>
        <w:rPr>
          <w:rFonts w:ascii="仿宋_GB2312" w:eastAsia="仿宋_GB2312"/>
          <w:b/>
          <w:color w:val="000000"/>
          <w:sz w:val="32"/>
          <w:szCs w:val="32"/>
        </w:rPr>
        <w:t>1.</w:t>
      </w:r>
      <w:r>
        <w:rPr>
          <w:rFonts w:hint="eastAsia" w:ascii="仿宋_GB2312" w:eastAsia="仿宋_GB2312"/>
          <w:b/>
          <w:color w:val="000000"/>
          <w:sz w:val="32"/>
          <w:szCs w:val="32"/>
        </w:rPr>
        <w:t>因公出国（境）经费支出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w:t>
      </w:r>
      <w:r>
        <w:rPr>
          <w:rStyle w:val="14"/>
          <w:rFonts w:hint="eastAsia" w:ascii="仿宋" w:hAnsi="仿宋" w:eastAsia="仿宋"/>
          <w:b w:val="0"/>
          <w:bCs/>
          <w:color w:val="000000"/>
          <w:sz w:val="32"/>
          <w:szCs w:val="32"/>
        </w:rPr>
        <w:t>。</w:t>
      </w:r>
      <w:r>
        <w:rPr>
          <w:rFonts w:hint="eastAsia" w:ascii="仿宋_GB2312" w:eastAsia="仿宋_GB2312"/>
          <w:color w:val="000000"/>
          <w:sz w:val="32"/>
          <w:szCs w:val="32"/>
        </w:rPr>
        <w:t>全年安排因公出国（境）团组</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次，出国（境）</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人。</w:t>
      </w:r>
    </w:p>
    <w:p>
      <w:pPr>
        <w:spacing w:line="600" w:lineRule="exact"/>
        <w:ind w:firstLine="640"/>
        <w:rPr>
          <w:rFonts w:ascii="仿宋_GB2312" w:eastAsia="仿宋_GB2312"/>
          <w:b/>
          <w:color w:val="000000"/>
          <w:sz w:val="32"/>
          <w:szCs w:val="32"/>
        </w:rPr>
      </w:pPr>
      <w:r>
        <w:rPr>
          <w:rFonts w:ascii="仿宋_GB2312" w:eastAsia="仿宋_GB2312"/>
          <w:b/>
          <w:color w:val="000000"/>
          <w:sz w:val="32"/>
          <w:szCs w:val="32"/>
        </w:rPr>
        <w:t>2.</w:t>
      </w:r>
      <w:r>
        <w:rPr>
          <w:rFonts w:hint="eastAsia" w:ascii="仿宋_GB2312" w:eastAsia="仿宋_GB2312"/>
          <w:b/>
          <w:color w:val="000000"/>
          <w:sz w:val="32"/>
          <w:szCs w:val="32"/>
        </w:rPr>
        <w:t>公务用车购置及运行维护费支出</w:t>
      </w:r>
      <w:r>
        <w:rPr>
          <w:rFonts w:hint="eastAsia" w:ascii="仿宋" w:hAnsi="仿宋" w:eastAsia="仿宋"/>
          <w:color w:val="000000"/>
          <w:sz w:val="32"/>
          <w:szCs w:val="32"/>
        </w:rPr>
        <w:t>15.41</w:t>
      </w:r>
      <w:r>
        <w:rPr>
          <w:rFonts w:hint="eastAsia" w:ascii="仿宋_GB2312" w:eastAsia="仿宋_GB2312"/>
          <w:color w:val="000000"/>
          <w:sz w:val="32"/>
          <w:szCs w:val="32"/>
        </w:rPr>
        <w:t>万元,</w:t>
      </w:r>
      <w:r>
        <w:rPr>
          <w:rStyle w:val="14"/>
          <w:rFonts w:hint="eastAsia" w:ascii="仿宋" w:hAnsi="仿宋" w:eastAsia="仿宋"/>
          <w:b w:val="0"/>
          <w:bCs/>
          <w:color w:val="000000"/>
          <w:sz w:val="32"/>
          <w:szCs w:val="32"/>
        </w:rPr>
        <w:t>完成预算</w:t>
      </w:r>
      <w:r>
        <w:rPr>
          <w:rStyle w:val="14"/>
          <w:rFonts w:hint="eastAsia" w:ascii="仿宋" w:hAnsi="仿宋" w:eastAsia="仿宋"/>
          <w:b w:val="0"/>
          <w:bCs/>
          <w:color w:val="000000"/>
          <w:sz w:val="32"/>
          <w:szCs w:val="32"/>
          <w:lang w:val="en-US" w:eastAsia="zh-CN"/>
        </w:rPr>
        <w:t>100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w:t>
      </w:r>
      <w:r>
        <w:rPr>
          <w:rFonts w:hint="eastAsia" w:ascii="仿宋_GB2312" w:eastAsia="仿宋_GB2312"/>
          <w:color w:val="000000"/>
          <w:sz w:val="32"/>
          <w:szCs w:val="32"/>
        </w:rPr>
        <w:t>公务用车购置及运行维护费支出决算比</w:t>
      </w:r>
      <w:r>
        <w:rPr>
          <w:rFonts w:ascii="仿宋_GB2312" w:eastAsia="仿宋_GB2312"/>
          <w:color w:val="000000"/>
          <w:sz w:val="32"/>
          <w:szCs w:val="32"/>
        </w:rPr>
        <w:t>201</w:t>
      </w:r>
      <w:r>
        <w:rPr>
          <w:rFonts w:hint="eastAsia" w:ascii="仿宋_GB2312" w:eastAsia="仿宋_GB2312"/>
          <w:color w:val="000000"/>
          <w:sz w:val="32"/>
          <w:szCs w:val="32"/>
          <w:lang w:val="en-US" w:eastAsia="zh-CN"/>
        </w:rPr>
        <w:t>8</w:t>
      </w:r>
      <w:r>
        <w:rPr>
          <w:rFonts w:hint="eastAsia" w:ascii="仿宋_GB2312" w:eastAsia="仿宋_GB2312"/>
          <w:color w:val="000000"/>
          <w:sz w:val="32"/>
          <w:szCs w:val="32"/>
        </w:rPr>
        <w:t>年</w:t>
      </w:r>
      <w:r>
        <w:rPr>
          <w:rFonts w:hint="eastAsia" w:ascii="仿宋_GB2312" w:eastAsia="仿宋_GB2312"/>
          <w:color w:val="000000"/>
          <w:sz w:val="32"/>
          <w:szCs w:val="32"/>
          <w:lang w:val="en-US" w:eastAsia="zh-CN"/>
        </w:rPr>
        <w:t>增加3.07</w:t>
      </w:r>
      <w:r>
        <w:rPr>
          <w:rFonts w:hint="eastAsia" w:ascii="仿宋_GB2312" w:eastAsia="仿宋_GB2312"/>
          <w:color w:val="000000"/>
          <w:sz w:val="32"/>
          <w:szCs w:val="32"/>
        </w:rPr>
        <w:t>万元，</w:t>
      </w:r>
      <w:r>
        <w:rPr>
          <w:rFonts w:hint="eastAsia" w:ascii="仿宋_GB2312" w:eastAsia="仿宋_GB2312"/>
          <w:color w:val="000000"/>
          <w:sz w:val="32"/>
          <w:szCs w:val="32"/>
          <w:lang w:val="en-US" w:eastAsia="zh-CN"/>
        </w:rPr>
        <w:t>上升24.88</w:t>
      </w:r>
      <w:r>
        <w:rPr>
          <w:rFonts w:ascii="仿宋_GB2312" w:eastAsia="仿宋_GB2312"/>
          <w:color w:val="000000"/>
          <w:sz w:val="32"/>
          <w:szCs w:val="32"/>
        </w:rPr>
        <w:t>%</w:t>
      </w:r>
      <w:r>
        <w:rPr>
          <w:rFonts w:hint="eastAsia" w:ascii="仿宋_GB2312" w:eastAsia="仿宋_GB2312"/>
          <w:color w:val="000000"/>
          <w:sz w:val="32"/>
          <w:szCs w:val="32"/>
        </w:rPr>
        <w:t>。主要原因是</w:t>
      </w:r>
      <w:r>
        <w:rPr>
          <w:rFonts w:hint="eastAsia" w:ascii="仿宋_GB2312" w:eastAsia="仿宋_GB2312"/>
          <w:color w:val="000000"/>
          <w:sz w:val="32"/>
          <w:szCs w:val="32"/>
          <w:lang w:val="en-US" w:eastAsia="zh-CN"/>
        </w:rPr>
        <w:t>日常监督工作开展需要</w:t>
      </w:r>
      <w:r>
        <w:rPr>
          <w:rFonts w:hint="eastAsia" w:ascii="仿宋_GB2312" w:eastAsia="仿宋_GB2312"/>
          <w:color w:val="000000"/>
          <w:sz w:val="32"/>
          <w:szCs w:val="32"/>
        </w:rPr>
        <w:t>。</w:t>
      </w:r>
    </w:p>
    <w:p>
      <w:pPr>
        <w:spacing w:line="600" w:lineRule="exact"/>
        <w:ind w:firstLine="640" w:firstLineChars="200"/>
        <w:rPr>
          <w:rFonts w:ascii="仿宋_GB2312" w:eastAsia="仿宋_GB2312"/>
          <w:b/>
          <w:color w:val="000000"/>
          <w:sz w:val="32"/>
          <w:szCs w:val="32"/>
        </w:rPr>
      </w:pPr>
      <w:r>
        <w:rPr>
          <w:rFonts w:hint="eastAsia" w:ascii="仿宋_GB2312" w:eastAsia="仿宋_GB2312"/>
          <w:color w:val="000000"/>
          <w:sz w:val="32"/>
          <w:szCs w:val="32"/>
        </w:rPr>
        <w:t>其中：</w:t>
      </w:r>
      <w:r>
        <w:rPr>
          <w:rFonts w:hint="eastAsia" w:ascii="仿宋_GB2312" w:eastAsia="仿宋_GB2312"/>
          <w:b/>
          <w:color w:val="000000"/>
          <w:sz w:val="32"/>
          <w:szCs w:val="32"/>
        </w:rPr>
        <w:t>公务用车购置支出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万元。全年按规定更新购置公务用车</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辆，其中：轿车</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辆、金额</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万元，越野车</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辆、金额</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万元，载客汽车</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辆、金额</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万元。截至</w:t>
      </w:r>
      <w:r>
        <w:rPr>
          <w:rFonts w:ascii="仿宋_GB2312" w:eastAsia="仿宋_GB2312"/>
          <w:color w:val="000000"/>
          <w:sz w:val="32"/>
          <w:szCs w:val="32"/>
        </w:rPr>
        <w:t>201</w:t>
      </w:r>
      <w:r>
        <w:rPr>
          <w:rFonts w:hint="eastAsia" w:ascii="仿宋_GB2312" w:eastAsia="仿宋_GB2312"/>
          <w:color w:val="000000"/>
          <w:sz w:val="32"/>
          <w:szCs w:val="32"/>
          <w:lang w:val="en-US" w:eastAsia="zh-CN"/>
        </w:rPr>
        <w:t>9</w:t>
      </w:r>
      <w:r>
        <w:rPr>
          <w:rFonts w:hint="eastAsia" w:ascii="仿宋_GB2312" w:eastAsia="仿宋_GB2312"/>
          <w:color w:val="000000"/>
          <w:sz w:val="32"/>
          <w:szCs w:val="32"/>
        </w:rPr>
        <w:t>年</w:t>
      </w:r>
      <w:r>
        <w:rPr>
          <w:rFonts w:ascii="仿宋_GB2312" w:eastAsia="仿宋_GB2312"/>
          <w:color w:val="000000"/>
          <w:sz w:val="32"/>
          <w:szCs w:val="32"/>
        </w:rPr>
        <w:t>12</w:t>
      </w:r>
      <w:r>
        <w:rPr>
          <w:rFonts w:hint="eastAsia" w:ascii="仿宋_GB2312" w:eastAsia="仿宋_GB2312"/>
          <w:color w:val="000000"/>
          <w:sz w:val="32"/>
          <w:szCs w:val="32"/>
        </w:rPr>
        <w:t>月底，单位共有公务用车</w:t>
      </w:r>
      <w:r>
        <w:rPr>
          <w:rFonts w:hint="eastAsia" w:ascii="仿宋_GB2312" w:eastAsia="仿宋_GB2312"/>
          <w:color w:val="000000"/>
          <w:sz w:val="32"/>
          <w:szCs w:val="32"/>
          <w:lang w:val="en-US" w:eastAsia="zh-CN"/>
        </w:rPr>
        <w:t>3</w:t>
      </w:r>
      <w:r>
        <w:rPr>
          <w:rFonts w:hint="eastAsia" w:ascii="仿宋_GB2312" w:eastAsia="仿宋_GB2312"/>
          <w:color w:val="000000"/>
          <w:sz w:val="32"/>
          <w:szCs w:val="32"/>
        </w:rPr>
        <w:t>辆，其中：轿车</w:t>
      </w:r>
      <w:r>
        <w:rPr>
          <w:rFonts w:hint="eastAsia" w:ascii="仿宋_GB2312" w:eastAsia="仿宋_GB2312"/>
          <w:color w:val="000000"/>
          <w:sz w:val="32"/>
          <w:szCs w:val="32"/>
          <w:lang w:val="en-US" w:eastAsia="zh-CN"/>
        </w:rPr>
        <w:t>1</w:t>
      </w:r>
      <w:r>
        <w:rPr>
          <w:rFonts w:hint="eastAsia" w:ascii="仿宋_GB2312" w:eastAsia="仿宋_GB2312"/>
          <w:color w:val="000000"/>
          <w:sz w:val="32"/>
          <w:szCs w:val="32"/>
        </w:rPr>
        <w:t>辆、越野车</w:t>
      </w:r>
      <w:r>
        <w:rPr>
          <w:rFonts w:hint="eastAsia" w:ascii="仿宋_GB2312" w:eastAsia="仿宋_GB2312"/>
          <w:color w:val="000000"/>
          <w:sz w:val="32"/>
          <w:szCs w:val="32"/>
          <w:lang w:val="en-US" w:eastAsia="zh-CN"/>
        </w:rPr>
        <w:t>2</w:t>
      </w:r>
      <w:r>
        <w:rPr>
          <w:rFonts w:hint="eastAsia" w:ascii="仿宋_GB2312" w:eastAsia="仿宋_GB2312"/>
          <w:color w:val="000000"/>
          <w:sz w:val="32"/>
          <w:szCs w:val="32"/>
        </w:rPr>
        <w:t>辆、载客汽车</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w:t>
      </w:r>
    </w:p>
    <w:p>
      <w:pPr>
        <w:spacing w:line="600" w:lineRule="exact"/>
        <w:ind w:firstLine="640"/>
        <w:rPr>
          <w:rFonts w:hint="eastAsia" w:ascii="仿宋_GB2312" w:eastAsia="仿宋_GB2312"/>
          <w:color w:val="000000"/>
          <w:sz w:val="32"/>
          <w:szCs w:val="32"/>
        </w:rPr>
      </w:pPr>
      <w:r>
        <w:rPr>
          <w:rFonts w:hint="eastAsia" w:ascii="仿宋_GB2312" w:eastAsia="仿宋_GB2312"/>
          <w:b/>
          <w:color w:val="000000"/>
          <w:sz w:val="32"/>
          <w:szCs w:val="32"/>
        </w:rPr>
        <w:t>公务用车运行维护费支出</w:t>
      </w:r>
      <w:r>
        <w:rPr>
          <w:rFonts w:hint="eastAsia" w:ascii="仿宋" w:hAnsi="仿宋" w:eastAsia="仿宋"/>
          <w:color w:val="000000"/>
          <w:sz w:val="32"/>
          <w:szCs w:val="32"/>
        </w:rPr>
        <w:t>15.41</w:t>
      </w:r>
      <w:r>
        <w:rPr>
          <w:rFonts w:hint="eastAsia" w:ascii="仿宋_GB2312" w:eastAsia="仿宋_GB2312"/>
          <w:color w:val="000000"/>
          <w:sz w:val="32"/>
          <w:szCs w:val="32"/>
        </w:rPr>
        <w:t>万元。主要用于</w:t>
      </w:r>
      <w:r>
        <w:rPr>
          <w:rFonts w:hint="eastAsia" w:ascii="仿宋_GB2312" w:eastAsia="仿宋_GB2312"/>
          <w:color w:val="000000"/>
          <w:sz w:val="32"/>
          <w:szCs w:val="32"/>
          <w:lang w:eastAsia="zh-CN"/>
        </w:rPr>
        <w:t>：</w:t>
      </w:r>
      <w:r>
        <w:rPr>
          <w:rFonts w:hint="eastAsia" w:ascii="仿宋_GB2312" w:eastAsia="仿宋_GB2312"/>
          <w:color w:val="000000"/>
          <w:sz w:val="32"/>
          <w:szCs w:val="32"/>
          <w:lang w:val="en-US" w:eastAsia="zh-CN"/>
        </w:rPr>
        <w:t>1、</w:t>
      </w:r>
      <w:r>
        <w:rPr>
          <w:rFonts w:hint="eastAsia" w:ascii="仿宋_GB2312" w:eastAsia="仿宋_GB2312"/>
          <w:color w:val="000000"/>
          <w:sz w:val="32"/>
          <w:szCs w:val="32"/>
        </w:rPr>
        <w:t>全县党的纪律检查工作</w:t>
      </w:r>
      <w:r>
        <w:rPr>
          <w:rFonts w:hint="eastAsia" w:ascii="仿宋_GB2312" w:eastAsia="仿宋_GB2312"/>
          <w:color w:val="000000"/>
          <w:sz w:val="32"/>
          <w:szCs w:val="32"/>
          <w:lang w:eastAsia="zh-CN"/>
        </w:rPr>
        <w:t>；</w:t>
      </w:r>
      <w:r>
        <w:rPr>
          <w:rFonts w:hint="eastAsia" w:ascii="仿宋_GB2312" w:eastAsia="仿宋_GB2312"/>
          <w:color w:val="000000"/>
          <w:sz w:val="32"/>
          <w:szCs w:val="32"/>
          <w:lang w:val="en-US" w:eastAsia="zh-CN"/>
        </w:rPr>
        <w:t>2、</w:t>
      </w:r>
      <w:r>
        <w:rPr>
          <w:rFonts w:hint="eastAsia" w:ascii="仿宋_GB2312" w:eastAsia="仿宋_GB2312"/>
          <w:color w:val="000000"/>
          <w:sz w:val="32"/>
          <w:szCs w:val="32"/>
        </w:rPr>
        <w:t>全县行政监察工作等所需的公务用车燃料费、维修费、过路过桥费、保险费等支出。</w:t>
      </w:r>
    </w:p>
    <w:p>
      <w:pPr>
        <w:numPr>
          <w:ilvl w:val="0"/>
          <w:numId w:val="3"/>
        </w:numPr>
        <w:spacing w:line="600" w:lineRule="exact"/>
        <w:ind w:firstLine="640"/>
        <w:rPr>
          <w:rFonts w:hint="default" w:ascii="仿宋_GB2312" w:eastAsia="仿宋_GB2312"/>
          <w:color w:val="000000"/>
          <w:sz w:val="32"/>
          <w:szCs w:val="32"/>
          <w:lang w:val="en-US"/>
        </w:rPr>
      </w:pPr>
      <w:r>
        <w:rPr>
          <w:rFonts w:hint="eastAsia" w:ascii="仿宋_GB2312" w:eastAsia="仿宋_GB2312"/>
          <w:b/>
          <w:color w:val="000000"/>
          <w:sz w:val="32"/>
          <w:szCs w:val="32"/>
        </w:rPr>
        <w:t>公务接待费支出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w:t>
      </w:r>
      <w:r>
        <w:rPr>
          <w:rStyle w:val="14"/>
          <w:rFonts w:hint="eastAsia" w:ascii="仿宋" w:hAnsi="仿宋" w:eastAsia="仿宋"/>
          <w:b w:val="0"/>
          <w:bCs/>
          <w:color w:val="000000"/>
          <w:sz w:val="32"/>
          <w:szCs w:val="32"/>
        </w:rPr>
        <w:t>完成预算</w:t>
      </w:r>
      <w:r>
        <w:rPr>
          <w:rStyle w:val="14"/>
          <w:rFonts w:hint="eastAsia" w:ascii="仿宋" w:hAnsi="仿宋" w:eastAsia="仿宋"/>
          <w:b w:val="0"/>
          <w:bCs/>
          <w:color w:val="000000"/>
          <w:sz w:val="32"/>
          <w:szCs w:val="32"/>
          <w:lang w:val="en-US" w:eastAsia="zh-CN"/>
        </w:rPr>
        <w:t>100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w:t>
      </w:r>
      <w:r>
        <w:rPr>
          <w:rFonts w:hint="eastAsia" w:ascii="仿宋_GB2312" w:eastAsia="仿宋_GB2312"/>
          <w:color w:val="000000"/>
          <w:sz w:val="32"/>
          <w:szCs w:val="32"/>
        </w:rPr>
        <w:t>公务接待费支出决算比</w:t>
      </w:r>
      <w:r>
        <w:rPr>
          <w:rFonts w:ascii="仿宋_GB2312" w:eastAsia="仿宋_GB2312"/>
          <w:color w:val="000000"/>
          <w:sz w:val="32"/>
          <w:szCs w:val="32"/>
        </w:rPr>
        <w:t>201</w:t>
      </w:r>
      <w:r>
        <w:rPr>
          <w:rFonts w:hint="eastAsia" w:ascii="仿宋_GB2312" w:eastAsia="仿宋_GB2312"/>
          <w:color w:val="000000"/>
          <w:sz w:val="32"/>
          <w:szCs w:val="32"/>
        </w:rPr>
        <w:t>8年减少</w:t>
      </w:r>
      <w:r>
        <w:rPr>
          <w:rFonts w:hint="eastAsia" w:ascii="仿宋_GB2312" w:eastAsia="仿宋_GB2312"/>
          <w:color w:val="000000"/>
          <w:sz w:val="32"/>
          <w:szCs w:val="32"/>
          <w:lang w:val="en-US" w:eastAsia="zh-CN"/>
        </w:rPr>
        <w:t>0.22</w:t>
      </w:r>
      <w:r>
        <w:rPr>
          <w:rFonts w:hint="eastAsia" w:ascii="仿宋_GB2312" w:eastAsia="仿宋_GB2312"/>
          <w:color w:val="000000"/>
          <w:sz w:val="32"/>
          <w:szCs w:val="32"/>
        </w:rPr>
        <w:t>万元，下降</w:t>
      </w:r>
      <w:r>
        <w:rPr>
          <w:rFonts w:hint="eastAsia" w:ascii="仿宋_GB2312" w:eastAsia="仿宋_GB2312"/>
          <w:color w:val="000000"/>
          <w:sz w:val="32"/>
          <w:szCs w:val="32"/>
          <w:lang w:val="en-US" w:eastAsia="zh-CN"/>
        </w:rPr>
        <w:t>100</w:t>
      </w:r>
      <w:r>
        <w:rPr>
          <w:rFonts w:ascii="仿宋_GB2312" w:eastAsia="仿宋_GB2312"/>
          <w:color w:val="000000"/>
          <w:sz w:val="32"/>
          <w:szCs w:val="32"/>
        </w:rPr>
        <w:t>%</w:t>
      </w:r>
      <w:r>
        <w:rPr>
          <w:rFonts w:hint="eastAsia" w:ascii="仿宋_GB2312" w:eastAsia="仿宋_GB2312"/>
          <w:color w:val="000000"/>
          <w:sz w:val="32"/>
          <w:szCs w:val="32"/>
        </w:rPr>
        <w:t>。主要原因是</w:t>
      </w:r>
      <w:r>
        <w:rPr>
          <w:rFonts w:hint="eastAsia" w:ascii="仿宋_GB2312" w:eastAsia="仿宋_GB2312"/>
          <w:color w:val="000000"/>
          <w:sz w:val="32"/>
          <w:szCs w:val="32"/>
          <w:lang w:val="en-US" w:eastAsia="zh-CN"/>
        </w:rPr>
        <w:t>厉行节俭。</w:t>
      </w:r>
    </w:p>
    <w:p>
      <w:pPr>
        <w:numPr>
          <w:ilvl w:val="0"/>
          <w:numId w:val="0"/>
        </w:numPr>
        <w:spacing w:line="600" w:lineRule="exact"/>
        <w:rPr>
          <w:rFonts w:ascii="仿宋_GB2312" w:eastAsia="仿宋_GB2312"/>
          <w:color w:val="000000"/>
          <w:sz w:val="32"/>
          <w:szCs w:val="32"/>
        </w:rPr>
      </w:pPr>
      <w:r>
        <w:rPr>
          <w:rFonts w:hint="eastAsia" w:ascii="仿宋_GB2312" w:eastAsia="仿宋_GB2312"/>
          <w:color w:val="000000"/>
          <w:sz w:val="32"/>
          <w:szCs w:val="32"/>
        </w:rPr>
        <w:t>其中：</w:t>
      </w:r>
    </w:p>
    <w:p>
      <w:pPr>
        <w:spacing w:line="600" w:lineRule="exact"/>
        <w:ind w:firstLine="640"/>
        <w:rPr>
          <w:rFonts w:ascii="仿宋_GB2312" w:eastAsia="仿宋_GB2312"/>
          <w:color w:val="000000"/>
          <w:sz w:val="32"/>
          <w:szCs w:val="32"/>
        </w:rPr>
      </w:pPr>
      <w:r>
        <w:rPr>
          <w:rFonts w:hint="eastAsia" w:ascii="仿宋" w:hAnsi="仿宋" w:eastAsia="仿宋"/>
          <w:b/>
          <w:color w:val="000000"/>
          <w:sz w:val="32"/>
          <w:szCs w:val="32"/>
        </w:rPr>
        <w:t>国内公务接待支出</w:t>
      </w:r>
      <w:r>
        <w:rPr>
          <w:rFonts w:hint="eastAsia" w:ascii="仿宋" w:hAnsi="仿宋" w:eastAsia="仿宋"/>
          <w:color w:val="000000"/>
          <w:sz w:val="32"/>
          <w:szCs w:val="32"/>
          <w:lang w:val="en-US" w:eastAsia="zh-CN"/>
        </w:rPr>
        <w:t>0</w:t>
      </w:r>
      <w:r>
        <w:rPr>
          <w:rFonts w:hint="eastAsia" w:ascii="仿宋_GB2312" w:eastAsia="仿宋_GB2312"/>
          <w:color w:val="000000"/>
          <w:sz w:val="32"/>
          <w:szCs w:val="32"/>
        </w:rPr>
        <w:t>万元。</w:t>
      </w:r>
    </w:p>
    <w:p>
      <w:pPr>
        <w:spacing w:line="600" w:lineRule="exact"/>
        <w:ind w:firstLine="643" w:firstLineChars="200"/>
        <w:rPr>
          <w:rFonts w:ascii="黑体" w:eastAsia="黑体"/>
          <w:color w:val="000000"/>
          <w:sz w:val="32"/>
          <w:szCs w:val="32"/>
        </w:rPr>
      </w:pPr>
      <w:r>
        <w:rPr>
          <w:rFonts w:hint="eastAsia" w:ascii="仿宋" w:hAnsi="仿宋" w:eastAsia="仿宋"/>
          <w:b/>
          <w:color w:val="000000"/>
          <w:sz w:val="32"/>
          <w:szCs w:val="32"/>
        </w:rPr>
        <w:t>外事接待支出</w:t>
      </w:r>
      <w:r>
        <w:rPr>
          <w:rFonts w:hint="eastAsia" w:ascii="仿宋" w:hAnsi="仿宋" w:eastAsia="仿宋"/>
          <w:color w:val="000000"/>
          <w:sz w:val="32"/>
          <w:szCs w:val="32"/>
          <w:lang w:val="en-US" w:eastAsia="zh-CN"/>
        </w:rPr>
        <w:t>0</w:t>
      </w:r>
      <w:r>
        <w:rPr>
          <w:rFonts w:hint="eastAsia" w:ascii="仿宋_GB2312" w:eastAsia="仿宋_GB2312"/>
          <w:color w:val="000000"/>
          <w:sz w:val="32"/>
          <w:szCs w:val="32"/>
        </w:rPr>
        <w:t>万元</w:t>
      </w:r>
      <w:r>
        <w:rPr>
          <w:rFonts w:hint="eastAsia" w:ascii="仿宋_GB2312" w:eastAsia="仿宋_GB2312"/>
          <w:color w:val="000000" w:themeColor="text1"/>
          <w:sz w:val="32"/>
          <w:szCs w:val="32"/>
        </w:rPr>
        <w:t>，外事接待</w:t>
      </w:r>
      <w:r>
        <w:rPr>
          <w:rFonts w:hint="eastAsia" w:ascii="仿宋_GB2312" w:eastAsia="仿宋_GB2312"/>
          <w:color w:val="000000" w:themeColor="text1"/>
          <w:sz w:val="32"/>
          <w:szCs w:val="32"/>
          <w:lang w:val="en-US" w:eastAsia="zh-CN"/>
        </w:rPr>
        <w:t>0</w:t>
      </w:r>
      <w:r>
        <w:rPr>
          <w:rFonts w:hint="eastAsia" w:ascii="仿宋_GB2312" w:eastAsia="仿宋_GB2312"/>
          <w:color w:val="000000" w:themeColor="text1"/>
          <w:sz w:val="32"/>
          <w:szCs w:val="32"/>
        </w:rPr>
        <w:t>批次，</w:t>
      </w:r>
      <w:r>
        <w:rPr>
          <w:rFonts w:hint="eastAsia" w:ascii="仿宋_GB2312" w:eastAsia="仿宋_GB2312"/>
          <w:color w:val="000000" w:themeColor="text1"/>
          <w:sz w:val="32"/>
          <w:szCs w:val="32"/>
          <w:lang w:val="en-US" w:eastAsia="zh-CN"/>
        </w:rPr>
        <w:t>0</w:t>
      </w:r>
      <w:r>
        <w:rPr>
          <w:rFonts w:hint="eastAsia" w:ascii="仿宋_GB2312" w:eastAsia="仿宋_GB2312"/>
          <w:color w:val="000000" w:themeColor="text1"/>
          <w:sz w:val="32"/>
          <w:szCs w:val="32"/>
        </w:rPr>
        <w:t>人，共计支出</w:t>
      </w:r>
      <w:r>
        <w:rPr>
          <w:rFonts w:hint="eastAsia" w:ascii="仿宋_GB2312" w:eastAsia="仿宋_GB2312"/>
          <w:color w:val="000000" w:themeColor="text1"/>
          <w:sz w:val="32"/>
          <w:szCs w:val="32"/>
          <w:lang w:val="en-US" w:eastAsia="zh-CN"/>
        </w:rPr>
        <w:t>0</w:t>
      </w:r>
      <w:r>
        <w:rPr>
          <w:rFonts w:hint="eastAsia" w:ascii="仿宋_GB2312" w:eastAsia="仿宋_GB2312"/>
          <w:color w:val="000000" w:themeColor="text1"/>
          <w:sz w:val="32"/>
          <w:szCs w:val="32"/>
        </w:rPr>
        <w:t>万元</w:t>
      </w:r>
      <w:r>
        <w:rPr>
          <w:rFonts w:hint="eastAsia" w:ascii="仿宋_GB2312" w:eastAsia="仿宋_GB2312"/>
          <w:color w:val="000000" w:themeColor="text1"/>
          <w:sz w:val="32"/>
          <w:szCs w:val="32"/>
          <w:lang w:eastAsia="zh-CN"/>
        </w:rPr>
        <w:t>。</w:t>
      </w:r>
      <w:bookmarkStart w:id="46" w:name="_Toc15377218"/>
      <w:bookmarkStart w:id="47" w:name="_Toc15396610"/>
    </w:p>
    <w:p>
      <w:pPr>
        <w:spacing w:line="600" w:lineRule="exact"/>
        <w:ind w:firstLine="640"/>
        <w:outlineLvl w:val="1"/>
        <w:rPr>
          <w:rStyle w:val="26"/>
          <w:rFonts w:ascii="黑体" w:hAnsi="黑体" w:eastAsia="黑体"/>
        </w:rPr>
      </w:pPr>
      <w:r>
        <w:rPr>
          <w:rFonts w:hint="eastAsia" w:ascii="黑体" w:eastAsia="黑体"/>
          <w:color w:val="000000"/>
          <w:sz w:val="32"/>
          <w:szCs w:val="32"/>
        </w:rPr>
        <w:t>八、</w:t>
      </w:r>
      <w:r>
        <w:rPr>
          <w:rStyle w:val="26"/>
          <w:rFonts w:hint="eastAsia" w:ascii="黑体" w:hAnsi="黑体" w:eastAsia="黑体"/>
          <w:b w:val="0"/>
        </w:rPr>
        <w:t>政府性基金预算支出决算情况说明</w:t>
      </w:r>
      <w:bookmarkEnd w:id="46"/>
      <w:bookmarkEnd w:id="47"/>
    </w:p>
    <w:p>
      <w:pPr>
        <w:spacing w:line="600" w:lineRule="exact"/>
        <w:ind w:firstLine="640"/>
        <w:rPr>
          <w:rFonts w:ascii="仿宋_GB2312" w:eastAsia="仿宋_GB2312"/>
          <w:color w:val="000000"/>
          <w:sz w:val="32"/>
          <w:szCs w:val="32"/>
        </w:rPr>
      </w:pPr>
      <w:r>
        <w:rPr>
          <w:rFonts w:ascii="仿宋_GB2312" w:eastAsia="仿宋_GB2312"/>
          <w:color w:val="000000"/>
          <w:sz w:val="32"/>
          <w:szCs w:val="32"/>
        </w:rPr>
        <w:t>201</w:t>
      </w:r>
      <w:r>
        <w:rPr>
          <w:rFonts w:hint="eastAsia" w:ascii="仿宋_GB2312" w:eastAsia="仿宋_GB2312"/>
          <w:color w:val="000000"/>
          <w:sz w:val="32"/>
          <w:szCs w:val="32"/>
        </w:rPr>
        <w:t>9年政府性基金预算拨款支出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w:t>
      </w:r>
    </w:p>
    <w:p>
      <w:pPr>
        <w:spacing w:line="600" w:lineRule="exact"/>
        <w:ind w:firstLine="640"/>
        <w:rPr>
          <w:rFonts w:ascii="仿宋_GB2312" w:eastAsia="仿宋_GB2312"/>
          <w:color w:val="000000"/>
          <w:sz w:val="32"/>
          <w:szCs w:val="32"/>
        </w:rPr>
      </w:pPr>
    </w:p>
    <w:p>
      <w:pPr>
        <w:numPr>
          <w:ilvl w:val="0"/>
          <w:numId w:val="4"/>
        </w:numPr>
        <w:spacing w:line="600" w:lineRule="exact"/>
        <w:ind w:firstLine="640"/>
        <w:outlineLvl w:val="1"/>
        <w:rPr>
          <w:rStyle w:val="26"/>
          <w:rFonts w:ascii="黑体" w:hAnsi="黑体" w:eastAsia="黑体"/>
          <w:b w:val="0"/>
        </w:rPr>
      </w:pPr>
      <w:bookmarkStart w:id="48" w:name="_Toc15377219"/>
      <w:bookmarkStart w:id="49" w:name="_Toc15396611"/>
      <w:r>
        <w:rPr>
          <w:rStyle w:val="26"/>
          <w:rFonts w:hint="eastAsia" w:ascii="黑体" w:hAnsi="黑体" w:eastAsia="黑体"/>
          <w:b w:val="0"/>
        </w:rPr>
        <w:t>国有资本经营预算支出决算情况说明</w:t>
      </w:r>
      <w:bookmarkEnd w:id="48"/>
      <w:bookmarkEnd w:id="49"/>
    </w:p>
    <w:p>
      <w:pPr>
        <w:spacing w:line="600" w:lineRule="exact"/>
        <w:ind w:firstLine="640"/>
        <w:rPr>
          <w:rFonts w:ascii="方正小标宋简体" w:hAnsi="方正小标宋简体" w:eastAsia="方正小标宋简体" w:cs="方正小标宋简体"/>
          <w:sz w:val="44"/>
          <w:szCs w:val="44"/>
        </w:rPr>
      </w:pPr>
      <w:r>
        <w:rPr>
          <w:rFonts w:ascii="仿宋_GB2312" w:eastAsia="仿宋_GB2312"/>
          <w:color w:val="000000"/>
          <w:sz w:val="32"/>
          <w:szCs w:val="32"/>
        </w:rPr>
        <w:t>201</w:t>
      </w:r>
      <w:r>
        <w:rPr>
          <w:rFonts w:hint="eastAsia" w:ascii="仿宋_GB2312" w:eastAsia="仿宋_GB2312"/>
          <w:color w:val="000000"/>
          <w:sz w:val="32"/>
          <w:szCs w:val="32"/>
        </w:rPr>
        <w:t>9年国有资本经营预算拨款支出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w:t>
      </w:r>
    </w:p>
    <w:p>
      <w:pPr>
        <w:spacing w:line="600" w:lineRule="exact"/>
        <w:ind w:firstLine="800" w:firstLineChars="250"/>
        <w:outlineLvl w:val="1"/>
        <w:rPr>
          <w:rStyle w:val="26"/>
          <w:rFonts w:ascii="黑体" w:hAnsi="黑体" w:eastAsia="黑体"/>
        </w:rPr>
      </w:pPr>
      <w:bookmarkStart w:id="50" w:name="_Toc15396612"/>
      <w:bookmarkStart w:id="51" w:name="_Toc15377221"/>
      <w:r>
        <w:rPr>
          <w:rFonts w:hint="eastAsia" w:ascii="黑体" w:hAnsi="黑体" w:eastAsia="黑体"/>
          <w:color w:val="000000"/>
          <w:sz w:val="32"/>
          <w:szCs w:val="32"/>
        </w:rPr>
        <w:t>十</w:t>
      </w:r>
      <w:r>
        <w:rPr>
          <w:rStyle w:val="26"/>
          <w:rFonts w:hint="eastAsia" w:ascii="黑体" w:hAnsi="黑体" w:eastAsia="黑体"/>
        </w:rPr>
        <w:t>、</w:t>
      </w:r>
      <w:r>
        <w:rPr>
          <w:rStyle w:val="26"/>
          <w:rFonts w:hint="eastAsia" w:ascii="黑体" w:hAnsi="黑体" w:eastAsia="黑体"/>
          <w:b w:val="0"/>
        </w:rPr>
        <w:t>其他重要事项的情况说明</w:t>
      </w:r>
      <w:bookmarkEnd w:id="50"/>
      <w:bookmarkEnd w:id="51"/>
    </w:p>
    <w:p>
      <w:pPr>
        <w:spacing w:line="600" w:lineRule="exact"/>
        <w:ind w:firstLine="643" w:firstLineChars="200"/>
        <w:outlineLvl w:val="2"/>
        <w:rPr>
          <w:rFonts w:ascii="仿宋" w:hAnsi="仿宋" w:eastAsia="仿宋"/>
          <w:color w:val="000000"/>
          <w:sz w:val="32"/>
          <w:szCs w:val="32"/>
        </w:rPr>
      </w:pPr>
      <w:bookmarkStart w:id="52" w:name="_Toc15377222"/>
      <w:r>
        <w:rPr>
          <w:rFonts w:hint="eastAsia" w:ascii="仿宋" w:hAnsi="仿宋" w:eastAsia="仿宋"/>
          <w:b/>
          <w:color w:val="000000"/>
          <w:sz w:val="32"/>
          <w:szCs w:val="32"/>
        </w:rPr>
        <w:t>（一）机关运行经费支出情况</w:t>
      </w:r>
      <w:bookmarkEnd w:id="52"/>
    </w:p>
    <w:p>
      <w:pPr>
        <w:spacing w:line="600" w:lineRule="exact"/>
        <w:ind w:firstLine="640" w:firstLineChars="200"/>
        <w:rPr>
          <w:rFonts w:hint="default" w:ascii="仿宋_GB2312" w:eastAsia="仿宋_GB2312"/>
          <w:color w:val="000000" w:themeColor="text1"/>
          <w:sz w:val="32"/>
          <w:szCs w:val="32"/>
          <w:lang w:val="en-US" w:eastAsia="zh-CN"/>
        </w:rPr>
      </w:pPr>
      <w:r>
        <w:rPr>
          <w:rFonts w:ascii="仿宋_GB2312" w:eastAsia="仿宋_GB2312"/>
          <w:color w:val="000000"/>
          <w:sz w:val="32"/>
          <w:szCs w:val="32"/>
        </w:rPr>
        <w:t>201</w:t>
      </w:r>
      <w:r>
        <w:rPr>
          <w:rFonts w:hint="eastAsia" w:ascii="仿宋_GB2312" w:eastAsia="仿宋_GB2312"/>
          <w:color w:val="000000"/>
          <w:sz w:val="32"/>
          <w:szCs w:val="32"/>
        </w:rPr>
        <w:t>9年，</w:t>
      </w:r>
      <w:r>
        <w:rPr>
          <w:rFonts w:hint="eastAsia" w:ascii="仿宋_GB2312" w:eastAsia="仿宋_GB2312"/>
          <w:color w:val="000000"/>
          <w:sz w:val="32"/>
          <w:szCs w:val="32"/>
          <w:lang w:val="en-US" w:eastAsia="zh-CN"/>
        </w:rPr>
        <w:t>壤塘县纪委</w:t>
      </w:r>
      <w:r>
        <w:rPr>
          <w:rFonts w:hint="eastAsia" w:ascii="仿宋_GB2312" w:eastAsia="仿宋_GB2312"/>
          <w:color w:val="000000"/>
          <w:sz w:val="32"/>
          <w:szCs w:val="32"/>
        </w:rPr>
        <w:t>机关运行经费支出</w:t>
      </w:r>
      <w:r>
        <w:rPr>
          <w:rFonts w:hint="eastAsia" w:ascii="仿宋_GB2312" w:eastAsia="仿宋_GB2312"/>
          <w:color w:val="000000"/>
          <w:sz w:val="32"/>
          <w:szCs w:val="32"/>
          <w:lang w:val="en-US" w:eastAsia="zh-CN"/>
        </w:rPr>
        <w:t>93.30</w:t>
      </w:r>
      <w:r>
        <w:rPr>
          <w:rFonts w:hint="eastAsia" w:ascii="仿宋_GB2312" w:eastAsia="仿宋_GB2312"/>
          <w:color w:val="000000"/>
          <w:sz w:val="32"/>
          <w:szCs w:val="32"/>
        </w:rPr>
        <w:t>万元，比</w:t>
      </w:r>
      <w:r>
        <w:rPr>
          <w:rFonts w:ascii="仿宋_GB2312" w:eastAsia="仿宋_GB2312"/>
          <w:color w:val="000000"/>
          <w:sz w:val="32"/>
          <w:szCs w:val="32"/>
        </w:rPr>
        <w:t>201</w:t>
      </w:r>
      <w:r>
        <w:rPr>
          <w:rFonts w:hint="eastAsia" w:ascii="仿宋_GB2312" w:eastAsia="仿宋_GB2312"/>
          <w:color w:val="000000"/>
          <w:sz w:val="32"/>
          <w:szCs w:val="32"/>
        </w:rPr>
        <w:t>8年增加</w:t>
      </w:r>
      <w:r>
        <w:rPr>
          <w:rFonts w:hint="eastAsia" w:ascii="仿宋_GB2312" w:eastAsia="仿宋_GB2312"/>
          <w:color w:val="000000"/>
          <w:sz w:val="32"/>
          <w:szCs w:val="32"/>
          <w:lang w:val="en-US" w:eastAsia="zh-CN"/>
        </w:rPr>
        <w:t>22.30</w:t>
      </w:r>
      <w:r>
        <w:rPr>
          <w:rFonts w:hint="eastAsia" w:ascii="仿宋_GB2312" w:eastAsia="仿宋_GB2312"/>
          <w:color w:val="000000"/>
          <w:sz w:val="32"/>
          <w:szCs w:val="32"/>
        </w:rPr>
        <w:t>万元，增长</w:t>
      </w:r>
      <w:r>
        <w:rPr>
          <w:rFonts w:hint="eastAsia" w:ascii="仿宋_GB2312" w:eastAsia="仿宋_GB2312"/>
          <w:color w:val="000000"/>
          <w:sz w:val="32"/>
          <w:szCs w:val="32"/>
          <w:lang w:val="en-US" w:eastAsia="zh-CN"/>
        </w:rPr>
        <w:t>31.41</w:t>
      </w:r>
      <w:r>
        <w:rPr>
          <w:rFonts w:ascii="仿宋_GB2312" w:eastAsia="仿宋_GB2312"/>
          <w:color w:val="000000"/>
          <w:sz w:val="32"/>
          <w:szCs w:val="32"/>
        </w:rPr>
        <w:t>%</w:t>
      </w:r>
      <w:r>
        <w:rPr>
          <w:rFonts w:hint="eastAsia" w:ascii="仿宋_GB2312" w:eastAsia="仿宋_GB2312"/>
          <w:color w:val="000000"/>
          <w:sz w:val="32"/>
          <w:szCs w:val="32"/>
        </w:rPr>
        <w:t>。</w:t>
      </w:r>
      <w:r>
        <w:rPr>
          <w:rFonts w:hint="eastAsia" w:ascii="仿宋_GB2312" w:eastAsia="仿宋_GB2312"/>
          <w:color w:val="000000" w:themeColor="text1"/>
          <w:sz w:val="32"/>
          <w:szCs w:val="32"/>
        </w:rPr>
        <w:t>主要原因是</w:t>
      </w:r>
      <w:r>
        <w:rPr>
          <w:rFonts w:hint="eastAsia" w:ascii="仿宋_GB2312" w:eastAsia="仿宋_GB2312"/>
          <w:color w:val="000000" w:themeColor="text1"/>
          <w:sz w:val="32"/>
          <w:szCs w:val="32"/>
          <w:lang w:val="en-US" w:eastAsia="zh-CN"/>
        </w:rPr>
        <w:t>机关职工增加，机关运行经费增加。</w:t>
      </w:r>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bookmarkStart w:id="53" w:name="_Toc15377223"/>
      <w:r>
        <w:rPr>
          <w:rFonts w:hint="eastAsia" w:ascii="仿宋" w:hAnsi="仿宋" w:eastAsia="仿宋"/>
          <w:b/>
          <w:color w:val="000000"/>
          <w:sz w:val="32"/>
          <w:szCs w:val="32"/>
        </w:rPr>
        <w:t>（二）政府采购支出情况</w:t>
      </w:r>
      <w:bookmarkEnd w:id="53"/>
    </w:p>
    <w:p>
      <w:pPr>
        <w:spacing w:line="600" w:lineRule="exact"/>
        <w:ind w:firstLine="640" w:firstLineChars="200"/>
        <w:rPr>
          <w:rFonts w:ascii="仿宋" w:hAnsi="仿宋" w:eastAsia="仿宋"/>
          <w:b/>
          <w:color w:val="000000"/>
          <w:sz w:val="32"/>
          <w:szCs w:val="32"/>
        </w:rPr>
      </w:pPr>
      <w:r>
        <w:rPr>
          <w:rFonts w:ascii="仿宋_GB2312" w:eastAsia="仿宋_GB2312"/>
          <w:color w:val="000000"/>
          <w:sz w:val="32"/>
          <w:szCs w:val="32"/>
        </w:rPr>
        <w:t>201</w:t>
      </w:r>
      <w:r>
        <w:rPr>
          <w:rFonts w:hint="eastAsia" w:ascii="仿宋_GB2312" w:eastAsia="仿宋_GB2312"/>
          <w:color w:val="000000"/>
          <w:sz w:val="32"/>
          <w:szCs w:val="32"/>
        </w:rPr>
        <w:t>8年</w:t>
      </w:r>
      <w:r>
        <w:rPr>
          <w:rFonts w:hint="eastAsia" w:ascii="仿宋_GB2312" w:eastAsia="仿宋_GB2312"/>
          <w:color w:val="000000"/>
          <w:sz w:val="32"/>
          <w:szCs w:val="32"/>
          <w:lang w:val="en-US" w:eastAsia="zh-CN"/>
        </w:rPr>
        <w:t>我单位</w:t>
      </w:r>
      <w:r>
        <w:rPr>
          <w:rFonts w:hint="eastAsia" w:ascii="仿宋_GB2312" w:eastAsia="仿宋_GB2312"/>
          <w:color w:val="000000"/>
          <w:sz w:val="32"/>
          <w:szCs w:val="32"/>
        </w:rPr>
        <w:t>政府采购支出总额</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万元，其中：政府采购货物支出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万元、政府采购工程支出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万元、政府采购服务支出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万元。授予中小企业合同金额</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万元，其中：授予小微企业合同金额</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w:t>
      </w:r>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bookmarkStart w:id="54" w:name="_Toc15377224"/>
      <w:r>
        <w:rPr>
          <w:rFonts w:hint="eastAsia" w:ascii="仿宋" w:hAnsi="仿宋" w:eastAsia="仿宋"/>
          <w:b/>
          <w:color w:val="000000"/>
          <w:sz w:val="32"/>
          <w:szCs w:val="32"/>
        </w:rPr>
        <w:t>（三）国有资产占有使用情况</w:t>
      </w:r>
      <w:bookmarkEnd w:id="54"/>
    </w:p>
    <w:p>
      <w:pPr>
        <w:autoSpaceDE w:val="0"/>
        <w:autoSpaceDN w:val="0"/>
        <w:adjustRightInd w:val="0"/>
        <w:spacing w:line="600" w:lineRule="exact"/>
        <w:ind w:firstLine="640" w:firstLineChars="200"/>
        <w:jc w:val="left"/>
        <w:outlineLvl w:val="2"/>
        <w:rPr>
          <w:rFonts w:hint="eastAsia" w:ascii="仿宋_GB2312" w:eastAsia="仿宋_GB2312"/>
          <w:color w:val="000000"/>
          <w:sz w:val="32"/>
          <w:szCs w:val="32"/>
          <w:lang w:eastAsia="zh-CN"/>
        </w:rPr>
      </w:pPr>
      <w:r>
        <w:rPr>
          <w:rFonts w:hint="eastAsia" w:ascii="仿宋_GB2312" w:eastAsia="仿宋_GB2312"/>
          <w:color w:val="000000"/>
          <w:sz w:val="32"/>
          <w:szCs w:val="32"/>
        </w:rPr>
        <w:t>截至</w:t>
      </w:r>
      <w:r>
        <w:rPr>
          <w:rFonts w:ascii="仿宋_GB2312" w:eastAsia="仿宋_GB2312"/>
          <w:color w:val="000000"/>
          <w:sz w:val="32"/>
          <w:szCs w:val="32"/>
        </w:rPr>
        <w:t>201</w:t>
      </w:r>
      <w:r>
        <w:rPr>
          <w:rFonts w:hint="eastAsia" w:ascii="仿宋_GB2312" w:eastAsia="仿宋_GB2312"/>
          <w:color w:val="000000"/>
          <w:sz w:val="32"/>
          <w:szCs w:val="32"/>
        </w:rPr>
        <w:t>8年</w:t>
      </w:r>
      <w:r>
        <w:rPr>
          <w:rFonts w:ascii="仿宋_GB2312" w:eastAsia="仿宋_GB2312"/>
          <w:color w:val="000000"/>
          <w:sz w:val="32"/>
          <w:szCs w:val="32"/>
        </w:rPr>
        <w:t>12</w:t>
      </w:r>
      <w:r>
        <w:rPr>
          <w:rFonts w:hint="eastAsia" w:ascii="仿宋_GB2312" w:eastAsia="仿宋_GB2312"/>
          <w:color w:val="000000"/>
          <w:sz w:val="32"/>
          <w:szCs w:val="32"/>
        </w:rPr>
        <w:t>月</w:t>
      </w:r>
      <w:r>
        <w:rPr>
          <w:rFonts w:ascii="仿宋_GB2312" w:eastAsia="仿宋_GB2312"/>
          <w:color w:val="000000"/>
          <w:sz w:val="32"/>
          <w:szCs w:val="32"/>
        </w:rPr>
        <w:t>31</w:t>
      </w:r>
      <w:r>
        <w:rPr>
          <w:rFonts w:hint="eastAsia" w:ascii="仿宋_GB2312" w:eastAsia="仿宋_GB2312"/>
          <w:color w:val="000000"/>
          <w:sz w:val="32"/>
          <w:szCs w:val="32"/>
        </w:rPr>
        <w:t>日，共有车辆</w:t>
      </w:r>
      <w:r>
        <w:rPr>
          <w:rFonts w:hint="eastAsia" w:ascii="仿宋_GB2312" w:eastAsia="仿宋_GB2312"/>
          <w:color w:val="000000"/>
          <w:sz w:val="32"/>
          <w:szCs w:val="32"/>
          <w:lang w:val="en-US" w:eastAsia="zh-CN"/>
        </w:rPr>
        <w:t>3</w:t>
      </w:r>
      <w:r>
        <w:rPr>
          <w:rFonts w:hint="eastAsia" w:ascii="仿宋_GB2312" w:eastAsia="仿宋_GB2312"/>
          <w:color w:val="000000"/>
          <w:sz w:val="32"/>
          <w:szCs w:val="32"/>
        </w:rPr>
        <w:t>辆，其中：部级领导干部用车</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辆、一般公务用车</w:t>
      </w:r>
      <w:r>
        <w:rPr>
          <w:rFonts w:hint="eastAsia" w:ascii="仿宋_GB2312" w:eastAsia="仿宋_GB2312"/>
          <w:color w:val="000000"/>
          <w:sz w:val="32"/>
          <w:szCs w:val="32"/>
          <w:lang w:val="en-US" w:eastAsia="zh-CN"/>
        </w:rPr>
        <w:t>1</w:t>
      </w:r>
      <w:r>
        <w:rPr>
          <w:rFonts w:hint="eastAsia" w:ascii="仿宋_GB2312" w:eastAsia="仿宋_GB2312"/>
          <w:color w:val="000000"/>
          <w:sz w:val="32"/>
          <w:szCs w:val="32"/>
        </w:rPr>
        <w:t>辆、一般执法执勤用车</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辆、特种专业技术用车</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辆、其他用车</w:t>
      </w:r>
      <w:r>
        <w:rPr>
          <w:rFonts w:hint="eastAsia" w:ascii="仿宋_GB2312" w:eastAsia="仿宋_GB2312"/>
          <w:color w:val="000000"/>
          <w:sz w:val="32"/>
          <w:szCs w:val="32"/>
          <w:lang w:val="en-US" w:eastAsia="zh-CN"/>
        </w:rPr>
        <w:t>2</w:t>
      </w:r>
      <w:r>
        <w:rPr>
          <w:rFonts w:hint="eastAsia" w:ascii="仿宋_GB2312" w:eastAsia="仿宋_GB2312"/>
          <w:color w:val="000000"/>
          <w:sz w:val="32"/>
          <w:szCs w:val="32"/>
        </w:rPr>
        <w:t>辆，其他用车主要是用于</w:t>
      </w:r>
      <w:r>
        <w:rPr>
          <w:rFonts w:hint="eastAsia" w:ascii="仿宋_GB2312" w:eastAsia="仿宋_GB2312"/>
          <w:color w:val="000000"/>
          <w:sz w:val="32"/>
          <w:szCs w:val="32"/>
          <w:lang w:val="en-US" w:eastAsia="zh-CN"/>
        </w:rPr>
        <w:t>用于纪委办案。</w:t>
      </w:r>
      <w:r>
        <w:rPr>
          <w:rFonts w:hint="eastAsia" w:ascii="仿宋_GB2312" w:eastAsia="仿宋_GB2312"/>
          <w:color w:val="000000"/>
          <w:sz w:val="32"/>
          <w:szCs w:val="32"/>
        </w:rPr>
        <w:t>单价</w:t>
      </w:r>
      <w:r>
        <w:rPr>
          <w:rFonts w:ascii="仿宋_GB2312" w:eastAsia="仿宋_GB2312"/>
          <w:color w:val="000000"/>
          <w:sz w:val="32"/>
          <w:szCs w:val="32"/>
        </w:rPr>
        <w:t>50</w:t>
      </w:r>
      <w:r>
        <w:rPr>
          <w:rFonts w:hint="eastAsia" w:ascii="仿宋_GB2312" w:eastAsia="仿宋_GB2312"/>
          <w:color w:val="000000"/>
          <w:sz w:val="32"/>
          <w:szCs w:val="32"/>
        </w:rPr>
        <w:t>万元以上通用设备</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台（套），单价</w:t>
      </w:r>
      <w:r>
        <w:rPr>
          <w:rFonts w:ascii="仿宋_GB2312" w:eastAsia="仿宋_GB2312"/>
          <w:color w:val="000000"/>
          <w:sz w:val="32"/>
          <w:szCs w:val="32"/>
        </w:rPr>
        <w:t>100</w:t>
      </w:r>
      <w:r>
        <w:rPr>
          <w:rFonts w:hint="eastAsia" w:ascii="仿宋_GB2312" w:eastAsia="仿宋_GB2312"/>
          <w:color w:val="000000"/>
          <w:sz w:val="32"/>
          <w:szCs w:val="32"/>
        </w:rPr>
        <w:t>万元以上专用设备</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台（套）。</w:t>
      </w:r>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r>
        <w:rPr>
          <w:rFonts w:hint="eastAsia" w:ascii="仿宋" w:hAnsi="仿宋" w:eastAsia="仿宋"/>
          <w:b/>
          <w:color w:val="000000"/>
          <w:sz w:val="32"/>
          <w:szCs w:val="32"/>
        </w:rPr>
        <w:t>（四）预算绩效管理情况。</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本部门无专项预算项目，因此未组织开展项目支出绩效评价。</w:t>
      </w:r>
    </w:p>
    <w:p>
      <w:pPr>
        <w:numPr>
          <w:ilvl w:val="0"/>
          <w:numId w:val="5"/>
        </w:numPr>
        <w:spacing w:line="580" w:lineRule="exact"/>
        <w:ind w:left="63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项目绩效目标完成情况。</w:t>
      </w:r>
    </w:p>
    <w:p>
      <w:pPr>
        <w:spacing w:line="580" w:lineRule="exact"/>
        <w:ind w:left="630"/>
        <w:rPr>
          <w:rFonts w:hint="default"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本部门2019年度无专项项目</w:t>
      </w:r>
    </w:p>
    <w:p>
      <w:pPr>
        <w:spacing w:line="580" w:lineRule="exact"/>
        <w:ind w:left="630"/>
        <w:rPr>
          <w:rFonts w:ascii="仿宋_GB2312" w:hAnsi="仿宋_GB2312" w:eastAsia="仿宋_GB2312" w:cs="仿宋_GB2312"/>
          <w:sz w:val="32"/>
          <w:szCs w:val="32"/>
        </w:rPr>
      </w:pPr>
      <w:r>
        <w:rPr>
          <w:rFonts w:hint="eastAsia" w:ascii="楷体_GB2312" w:hAnsi="楷体_GB2312" w:eastAsia="楷体_GB2312" w:cs="楷体_GB2312"/>
          <w:sz w:val="32"/>
          <w:szCs w:val="32"/>
        </w:rPr>
        <w:t>2.部门绩效评价结果。</w:t>
      </w:r>
    </w:p>
    <w:p>
      <w:pPr>
        <w:spacing w:line="580" w:lineRule="exact"/>
        <w:ind w:firstLine="640" w:firstLineChars="200"/>
        <w:rPr>
          <w:rFonts w:hint="eastAsia" w:ascii="仿宋_GB2312" w:hAnsi="仿宋_GB2312" w:eastAsia="仿宋_GB2312" w:cs="仿宋_GB2312"/>
          <w:sz w:val="32"/>
          <w:szCs w:val="32"/>
        </w:rPr>
      </w:pPr>
      <w:bookmarkStart w:id="55" w:name="_Toc15377225"/>
      <w:bookmarkStart w:id="56" w:name="_Toc15396613"/>
      <w:r>
        <w:rPr>
          <w:rFonts w:hint="eastAsia" w:ascii="仿宋_GB2312" w:hAnsi="仿宋_GB2312" w:eastAsia="仿宋_GB2312" w:cs="仿宋_GB2312"/>
          <w:sz w:val="32"/>
          <w:szCs w:val="32"/>
        </w:rPr>
        <w:t>本部门无专项预算项目，因此未组织开展项目支出绩效评价。</w:t>
      </w:r>
    </w:p>
    <w:p>
      <w:pPr>
        <w:pStyle w:val="2"/>
      </w:pPr>
    </w:p>
    <w:p>
      <w:pPr>
        <w:spacing w:line="600" w:lineRule="exact"/>
        <w:jc w:val="center"/>
      </w:pPr>
    </w:p>
    <w:p>
      <w:pPr>
        <w:numPr>
          <w:ilvl w:val="0"/>
          <w:numId w:val="6"/>
        </w:numPr>
        <w:spacing w:line="600" w:lineRule="exact"/>
        <w:ind w:firstLine="660" w:firstLineChars="150"/>
        <w:jc w:val="center"/>
        <w:outlineLvl w:val="0"/>
        <w:rPr>
          <w:rStyle w:val="25"/>
          <w:rFonts w:ascii="黑体" w:hAnsi="黑体" w:eastAsia="黑体"/>
          <w:b w:val="0"/>
        </w:rPr>
      </w:pPr>
      <w:r>
        <w:rPr>
          <w:rFonts w:hint="eastAsia" w:ascii="黑体" w:hAnsi="黑体" w:eastAsia="黑体"/>
          <w:color w:val="000000"/>
          <w:sz w:val="44"/>
          <w:szCs w:val="44"/>
        </w:rPr>
        <w:t>名</w:t>
      </w:r>
      <w:r>
        <w:rPr>
          <w:rStyle w:val="25"/>
          <w:rFonts w:hint="eastAsia" w:ascii="黑体" w:hAnsi="黑体" w:eastAsia="黑体"/>
          <w:b w:val="0"/>
        </w:rPr>
        <w:t>词解释</w:t>
      </w:r>
      <w:bookmarkEnd w:id="55"/>
      <w:bookmarkEnd w:id="56"/>
    </w:p>
    <w:p>
      <w:pPr>
        <w:spacing w:line="600" w:lineRule="exact"/>
        <w:jc w:val="center"/>
        <w:rPr>
          <w:rFonts w:ascii="宋体"/>
          <w:b/>
          <w:color w:val="000000"/>
          <w:sz w:val="44"/>
          <w:szCs w:val="44"/>
        </w:rPr>
      </w:pPr>
    </w:p>
    <w:p>
      <w:pPr>
        <w:pStyle w:val="2"/>
      </w:pPr>
    </w:p>
    <w:p>
      <w:pPr>
        <w:pStyle w:val="23"/>
        <w:spacing w:line="560" w:lineRule="exact"/>
        <w:ind w:firstLine="640" w:firstLineChars="200"/>
        <w:rPr>
          <w:rFonts w:ascii="仿宋_GB2312" w:eastAsia="仿宋_GB2312"/>
          <w:sz w:val="32"/>
          <w:szCs w:val="32"/>
        </w:rPr>
      </w:pPr>
      <w:bookmarkStart w:id="57" w:name="_Toc15377226"/>
      <w:r>
        <w:rPr>
          <w:rFonts w:ascii="仿宋_GB2312" w:eastAsia="仿宋_GB2312"/>
          <w:sz w:val="32"/>
          <w:szCs w:val="32"/>
        </w:rPr>
        <w:t>1.</w:t>
      </w:r>
      <w:r>
        <w:rPr>
          <w:rFonts w:hint="eastAsia" w:ascii="仿宋_GB2312" w:eastAsia="仿宋_GB2312"/>
          <w:sz w:val="32"/>
          <w:szCs w:val="32"/>
        </w:rPr>
        <w:t>财政拨款收入：指单位从同级财政部门取得的财政预算资金。</w:t>
      </w:r>
    </w:p>
    <w:p>
      <w:pPr>
        <w:pStyle w:val="23"/>
        <w:spacing w:line="560" w:lineRule="exact"/>
        <w:ind w:firstLine="640" w:firstLineChars="200"/>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事业收入：指事业单位开展专业业务活动及辅助活动取得的收入。</w:t>
      </w:r>
    </w:p>
    <w:p>
      <w:pPr>
        <w:pStyle w:val="23"/>
        <w:spacing w:line="560" w:lineRule="exact"/>
        <w:ind w:firstLine="640" w:firstLineChars="200"/>
        <w:rPr>
          <w:rFonts w:ascii="仿宋_GB2312" w:eastAsia="仿宋_GB2312"/>
          <w:sz w:val="32"/>
          <w:szCs w:val="32"/>
        </w:rPr>
      </w:pPr>
      <w:r>
        <w:rPr>
          <w:rFonts w:ascii="仿宋_GB2312" w:eastAsia="仿宋_GB2312"/>
          <w:sz w:val="32"/>
          <w:szCs w:val="32"/>
        </w:rPr>
        <w:t>3.</w:t>
      </w:r>
      <w:r>
        <w:rPr>
          <w:rFonts w:hint="eastAsia" w:ascii="仿宋_GB2312" w:eastAsia="仿宋_GB2312"/>
          <w:sz w:val="32"/>
          <w:szCs w:val="32"/>
        </w:rPr>
        <w:t>经营收入：指事业单位在专业业务活动及其辅助活动之外开展非独立核算经营活动取得的收入。</w:t>
      </w:r>
    </w:p>
    <w:p>
      <w:pPr>
        <w:pStyle w:val="23"/>
        <w:spacing w:line="560" w:lineRule="exact"/>
        <w:ind w:firstLine="640" w:firstLineChars="200"/>
        <w:rPr>
          <w:rFonts w:ascii="仿宋_GB2312" w:eastAsia="仿宋_GB2312"/>
          <w:sz w:val="32"/>
          <w:szCs w:val="32"/>
        </w:rPr>
      </w:pPr>
      <w:r>
        <w:rPr>
          <w:rFonts w:ascii="仿宋_GB2312" w:eastAsia="仿宋_GB2312"/>
          <w:sz w:val="32"/>
          <w:szCs w:val="32"/>
        </w:rPr>
        <w:t>4.</w:t>
      </w:r>
      <w:r>
        <w:rPr>
          <w:rFonts w:hint="eastAsia" w:ascii="仿宋_GB2312" w:eastAsia="仿宋_GB2312"/>
          <w:sz w:val="32"/>
          <w:szCs w:val="32"/>
        </w:rPr>
        <w:t>其他收入：指单位取得的除上述收入以外的各项收入。</w:t>
      </w:r>
    </w:p>
    <w:p>
      <w:pPr>
        <w:pStyle w:val="23"/>
        <w:spacing w:line="560" w:lineRule="exact"/>
        <w:ind w:firstLine="640" w:firstLineChars="200"/>
        <w:rPr>
          <w:rFonts w:ascii="仿宋_GB2312" w:eastAsia="仿宋_GB2312"/>
          <w:sz w:val="32"/>
          <w:szCs w:val="32"/>
        </w:rPr>
      </w:pPr>
      <w:r>
        <w:rPr>
          <w:rFonts w:ascii="仿宋_GB2312" w:eastAsia="仿宋_GB2312"/>
          <w:sz w:val="32"/>
          <w:szCs w:val="32"/>
        </w:rPr>
        <w:t>5.</w:t>
      </w:r>
      <w:r>
        <w:rPr>
          <w:rFonts w:hint="eastAsia" w:ascii="仿宋_GB2312" w:eastAsia="仿宋_GB2312"/>
          <w:sz w:val="32"/>
          <w:szCs w:val="32"/>
        </w:rPr>
        <w:t>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p>
    <w:p>
      <w:pPr>
        <w:pStyle w:val="23"/>
        <w:spacing w:line="560" w:lineRule="exact"/>
        <w:ind w:firstLine="640" w:firstLineChars="200"/>
        <w:rPr>
          <w:rFonts w:ascii="仿宋_GB2312" w:eastAsia="仿宋_GB2312"/>
          <w:sz w:val="32"/>
          <w:szCs w:val="32"/>
        </w:rPr>
      </w:pPr>
      <w:r>
        <w:rPr>
          <w:rFonts w:ascii="仿宋_GB2312" w:eastAsia="仿宋_GB2312"/>
          <w:sz w:val="32"/>
          <w:szCs w:val="32"/>
        </w:rPr>
        <w:t>6.</w:t>
      </w:r>
      <w:r>
        <w:rPr>
          <w:rFonts w:hint="eastAsia" w:ascii="仿宋_GB2312" w:eastAsia="仿宋_GB2312"/>
          <w:sz w:val="32"/>
          <w:szCs w:val="32"/>
        </w:rPr>
        <w:t>年初结转和结余：指以前年度尚未完成、结转到本年按有关规定继续使用的资金。</w:t>
      </w:r>
    </w:p>
    <w:p>
      <w:pPr>
        <w:pStyle w:val="23"/>
        <w:spacing w:line="560" w:lineRule="exact"/>
        <w:ind w:firstLine="640" w:firstLineChars="200"/>
        <w:rPr>
          <w:rFonts w:ascii="仿宋_GB2312" w:eastAsia="仿宋_GB2312"/>
          <w:sz w:val="32"/>
          <w:szCs w:val="32"/>
        </w:rPr>
      </w:pPr>
      <w:r>
        <w:rPr>
          <w:rFonts w:ascii="仿宋_GB2312" w:eastAsia="仿宋_GB2312"/>
          <w:sz w:val="32"/>
          <w:szCs w:val="32"/>
        </w:rPr>
        <w:t>7.</w:t>
      </w:r>
      <w:r>
        <w:rPr>
          <w:rFonts w:hint="eastAsia" w:ascii="仿宋_GB2312" w:eastAsia="仿宋_GB2312"/>
          <w:sz w:val="32"/>
          <w:szCs w:val="32"/>
        </w:rPr>
        <w:t>结余分配：指事业单位按照事业单位会计制度的规定从非财政补助结余中分配的事业基金和职工福利基金等。</w:t>
      </w:r>
    </w:p>
    <w:p>
      <w:pPr>
        <w:pStyle w:val="23"/>
        <w:spacing w:line="560" w:lineRule="exact"/>
        <w:ind w:firstLine="640" w:firstLineChars="200"/>
        <w:rPr>
          <w:rFonts w:ascii="仿宋_GB2312" w:eastAsia="仿宋_GB2312"/>
          <w:sz w:val="32"/>
          <w:szCs w:val="32"/>
        </w:rPr>
      </w:pPr>
      <w:r>
        <w:rPr>
          <w:rFonts w:ascii="仿宋_GB2312" w:eastAsia="仿宋_GB2312"/>
          <w:sz w:val="32"/>
          <w:szCs w:val="32"/>
        </w:rPr>
        <w:t>8</w:t>
      </w:r>
      <w:r>
        <w:rPr>
          <w:rFonts w:hint="eastAsia" w:ascii="仿宋_GB2312" w:eastAsia="仿宋_GB2312"/>
          <w:sz w:val="32"/>
          <w:szCs w:val="32"/>
        </w:rPr>
        <w:t>、年末结转和结余：指单位按有关规定结转到下年或以后年度继续使用的资金。</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9.一般公共服务：指反映政府提供一般公共服务的支出。</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10.外交：指反映政府外交事务支出。</w:t>
      </w:r>
    </w:p>
    <w:p>
      <w:pPr>
        <w:ind w:firstLine="640" w:firstLineChars="200"/>
        <w:rPr>
          <w:rFonts w:ascii="仿宋_GB2312" w:eastAsia="仿宋_GB2312"/>
          <w:color w:val="000000"/>
          <w:sz w:val="32"/>
          <w:szCs w:val="32"/>
        </w:rPr>
      </w:pPr>
      <w:r>
        <w:rPr>
          <w:rFonts w:ascii="仿宋_GB2312" w:eastAsia="仿宋_GB2312"/>
          <w:color w:val="000000"/>
          <w:sz w:val="32"/>
          <w:szCs w:val="32"/>
        </w:rPr>
        <w:t>11.</w:t>
      </w:r>
      <w:r>
        <w:rPr>
          <w:rFonts w:hint="eastAsia" w:ascii="仿宋_GB2312" w:eastAsia="仿宋_GB2312"/>
          <w:color w:val="000000"/>
          <w:sz w:val="32"/>
          <w:szCs w:val="32"/>
        </w:rPr>
        <w:t>公共安全：指反映政府维护社会公共安全方面的支出。</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12.教育 ：指反映政府教育事务支出。</w:t>
      </w:r>
    </w:p>
    <w:p>
      <w:pPr>
        <w:ind w:firstLine="640" w:firstLineChars="200"/>
        <w:rPr>
          <w:rFonts w:ascii="仿宋_GB2312" w:eastAsia="仿宋_GB2312"/>
          <w:color w:val="000000"/>
          <w:sz w:val="32"/>
          <w:szCs w:val="32"/>
        </w:rPr>
      </w:pPr>
      <w:r>
        <w:rPr>
          <w:rFonts w:ascii="仿宋_GB2312" w:eastAsia="仿宋_GB2312"/>
          <w:color w:val="000000"/>
          <w:sz w:val="32"/>
          <w:szCs w:val="32"/>
        </w:rPr>
        <w:t>13.</w:t>
      </w:r>
      <w:r>
        <w:rPr>
          <w:rFonts w:hint="eastAsia" w:ascii="仿宋_GB2312" w:eastAsia="仿宋_GB2312"/>
          <w:color w:val="000000"/>
          <w:sz w:val="32"/>
          <w:szCs w:val="32"/>
        </w:rPr>
        <w:t>科学技术：指反映科学技术方面的支出。</w:t>
      </w:r>
    </w:p>
    <w:p>
      <w:pPr>
        <w:ind w:firstLine="640" w:firstLineChars="200"/>
        <w:rPr>
          <w:rFonts w:ascii="仿宋_GB2312" w:eastAsia="仿宋_GB2312"/>
          <w:color w:val="000000"/>
          <w:sz w:val="32"/>
          <w:szCs w:val="32"/>
        </w:rPr>
      </w:pPr>
      <w:r>
        <w:rPr>
          <w:rFonts w:ascii="仿宋_GB2312" w:eastAsia="仿宋_GB2312"/>
          <w:color w:val="000000"/>
          <w:sz w:val="32"/>
          <w:szCs w:val="32"/>
        </w:rPr>
        <w:t>14.</w:t>
      </w:r>
      <w:r>
        <w:rPr>
          <w:rFonts w:hint="eastAsia" w:ascii="仿宋_GB2312" w:eastAsia="仿宋_GB2312"/>
          <w:color w:val="000000"/>
          <w:sz w:val="32"/>
          <w:szCs w:val="32"/>
        </w:rPr>
        <w:t>文化体育与传媒 ：指反映政府在文化、体育、文物、广播影视、新闻出版等方面的支出。</w:t>
      </w:r>
    </w:p>
    <w:p>
      <w:pPr>
        <w:ind w:firstLine="640" w:firstLineChars="200"/>
        <w:rPr>
          <w:rFonts w:ascii="仿宋_GB2312" w:eastAsia="仿宋_GB2312"/>
          <w:color w:val="000000"/>
          <w:sz w:val="32"/>
          <w:szCs w:val="32"/>
        </w:rPr>
      </w:pPr>
      <w:r>
        <w:rPr>
          <w:rFonts w:ascii="仿宋_GB2312" w:eastAsia="仿宋_GB2312"/>
          <w:color w:val="000000"/>
          <w:sz w:val="32"/>
          <w:szCs w:val="32"/>
        </w:rPr>
        <w:t>15.</w:t>
      </w:r>
      <w:r>
        <w:rPr>
          <w:rFonts w:hint="eastAsia" w:ascii="仿宋_GB2312" w:eastAsia="仿宋_GB2312"/>
          <w:color w:val="000000"/>
          <w:sz w:val="32"/>
          <w:szCs w:val="32"/>
        </w:rPr>
        <w:t>社会保障和就业：指反映政府在社会保障与就业方面的支出。</w:t>
      </w:r>
    </w:p>
    <w:p>
      <w:pPr>
        <w:ind w:firstLine="640" w:firstLineChars="200"/>
        <w:rPr>
          <w:rFonts w:ascii="仿宋_GB2312" w:eastAsia="仿宋_GB2312"/>
          <w:color w:val="000000"/>
          <w:sz w:val="32"/>
          <w:szCs w:val="32"/>
        </w:rPr>
      </w:pPr>
      <w:r>
        <w:rPr>
          <w:rFonts w:ascii="仿宋_GB2312" w:eastAsia="仿宋_GB2312"/>
          <w:color w:val="000000"/>
          <w:sz w:val="32"/>
          <w:szCs w:val="32"/>
        </w:rPr>
        <w:t>16.</w:t>
      </w:r>
      <w:r>
        <w:rPr>
          <w:rFonts w:hint="eastAsia" w:ascii="仿宋_GB2312" w:eastAsia="仿宋_GB2312"/>
          <w:color w:val="000000"/>
          <w:sz w:val="32"/>
          <w:szCs w:val="32"/>
        </w:rPr>
        <w:t>医疗卫生与计划生育：指反映医疗卫生与计划生育、中医等管理事务方面的支出。</w:t>
      </w:r>
    </w:p>
    <w:p>
      <w:pPr>
        <w:ind w:firstLine="640" w:firstLineChars="200"/>
        <w:rPr>
          <w:rFonts w:ascii="仿宋_GB2312" w:eastAsia="仿宋_GB2312"/>
          <w:color w:val="000000"/>
          <w:sz w:val="32"/>
          <w:szCs w:val="32"/>
        </w:rPr>
      </w:pPr>
      <w:r>
        <w:rPr>
          <w:rFonts w:ascii="仿宋_GB2312" w:eastAsia="仿宋_GB2312"/>
          <w:color w:val="000000"/>
          <w:sz w:val="32"/>
          <w:szCs w:val="32"/>
        </w:rPr>
        <w:t>17.</w:t>
      </w:r>
      <w:r>
        <w:rPr>
          <w:rFonts w:hint="eastAsia" w:ascii="仿宋_GB2312" w:eastAsia="仿宋_GB2312"/>
          <w:color w:val="000000"/>
          <w:sz w:val="32"/>
          <w:szCs w:val="32"/>
        </w:rPr>
        <w:t>节能环保：指反映政府节能环保支出。</w:t>
      </w:r>
    </w:p>
    <w:p>
      <w:pPr>
        <w:ind w:firstLine="640" w:firstLineChars="200"/>
        <w:rPr>
          <w:rFonts w:ascii="仿宋_GB2312" w:eastAsia="仿宋_GB2312"/>
          <w:color w:val="000000"/>
          <w:sz w:val="32"/>
          <w:szCs w:val="32"/>
        </w:rPr>
      </w:pPr>
      <w:r>
        <w:rPr>
          <w:rFonts w:ascii="仿宋_GB2312" w:eastAsia="仿宋_GB2312"/>
          <w:color w:val="000000"/>
          <w:sz w:val="32"/>
          <w:szCs w:val="32"/>
        </w:rPr>
        <w:t>18.</w:t>
      </w:r>
      <w:r>
        <w:rPr>
          <w:rFonts w:hint="eastAsia" w:ascii="仿宋_GB2312" w:eastAsia="仿宋_GB2312"/>
          <w:color w:val="000000"/>
          <w:sz w:val="32"/>
          <w:szCs w:val="32"/>
        </w:rPr>
        <w:t>城乡社区：指反映政府城乡管理事务支出。</w:t>
      </w:r>
    </w:p>
    <w:p>
      <w:pPr>
        <w:numPr>
          <w:ilvl w:val="0"/>
          <w:numId w:val="7"/>
        </w:numPr>
        <w:ind w:firstLine="640" w:firstLineChars="200"/>
        <w:rPr>
          <w:rFonts w:ascii="仿宋_GB2312" w:eastAsia="仿宋_GB2312"/>
          <w:color w:val="000000"/>
          <w:sz w:val="32"/>
          <w:szCs w:val="32"/>
        </w:rPr>
      </w:pPr>
      <w:r>
        <w:rPr>
          <w:rFonts w:hint="eastAsia" w:ascii="仿宋_GB2312" w:eastAsia="仿宋_GB2312"/>
          <w:color w:val="000000"/>
          <w:sz w:val="32"/>
          <w:szCs w:val="32"/>
        </w:rPr>
        <w:t>农林水：指反映政府农林水支出。</w:t>
      </w:r>
    </w:p>
    <w:p>
      <w:pPr>
        <w:ind w:firstLine="640" w:firstLineChars="200"/>
        <w:rPr>
          <w:rFonts w:ascii="仿宋_GB2312" w:eastAsia="仿宋_GB2312"/>
          <w:color w:val="000000"/>
          <w:sz w:val="32"/>
          <w:szCs w:val="32"/>
        </w:rPr>
      </w:pPr>
      <w:r>
        <w:rPr>
          <w:rFonts w:ascii="仿宋_GB2312" w:eastAsia="仿宋_GB2312"/>
          <w:color w:val="000000"/>
          <w:sz w:val="32"/>
          <w:szCs w:val="32"/>
        </w:rPr>
        <w:t>20.</w:t>
      </w:r>
      <w:r>
        <w:rPr>
          <w:rFonts w:hint="eastAsia" w:ascii="仿宋_GB2312" w:eastAsia="仿宋_GB2312"/>
          <w:color w:val="000000"/>
          <w:sz w:val="32"/>
          <w:szCs w:val="32"/>
        </w:rPr>
        <w:t>交通运输：指反映交通运输和邮政业务相关的支出。</w:t>
      </w:r>
    </w:p>
    <w:p>
      <w:pPr>
        <w:ind w:firstLine="640" w:firstLineChars="200"/>
        <w:rPr>
          <w:rFonts w:ascii="仿宋_GB2312" w:eastAsia="仿宋_GB2312"/>
          <w:color w:val="000000"/>
          <w:sz w:val="32"/>
          <w:szCs w:val="32"/>
        </w:rPr>
      </w:pPr>
      <w:r>
        <w:rPr>
          <w:rFonts w:ascii="仿宋_GB2312" w:eastAsia="仿宋_GB2312"/>
          <w:color w:val="000000"/>
          <w:sz w:val="32"/>
          <w:szCs w:val="32"/>
        </w:rPr>
        <w:t>21.</w:t>
      </w:r>
      <w:r>
        <w:rPr>
          <w:rFonts w:hint="eastAsia" w:ascii="仿宋_GB2312" w:eastAsia="仿宋_GB2312"/>
          <w:color w:val="000000"/>
          <w:sz w:val="32"/>
          <w:szCs w:val="32"/>
        </w:rPr>
        <w:t>资源勘探信息等：指反映用于资源勘探、制造业、建筑业、工业信息等方面的支出。</w:t>
      </w:r>
    </w:p>
    <w:p>
      <w:pPr>
        <w:ind w:firstLine="640" w:firstLineChars="200"/>
        <w:rPr>
          <w:rFonts w:ascii="仿宋_GB2312" w:eastAsia="仿宋_GB2312"/>
          <w:color w:val="000000"/>
          <w:sz w:val="32"/>
          <w:szCs w:val="32"/>
        </w:rPr>
      </w:pPr>
      <w:r>
        <w:rPr>
          <w:rFonts w:ascii="仿宋_GB2312" w:eastAsia="仿宋_GB2312"/>
          <w:color w:val="000000"/>
          <w:sz w:val="32"/>
          <w:szCs w:val="32"/>
        </w:rPr>
        <w:t>22.</w:t>
      </w:r>
      <w:r>
        <w:rPr>
          <w:rFonts w:hint="eastAsia" w:ascii="仿宋_GB2312" w:eastAsia="仿宋_GB2312"/>
          <w:color w:val="000000"/>
          <w:sz w:val="32"/>
          <w:szCs w:val="32"/>
        </w:rPr>
        <w:t>商业服务业：指反映商业服务等方面的支出。</w:t>
      </w:r>
    </w:p>
    <w:p>
      <w:pPr>
        <w:ind w:firstLine="640" w:firstLineChars="200"/>
        <w:rPr>
          <w:rFonts w:ascii="仿宋_GB2312" w:eastAsia="仿宋_GB2312"/>
          <w:color w:val="000000"/>
          <w:sz w:val="32"/>
          <w:szCs w:val="32"/>
        </w:rPr>
      </w:pPr>
      <w:r>
        <w:rPr>
          <w:rFonts w:ascii="仿宋_GB2312" w:eastAsia="仿宋_GB2312"/>
          <w:color w:val="000000"/>
          <w:sz w:val="32"/>
          <w:szCs w:val="32"/>
        </w:rPr>
        <w:t>23.</w:t>
      </w:r>
      <w:r>
        <w:rPr>
          <w:rFonts w:hint="eastAsia" w:ascii="仿宋_GB2312" w:eastAsia="仿宋_GB2312"/>
          <w:color w:val="000000"/>
          <w:sz w:val="32"/>
          <w:szCs w:val="32"/>
        </w:rPr>
        <w:t>金融：指反映金融方面的支出。</w:t>
      </w:r>
    </w:p>
    <w:p>
      <w:pPr>
        <w:ind w:firstLine="640" w:firstLineChars="200"/>
        <w:rPr>
          <w:rFonts w:ascii="仿宋_GB2312" w:eastAsia="仿宋_GB2312"/>
          <w:color w:val="000000"/>
          <w:sz w:val="32"/>
          <w:szCs w:val="32"/>
        </w:rPr>
      </w:pPr>
      <w:r>
        <w:rPr>
          <w:rFonts w:ascii="仿宋_GB2312" w:eastAsia="仿宋_GB2312"/>
          <w:color w:val="000000"/>
          <w:sz w:val="32"/>
          <w:szCs w:val="32"/>
        </w:rPr>
        <w:t>24.</w:t>
      </w:r>
      <w:r>
        <w:rPr>
          <w:rFonts w:hint="eastAsia" w:ascii="仿宋_GB2312" w:eastAsia="仿宋_GB2312"/>
          <w:color w:val="000000"/>
          <w:sz w:val="32"/>
          <w:szCs w:val="32"/>
        </w:rPr>
        <w:t>国土海洋气象：指反映政府用于国土资源、海洋、测绘、地震、气象等公益服务事业方面的支出。</w:t>
      </w:r>
    </w:p>
    <w:p>
      <w:pPr>
        <w:ind w:firstLine="640" w:firstLineChars="200"/>
        <w:rPr>
          <w:rFonts w:ascii="仿宋_GB2312" w:eastAsia="仿宋_GB2312"/>
          <w:color w:val="000000"/>
          <w:sz w:val="32"/>
          <w:szCs w:val="32"/>
        </w:rPr>
      </w:pPr>
      <w:r>
        <w:rPr>
          <w:rFonts w:ascii="仿宋_GB2312" w:eastAsia="仿宋_GB2312"/>
          <w:color w:val="000000"/>
          <w:sz w:val="32"/>
          <w:szCs w:val="32"/>
        </w:rPr>
        <w:t>25.</w:t>
      </w:r>
      <w:r>
        <w:rPr>
          <w:rFonts w:hint="eastAsia" w:ascii="仿宋_GB2312" w:eastAsia="仿宋_GB2312"/>
          <w:color w:val="000000"/>
          <w:sz w:val="32"/>
          <w:szCs w:val="32"/>
        </w:rPr>
        <w:t>住房保障：指集中反映政府用于住房方面的支出。</w:t>
      </w:r>
    </w:p>
    <w:p>
      <w:pPr>
        <w:ind w:firstLine="640" w:firstLineChars="200"/>
        <w:rPr>
          <w:rFonts w:ascii="仿宋_GB2312" w:eastAsia="仿宋_GB2312"/>
          <w:color w:val="000000"/>
          <w:sz w:val="32"/>
          <w:szCs w:val="32"/>
        </w:rPr>
      </w:pPr>
      <w:r>
        <w:rPr>
          <w:rFonts w:ascii="仿宋_GB2312" w:eastAsia="仿宋_GB2312"/>
          <w:color w:val="000000"/>
          <w:sz w:val="32"/>
          <w:szCs w:val="32"/>
        </w:rPr>
        <w:t>26.</w:t>
      </w:r>
      <w:r>
        <w:rPr>
          <w:rFonts w:hint="eastAsia" w:ascii="仿宋_GB2312" w:eastAsia="仿宋_GB2312"/>
          <w:color w:val="000000"/>
          <w:sz w:val="32"/>
          <w:szCs w:val="32"/>
        </w:rPr>
        <w:t>粮油物资储备：指反映政府用于粮油物资储备方面的支出。</w:t>
      </w:r>
    </w:p>
    <w:p>
      <w:pPr>
        <w:ind w:firstLine="640" w:firstLineChars="200"/>
        <w:rPr>
          <w:rFonts w:ascii="仿宋_GB2312" w:eastAsia="仿宋_GB2312"/>
          <w:color w:val="000000"/>
          <w:sz w:val="32"/>
          <w:szCs w:val="32"/>
        </w:rPr>
      </w:pPr>
      <w:r>
        <w:rPr>
          <w:rFonts w:ascii="仿宋_GB2312" w:eastAsia="仿宋_GB2312"/>
          <w:color w:val="000000"/>
          <w:sz w:val="32"/>
          <w:szCs w:val="32"/>
        </w:rPr>
        <w:t>27.</w:t>
      </w:r>
      <w:r>
        <w:rPr>
          <w:rFonts w:hint="eastAsia" w:ascii="仿宋_GB2312" w:eastAsia="仿宋_GB2312"/>
          <w:color w:val="000000"/>
          <w:sz w:val="32"/>
          <w:szCs w:val="32"/>
        </w:rPr>
        <w:t>基本支出：指为保障机构正常运转、完成日常工作任务而发生的人员支出和公用支出。</w:t>
      </w:r>
    </w:p>
    <w:p>
      <w:pPr>
        <w:ind w:firstLine="640" w:firstLineChars="200"/>
        <w:rPr>
          <w:rFonts w:ascii="仿宋_GB2312" w:eastAsia="仿宋_GB2312"/>
          <w:color w:val="000000"/>
          <w:sz w:val="32"/>
          <w:szCs w:val="32"/>
        </w:rPr>
      </w:pPr>
      <w:r>
        <w:rPr>
          <w:rFonts w:ascii="仿宋_GB2312" w:eastAsia="仿宋_GB2312"/>
          <w:color w:val="000000"/>
          <w:sz w:val="32"/>
          <w:szCs w:val="32"/>
        </w:rPr>
        <w:t>28.</w:t>
      </w:r>
      <w:r>
        <w:rPr>
          <w:rFonts w:hint="eastAsia" w:ascii="仿宋_GB2312" w:eastAsia="仿宋_GB2312"/>
          <w:color w:val="000000"/>
          <w:sz w:val="32"/>
          <w:szCs w:val="32"/>
        </w:rPr>
        <w:t>项目支出：指在基本支出之外为完成特定行政任务和事业发展目标所发生的支出。</w:t>
      </w:r>
    </w:p>
    <w:p>
      <w:pPr>
        <w:ind w:firstLine="640" w:firstLineChars="200"/>
        <w:rPr>
          <w:rFonts w:ascii="仿宋_GB2312" w:eastAsia="仿宋_GB2312"/>
          <w:color w:val="000000"/>
          <w:sz w:val="32"/>
          <w:szCs w:val="32"/>
        </w:rPr>
      </w:pPr>
      <w:r>
        <w:rPr>
          <w:rFonts w:ascii="仿宋_GB2312" w:eastAsia="仿宋_GB2312"/>
          <w:color w:val="000000"/>
          <w:sz w:val="32"/>
          <w:szCs w:val="32"/>
        </w:rPr>
        <w:t>29.</w:t>
      </w:r>
      <w:r>
        <w:rPr>
          <w:rFonts w:hint="eastAsia" w:ascii="仿宋_GB2312" w:eastAsia="仿宋_GB2312"/>
          <w:color w:val="000000"/>
          <w:sz w:val="32"/>
          <w:szCs w:val="32"/>
        </w:rPr>
        <w:t>经营支出：指事业单位在专业业务活动及其辅助活动之外开展非独立核算经营活动发生的支出。</w:t>
      </w:r>
    </w:p>
    <w:p>
      <w:pPr>
        <w:pStyle w:val="23"/>
        <w:spacing w:line="560" w:lineRule="exact"/>
        <w:ind w:firstLine="640" w:firstLineChars="200"/>
        <w:rPr>
          <w:rFonts w:ascii="仿宋_GB2312" w:eastAsia="仿宋_GB2312"/>
          <w:sz w:val="32"/>
          <w:szCs w:val="32"/>
        </w:rPr>
      </w:pPr>
      <w:r>
        <w:rPr>
          <w:rFonts w:ascii="仿宋_GB2312" w:eastAsia="仿宋_GB2312"/>
          <w:sz w:val="32"/>
          <w:szCs w:val="32"/>
        </w:rPr>
        <w:t>30.</w:t>
      </w:r>
      <w:r>
        <w:rPr>
          <w:rFonts w:hint="eastAsia" w:ascii="仿宋_GB2312" w:eastAsia="仿宋_GB2312"/>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3"/>
        <w:spacing w:line="560" w:lineRule="exact"/>
        <w:ind w:firstLine="640" w:firstLineChars="200"/>
        <w:rPr>
          <w:rFonts w:ascii="仿宋_GB2312" w:eastAsia="仿宋_GB2312"/>
          <w:sz w:val="32"/>
          <w:szCs w:val="32"/>
        </w:rPr>
      </w:pPr>
      <w:r>
        <w:rPr>
          <w:rFonts w:ascii="仿宋_GB2312" w:eastAsia="仿宋_GB2312"/>
          <w:sz w:val="32"/>
          <w:szCs w:val="32"/>
        </w:rPr>
        <w:t>31.</w:t>
      </w:r>
      <w:r>
        <w:rPr>
          <w:rFonts w:hint="eastAsia" w:ascii="仿宋_GB2312" w:eastAsia="仿宋_GB2312"/>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600" w:lineRule="exact"/>
        <w:jc w:val="center"/>
        <w:outlineLvl w:val="0"/>
        <w:rPr>
          <w:rStyle w:val="25"/>
          <w:rFonts w:ascii="黑体" w:hAnsi="黑体" w:eastAsia="黑体"/>
          <w:b w:val="0"/>
        </w:rPr>
      </w:pPr>
      <w:r>
        <w:rPr>
          <w:rFonts w:ascii="宋体"/>
          <w:b/>
          <w:color w:val="000000"/>
          <w:sz w:val="44"/>
          <w:szCs w:val="44"/>
        </w:rPr>
        <w:br w:type="page"/>
      </w:r>
      <w:bookmarkStart w:id="58" w:name="_Toc15396614"/>
      <w:r>
        <w:rPr>
          <w:rFonts w:hint="eastAsia" w:ascii="黑体" w:hAnsi="黑体" w:eastAsia="黑体"/>
          <w:color w:val="000000"/>
          <w:sz w:val="44"/>
          <w:szCs w:val="44"/>
        </w:rPr>
        <w:t>第</w:t>
      </w:r>
      <w:r>
        <w:rPr>
          <w:rStyle w:val="25"/>
          <w:rFonts w:hint="eastAsia" w:ascii="黑体" w:hAnsi="黑体" w:eastAsia="黑体"/>
          <w:b w:val="0"/>
        </w:rPr>
        <w:t>四部分 附件</w:t>
      </w:r>
      <w:bookmarkEnd w:id="58"/>
    </w:p>
    <w:p>
      <w:pPr>
        <w:spacing w:line="600" w:lineRule="exact"/>
        <w:jc w:val="left"/>
        <w:outlineLvl w:val="0"/>
        <w:rPr>
          <w:rFonts w:ascii="方正小标宋简体" w:hAnsi="方正小标宋简体" w:eastAsia="方正小标宋简体" w:cs="方正小标宋简体"/>
          <w:sz w:val="44"/>
          <w:szCs w:val="44"/>
        </w:rPr>
      </w:pPr>
      <w:r>
        <w:rPr>
          <w:rFonts w:hint="eastAsia" w:ascii="黑体" w:hAnsi="黑体" w:eastAsia="黑体" w:cs="黑体"/>
          <w:sz w:val="32"/>
          <w:szCs w:val="32"/>
        </w:rPr>
        <w:t>附件1</w:t>
      </w:r>
    </w:p>
    <w:p>
      <w:pPr>
        <w:spacing w:line="600" w:lineRule="exact"/>
        <w:jc w:val="center"/>
        <w:rPr>
          <w:rFonts w:ascii="仿宋_GB2312" w:hAnsi="宋体" w:eastAsia="仿宋_GB2312"/>
          <w:sz w:val="32"/>
          <w:szCs w:val="32"/>
          <w:shd w:val="clear" w:color="auto" w:fill="FFFFFF"/>
        </w:rPr>
      </w:pPr>
      <w:r>
        <w:rPr>
          <w:rFonts w:hint="eastAsia" w:ascii="方正小标宋简体" w:hAnsi="宋体" w:eastAsia="方正小标宋简体"/>
          <w:color w:val="000000"/>
          <w:kern w:val="0"/>
          <w:sz w:val="40"/>
          <w:szCs w:val="44"/>
          <w:lang w:val="en-US" w:eastAsia="zh-CN"/>
        </w:rPr>
        <w:t>纪委</w:t>
      </w:r>
      <w:r>
        <w:rPr>
          <w:rFonts w:ascii="方正小标宋简体" w:hAnsi="宋体" w:eastAsia="方正小标宋简体"/>
          <w:color w:val="000000"/>
          <w:kern w:val="0"/>
          <w:sz w:val="40"/>
          <w:szCs w:val="44"/>
        </w:rPr>
        <w:t>2019年部门</w:t>
      </w:r>
      <w:r>
        <w:rPr>
          <w:rFonts w:hint="eastAsia" w:ascii="方正小标宋简体" w:hAnsi="宋体" w:eastAsia="方正小标宋简体"/>
          <w:color w:val="000000"/>
          <w:kern w:val="0"/>
          <w:sz w:val="40"/>
          <w:szCs w:val="44"/>
          <w:lang w:val="zh-CN"/>
        </w:rPr>
        <w:t>整体支出绩效评价报告</w:t>
      </w:r>
    </w:p>
    <w:p>
      <w:pPr>
        <w:spacing w:line="580" w:lineRule="exact"/>
        <w:ind w:firstLine="640" w:firstLineChars="200"/>
        <w:rPr>
          <w:rFonts w:ascii="黑体" w:hAnsi="宋体" w:eastAsia="黑体" w:cs="宋体"/>
          <w:color w:val="000000"/>
          <w:kern w:val="0"/>
          <w:sz w:val="24"/>
          <w:szCs w:val="32"/>
          <w:shd w:val="clear" w:color="auto" w:fill="FFFFFF"/>
        </w:rPr>
      </w:pPr>
      <w:r>
        <w:rPr>
          <w:rFonts w:hint="eastAsia" w:ascii="黑体" w:hAnsi="黑体" w:eastAsia="黑体" w:cs="黑体"/>
          <w:sz w:val="32"/>
          <w:szCs w:val="32"/>
          <w:lang w:val="en-US" w:eastAsia="zh-CN"/>
        </w:rPr>
        <w:t>由于本单位无项目，所以无支出绩效评价报告。</w:t>
      </w:r>
    </w:p>
    <w:p>
      <w:pPr>
        <w:widowControl/>
        <w:adjustRightInd w:val="0"/>
        <w:snapToGrid w:val="0"/>
        <w:spacing w:line="580" w:lineRule="exact"/>
        <w:ind w:firstLine="640" w:firstLineChars="200"/>
        <w:contextualSpacing/>
        <w:jc w:val="left"/>
        <w:rPr>
          <w:rFonts w:ascii="黑体" w:hAnsi="宋体" w:eastAsia="黑体" w:cs="宋体"/>
          <w:color w:val="000000"/>
          <w:kern w:val="0"/>
          <w:sz w:val="32"/>
          <w:szCs w:val="32"/>
          <w:shd w:val="clear" w:color="auto" w:fill="FFFFFF"/>
          <w:lang w:val="zh-CN"/>
        </w:rPr>
      </w:pPr>
      <w:r>
        <w:rPr>
          <w:rFonts w:hint="eastAsia" w:ascii="黑体" w:hAnsi="宋体" w:eastAsia="黑体" w:cs="宋体"/>
          <w:color w:val="000000"/>
          <w:kern w:val="0"/>
          <w:sz w:val="32"/>
          <w:szCs w:val="32"/>
          <w:shd w:val="clear" w:color="auto" w:fill="FFFFFF"/>
        </w:rPr>
        <w:t>一、</w:t>
      </w:r>
      <w:r>
        <w:rPr>
          <w:rFonts w:hint="eastAsia" w:ascii="黑体" w:hAnsi="宋体" w:eastAsia="黑体" w:cs="宋体"/>
          <w:color w:val="000000"/>
          <w:kern w:val="0"/>
          <w:sz w:val="32"/>
          <w:szCs w:val="32"/>
          <w:shd w:val="clear" w:color="auto" w:fill="FFFFFF"/>
          <w:lang w:val="zh-CN"/>
        </w:rPr>
        <w:t>部门（单位）概况</w:t>
      </w:r>
    </w:p>
    <w:p>
      <w:pPr>
        <w:widowControl/>
        <w:adjustRightInd w:val="0"/>
        <w:snapToGrid w:val="0"/>
        <w:spacing w:line="580" w:lineRule="exact"/>
        <w:ind w:firstLine="640" w:firstLineChars="200"/>
        <w:contextualSpacing/>
        <w:jc w:val="left"/>
        <w:rPr>
          <w:rFonts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（一）机构组成。</w:t>
      </w:r>
    </w:p>
    <w:p>
      <w:pPr>
        <w:widowControl/>
        <w:adjustRightInd w:val="0"/>
        <w:snapToGrid w:val="0"/>
        <w:spacing w:line="580" w:lineRule="exact"/>
        <w:ind w:firstLine="640" w:firstLineChars="200"/>
        <w:contextualSpacing/>
        <w:jc w:val="left"/>
        <w:rPr>
          <w:rFonts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（二）机构职能。</w:t>
      </w:r>
    </w:p>
    <w:p>
      <w:pPr>
        <w:widowControl/>
        <w:adjustRightInd w:val="0"/>
        <w:snapToGrid w:val="0"/>
        <w:spacing w:line="580" w:lineRule="exact"/>
        <w:ind w:firstLine="640" w:firstLineChars="200"/>
        <w:contextualSpacing/>
        <w:jc w:val="left"/>
        <w:rPr>
          <w:rFonts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（三）人员概况。</w:t>
      </w:r>
    </w:p>
    <w:p>
      <w:pPr>
        <w:widowControl/>
        <w:adjustRightInd w:val="0"/>
        <w:snapToGrid w:val="0"/>
        <w:spacing w:line="580" w:lineRule="exact"/>
        <w:ind w:firstLine="640" w:firstLineChars="200"/>
        <w:contextualSpacing/>
        <w:jc w:val="left"/>
        <w:rPr>
          <w:rFonts w:ascii="黑体" w:hAnsi="宋体" w:eastAsia="黑体" w:cs="宋体"/>
          <w:color w:val="000000"/>
          <w:kern w:val="0"/>
          <w:sz w:val="32"/>
          <w:szCs w:val="32"/>
          <w:shd w:val="clear" w:color="auto" w:fill="FFFFFF"/>
        </w:rPr>
      </w:pPr>
      <w:r>
        <w:rPr>
          <w:rFonts w:hint="eastAsia" w:ascii="黑体" w:hAnsi="宋体" w:eastAsia="黑体" w:cs="宋体"/>
          <w:color w:val="000000"/>
          <w:kern w:val="0"/>
          <w:sz w:val="32"/>
          <w:szCs w:val="32"/>
          <w:shd w:val="clear" w:color="auto" w:fill="FFFFFF"/>
        </w:rPr>
        <w:t>二、部门财政资金收支情况</w:t>
      </w:r>
    </w:p>
    <w:p>
      <w:pPr>
        <w:widowControl/>
        <w:adjustRightInd w:val="0"/>
        <w:snapToGrid w:val="0"/>
        <w:spacing w:line="580" w:lineRule="exact"/>
        <w:ind w:firstLine="640" w:firstLineChars="200"/>
        <w:contextualSpacing/>
        <w:jc w:val="left"/>
        <w:rPr>
          <w:rFonts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（一）部门财政资金收入情况。</w:t>
      </w:r>
    </w:p>
    <w:p>
      <w:pPr>
        <w:widowControl/>
        <w:adjustRightInd w:val="0"/>
        <w:snapToGrid w:val="0"/>
        <w:spacing w:line="580" w:lineRule="exact"/>
        <w:ind w:firstLine="640" w:firstLineChars="200"/>
        <w:contextualSpacing/>
        <w:jc w:val="left"/>
        <w:rPr>
          <w:rFonts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（二）部门财政资金支出情况。</w:t>
      </w:r>
    </w:p>
    <w:p>
      <w:pPr>
        <w:widowControl/>
        <w:adjustRightInd w:val="0"/>
        <w:snapToGrid w:val="0"/>
        <w:spacing w:line="580" w:lineRule="exact"/>
        <w:ind w:firstLine="640" w:firstLineChars="200"/>
        <w:contextualSpacing/>
        <w:jc w:val="left"/>
        <w:rPr>
          <w:rFonts w:ascii="黑体" w:hAnsi="宋体" w:eastAsia="黑体" w:cs="宋体"/>
          <w:color w:val="000000"/>
          <w:kern w:val="0"/>
          <w:sz w:val="32"/>
          <w:szCs w:val="32"/>
          <w:shd w:val="clear" w:color="auto" w:fill="FFFFFF"/>
        </w:rPr>
      </w:pPr>
      <w:r>
        <w:rPr>
          <w:rFonts w:hint="eastAsia" w:ascii="黑体" w:hAnsi="宋体" w:eastAsia="黑体" w:cs="宋体"/>
          <w:color w:val="000000"/>
          <w:kern w:val="0"/>
          <w:sz w:val="32"/>
          <w:szCs w:val="32"/>
          <w:shd w:val="clear" w:color="auto" w:fill="FFFFFF"/>
        </w:rPr>
        <w:t>三、部门整体预算绩效管理情况</w:t>
      </w:r>
    </w:p>
    <w:p>
      <w:pPr>
        <w:widowControl/>
        <w:adjustRightInd w:val="0"/>
        <w:snapToGrid w:val="0"/>
        <w:spacing w:line="580" w:lineRule="exact"/>
        <w:ind w:firstLine="640" w:firstLineChars="200"/>
        <w:contextualSpacing/>
        <w:jc w:val="left"/>
        <w:rPr>
          <w:rFonts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（一）部门预算管理。</w:t>
      </w:r>
    </w:p>
    <w:p>
      <w:pPr>
        <w:widowControl/>
        <w:adjustRightInd w:val="0"/>
        <w:snapToGrid w:val="0"/>
        <w:spacing w:line="580" w:lineRule="exact"/>
        <w:ind w:firstLine="640" w:firstLineChars="200"/>
        <w:contextualSpacing/>
        <w:jc w:val="left"/>
        <w:rPr>
          <w:rFonts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包括部门绩效目标制定、目标实现、预算编制准确、支出控制、预算动态调整、执行进度、预算完成情况和违规记录等情况。</w:t>
      </w:r>
    </w:p>
    <w:p>
      <w:pPr>
        <w:widowControl/>
        <w:adjustRightInd w:val="0"/>
        <w:snapToGrid w:val="0"/>
        <w:spacing w:line="580" w:lineRule="exact"/>
        <w:ind w:firstLine="640" w:firstLineChars="200"/>
        <w:contextualSpacing/>
        <w:jc w:val="left"/>
        <w:rPr>
          <w:rFonts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（二）结果应用情况。</w:t>
      </w:r>
    </w:p>
    <w:p>
      <w:pPr>
        <w:widowControl/>
        <w:adjustRightInd w:val="0"/>
        <w:snapToGrid w:val="0"/>
        <w:spacing w:line="580" w:lineRule="exact"/>
        <w:ind w:firstLine="640" w:firstLineChars="200"/>
        <w:contextualSpacing/>
        <w:jc w:val="left"/>
        <w:rPr>
          <w:rFonts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包括绩效自评公开、评价结果整改和应用结果反馈等情况。</w:t>
      </w:r>
    </w:p>
    <w:p>
      <w:pPr>
        <w:widowControl/>
        <w:adjustRightInd w:val="0"/>
        <w:snapToGrid w:val="0"/>
        <w:spacing w:line="580" w:lineRule="exact"/>
        <w:ind w:firstLine="640" w:firstLineChars="200"/>
        <w:contextualSpacing/>
        <w:jc w:val="left"/>
        <w:rPr>
          <w:rFonts w:ascii="黑体" w:hAnsi="宋体" w:eastAsia="黑体" w:cs="宋体"/>
          <w:color w:val="000000"/>
          <w:kern w:val="0"/>
          <w:sz w:val="32"/>
          <w:szCs w:val="32"/>
          <w:shd w:val="clear" w:color="auto" w:fill="FFFFFF"/>
        </w:rPr>
      </w:pPr>
      <w:r>
        <w:rPr>
          <w:rFonts w:hint="eastAsia" w:ascii="黑体" w:hAnsi="宋体" w:eastAsia="黑体" w:cs="宋体"/>
          <w:color w:val="000000"/>
          <w:kern w:val="0"/>
          <w:sz w:val="32"/>
          <w:szCs w:val="32"/>
          <w:shd w:val="clear" w:color="auto" w:fill="FFFFFF"/>
        </w:rPr>
        <w:t>四、评价结论及建议</w:t>
      </w:r>
    </w:p>
    <w:p>
      <w:pPr>
        <w:widowControl/>
        <w:adjustRightInd w:val="0"/>
        <w:snapToGrid w:val="0"/>
        <w:spacing w:line="580" w:lineRule="exact"/>
        <w:ind w:firstLine="640" w:firstLineChars="200"/>
        <w:contextualSpacing/>
        <w:jc w:val="left"/>
        <w:rPr>
          <w:rFonts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（一）评价结论。</w:t>
      </w:r>
    </w:p>
    <w:p>
      <w:pPr>
        <w:widowControl/>
        <w:adjustRightInd w:val="0"/>
        <w:snapToGrid w:val="0"/>
        <w:spacing w:line="580" w:lineRule="exact"/>
        <w:ind w:firstLine="640" w:firstLineChars="200"/>
        <w:contextualSpacing/>
        <w:jc w:val="left"/>
        <w:rPr>
          <w:rFonts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（二）存在问题。</w:t>
      </w:r>
    </w:p>
    <w:p>
      <w:pPr>
        <w:widowControl/>
        <w:adjustRightInd w:val="0"/>
        <w:snapToGrid w:val="0"/>
        <w:spacing w:line="580" w:lineRule="exact"/>
        <w:ind w:firstLine="640" w:firstLineChars="200"/>
        <w:contextualSpacing/>
        <w:jc w:val="left"/>
        <w:rPr>
          <w:rFonts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（三）改进建议。</w:t>
      </w:r>
    </w:p>
    <w:p>
      <w:pPr>
        <w:spacing w:line="580" w:lineRule="exact"/>
        <w:ind w:firstLine="640" w:firstLineChars="200"/>
        <w:rPr>
          <w:rFonts w:ascii="仿宋_GB2312" w:hAnsi="仿宋_GB2312" w:eastAsia="仿宋_GB2312" w:cs="仿宋_GB2312"/>
          <w:sz w:val="32"/>
          <w:szCs w:val="32"/>
        </w:rPr>
      </w:pPr>
    </w:p>
    <w:p>
      <w:pPr>
        <w:spacing w:line="580" w:lineRule="exact"/>
        <w:ind w:firstLine="640" w:firstLineChars="200"/>
        <w:rPr>
          <w:rFonts w:ascii="仿宋_GB2312" w:hAnsi="仿宋_GB2312" w:eastAsia="仿宋_GB2312" w:cs="仿宋_GB2312"/>
          <w:sz w:val="32"/>
          <w:szCs w:val="32"/>
        </w:rPr>
      </w:pPr>
    </w:p>
    <w:p>
      <w:pPr>
        <w:spacing w:line="580" w:lineRule="exact"/>
        <w:rPr>
          <w:rFonts w:ascii="仿宋_GB2312" w:hAnsi="仿宋_GB2312" w:eastAsia="仿宋_GB2312" w:cs="仿宋_GB2312"/>
          <w:sz w:val="32"/>
          <w:szCs w:val="32"/>
        </w:rPr>
      </w:pPr>
      <w:r>
        <w:rPr>
          <w:rFonts w:hint="eastAsia" w:ascii="黑体" w:hAnsi="黑体" w:eastAsia="黑体" w:cs="黑体"/>
          <w:sz w:val="32"/>
          <w:szCs w:val="32"/>
        </w:rPr>
        <w:t>附件2</w:t>
      </w:r>
    </w:p>
    <w:p>
      <w:pPr>
        <w:spacing w:line="580" w:lineRule="exact"/>
        <w:ind w:firstLine="640" w:firstLineChars="200"/>
        <w:rPr>
          <w:rFonts w:ascii="仿宋_GB2312" w:hAnsi="仿宋_GB2312" w:eastAsia="仿宋_GB2312" w:cs="仿宋_GB2312"/>
          <w:sz w:val="32"/>
          <w:szCs w:val="32"/>
        </w:rPr>
      </w:pPr>
    </w:p>
    <w:p>
      <w:pPr>
        <w:spacing w:line="600" w:lineRule="exact"/>
        <w:jc w:val="center"/>
        <w:rPr>
          <w:rFonts w:ascii="方正小标宋简体" w:hAnsi="宋体" w:eastAsia="方正小标宋简体"/>
          <w:color w:val="000000"/>
          <w:kern w:val="0"/>
          <w:sz w:val="44"/>
          <w:szCs w:val="44"/>
          <w:lang w:val="zh-CN"/>
        </w:rPr>
      </w:pPr>
      <w:r>
        <w:rPr>
          <w:rFonts w:hint="eastAsia" w:ascii="方正小标宋简体" w:hAnsi="宋体" w:eastAsia="方正小标宋简体"/>
          <w:color w:val="000000"/>
          <w:kern w:val="0"/>
          <w:sz w:val="44"/>
          <w:szCs w:val="44"/>
          <w:lang w:val="en-US" w:eastAsia="zh-CN"/>
        </w:rPr>
        <w:t>纪委</w:t>
      </w:r>
      <w:r>
        <w:rPr>
          <w:rFonts w:hint="eastAsia" w:ascii="方正小标宋简体" w:hAnsi="宋体" w:eastAsia="方正小标宋简体"/>
          <w:color w:val="000000"/>
          <w:kern w:val="0"/>
          <w:sz w:val="44"/>
          <w:szCs w:val="44"/>
        </w:rPr>
        <w:t>2019年</w:t>
      </w:r>
      <w:r>
        <w:rPr>
          <w:rFonts w:hint="eastAsia" w:ascii="方正小标宋简体" w:hAnsi="宋体" w:eastAsia="方正小标宋简体"/>
          <w:color w:val="000000"/>
          <w:kern w:val="0"/>
          <w:sz w:val="44"/>
          <w:szCs w:val="44"/>
          <w:lang w:val="zh-CN"/>
        </w:rPr>
        <w:t>绩效评价报告</w:t>
      </w:r>
    </w:p>
    <w:p>
      <w:pPr>
        <w:spacing w:line="580" w:lineRule="exact"/>
        <w:ind w:firstLine="640" w:firstLineChars="200"/>
        <w:rPr>
          <w:rFonts w:ascii="宋体" w:hAnsi="宋体"/>
          <w:sz w:val="32"/>
          <w:szCs w:val="32"/>
          <w:lang w:val="zh-CN"/>
        </w:rPr>
      </w:pPr>
      <w:r>
        <w:rPr>
          <w:rFonts w:hint="eastAsia" w:ascii="黑体" w:hAnsi="黑体" w:eastAsia="黑体" w:cs="黑体"/>
          <w:sz w:val="32"/>
          <w:szCs w:val="32"/>
          <w:lang w:val="en-US" w:eastAsia="zh-CN"/>
        </w:rPr>
        <w:t>由于本单位无项目，所以无支出绩效评价报告。</w:t>
      </w:r>
    </w:p>
    <w:p>
      <w:pPr>
        <w:adjustRightInd w:val="0"/>
        <w:snapToGrid w:val="0"/>
        <w:spacing w:line="600" w:lineRule="exact"/>
        <w:ind w:firstLine="720"/>
        <w:rPr>
          <w:rFonts w:ascii="黑体" w:hAnsi="宋体" w:eastAsia="黑体"/>
          <w:sz w:val="32"/>
          <w:szCs w:val="32"/>
          <w:lang w:val="zh-CN"/>
        </w:rPr>
      </w:pPr>
      <w:r>
        <w:rPr>
          <w:rFonts w:hint="eastAsia" w:ascii="黑体" w:hAnsi="宋体" w:eastAsia="黑体"/>
          <w:sz w:val="32"/>
          <w:szCs w:val="32"/>
        </w:rPr>
        <w:t>一、</w:t>
      </w:r>
      <w:r>
        <w:rPr>
          <w:rFonts w:hint="eastAsia" w:ascii="黑体" w:hAnsi="宋体" w:eastAsia="黑体"/>
          <w:sz w:val="32"/>
          <w:szCs w:val="32"/>
          <w:lang w:val="zh-CN"/>
        </w:rPr>
        <w:t>项目概况</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（一）项目基本情况。</w:t>
      </w:r>
    </w:p>
    <w:p>
      <w:pPr>
        <w:adjustRightInd w:val="0"/>
        <w:snapToGrid w:val="0"/>
        <w:spacing w:line="600" w:lineRule="exact"/>
        <w:ind w:firstLine="720"/>
        <w:rPr>
          <w:rFonts w:ascii="仿宋_GB2312" w:hAnsi="宋体" w:eastAsia="仿宋_GB2312"/>
          <w:sz w:val="32"/>
          <w:szCs w:val="32"/>
          <w:lang w:val="zh-CN"/>
        </w:rPr>
      </w:pPr>
      <w:r>
        <w:rPr>
          <w:rFonts w:hint="eastAsia" w:ascii="仿宋_GB2312" w:hAnsi="宋体" w:eastAsia="仿宋_GB2312"/>
          <w:sz w:val="32"/>
          <w:szCs w:val="32"/>
          <w:lang w:val="zh-CN"/>
        </w:rPr>
        <w:t>1．说明项目主管部门（单位）在该项目管理中的职能。</w:t>
      </w:r>
    </w:p>
    <w:p>
      <w:pPr>
        <w:adjustRightInd w:val="0"/>
        <w:snapToGrid w:val="0"/>
        <w:spacing w:line="600" w:lineRule="exact"/>
        <w:ind w:firstLine="720"/>
        <w:rPr>
          <w:rFonts w:ascii="仿宋_GB2312" w:hAnsi="宋体" w:eastAsia="仿宋_GB2312"/>
          <w:sz w:val="32"/>
          <w:szCs w:val="32"/>
          <w:lang w:val="zh-CN"/>
        </w:rPr>
      </w:pPr>
      <w:r>
        <w:rPr>
          <w:rFonts w:hint="eastAsia" w:ascii="仿宋_GB2312" w:hAnsi="宋体" w:eastAsia="仿宋_GB2312"/>
          <w:sz w:val="32"/>
          <w:szCs w:val="32"/>
          <w:lang w:val="zh-CN"/>
        </w:rPr>
        <w:t>2．项目立项、资金申报的依据。</w:t>
      </w:r>
    </w:p>
    <w:p>
      <w:pPr>
        <w:adjustRightInd w:val="0"/>
        <w:snapToGrid w:val="0"/>
        <w:spacing w:line="600" w:lineRule="exact"/>
        <w:ind w:firstLine="720"/>
        <w:rPr>
          <w:rFonts w:ascii="仿宋_GB2312" w:hAnsi="宋体" w:eastAsia="仿宋_GB2312"/>
          <w:sz w:val="32"/>
          <w:szCs w:val="32"/>
          <w:lang w:val="zh-CN"/>
        </w:rPr>
      </w:pPr>
      <w:r>
        <w:rPr>
          <w:rFonts w:hint="eastAsia" w:ascii="仿宋_GB2312" w:hAnsi="宋体" w:eastAsia="仿宋_GB2312"/>
          <w:sz w:val="32"/>
          <w:szCs w:val="32"/>
          <w:lang w:val="zh-CN"/>
        </w:rPr>
        <w:t>3．资金管理办法制定情况，资金支持具体项目的条件、范围与支持方式概况。</w:t>
      </w:r>
    </w:p>
    <w:p>
      <w:pPr>
        <w:adjustRightInd w:val="0"/>
        <w:snapToGrid w:val="0"/>
        <w:spacing w:line="600" w:lineRule="exact"/>
        <w:ind w:firstLine="720"/>
        <w:rPr>
          <w:rFonts w:ascii="仿宋_GB2312" w:hAnsi="宋体" w:eastAsia="仿宋_GB2312"/>
          <w:sz w:val="32"/>
          <w:szCs w:val="32"/>
          <w:lang w:val="zh-CN"/>
        </w:rPr>
      </w:pPr>
      <w:r>
        <w:rPr>
          <w:rFonts w:hint="eastAsia" w:ascii="仿宋_GB2312" w:hAnsi="宋体" w:eastAsia="仿宋_GB2312"/>
          <w:sz w:val="32"/>
          <w:szCs w:val="32"/>
          <w:lang w:val="zh-CN"/>
        </w:rPr>
        <w:t>4．资金分配的原则及考虑因素。</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（二）项目绩效目标。</w:t>
      </w:r>
    </w:p>
    <w:p>
      <w:pPr>
        <w:adjustRightInd w:val="0"/>
        <w:snapToGrid w:val="0"/>
        <w:spacing w:line="600" w:lineRule="exact"/>
        <w:ind w:firstLine="720"/>
        <w:rPr>
          <w:rFonts w:ascii="仿宋_GB2312" w:hAnsi="宋体" w:eastAsia="仿宋_GB2312"/>
          <w:sz w:val="32"/>
          <w:szCs w:val="32"/>
          <w:lang w:val="zh-CN"/>
        </w:rPr>
      </w:pPr>
      <w:r>
        <w:rPr>
          <w:rFonts w:hint="eastAsia" w:ascii="仿宋_GB2312" w:hAnsi="宋体" w:eastAsia="仿宋_GB2312"/>
          <w:sz w:val="32"/>
          <w:szCs w:val="32"/>
          <w:lang w:val="zh-CN"/>
        </w:rPr>
        <w:t>1．项目主要内容。</w:t>
      </w:r>
    </w:p>
    <w:p>
      <w:pPr>
        <w:adjustRightInd w:val="0"/>
        <w:snapToGrid w:val="0"/>
        <w:spacing w:line="600" w:lineRule="exact"/>
        <w:ind w:firstLine="720"/>
        <w:rPr>
          <w:rFonts w:ascii="仿宋_GB2312" w:hAnsi="宋体" w:eastAsia="仿宋_GB2312"/>
          <w:sz w:val="32"/>
          <w:szCs w:val="32"/>
          <w:lang w:val="zh-CN"/>
        </w:rPr>
      </w:pPr>
      <w:r>
        <w:rPr>
          <w:rFonts w:hint="eastAsia" w:ascii="仿宋_GB2312" w:hAnsi="宋体" w:eastAsia="仿宋_GB2312"/>
          <w:sz w:val="32"/>
          <w:szCs w:val="32"/>
          <w:lang w:val="zh-CN"/>
        </w:rPr>
        <w:t>2．项目应实现的具体绩效目标，包括目标的量化、细化情况以及项目实施进度计划等。</w:t>
      </w:r>
    </w:p>
    <w:p>
      <w:pPr>
        <w:adjustRightInd w:val="0"/>
        <w:snapToGrid w:val="0"/>
        <w:spacing w:line="600" w:lineRule="exact"/>
        <w:ind w:firstLine="720"/>
        <w:rPr>
          <w:rFonts w:ascii="仿宋_GB2312" w:hAnsi="宋体" w:eastAsia="仿宋_GB2312"/>
          <w:sz w:val="32"/>
          <w:szCs w:val="32"/>
          <w:lang w:val="zh-CN"/>
        </w:rPr>
      </w:pPr>
      <w:r>
        <w:rPr>
          <w:rFonts w:hint="eastAsia" w:ascii="仿宋_GB2312" w:hAnsi="宋体" w:eastAsia="仿宋_GB2312"/>
          <w:sz w:val="32"/>
          <w:szCs w:val="32"/>
          <w:lang w:val="zh-CN"/>
        </w:rPr>
        <w:t>3．分析评价申报内容是否与实际相符，申报目标是否合理可行。</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（三）项目自评步骤及方法。</w:t>
      </w:r>
    </w:p>
    <w:p>
      <w:pPr>
        <w:adjustRightInd w:val="0"/>
        <w:snapToGrid w:val="0"/>
        <w:spacing w:line="600" w:lineRule="exact"/>
        <w:ind w:firstLine="720"/>
        <w:rPr>
          <w:rFonts w:ascii="仿宋_GB2312" w:hAnsi="宋体" w:eastAsia="仿宋_GB2312"/>
          <w:sz w:val="32"/>
          <w:szCs w:val="32"/>
          <w:lang w:val="zh-CN"/>
        </w:rPr>
      </w:pPr>
      <w:r>
        <w:rPr>
          <w:rFonts w:hint="eastAsia" w:ascii="仿宋_GB2312" w:hAnsi="宋体" w:eastAsia="仿宋_GB2312"/>
          <w:sz w:val="32"/>
          <w:szCs w:val="32"/>
          <w:lang w:val="zh-CN"/>
        </w:rPr>
        <w:t>说明项目绩效自评采用的组织实施步骤及方法。</w:t>
      </w:r>
    </w:p>
    <w:p>
      <w:pPr>
        <w:adjustRightInd w:val="0"/>
        <w:snapToGrid w:val="0"/>
        <w:spacing w:line="600" w:lineRule="exact"/>
        <w:ind w:firstLine="720"/>
        <w:rPr>
          <w:rFonts w:ascii="黑体" w:hAnsi="宋体" w:eastAsia="黑体"/>
          <w:sz w:val="32"/>
          <w:szCs w:val="32"/>
        </w:rPr>
      </w:pPr>
      <w:r>
        <w:rPr>
          <w:rFonts w:hint="eastAsia" w:ascii="黑体" w:hAnsi="宋体" w:eastAsia="黑体"/>
          <w:sz w:val="32"/>
          <w:szCs w:val="32"/>
        </w:rPr>
        <w:t>二、项目资金申报及使用情况</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（一）项目资金申报及批复情况。</w:t>
      </w:r>
    </w:p>
    <w:p>
      <w:pPr>
        <w:adjustRightInd w:val="0"/>
        <w:snapToGrid w:val="0"/>
        <w:spacing w:line="600" w:lineRule="exact"/>
        <w:ind w:firstLine="720"/>
        <w:rPr>
          <w:rFonts w:ascii="仿宋_GB2312" w:hAnsi="宋体" w:eastAsia="仿宋_GB2312"/>
          <w:sz w:val="32"/>
          <w:szCs w:val="32"/>
          <w:lang w:val="zh-CN"/>
        </w:rPr>
      </w:pPr>
      <w:r>
        <w:rPr>
          <w:rFonts w:hint="eastAsia" w:ascii="仿宋_GB2312" w:hAnsi="宋体" w:eastAsia="仿宋_GB2312"/>
          <w:sz w:val="32"/>
          <w:szCs w:val="32"/>
          <w:lang w:val="zh-CN"/>
        </w:rPr>
        <w:t>说明项目资金申报、批复及预算调整等程序的相关情况。</w:t>
      </w:r>
    </w:p>
    <w:p>
      <w:pPr>
        <w:adjustRightInd w:val="0"/>
        <w:snapToGrid w:val="0"/>
        <w:spacing w:line="600" w:lineRule="exact"/>
        <w:ind w:firstLine="720"/>
        <w:rPr>
          <w:rFonts w:ascii="仿宋_GB2312" w:hAnsi="宋体" w:eastAsia="仿宋_GB2312"/>
          <w:sz w:val="32"/>
          <w:szCs w:val="32"/>
          <w:lang w:val="zh-CN"/>
        </w:rPr>
      </w:pPr>
      <w:r>
        <w:rPr>
          <w:rFonts w:hint="eastAsia" w:ascii="楷体_GB2312" w:hAnsi="宋体" w:eastAsia="楷体_GB2312"/>
          <w:b/>
          <w:sz w:val="32"/>
          <w:szCs w:val="32"/>
          <w:lang w:val="zh-CN"/>
        </w:rPr>
        <w:t>（二）资金计划、到位及使用情况（可用表格形式反映）。</w:t>
      </w:r>
    </w:p>
    <w:p>
      <w:pPr>
        <w:adjustRightInd w:val="0"/>
        <w:snapToGrid w:val="0"/>
        <w:spacing w:line="600" w:lineRule="exact"/>
        <w:ind w:firstLine="720"/>
        <w:rPr>
          <w:rFonts w:ascii="仿宋_GB2312" w:hAnsi="宋体" w:eastAsia="仿宋_GB2312"/>
          <w:sz w:val="32"/>
          <w:szCs w:val="32"/>
          <w:lang w:val="zh-CN"/>
        </w:rPr>
      </w:pPr>
      <w:r>
        <w:rPr>
          <w:rFonts w:hint="eastAsia" w:ascii="楷体_GB2312" w:hAnsi="宋体" w:eastAsia="楷体_GB2312"/>
          <w:sz w:val="32"/>
          <w:szCs w:val="32"/>
          <w:lang w:val="zh-CN"/>
        </w:rPr>
        <w:t>1．资金计划。</w:t>
      </w:r>
      <w:r>
        <w:rPr>
          <w:rFonts w:hint="eastAsia" w:ascii="仿宋_GB2312" w:hAnsi="宋体" w:eastAsia="仿宋_GB2312"/>
          <w:sz w:val="32"/>
          <w:szCs w:val="32"/>
          <w:lang w:val="zh-CN"/>
        </w:rPr>
        <w:t>在说明该项目全省资金计划的基础上，分项目大类或市（州）分别说明各类资金计划情况，包括中央、省、市（州）、县（市、区）财政资金、项目单位自筹、其他渠道资金（包括银行贷款及其他资金等）。</w:t>
      </w:r>
    </w:p>
    <w:p>
      <w:pPr>
        <w:adjustRightInd w:val="0"/>
        <w:snapToGrid w:val="0"/>
        <w:spacing w:line="600" w:lineRule="exact"/>
        <w:ind w:firstLine="720"/>
        <w:rPr>
          <w:rFonts w:ascii="仿宋_GB2312" w:hAnsi="宋体" w:eastAsia="仿宋_GB2312"/>
          <w:sz w:val="32"/>
          <w:szCs w:val="32"/>
          <w:lang w:val="zh-CN"/>
        </w:rPr>
      </w:pPr>
      <w:r>
        <w:rPr>
          <w:rFonts w:hint="eastAsia" w:ascii="楷体_GB2312" w:hAnsi="宋体" w:eastAsia="楷体_GB2312"/>
          <w:sz w:val="32"/>
          <w:szCs w:val="32"/>
          <w:lang w:val="zh-CN"/>
        </w:rPr>
        <w:t>2．资金到位。</w:t>
      </w:r>
      <w:r>
        <w:rPr>
          <w:rFonts w:hint="eastAsia" w:ascii="仿宋_GB2312" w:hAnsi="宋体" w:eastAsia="仿宋_GB2312"/>
          <w:sz w:val="32"/>
          <w:szCs w:val="32"/>
          <w:lang w:val="zh-CN"/>
        </w:rPr>
        <w:t>汇总统计截止评价时点该项目全省资金到位情况。在此基础上分项目大类或市（州）统计各类资金到位情况，包括中央、省、市（州）、县（市、区）财政资金、项目单位自筹及其他渠道资金（包括银行贷款及其他资金等）。将资金到位情况与资金计划进行比对，并重点围绕资金到位率、到位及时性等进行评价，对未到位或到位不及时的情况作出分析说明。</w:t>
      </w:r>
    </w:p>
    <w:p>
      <w:pPr>
        <w:adjustRightInd w:val="0"/>
        <w:snapToGrid w:val="0"/>
        <w:spacing w:line="600" w:lineRule="exact"/>
        <w:ind w:firstLine="720"/>
        <w:rPr>
          <w:rFonts w:ascii="仿宋_GB2312" w:hAnsi="宋体" w:eastAsia="仿宋_GB2312"/>
          <w:sz w:val="32"/>
          <w:szCs w:val="32"/>
          <w:lang w:val="zh-CN"/>
        </w:rPr>
      </w:pPr>
      <w:r>
        <w:rPr>
          <w:rFonts w:hint="eastAsia" w:ascii="楷体_GB2312" w:hAnsi="宋体" w:eastAsia="楷体_GB2312"/>
          <w:sz w:val="32"/>
          <w:szCs w:val="32"/>
          <w:lang w:val="zh-CN"/>
        </w:rPr>
        <w:t>3．资金使用。</w:t>
      </w:r>
      <w:r>
        <w:rPr>
          <w:rFonts w:hint="eastAsia" w:ascii="仿宋_GB2312" w:hAnsi="宋体" w:eastAsia="仿宋_GB2312"/>
          <w:sz w:val="32"/>
          <w:szCs w:val="32"/>
          <w:lang w:val="zh-CN"/>
        </w:rPr>
        <w:t>汇总统计截止评价时点该项目全省资金支出情况。在此基础上分项目大类或市（州）统计资金支出情况，并对资金使用的安全性、规范性及有效性进行重点分析，包括资金支付范围、支付标准、支付进度、支付依据等是否合规合法、是否与预算相符，并对自评中发现的相关问题进行分析说明。</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（三）项目财务管理情况。</w:t>
      </w:r>
    </w:p>
    <w:p>
      <w:pPr>
        <w:adjustRightInd w:val="0"/>
        <w:snapToGrid w:val="0"/>
        <w:spacing w:line="600" w:lineRule="exact"/>
        <w:ind w:firstLine="720"/>
        <w:rPr>
          <w:rFonts w:ascii="仿宋_GB2312" w:hAnsi="宋体" w:eastAsia="仿宋_GB2312"/>
          <w:sz w:val="32"/>
          <w:szCs w:val="32"/>
          <w:lang w:val="zh-CN"/>
        </w:rPr>
      </w:pPr>
      <w:r>
        <w:rPr>
          <w:rFonts w:hint="eastAsia" w:ascii="仿宋_GB2312" w:hAnsi="宋体" w:eastAsia="仿宋_GB2312"/>
          <w:sz w:val="32"/>
          <w:szCs w:val="32"/>
          <w:lang w:val="zh-CN"/>
        </w:rPr>
        <w:t>总体评价各项目实施单位财务管理制度是否健全，是否严格执行财务管理制度，账务处理是否及时，会计核算是否规范等。</w:t>
      </w:r>
    </w:p>
    <w:p>
      <w:pPr>
        <w:adjustRightInd w:val="0"/>
        <w:snapToGrid w:val="0"/>
        <w:spacing w:line="600" w:lineRule="exact"/>
        <w:ind w:firstLine="720"/>
        <w:rPr>
          <w:rFonts w:ascii="黑体" w:hAnsi="宋体" w:eastAsia="黑体"/>
          <w:sz w:val="32"/>
          <w:szCs w:val="32"/>
        </w:rPr>
      </w:pPr>
      <w:r>
        <w:rPr>
          <w:rFonts w:hint="eastAsia" w:ascii="黑体" w:hAnsi="宋体" w:eastAsia="黑体"/>
          <w:sz w:val="32"/>
          <w:szCs w:val="32"/>
        </w:rPr>
        <w:t>三、项目实施及管理情况</w:t>
      </w:r>
    </w:p>
    <w:p>
      <w:pPr>
        <w:adjustRightInd w:val="0"/>
        <w:snapToGrid w:val="0"/>
        <w:spacing w:line="600" w:lineRule="exact"/>
        <w:ind w:firstLine="720"/>
        <w:rPr>
          <w:rFonts w:ascii="仿宋_GB2312" w:hAnsi="宋体" w:eastAsia="仿宋_GB2312"/>
          <w:sz w:val="32"/>
          <w:szCs w:val="32"/>
          <w:lang w:val="zh-CN"/>
        </w:rPr>
      </w:pPr>
      <w:r>
        <w:rPr>
          <w:rFonts w:hint="eastAsia" w:ascii="仿宋_GB2312" w:hAnsi="宋体" w:eastAsia="仿宋_GB2312"/>
          <w:sz w:val="32"/>
          <w:szCs w:val="32"/>
          <w:lang w:val="zh-CN"/>
        </w:rPr>
        <w:t>结合项目组织实施管理办法，重点围绕以下内容进行分析评价，并对自评中发现的问题分析说明。</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（一）项目组织架构及实施流程。</w:t>
      </w:r>
    </w:p>
    <w:p>
      <w:pPr>
        <w:adjustRightInd w:val="0"/>
        <w:snapToGrid w:val="0"/>
        <w:spacing w:line="600" w:lineRule="exact"/>
        <w:ind w:firstLine="720"/>
        <w:rPr>
          <w:rFonts w:ascii="仿宋_GB2312" w:hAnsi="宋体" w:eastAsia="仿宋_GB2312"/>
          <w:sz w:val="32"/>
          <w:szCs w:val="32"/>
          <w:lang w:val="zh-CN"/>
        </w:rPr>
      </w:pPr>
      <w:r>
        <w:rPr>
          <w:rFonts w:hint="eastAsia" w:ascii="楷体_GB2312" w:hAnsi="宋体" w:eastAsia="楷体_GB2312"/>
          <w:b/>
          <w:sz w:val="32"/>
          <w:szCs w:val="32"/>
          <w:lang w:val="zh-CN"/>
        </w:rPr>
        <w:t>（二）项目管理情况。</w:t>
      </w:r>
      <w:r>
        <w:rPr>
          <w:rFonts w:hint="eastAsia" w:ascii="仿宋_GB2312" w:hAnsi="宋体" w:eastAsia="仿宋_GB2312"/>
          <w:sz w:val="32"/>
          <w:szCs w:val="32"/>
          <w:lang w:val="zh-CN"/>
        </w:rPr>
        <w:t>结合项目特点，总体评价各项目实施单位执行相关法律法规及项目管理制度等情况，如招投标、政府采购、项目公示制等相关规定。</w:t>
      </w:r>
    </w:p>
    <w:p>
      <w:pPr>
        <w:adjustRightInd w:val="0"/>
        <w:snapToGrid w:val="0"/>
        <w:spacing w:line="600" w:lineRule="exact"/>
        <w:ind w:firstLine="720"/>
        <w:rPr>
          <w:rFonts w:ascii="仿宋_GB2312" w:hAnsi="宋体" w:eastAsia="仿宋_GB2312"/>
          <w:sz w:val="32"/>
          <w:szCs w:val="32"/>
          <w:lang w:val="zh-CN"/>
        </w:rPr>
      </w:pPr>
      <w:r>
        <w:rPr>
          <w:rFonts w:hint="eastAsia" w:ascii="楷体_GB2312" w:hAnsi="宋体" w:eastAsia="楷体_GB2312"/>
          <w:b/>
          <w:sz w:val="32"/>
          <w:szCs w:val="32"/>
          <w:lang w:val="zh-CN"/>
        </w:rPr>
        <w:t>（三）项目监管情况。</w:t>
      </w:r>
      <w:r>
        <w:rPr>
          <w:rFonts w:hint="eastAsia" w:ascii="仿宋_GB2312" w:hAnsi="宋体" w:eastAsia="仿宋_GB2312"/>
          <w:sz w:val="32"/>
          <w:szCs w:val="32"/>
          <w:lang w:val="zh-CN"/>
        </w:rPr>
        <w:t>说明项目主管部门为加强项目管理所采取的监管手段、监管程序、监管工作开展情况及实现的效果等。</w:t>
      </w:r>
    </w:p>
    <w:p>
      <w:pPr>
        <w:adjustRightInd w:val="0"/>
        <w:snapToGrid w:val="0"/>
        <w:spacing w:line="600" w:lineRule="exact"/>
        <w:ind w:firstLine="720"/>
        <w:rPr>
          <w:rFonts w:ascii="仿宋_GB2312" w:hAnsi="宋体" w:eastAsia="仿宋_GB2312"/>
          <w:sz w:val="32"/>
          <w:szCs w:val="32"/>
          <w:lang w:val="zh-CN"/>
        </w:rPr>
      </w:pPr>
      <w:r>
        <w:rPr>
          <w:rFonts w:hint="eastAsia" w:ascii="黑体" w:hAnsi="宋体" w:eastAsia="黑体"/>
          <w:sz w:val="32"/>
          <w:szCs w:val="32"/>
        </w:rPr>
        <w:t>四、项目绩效情况</w:t>
      </w:r>
      <w:r>
        <w:rPr>
          <w:rFonts w:hint="eastAsia" w:ascii="仿宋_GB2312" w:hAnsi="宋体" w:eastAsia="仿宋_GB2312"/>
          <w:sz w:val="32"/>
          <w:szCs w:val="32"/>
          <w:lang w:val="zh-CN"/>
        </w:rPr>
        <w:tab/>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（一）项目完成情况。</w:t>
      </w:r>
    </w:p>
    <w:p>
      <w:pPr>
        <w:adjustRightInd w:val="0"/>
        <w:snapToGrid w:val="0"/>
        <w:spacing w:line="600" w:lineRule="exact"/>
        <w:ind w:firstLine="720"/>
        <w:rPr>
          <w:rFonts w:ascii="楷体_GB2312" w:hAnsi="宋体" w:eastAsia="楷体_GB2312"/>
          <w:b/>
          <w:sz w:val="32"/>
          <w:szCs w:val="32"/>
          <w:lang w:val="zh-CN"/>
        </w:rPr>
      </w:pPr>
      <w:r>
        <w:rPr>
          <w:rFonts w:hint="eastAsia" w:ascii="仿宋_GB2312" w:hAnsi="宋体" w:eastAsia="仿宋_GB2312"/>
          <w:sz w:val="32"/>
          <w:szCs w:val="32"/>
          <w:lang w:val="zh-CN"/>
        </w:rPr>
        <w:t>包括项目完成数量、质量、时效、成本等情况，对照项目计划完成目标，对截止评价时点的任务量完成、质量标准、进度计划、成本控制目标的实现程度进行评价，并进行分析说明。</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（二）项目效益情况。</w:t>
      </w:r>
    </w:p>
    <w:p>
      <w:pPr>
        <w:adjustRightInd w:val="0"/>
        <w:snapToGrid w:val="0"/>
        <w:spacing w:line="600" w:lineRule="exact"/>
        <w:ind w:firstLine="720"/>
        <w:rPr>
          <w:rFonts w:ascii="仿宋_GB2312" w:hAnsi="宋体" w:eastAsia="仿宋_GB2312"/>
          <w:sz w:val="32"/>
          <w:szCs w:val="32"/>
          <w:lang w:val="zh-CN"/>
        </w:rPr>
      </w:pPr>
      <w:r>
        <w:rPr>
          <w:rFonts w:hint="eastAsia" w:ascii="仿宋_GB2312" w:hAnsi="宋体" w:eastAsia="仿宋_GB2312"/>
          <w:sz w:val="32"/>
          <w:szCs w:val="32"/>
          <w:lang w:val="zh-CN"/>
        </w:rPr>
        <w:t>从项目经济效益、社会效益、生态效益、可持续效益以及服务对象满意度等方面对项目效益进行全面分析评价。</w:t>
      </w:r>
    </w:p>
    <w:p>
      <w:pPr>
        <w:adjustRightInd w:val="0"/>
        <w:snapToGrid w:val="0"/>
        <w:spacing w:line="600" w:lineRule="exact"/>
        <w:ind w:firstLine="720"/>
        <w:rPr>
          <w:rFonts w:ascii="黑体" w:hAnsi="宋体" w:eastAsia="黑体"/>
          <w:sz w:val="32"/>
          <w:szCs w:val="32"/>
        </w:rPr>
      </w:pPr>
      <w:r>
        <w:rPr>
          <w:rFonts w:hint="eastAsia" w:ascii="黑体" w:hAnsi="宋体" w:eastAsia="黑体"/>
          <w:sz w:val="32"/>
          <w:szCs w:val="32"/>
        </w:rPr>
        <w:t>五、评价结论及建议</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（一）评价结论。</w:t>
      </w:r>
    </w:p>
    <w:p>
      <w:pPr>
        <w:adjustRightInd w:val="0"/>
        <w:snapToGrid w:val="0"/>
        <w:spacing w:line="600" w:lineRule="exact"/>
        <w:ind w:firstLine="640" w:firstLineChars="200"/>
        <w:rPr>
          <w:rFonts w:ascii="仿宋_GB2312" w:hAnsi="宋体" w:eastAsia="仿宋_GB2312"/>
          <w:sz w:val="32"/>
          <w:szCs w:val="32"/>
          <w:bdr w:val="single" w:color="auto" w:sz="4" w:space="0"/>
          <w:lang w:val="zh-CN"/>
        </w:rPr>
      </w:pPr>
      <w:r>
        <w:rPr>
          <w:rFonts w:hint="eastAsia" w:ascii="仿宋_GB2312" w:hAnsi="宋体" w:eastAsia="仿宋_GB2312"/>
          <w:sz w:val="32"/>
          <w:szCs w:val="32"/>
          <w:lang w:val="zh-CN"/>
        </w:rPr>
        <w:t>结合项目自身特点、评价重点及管理办法等要求，围绕专项项目支出绩效评价指标体系对项目进行总体评价。</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（二）存在的问题。</w:t>
      </w:r>
    </w:p>
    <w:p>
      <w:pPr>
        <w:adjustRightInd w:val="0"/>
        <w:snapToGrid w:val="0"/>
        <w:spacing w:line="600" w:lineRule="exact"/>
        <w:ind w:firstLine="640" w:firstLineChars="200"/>
        <w:rPr>
          <w:rFonts w:ascii="仿宋_GB2312" w:hAnsi="宋体" w:eastAsia="仿宋_GB2312"/>
          <w:sz w:val="32"/>
          <w:szCs w:val="32"/>
          <w:lang w:val="zh-CN"/>
        </w:rPr>
      </w:pPr>
      <w:r>
        <w:rPr>
          <w:rFonts w:hint="eastAsia" w:ascii="仿宋_GB2312" w:hAnsi="宋体" w:eastAsia="仿宋_GB2312"/>
          <w:sz w:val="32"/>
          <w:szCs w:val="32"/>
          <w:lang w:val="zh-CN"/>
        </w:rPr>
        <w:t>结合自评情况，分析存在的问题及原因。</w:t>
      </w:r>
      <w:r>
        <w:rPr>
          <w:rFonts w:hint="eastAsia" w:ascii="仿宋_GB2312" w:hAnsi="宋体" w:eastAsia="仿宋_GB2312"/>
          <w:sz w:val="32"/>
          <w:szCs w:val="32"/>
          <w:lang w:val="zh-CN"/>
        </w:rPr>
        <w:tab/>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（三）相关建议。</w:t>
      </w:r>
    </w:p>
    <w:p>
      <w:pPr>
        <w:adjustRightInd w:val="0"/>
        <w:snapToGrid w:val="0"/>
        <w:spacing w:line="600" w:lineRule="exact"/>
        <w:ind w:firstLine="640" w:firstLineChars="200"/>
        <w:rPr>
          <w:rFonts w:ascii="仿宋_GB2312" w:hAnsi="宋体" w:eastAsia="仿宋_GB2312"/>
          <w:sz w:val="32"/>
          <w:szCs w:val="32"/>
          <w:lang w:val="zh-CN"/>
        </w:rPr>
      </w:pPr>
      <w:r>
        <w:rPr>
          <w:rFonts w:hint="eastAsia" w:ascii="仿宋_GB2312" w:hAnsi="宋体" w:eastAsia="仿宋_GB2312"/>
          <w:sz w:val="32"/>
          <w:szCs w:val="32"/>
          <w:lang w:val="zh-CN"/>
        </w:rPr>
        <w:t>针对项目自评中发现的问题，提出下一步改进完善的意见及有关政策性建议。</w:t>
      </w:r>
    </w:p>
    <w:p>
      <w:pPr>
        <w:spacing w:line="580" w:lineRule="exact"/>
        <w:ind w:firstLine="640"/>
        <w:rPr>
          <w:rFonts w:ascii="仿宋_GB2312" w:hAnsi="仿宋_GB2312" w:eastAsia="仿宋_GB2312" w:cs="仿宋_GB2312"/>
          <w:sz w:val="32"/>
          <w:szCs w:val="32"/>
        </w:rPr>
      </w:pPr>
    </w:p>
    <w:p>
      <w:pPr>
        <w:spacing w:line="580" w:lineRule="exact"/>
        <w:ind w:firstLine="640"/>
        <w:rPr>
          <w:rFonts w:ascii="仿宋_GB2312" w:hAnsi="仿宋_GB2312" w:eastAsia="仿宋_GB2312" w:cs="仿宋_GB2312"/>
          <w:sz w:val="32"/>
          <w:szCs w:val="32"/>
        </w:rPr>
      </w:pPr>
    </w:p>
    <w:p>
      <w:pPr>
        <w:widowControl/>
        <w:jc w:val="left"/>
        <w:rPr>
          <w:rStyle w:val="25"/>
          <w:rFonts w:ascii="黑体" w:hAnsi="黑体" w:eastAsia="黑体"/>
          <w:b w:val="0"/>
        </w:rPr>
      </w:pPr>
    </w:p>
    <w:p>
      <w:pPr>
        <w:widowControl/>
        <w:jc w:val="left"/>
        <w:rPr>
          <w:rStyle w:val="25"/>
          <w:rFonts w:ascii="黑体" w:hAnsi="黑体" w:eastAsia="黑体"/>
          <w:b w:val="0"/>
        </w:rPr>
      </w:pPr>
      <w:r>
        <w:rPr>
          <w:rStyle w:val="25"/>
          <w:rFonts w:ascii="黑体" w:hAnsi="黑体" w:eastAsia="黑体"/>
          <w:b w:val="0"/>
        </w:rPr>
        <w:br w:type="page"/>
      </w:r>
    </w:p>
    <w:p>
      <w:pPr>
        <w:spacing w:line="600" w:lineRule="exact"/>
        <w:jc w:val="center"/>
        <w:outlineLvl w:val="0"/>
        <w:rPr>
          <w:rStyle w:val="25"/>
          <w:rFonts w:ascii="黑体" w:hAnsi="黑体" w:eastAsia="黑体"/>
          <w:b w:val="0"/>
        </w:rPr>
      </w:pPr>
    </w:p>
    <w:p>
      <w:pPr>
        <w:spacing w:line="600" w:lineRule="exact"/>
        <w:jc w:val="center"/>
        <w:outlineLvl w:val="0"/>
        <w:rPr>
          <w:rStyle w:val="25"/>
          <w:rFonts w:ascii="黑体" w:hAnsi="黑体" w:eastAsia="黑体"/>
          <w:b w:val="0"/>
        </w:rPr>
      </w:pPr>
      <w:bookmarkStart w:id="59" w:name="_Toc15396618"/>
      <w:r>
        <w:rPr>
          <w:rFonts w:hint="eastAsia" w:ascii="黑体" w:hAnsi="黑体" w:eastAsia="黑体"/>
          <w:color w:val="000000"/>
          <w:sz w:val="44"/>
          <w:szCs w:val="44"/>
        </w:rPr>
        <w:t>第</w:t>
      </w:r>
      <w:r>
        <w:rPr>
          <w:rStyle w:val="25"/>
          <w:rFonts w:hint="eastAsia" w:ascii="黑体" w:hAnsi="黑体" w:eastAsia="黑体"/>
          <w:b w:val="0"/>
        </w:rPr>
        <w:t>五部分 附表</w:t>
      </w:r>
      <w:bookmarkEnd w:id="57"/>
      <w:bookmarkEnd w:id="59"/>
    </w:p>
    <w:p>
      <w:pPr>
        <w:spacing w:line="600" w:lineRule="exact"/>
        <w:jc w:val="center"/>
        <w:outlineLvl w:val="0"/>
        <w:rPr>
          <w:rFonts w:ascii="仿宋" w:hAnsi="仿宋" w:eastAsia="仿宋"/>
          <w:b/>
          <w:color w:val="000000"/>
          <w:sz w:val="44"/>
          <w:szCs w:val="44"/>
        </w:rPr>
      </w:pPr>
    </w:p>
    <w:p>
      <w:pPr>
        <w:pStyle w:val="4"/>
        <w:rPr>
          <w:rFonts w:ascii="仿宋" w:hAnsi="仿宋" w:eastAsia="仿宋"/>
          <w:color w:val="000000"/>
        </w:rPr>
      </w:pPr>
      <w:bookmarkStart w:id="60" w:name="_Toc15396619"/>
      <w:r>
        <w:rPr>
          <w:rFonts w:hint="eastAsia" w:ascii="仿宋" w:hAnsi="仿宋" w:eastAsia="仿宋"/>
          <w:b w:val="0"/>
          <w:color w:val="000000"/>
        </w:rPr>
        <w:t>一、收</w:t>
      </w:r>
      <w:r>
        <w:rPr>
          <w:rStyle w:val="26"/>
          <w:rFonts w:hint="eastAsia" w:ascii="仿宋" w:hAnsi="仿宋" w:eastAsia="仿宋"/>
          <w:b w:val="0"/>
          <w:bCs w:val="0"/>
        </w:rPr>
        <w:t>入支出决算总表</w:t>
      </w:r>
      <w:bookmarkEnd w:id="60"/>
    </w:p>
    <w:p>
      <w:pPr>
        <w:pStyle w:val="4"/>
        <w:rPr>
          <w:rFonts w:ascii="仿宋" w:hAnsi="仿宋" w:eastAsia="仿宋"/>
          <w:color w:val="000000"/>
        </w:rPr>
      </w:pPr>
      <w:bookmarkStart w:id="61" w:name="_Toc15396620"/>
      <w:r>
        <w:rPr>
          <w:rFonts w:hint="eastAsia" w:ascii="仿宋" w:hAnsi="仿宋" w:eastAsia="仿宋"/>
          <w:b w:val="0"/>
          <w:color w:val="000000"/>
        </w:rPr>
        <w:t>二、收</w:t>
      </w:r>
      <w:r>
        <w:rPr>
          <w:rStyle w:val="26"/>
          <w:rFonts w:hint="eastAsia" w:ascii="仿宋" w:hAnsi="仿宋" w:eastAsia="仿宋"/>
          <w:b w:val="0"/>
          <w:bCs w:val="0"/>
        </w:rPr>
        <w:t>入决算表</w:t>
      </w:r>
      <w:bookmarkEnd w:id="61"/>
    </w:p>
    <w:p>
      <w:pPr>
        <w:pStyle w:val="4"/>
        <w:rPr>
          <w:rFonts w:ascii="仿宋" w:hAnsi="仿宋" w:eastAsia="仿宋"/>
          <w:color w:val="000000"/>
        </w:rPr>
      </w:pPr>
      <w:bookmarkStart w:id="62" w:name="_Toc15396621"/>
      <w:r>
        <w:rPr>
          <w:rStyle w:val="26"/>
          <w:rFonts w:hint="eastAsia" w:ascii="仿宋" w:hAnsi="仿宋" w:eastAsia="仿宋"/>
          <w:b w:val="0"/>
          <w:bCs w:val="0"/>
        </w:rPr>
        <w:t>三、</w:t>
      </w:r>
      <w:r>
        <w:rPr>
          <w:rFonts w:hint="eastAsia" w:ascii="仿宋" w:hAnsi="仿宋" w:eastAsia="仿宋"/>
          <w:b w:val="0"/>
          <w:color w:val="000000"/>
        </w:rPr>
        <w:t>支</w:t>
      </w:r>
      <w:r>
        <w:rPr>
          <w:rStyle w:val="26"/>
          <w:rFonts w:hint="eastAsia" w:ascii="仿宋" w:hAnsi="仿宋" w:eastAsia="仿宋"/>
          <w:b w:val="0"/>
          <w:bCs w:val="0"/>
        </w:rPr>
        <w:t>出决算表</w:t>
      </w:r>
      <w:bookmarkEnd w:id="62"/>
    </w:p>
    <w:p>
      <w:pPr>
        <w:pStyle w:val="4"/>
        <w:rPr>
          <w:rFonts w:ascii="仿宋" w:hAnsi="仿宋" w:eastAsia="仿宋"/>
          <w:b w:val="0"/>
          <w:color w:val="000000"/>
        </w:rPr>
      </w:pPr>
      <w:bookmarkStart w:id="63" w:name="_Toc15396622"/>
      <w:r>
        <w:rPr>
          <w:rStyle w:val="26"/>
          <w:rFonts w:hint="eastAsia" w:ascii="仿宋" w:hAnsi="仿宋" w:eastAsia="仿宋"/>
          <w:b w:val="0"/>
          <w:bCs w:val="0"/>
        </w:rPr>
        <w:t>四、</w:t>
      </w:r>
      <w:r>
        <w:rPr>
          <w:rFonts w:hint="eastAsia" w:ascii="仿宋" w:hAnsi="仿宋" w:eastAsia="仿宋"/>
          <w:b w:val="0"/>
          <w:color w:val="000000"/>
        </w:rPr>
        <w:t>财</w:t>
      </w:r>
      <w:r>
        <w:rPr>
          <w:rStyle w:val="26"/>
          <w:rFonts w:hint="eastAsia" w:ascii="仿宋" w:hAnsi="仿宋" w:eastAsia="仿宋"/>
          <w:b w:val="0"/>
          <w:bCs w:val="0"/>
        </w:rPr>
        <w:t>政拨款收入支出决算总表</w:t>
      </w:r>
      <w:bookmarkEnd w:id="63"/>
    </w:p>
    <w:p>
      <w:pPr>
        <w:pStyle w:val="4"/>
        <w:rPr>
          <w:rStyle w:val="26"/>
          <w:rFonts w:ascii="仿宋" w:hAnsi="仿宋" w:eastAsia="仿宋"/>
          <w:b w:val="0"/>
          <w:bCs w:val="0"/>
        </w:rPr>
      </w:pPr>
      <w:bookmarkStart w:id="64" w:name="_Toc15396623"/>
      <w:r>
        <w:rPr>
          <w:rStyle w:val="26"/>
          <w:rFonts w:hint="eastAsia" w:ascii="仿宋" w:hAnsi="仿宋" w:eastAsia="仿宋"/>
          <w:b w:val="0"/>
          <w:bCs w:val="0"/>
        </w:rPr>
        <w:t>五、</w:t>
      </w:r>
      <w:r>
        <w:rPr>
          <w:rFonts w:hint="eastAsia" w:ascii="仿宋" w:hAnsi="仿宋" w:eastAsia="仿宋"/>
          <w:b w:val="0"/>
          <w:color w:val="000000"/>
        </w:rPr>
        <w:t>财</w:t>
      </w:r>
      <w:r>
        <w:rPr>
          <w:rStyle w:val="26"/>
          <w:rFonts w:hint="eastAsia" w:ascii="仿宋" w:hAnsi="仿宋" w:eastAsia="仿宋"/>
          <w:b w:val="0"/>
          <w:bCs w:val="0"/>
        </w:rPr>
        <w:t>政拨款支出决算明细表</w:t>
      </w:r>
      <w:bookmarkEnd w:id="64"/>
      <w:bookmarkStart w:id="65" w:name="_Toc15396624"/>
    </w:p>
    <w:p>
      <w:pPr>
        <w:pStyle w:val="4"/>
        <w:rPr>
          <w:rFonts w:ascii="仿宋" w:hAnsi="仿宋" w:eastAsia="仿宋"/>
          <w:color w:val="000000"/>
        </w:rPr>
      </w:pPr>
      <w:r>
        <w:rPr>
          <w:rStyle w:val="26"/>
          <w:rFonts w:hint="eastAsia" w:ascii="仿宋" w:hAnsi="仿宋" w:eastAsia="仿宋"/>
          <w:b w:val="0"/>
          <w:bCs w:val="0"/>
        </w:rPr>
        <w:t>六、</w:t>
      </w:r>
      <w:r>
        <w:rPr>
          <w:rFonts w:hint="eastAsia" w:ascii="仿宋" w:hAnsi="仿宋" w:eastAsia="仿宋"/>
          <w:b w:val="0"/>
          <w:color w:val="000000"/>
        </w:rPr>
        <w:t>一</w:t>
      </w:r>
      <w:r>
        <w:rPr>
          <w:rStyle w:val="26"/>
          <w:rFonts w:hint="eastAsia" w:ascii="仿宋" w:hAnsi="仿宋" w:eastAsia="仿宋"/>
          <w:b w:val="0"/>
          <w:bCs w:val="0"/>
        </w:rPr>
        <w:t>般公共预算财政拨款支出决算表</w:t>
      </w:r>
      <w:bookmarkEnd w:id="65"/>
    </w:p>
    <w:p>
      <w:pPr>
        <w:pStyle w:val="4"/>
        <w:rPr>
          <w:rFonts w:ascii="仿宋" w:hAnsi="仿宋" w:eastAsia="仿宋"/>
          <w:color w:val="000000"/>
        </w:rPr>
      </w:pPr>
      <w:bookmarkStart w:id="66" w:name="_Toc15396625"/>
      <w:r>
        <w:rPr>
          <w:rStyle w:val="26"/>
          <w:rFonts w:hint="eastAsia" w:ascii="仿宋" w:hAnsi="仿宋" w:eastAsia="仿宋"/>
          <w:b w:val="0"/>
          <w:bCs w:val="0"/>
        </w:rPr>
        <w:t>七、</w:t>
      </w:r>
      <w:r>
        <w:rPr>
          <w:rFonts w:hint="eastAsia" w:ascii="仿宋" w:hAnsi="仿宋" w:eastAsia="仿宋"/>
          <w:b w:val="0"/>
          <w:color w:val="000000"/>
        </w:rPr>
        <w:t>一</w:t>
      </w:r>
      <w:r>
        <w:rPr>
          <w:rStyle w:val="26"/>
          <w:rFonts w:hint="eastAsia" w:ascii="仿宋" w:hAnsi="仿宋" w:eastAsia="仿宋"/>
          <w:b w:val="0"/>
          <w:bCs w:val="0"/>
        </w:rPr>
        <w:t>般公共预算财政拨款支出决算明细表</w:t>
      </w:r>
      <w:bookmarkEnd w:id="66"/>
    </w:p>
    <w:p>
      <w:pPr>
        <w:pStyle w:val="4"/>
        <w:rPr>
          <w:rFonts w:ascii="仿宋" w:hAnsi="仿宋" w:eastAsia="仿宋"/>
          <w:color w:val="000000"/>
        </w:rPr>
      </w:pPr>
      <w:bookmarkStart w:id="67" w:name="_Toc15396626"/>
      <w:r>
        <w:rPr>
          <w:rStyle w:val="26"/>
          <w:rFonts w:hint="eastAsia" w:ascii="仿宋" w:hAnsi="仿宋" w:eastAsia="仿宋"/>
          <w:b w:val="0"/>
          <w:bCs w:val="0"/>
        </w:rPr>
        <w:t>八、</w:t>
      </w:r>
      <w:r>
        <w:rPr>
          <w:rFonts w:hint="eastAsia" w:ascii="仿宋" w:hAnsi="仿宋" w:eastAsia="仿宋"/>
          <w:b w:val="0"/>
          <w:color w:val="000000"/>
        </w:rPr>
        <w:t>一</w:t>
      </w:r>
      <w:r>
        <w:rPr>
          <w:rStyle w:val="26"/>
          <w:rFonts w:hint="eastAsia" w:ascii="仿宋" w:hAnsi="仿宋" w:eastAsia="仿宋"/>
          <w:b w:val="0"/>
          <w:bCs w:val="0"/>
        </w:rPr>
        <w:t>般公共预算财政拨款基本支出决算表</w:t>
      </w:r>
      <w:bookmarkEnd w:id="67"/>
    </w:p>
    <w:p>
      <w:pPr>
        <w:pStyle w:val="4"/>
        <w:rPr>
          <w:rFonts w:ascii="仿宋" w:hAnsi="仿宋" w:eastAsia="仿宋"/>
          <w:color w:val="000000"/>
        </w:rPr>
      </w:pPr>
      <w:bookmarkStart w:id="68" w:name="_Toc15396627"/>
      <w:r>
        <w:rPr>
          <w:rStyle w:val="26"/>
          <w:rFonts w:hint="eastAsia" w:ascii="仿宋" w:hAnsi="仿宋" w:eastAsia="仿宋"/>
          <w:b w:val="0"/>
          <w:bCs w:val="0"/>
        </w:rPr>
        <w:t>九、</w:t>
      </w:r>
      <w:r>
        <w:rPr>
          <w:rFonts w:hint="eastAsia" w:ascii="仿宋" w:hAnsi="仿宋" w:eastAsia="仿宋"/>
          <w:b w:val="0"/>
          <w:color w:val="000000"/>
        </w:rPr>
        <w:t>一</w:t>
      </w:r>
      <w:r>
        <w:rPr>
          <w:rStyle w:val="26"/>
          <w:rFonts w:hint="eastAsia" w:ascii="仿宋" w:hAnsi="仿宋" w:eastAsia="仿宋"/>
          <w:b w:val="0"/>
          <w:bCs w:val="0"/>
        </w:rPr>
        <w:t>般公共预算财政拨款项目支出决算表</w:t>
      </w:r>
      <w:bookmarkEnd w:id="68"/>
    </w:p>
    <w:p>
      <w:pPr>
        <w:pStyle w:val="4"/>
        <w:rPr>
          <w:rFonts w:ascii="仿宋" w:hAnsi="仿宋" w:eastAsia="仿宋"/>
          <w:color w:val="000000"/>
        </w:rPr>
      </w:pPr>
      <w:bookmarkStart w:id="69" w:name="_Toc15396628"/>
      <w:r>
        <w:rPr>
          <w:rStyle w:val="26"/>
          <w:rFonts w:hint="eastAsia" w:ascii="仿宋" w:hAnsi="仿宋" w:eastAsia="仿宋"/>
          <w:b w:val="0"/>
          <w:bCs w:val="0"/>
        </w:rPr>
        <w:t>十、</w:t>
      </w:r>
      <w:r>
        <w:rPr>
          <w:rFonts w:hint="eastAsia" w:ascii="仿宋" w:hAnsi="仿宋" w:eastAsia="仿宋"/>
          <w:b w:val="0"/>
          <w:color w:val="000000"/>
        </w:rPr>
        <w:t>一</w:t>
      </w:r>
      <w:r>
        <w:rPr>
          <w:rStyle w:val="26"/>
          <w:rFonts w:hint="eastAsia" w:ascii="仿宋" w:hAnsi="仿宋" w:eastAsia="仿宋"/>
          <w:b w:val="0"/>
          <w:bCs w:val="0"/>
        </w:rPr>
        <w:t>般公共预算财政拨款“三公”经费支出决算表</w:t>
      </w:r>
      <w:bookmarkEnd w:id="69"/>
    </w:p>
    <w:p>
      <w:pPr>
        <w:pStyle w:val="4"/>
        <w:rPr>
          <w:rFonts w:ascii="仿宋" w:hAnsi="仿宋" w:eastAsia="仿宋"/>
          <w:color w:val="000000"/>
        </w:rPr>
      </w:pPr>
      <w:bookmarkStart w:id="70" w:name="_Toc15396629"/>
      <w:r>
        <w:rPr>
          <w:rStyle w:val="26"/>
          <w:rFonts w:hint="eastAsia" w:ascii="仿宋" w:hAnsi="仿宋" w:eastAsia="仿宋"/>
          <w:b w:val="0"/>
          <w:bCs w:val="0"/>
        </w:rPr>
        <w:t>十一、</w:t>
      </w:r>
      <w:r>
        <w:rPr>
          <w:rFonts w:hint="eastAsia" w:ascii="仿宋" w:hAnsi="仿宋" w:eastAsia="仿宋"/>
          <w:b w:val="0"/>
          <w:color w:val="000000"/>
        </w:rPr>
        <w:t>政</w:t>
      </w:r>
      <w:r>
        <w:rPr>
          <w:rStyle w:val="26"/>
          <w:rFonts w:hint="eastAsia" w:ascii="仿宋" w:hAnsi="仿宋" w:eastAsia="仿宋"/>
          <w:b w:val="0"/>
          <w:bCs w:val="0"/>
        </w:rPr>
        <w:t>府性基金预算财政拨款收入支出决算表</w:t>
      </w:r>
      <w:bookmarkEnd w:id="70"/>
    </w:p>
    <w:p>
      <w:pPr>
        <w:pStyle w:val="4"/>
        <w:rPr>
          <w:rFonts w:ascii="仿宋" w:hAnsi="仿宋" w:eastAsia="仿宋"/>
          <w:color w:val="000000"/>
        </w:rPr>
      </w:pPr>
      <w:bookmarkStart w:id="71" w:name="_Toc15396630"/>
      <w:r>
        <w:rPr>
          <w:rStyle w:val="26"/>
          <w:rFonts w:hint="eastAsia" w:ascii="仿宋" w:hAnsi="仿宋" w:eastAsia="仿宋"/>
          <w:b w:val="0"/>
          <w:bCs w:val="0"/>
        </w:rPr>
        <w:t>十二、</w:t>
      </w:r>
      <w:r>
        <w:rPr>
          <w:rFonts w:hint="eastAsia" w:ascii="仿宋" w:hAnsi="仿宋" w:eastAsia="仿宋"/>
          <w:b w:val="0"/>
          <w:color w:val="000000"/>
        </w:rPr>
        <w:t>政</w:t>
      </w:r>
      <w:r>
        <w:rPr>
          <w:rStyle w:val="26"/>
          <w:rFonts w:hint="eastAsia" w:ascii="仿宋" w:hAnsi="仿宋" w:eastAsia="仿宋"/>
          <w:b w:val="0"/>
          <w:bCs w:val="0"/>
        </w:rPr>
        <w:t>府性基金预算财政拨款“三公”经费支出决算表</w:t>
      </w:r>
      <w:bookmarkEnd w:id="71"/>
    </w:p>
    <w:p>
      <w:pPr>
        <w:pStyle w:val="4"/>
        <w:rPr>
          <w:rFonts w:ascii="仿宋" w:hAnsi="仿宋" w:eastAsia="仿宋"/>
          <w:color w:val="000000" w:themeColor="text1"/>
        </w:rPr>
      </w:pPr>
      <w:bookmarkStart w:id="72" w:name="_Toc15396631"/>
      <w:r>
        <w:rPr>
          <w:rStyle w:val="26"/>
          <w:rFonts w:hint="eastAsia" w:ascii="仿宋" w:hAnsi="仿宋" w:eastAsia="仿宋"/>
          <w:b w:val="0"/>
          <w:bCs w:val="0"/>
        </w:rPr>
        <w:t>十三、</w:t>
      </w:r>
      <w:r>
        <w:rPr>
          <w:rFonts w:hint="eastAsia" w:ascii="仿宋" w:hAnsi="仿宋" w:eastAsia="仿宋"/>
          <w:b w:val="0"/>
          <w:color w:val="000000"/>
        </w:rPr>
        <w:t>国</w:t>
      </w:r>
      <w:r>
        <w:rPr>
          <w:rStyle w:val="26"/>
          <w:rFonts w:hint="eastAsia" w:ascii="仿宋" w:hAnsi="仿宋" w:eastAsia="仿宋"/>
          <w:b w:val="0"/>
          <w:bCs w:val="0"/>
        </w:rPr>
        <w:t>有资本经营预算支出决算表</w:t>
      </w:r>
      <w:bookmarkEnd w:id="72"/>
    </w:p>
    <w:sectPr>
      <w:headerReference r:id="rId3" w:type="default"/>
      <w:footerReference r:id="rId4" w:type="default"/>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方正楷体_GBK">
    <w:altName w:val="微软雅黑"/>
    <w:panose1 w:val="03000509000000000000"/>
    <w:charset w:val="86"/>
    <w:family w:val="auto"/>
    <w:pitch w:val="default"/>
    <w:sig w:usb0="00000000" w:usb1="00000000" w:usb2="00000000" w:usb3="00000000" w:csb0="00040000" w:csb1="00000000"/>
  </w:font>
  <w:font w:name="方正仿宋_GBK">
    <w:altName w:val="微软雅黑"/>
    <w:panose1 w:val="03000509000000000000"/>
    <w:charset w:val="86"/>
    <w:family w:val="auto"/>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sdtPr>
    <w:sdtContent>
      <w:p>
        <w:pPr>
          <w:pStyle w:val="2"/>
          <w:jc w:val="center"/>
        </w:pPr>
        <w:r>
          <w:fldChar w:fldCharType="begin"/>
        </w:r>
        <w:r>
          <w:instrText xml:space="preserve">PAGE   \* MERGEFORMAT</w:instrText>
        </w:r>
        <w:r>
          <w:fldChar w:fldCharType="separate"/>
        </w:r>
        <w:r>
          <w:rPr>
            <w:lang w:val="zh-CN"/>
          </w:rPr>
          <w:t>2</w:t>
        </w:r>
        <w:r>
          <w:fldChar w:fldCharType="end"/>
        </w:r>
      </w:p>
    </w:sdtContent>
  </w:sdt>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624368B"/>
    <w:multiLevelType w:val="singleLevel"/>
    <w:tmpl w:val="8624368B"/>
    <w:lvl w:ilvl="0" w:tentative="0">
      <w:start w:val="1"/>
      <w:numFmt w:val="decimal"/>
      <w:lvlText w:val="%1."/>
      <w:lvlJc w:val="left"/>
      <w:pPr>
        <w:tabs>
          <w:tab w:val="left" w:pos="312"/>
        </w:tabs>
      </w:pPr>
    </w:lvl>
  </w:abstractNum>
  <w:abstractNum w:abstractNumId="1">
    <w:nsid w:val="CF652CEC"/>
    <w:multiLevelType w:val="singleLevel"/>
    <w:tmpl w:val="CF652CEC"/>
    <w:lvl w:ilvl="0" w:tentative="0">
      <w:start w:val="9"/>
      <w:numFmt w:val="chineseCounting"/>
      <w:suff w:val="nothing"/>
      <w:lvlText w:val="%1、"/>
      <w:lvlJc w:val="left"/>
      <w:rPr>
        <w:rFonts w:hint="eastAsia"/>
      </w:rPr>
    </w:lvl>
  </w:abstractNum>
  <w:abstractNum w:abstractNumId="2">
    <w:nsid w:val="E2FA047D"/>
    <w:multiLevelType w:val="singleLevel"/>
    <w:tmpl w:val="E2FA047D"/>
    <w:lvl w:ilvl="0" w:tentative="0">
      <w:start w:val="3"/>
      <w:numFmt w:val="chineseCounting"/>
      <w:suff w:val="space"/>
      <w:lvlText w:val="第%1部分"/>
      <w:lvlJc w:val="left"/>
      <w:rPr>
        <w:rFonts w:hint="eastAsia"/>
      </w:rPr>
    </w:lvl>
  </w:abstractNum>
  <w:abstractNum w:abstractNumId="3">
    <w:nsid w:val="0FEB1A5D"/>
    <w:multiLevelType w:val="singleLevel"/>
    <w:tmpl w:val="0FEB1A5D"/>
    <w:lvl w:ilvl="0" w:tentative="0">
      <w:start w:val="3"/>
      <w:numFmt w:val="decimal"/>
      <w:lvlText w:val="%1."/>
      <w:lvlJc w:val="left"/>
      <w:pPr>
        <w:tabs>
          <w:tab w:val="left" w:pos="312"/>
        </w:tabs>
      </w:pPr>
    </w:lvl>
  </w:abstractNum>
  <w:abstractNum w:abstractNumId="4">
    <w:nsid w:val="11E9B184"/>
    <w:multiLevelType w:val="singleLevel"/>
    <w:tmpl w:val="11E9B184"/>
    <w:lvl w:ilvl="0" w:tentative="0">
      <w:start w:val="19"/>
      <w:numFmt w:val="decimal"/>
      <w:lvlText w:val="%1."/>
      <w:lvlJc w:val="left"/>
      <w:pPr>
        <w:tabs>
          <w:tab w:val="left" w:pos="312"/>
        </w:tabs>
      </w:pPr>
    </w:lvl>
  </w:abstractNum>
  <w:abstractNum w:abstractNumId="5">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6">
    <w:nsid w:val="34D9F648"/>
    <w:multiLevelType w:val="singleLevel"/>
    <w:tmpl w:val="34D9F648"/>
    <w:lvl w:ilvl="0" w:tentative="0">
      <w:start w:val="4"/>
      <w:numFmt w:val="chineseCounting"/>
      <w:suff w:val="nothing"/>
      <w:lvlText w:val="（%1）"/>
      <w:lvlJc w:val="left"/>
      <w:rPr>
        <w:rFonts w:hint="eastAsia"/>
      </w:rPr>
    </w:lvl>
  </w:abstractNum>
  <w:num w:numId="1">
    <w:abstractNumId w:val="6"/>
  </w:num>
  <w:num w:numId="2">
    <w:abstractNumId w:val="5"/>
  </w:num>
  <w:num w:numId="3">
    <w:abstractNumId w:val="3"/>
  </w:num>
  <w:num w:numId="4">
    <w:abstractNumId w:val="1"/>
  </w:num>
  <w:num w:numId="5">
    <w:abstractNumId w:val="0"/>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1361C"/>
    <w:rsid w:val="000222C6"/>
    <w:rsid w:val="0002549F"/>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14E9B"/>
    <w:rsid w:val="00142216"/>
    <w:rsid w:val="00144D6A"/>
    <w:rsid w:val="0014729F"/>
    <w:rsid w:val="00157BAB"/>
    <w:rsid w:val="001654D1"/>
    <w:rsid w:val="00174518"/>
    <w:rsid w:val="0018106D"/>
    <w:rsid w:val="001877A7"/>
    <w:rsid w:val="00191536"/>
    <w:rsid w:val="00196687"/>
    <w:rsid w:val="001C0962"/>
    <w:rsid w:val="001D7531"/>
    <w:rsid w:val="001E737D"/>
    <w:rsid w:val="001F0592"/>
    <w:rsid w:val="001F7506"/>
    <w:rsid w:val="002006CD"/>
    <w:rsid w:val="00202B36"/>
    <w:rsid w:val="00204B7A"/>
    <w:rsid w:val="00204CDE"/>
    <w:rsid w:val="0021101A"/>
    <w:rsid w:val="00220536"/>
    <w:rsid w:val="00235629"/>
    <w:rsid w:val="00260C38"/>
    <w:rsid w:val="002616C0"/>
    <w:rsid w:val="00265372"/>
    <w:rsid w:val="002662AA"/>
    <w:rsid w:val="00280496"/>
    <w:rsid w:val="00294DC9"/>
    <w:rsid w:val="00295495"/>
    <w:rsid w:val="002A31DE"/>
    <w:rsid w:val="002B2613"/>
    <w:rsid w:val="002D19B0"/>
    <w:rsid w:val="002D6D05"/>
    <w:rsid w:val="002F1818"/>
    <w:rsid w:val="002F567B"/>
    <w:rsid w:val="003216A9"/>
    <w:rsid w:val="00335A74"/>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3F6619"/>
    <w:rsid w:val="00406254"/>
    <w:rsid w:val="00416CD4"/>
    <w:rsid w:val="004223DE"/>
    <w:rsid w:val="00434489"/>
    <w:rsid w:val="00437085"/>
    <w:rsid w:val="00443880"/>
    <w:rsid w:val="004464F4"/>
    <w:rsid w:val="00471401"/>
    <w:rsid w:val="00473F31"/>
    <w:rsid w:val="0048263A"/>
    <w:rsid w:val="00487E5D"/>
    <w:rsid w:val="004A711F"/>
    <w:rsid w:val="004B199D"/>
    <w:rsid w:val="004B4690"/>
    <w:rsid w:val="004E0A2D"/>
    <w:rsid w:val="004E206B"/>
    <w:rsid w:val="004E6DF7"/>
    <w:rsid w:val="004F0FBD"/>
    <w:rsid w:val="004F403E"/>
    <w:rsid w:val="00505A47"/>
    <w:rsid w:val="00512FDA"/>
    <w:rsid w:val="00520DA0"/>
    <w:rsid w:val="005664BB"/>
    <w:rsid w:val="00566FFA"/>
    <w:rsid w:val="0057481D"/>
    <w:rsid w:val="00575F0B"/>
    <w:rsid w:val="0058486E"/>
    <w:rsid w:val="00585B33"/>
    <w:rsid w:val="0059014D"/>
    <w:rsid w:val="005B5C64"/>
    <w:rsid w:val="005C6BD0"/>
    <w:rsid w:val="005C6C4C"/>
    <w:rsid w:val="005D1C8B"/>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1A31"/>
    <w:rsid w:val="00683E73"/>
    <w:rsid w:val="006A3141"/>
    <w:rsid w:val="006A5E34"/>
    <w:rsid w:val="006B2422"/>
    <w:rsid w:val="006B2B9A"/>
    <w:rsid w:val="006C1937"/>
    <w:rsid w:val="006F020C"/>
    <w:rsid w:val="007127B7"/>
    <w:rsid w:val="0071798E"/>
    <w:rsid w:val="00727533"/>
    <w:rsid w:val="007416B6"/>
    <w:rsid w:val="00746F48"/>
    <w:rsid w:val="0075404D"/>
    <w:rsid w:val="0076182A"/>
    <w:rsid w:val="00767B7E"/>
    <w:rsid w:val="007770C3"/>
    <w:rsid w:val="00784D24"/>
    <w:rsid w:val="00785FBA"/>
    <w:rsid w:val="00786E4A"/>
    <w:rsid w:val="007875EB"/>
    <w:rsid w:val="0079426B"/>
    <w:rsid w:val="007D1682"/>
    <w:rsid w:val="007D312A"/>
    <w:rsid w:val="007D3F19"/>
    <w:rsid w:val="007E23B0"/>
    <w:rsid w:val="007F1991"/>
    <w:rsid w:val="007F2C2F"/>
    <w:rsid w:val="007F55FC"/>
    <w:rsid w:val="007F5665"/>
    <w:rsid w:val="00800112"/>
    <w:rsid w:val="00813348"/>
    <w:rsid w:val="008253BB"/>
    <w:rsid w:val="00833962"/>
    <w:rsid w:val="0083706E"/>
    <w:rsid w:val="008408F6"/>
    <w:rsid w:val="008423A5"/>
    <w:rsid w:val="00850625"/>
    <w:rsid w:val="00853718"/>
    <w:rsid w:val="00855221"/>
    <w:rsid w:val="00860645"/>
    <w:rsid w:val="00871F71"/>
    <w:rsid w:val="00872FD8"/>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7099F"/>
    <w:rsid w:val="00971997"/>
    <w:rsid w:val="00971FFC"/>
    <w:rsid w:val="0098660A"/>
    <w:rsid w:val="009931C3"/>
    <w:rsid w:val="009B2C43"/>
    <w:rsid w:val="009B4EAE"/>
    <w:rsid w:val="009B7573"/>
    <w:rsid w:val="009C22F4"/>
    <w:rsid w:val="009C2E98"/>
    <w:rsid w:val="009C37FB"/>
    <w:rsid w:val="009D3447"/>
    <w:rsid w:val="009D4711"/>
    <w:rsid w:val="009F1185"/>
    <w:rsid w:val="009F18CD"/>
    <w:rsid w:val="009F2A13"/>
    <w:rsid w:val="009F7527"/>
    <w:rsid w:val="00A039ED"/>
    <w:rsid w:val="00A04EB0"/>
    <w:rsid w:val="00A13CC1"/>
    <w:rsid w:val="00A16847"/>
    <w:rsid w:val="00A237D8"/>
    <w:rsid w:val="00A268C4"/>
    <w:rsid w:val="00A26EFD"/>
    <w:rsid w:val="00A307CD"/>
    <w:rsid w:val="00A331C8"/>
    <w:rsid w:val="00A35117"/>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0F83"/>
    <w:rsid w:val="00AD5620"/>
    <w:rsid w:val="00AD656B"/>
    <w:rsid w:val="00AD7C1B"/>
    <w:rsid w:val="00AE16BA"/>
    <w:rsid w:val="00AE1EBE"/>
    <w:rsid w:val="00AF37A0"/>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944D6"/>
    <w:rsid w:val="00BB4DF0"/>
    <w:rsid w:val="00BC289F"/>
    <w:rsid w:val="00BC2D50"/>
    <w:rsid w:val="00BC5361"/>
    <w:rsid w:val="00BC5460"/>
    <w:rsid w:val="00BC6B50"/>
    <w:rsid w:val="00BD0E25"/>
    <w:rsid w:val="00BF5BD6"/>
    <w:rsid w:val="00C03E31"/>
    <w:rsid w:val="00C30E69"/>
    <w:rsid w:val="00C33E72"/>
    <w:rsid w:val="00C354B2"/>
    <w:rsid w:val="00C35554"/>
    <w:rsid w:val="00C42709"/>
    <w:rsid w:val="00C533CC"/>
    <w:rsid w:val="00C5751C"/>
    <w:rsid w:val="00C61BFC"/>
    <w:rsid w:val="00C62B85"/>
    <w:rsid w:val="00C65438"/>
    <w:rsid w:val="00C91CBB"/>
    <w:rsid w:val="00CB4E70"/>
    <w:rsid w:val="00CC09B6"/>
    <w:rsid w:val="00CC666F"/>
    <w:rsid w:val="00CD1E3F"/>
    <w:rsid w:val="00CE44F6"/>
    <w:rsid w:val="00CE49DA"/>
    <w:rsid w:val="00CE7B61"/>
    <w:rsid w:val="00D00095"/>
    <w:rsid w:val="00D114F0"/>
    <w:rsid w:val="00D179F5"/>
    <w:rsid w:val="00D20620"/>
    <w:rsid w:val="00D2207C"/>
    <w:rsid w:val="00D254F7"/>
    <w:rsid w:val="00D26091"/>
    <w:rsid w:val="00D2685C"/>
    <w:rsid w:val="00D34E7C"/>
    <w:rsid w:val="00D35489"/>
    <w:rsid w:val="00D36AFE"/>
    <w:rsid w:val="00D51276"/>
    <w:rsid w:val="00D7035F"/>
    <w:rsid w:val="00DA634F"/>
    <w:rsid w:val="00DA65AC"/>
    <w:rsid w:val="00DB1913"/>
    <w:rsid w:val="00DC410D"/>
    <w:rsid w:val="00DC5A81"/>
    <w:rsid w:val="00DC68CA"/>
    <w:rsid w:val="00DC7CBA"/>
    <w:rsid w:val="00DD73B7"/>
    <w:rsid w:val="00DF28BC"/>
    <w:rsid w:val="00DF34B9"/>
    <w:rsid w:val="00DF7548"/>
    <w:rsid w:val="00E01053"/>
    <w:rsid w:val="00E07ACF"/>
    <w:rsid w:val="00E331A1"/>
    <w:rsid w:val="00E33202"/>
    <w:rsid w:val="00E336A9"/>
    <w:rsid w:val="00E472B1"/>
    <w:rsid w:val="00E50624"/>
    <w:rsid w:val="00E568DF"/>
    <w:rsid w:val="00E64269"/>
    <w:rsid w:val="00E66797"/>
    <w:rsid w:val="00E82267"/>
    <w:rsid w:val="00E853CE"/>
    <w:rsid w:val="00E867B6"/>
    <w:rsid w:val="00E87F08"/>
    <w:rsid w:val="00EA010F"/>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D3CC1"/>
    <w:rsid w:val="00FF1E02"/>
    <w:rsid w:val="00FF30B4"/>
    <w:rsid w:val="076C6B28"/>
    <w:rsid w:val="09783895"/>
    <w:rsid w:val="09983C39"/>
    <w:rsid w:val="0B791CDB"/>
    <w:rsid w:val="0E396E51"/>
    <w:rsid w:val="10C055FF"/>
    <w:rsid w:val="11552894"/>
    <w:rsid w:val="16BB723D"/>
    <w:rsid w:val="186E1D7D"/>
    <w:rsid w:val="1B3B0D5F"/>
    <w:rsid w:val="216876E5"/>
    <w:rsid w:val="240371BF"/>
    <w:rsid w:val="2510580D"/>
    <w:rsid w:val="292955A4"/>
    <w:rsid w:val="29FD04D3"/>
    <w:rsid w:val="2E3920F2"/>
    <w:rsid w:val="319F7F4E"/>
    <w:rsid w:val="37722DE5"/>
    <w:rsid w:val="3DD41A14"/>
    <w:rsid w:val="45193ED6"/>
    <w:rsid w:val="49603A08"/>
    <w:rsid w:val="4AA01C6F"/>
    <w:rsid w:val="4ECE2238"/>
    <w:rsid w:val="55F9433B"/>
    <w:rsid w:val="56426839"/>
    <w:rsid w:val="58C87628"/>
    <w:rsid w:val="5A3E176B"/>
    <w:rsid w:val="5C8728D2"/>
    <w:rsid w:val="5CD80656"/>
    <w:rsid w:val="5F112DD2"/>
    <w:rsid w:val="5F663956"/>
    <w:rsid w:val="60AB5F0E"/>
    <w:rsid w:val="637C2E1A"/>
    <w:rsid w:val="63A73F5B"/>
    <w:rsid w:val="6D941B1B"/>
    <w:rsid w:val="70815CDE"/>
    <w:rsid w:val="72734D90"/>
    <w:rsid w:val="78421BCD"/>
    <w:rsid w:val="7C434A70"/>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5"/>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26"/>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29"/>
    <w:unhideWhenUsed/>
    <w:qFormat/>
    <w:uiPriority w:val="9"/>
    <w:pPr>
      <w:keepNext/>
      <w:keepLines/>
      <w:spacing w:before="260" w:after="260" w:line="416" w:lineRule="auto"/>
      <w:outlineLvl w:val="2"/>
    </w:pPr>
    <w:rPr>
      <w:b/>
      <w:bCs/>
      <w:sz w:val="32"/>
      <w:szCs w:val="32"/>
    </w:rPr>
  </w:style>
  <w:style w:type="character" w:default="1" w:styleId="13">
    <w:name w:val="Default Paragraph Font"/>
    <w:semiHidden/>
    <w:unhideWhenUsed/>
    <w:qFormat/>
    <w:uiPriority w:val="1"/>
  </w:style>
  <w:style w:type="table" w:default="1" w:styleId="16">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20"/>
    <w:qFormat/>
    <w:uiPriority w:val="99"/>
    <w:pPr>
      <w:tabs>
        <w:tab w:val="center" w:pos="4153"/>
        <w:tab w:val="right" w:pos="8306"/>
      </w:tabs>
      <w:snapToGrid w:val="0"/>
      <w:jc w:val="left"/>
    </w:pPr>
    <w:rPr>
      <w:rFonts w:ascii="Calibri" w:hAnsi="Calibri"/>
      <w:kern w:val="0"/>
      <w:sz w:val="18"/>
      <w:szCs w:val="18"/>
    </w:rPr>
  </w:style>
  <w:style w:type="paragraph" w:styleId="6">
    <w:name w:val="Body Text"/>
    <w:basedOn w:val="1"/>
    <w:link w:val="22"/>
    <w:qFormat/>
    <w:uiPriority w:val="99"/>
    <w:pPr>
      <w:spacing w:beforeLines="30"/>
    </w:pPr>
    <w:rPr>
      <w:rFonts w:ascii="仿宋_GB2312" w:eastAsia="仿宋_GB2312"/>
      <w:kern w:val="0"/>
      <w:sz w:val="30"/>
    </w:rPr>
  </w:style>
  <w:style w:type="paragraph" w:styleId="7">
    <w:name w:val="toc 3"/>
    <w:basedOn w:val="1"/>
    <w:next w:val="1"/>
    <w:unhideWhenUsed/>
    <w:qFormat/>
    <w:uiPriority w:val="39"/>
    <w:pPr>
      <w:tabs>
        <w:tab w:val="right" w:leader="dot" w:pos="8296"/>
      </w:tabs>
      <w:ind w:left="840" w:leftChars="400"/>
    </w:pPr>
  </w:style>
  <w:style w:type="paragraph" w:styleId="8">
    <w:name w:val="Plain Text"/>
    <w:basedOn w:val="1"/>
    <w:qFormat/>
    <w:uiPriority w:val="0"/>
    <w:rPr>
      <w:rFonts w:ascii="宋体" w:hAnsi="Courier New" w:cs="Courier New"/>
      <w:szCs w:val="21"/>
    </w:rPr>
  </w:style>
  <w:style w:type="paragraph" w:styleId="9">
    <w:name w:val="Balloon Text"/>
    <w:basedOn w:val="1"/>
    <w:link w:val="28"/>
    <w:semiHidden/>
    <w:unhideWhenUsed/>
    <w:qFormat/>
    <w:uiPriority w:val="99"/>
    <w:rPr>
      <w:sz w:val="18"/>
      <w:szCs w:val="18"/>
    </w:rPr>
  </w:style>
  <w:style w:type="paragraph" w:styleId="10">
    <w:name w:val="header"/>
    <w:basedOn w:val="1"/>
    <w:link w:val="18"/>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1">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2">
    <w:name w:val="toc 2"/>
    <w:basedOn w:val="1"/>
    <w:next w:val="1"/>
    <w:unhideWhenUsed/>
    <w:qFormat/>
    <w:uiPriority w:val="39"/>
    <w:pPr>
      <w:tabs>
        <w:tab w:val="right" w:leader="dot" w:pos="8296"/>
      </w:tabs>
      <w:ind w:left="420" w:leftChars="200"/>
    </w:pPr>
  </w:style>
  <w:style w:type="character" w:styleId="14">
    <w:name w:val="Strong"/>
    <w:basedOn w:val="13"/>
    <w:qFormat/>
    <w:uiPriority w:val="99"/>
    <w:rPr>
      <w:b/>
    </w:rPr>
  </w:style>
  <w:style w:type="character" w:styleId="15">
    <w:name w:val="Hyperlink"/>
    <w:basedOn w:val="13"/>
    <w:unhideWhenUsed/>
    <w:qFormat/>
    <w:uiPriority w:val="99"/>
    <w:rPr>
      <w:color w:val="0000FF" w:themeColor="hyperlink"/>
      <w:u w:val="single"/>
    </w:rPr>
  </w:style>
  <w:style w:type="character" w:customStyle="1" w:styleId="17">
    <w:name w:val="Header Char"/>
    <w:basedOn w:val="13"/>
    <w:semiHidden/>
    <w:qFormat/>
    <w:uiPriority w:val="99"/>
    <w:rPr>
      <w:rFonts w:ascii="Times New Roman" w:hAnsi="Times New Roman"/>
      <w:sz w:val="18"/>
      <w:szCs w:val="18"/>
    </w:rPr>
  </w:style>
  <w:style w:type="character" w:customStyle="1" w:styleId="18">
    <w:name w:val="页眉 字符"/>
    <w:link w:val="10"/>
    <w:semiHidden/>
    <w:qFormat/>
    <w:locked/>
    <w:uiPriority w:val="99"/>
    <w:rPr>
      <w:sz w:val="18"/>
    </w:rPr>
  </w:style>
  <w:style w:type="character" w:customStyle="1" w:styleId="19">
    <w:name w:val="Footer Char"/>
    <w:basedOn w:val="13"/>
    <w:semiHidden/>
    <w:qFormat/>
    <w:uiPriority w:val="99"/>
    <w:rPr>
      <w:rFonts w:ascii="Times New Roman" w:hAnsi="Times New Roman"/>
      <w:sz w:val="18"/>
      <w:szCs w:val="18"/>
    </w:rPr>
  </w:style>
  <w:style w:type="character" w:customStyle="1" w:styleId="20">
    <w:name w:val="页脚 字符"/>
    <w:link w:val="2"/>
    <w:qFormat/>
    <w:locked/>
    <w:uiPriority w:val="99"/>
    <w:rPr>
      <w:sz w:val="18"/>
    </w:rPr>
  </w:style>
  <w:style w:type="character" w:customStyle="1" w:styleId="21">
    <w:name w:val="Body Text Char"/>
    <w:basedOn w:val="13"/>
    <w:semiHidden/>
    <w:qFormat/>
    <w:uiPriority w:val="99"/>
    <w:rPr>
      <w:rFonts w:ascii="Times New Roman" w:hAnsi="Times New Roman"/>
      <w:szCs w:val="24"/>
    </w:rPr>
  </w:style>
  <w:style w:type="character" w:customStyle="1" w:styleId="22">
    <w:name w:val="正文文本 字符"/>
    <w:link w:val="6"/>
    <w:qFormat/>
    <w:locked/>
    <w:uiPriority w:val="99"/>
    <w:rPr>
      <w:rFonts w:ascii="仿宋_GB2312" w:hAnsi="Times New Roman" w:eastAsia="仿宋_GB2312"/>
      <w:sz w:val="24"/>
    </w:rPr>
  </w:style>
  <w:style w:type="paragraph" w:customStyle="1" w:styleId="23">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4">
    <w:name w:val="List Paragraph"/>
    <w:basedOn w:val="1"/>
    <w:qFormat/>
    <w:uiPriority w:val="34"/>
    <w:pPr>
      <w:ind w:firstLine="420" w:firstLineChars="200"/>
    </w:pPr>
  </w:style>
  <w:style w:type="character" w:customStyle="1" w:styleId="25">
    <w:name w:val="标题 1 字符"/>
    <w:basedOn w:val="13"/>
    <w:link w:val="3"/>
    <w:qFormat/>
    <w:uiPriority w:val="9"/>
    <w:rPr>
      <w:rFonts w:ascii="Times New Roman" w:hAnsi="Times New Roman"/>
      <w:b/>
      <w:bCs/>
      <w:kern w:val="44"/>
      <w:sz w:val="44"/>
      <w:szCs w:val="44"/>
    </w:rPr>
  </w:style>
  <w:style w:type="character" w:customStyle="1" w:styleId="26">
    <w:name w:val="标题 2 字符"/>
    <w:basedOn w:val="13"/>
    <w:link w:val="4"/>
    <w:qFormat/>
    <w:uiPriority w:val="9"/>
    <w:rPr>
      <w:rFonts w:asciiTheme="majorHAnsi" w:hAnsiTheme="majorHAnsi" w:eastAsiaTheme="majorEastAsia" w:cstheme="majorBidi"/>
      <w:b/>
      <w:bCs/>
      <w:kern w:val="2"/>
      <w:sz w:val="32"/>
      <w:szCs w:val="32"/>
    </w:rPr>
  </w:style>
  <w:style w:type="paragraph" w:customStyle="1" w:styleId="27">
    <w:name w:val="TOC 标题1"/>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character" w:customStyle="1" w:styleId="28">
    <w:name w:val="批注框文本 字符"/>
    <w:basedOn w:val="13"/>
    <w:link w:val="9"/>
    <w:semiHidden/>
    <w:qFormat/>
    <w:uiPriority w:val="99"/>
    <w:rPr>
      <w:rFonts w:ascii="Times New Roman" w:hAnsi="Times New Roman"/>
      <w:kern w:val="2"/>
      <w:sz w:val="18"/>
      <w:szCs w:val="18"/>
    </w:rPr>
  </w:style>
  <w:style w:type="character" w:customStyle="1" w:styleId="29">
    <w:name w:val="标题 3 字符"/>
    <w:basedOn w:val="13"/>
    <w:link w:val="5"/>
    <w:qFormat/>
    <w:uiPriority w:val="9"/>
    <w:rPr>
      <w:rFonts w:ascii="Times New Roman" w:hAnsi="Times New Roman"/>
      <w:b/>
      <w:bCs/>
      <w:kern w:val="2"/>
      <w:sz w:val="32"/>
      <w:szCs w:val="32"/>
    </w:rPr>
  </w:style>
  <w:style w:type="paragraph" w:customStyle="1" w:styleId="30">
    <w:name w:val="TOC Heading"/>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2.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7.png"/><Relationship Id="rId11" Type="http://schemas.openxmlformats.org/officeDocument/2006/relationships/image" Target="media/image6.png"/><Relationship Id="rId10" Type="http://schemas.openxmlformats.org/officeDocument/2006/relationships/image" Target="media/image5.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C21FA5C-FBC4-4E0C-90C9-F7AB8D53FD89}">
  <ds:schemaRefs/>
</ds:datastoreItem>
</file>

<file path=docProps/app.xml><?xml version="1.0" encoding="utf-8"?>
<Properties xmlns="http://schemas.openxmlformats.org/officeDocument/2006/extended-properties" xmlns:vt="http://schemas.openxmlformats.org/officeDocument/2006/docPropsVTypes">
  <Template>Normal.dotm</Template>
  <Company>四川省财政厅</Company>
  <Pages>24</Pages>
  <Words>1284</Words>
  <Characters>7320</Characters>
  <Lines>61</Lines>
  <Paragraphs>17</Paragraphs>
  <TotalTime>5</TotalTime>
  <ScaleCrop>false</ScaleCrop>
  <LinksUpToDate>false</LinksUpToDate>
  <CharactersWithSpaces>8587</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2020-08-04T01:49:00Z</dcterms:created>
  <dc:creator>曹颖</dc:creator>
  <cp:lastModifiedBy>陶淑群 </cp:lastModifiedBy>
  <cp:lastPrinted>2020-07-23T02:58:00Z</cp:lastPrinted>
  <dcterms:modified xsi:type="dcterms:W3CDTF">2020-10-23T07:50:34Z</dcterms:modified>
  <dc:title>四川省***</dc:title>
  <cp:revision>41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