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eastAsia" w:asciiTheme="majorEastAsia" w:hAnsiTheme="majorEastAsia" w:eastAsiaTheme="majorEastAsia" w:cstheme="majorEastAsia"/>
          <w:color w:val="000000"/>
          <w:sz w:val="40"/>
          <w:szCs w:val="40"/>
        </w:rPr>
      </w:pPr>
      <w:bookmarkStart w:id="0" w:name="_Toc15306267"/>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bookmarkStart w:id="1" w:name="_Toc15377425"/>
      <w:bookmarkStart w:id="2" w:name="_Toc15396475"/>
      <w:bookmarkStart w:id="3" w:name="_Toc15377193"/>
      <w:bookmarkStart w:id="4" w:name="_Toc15378441"/>
      <w:bookmarkStart w:id="5" w:name="_Toc15396597"/>
      <w:r>
        <w:rPr>
          <w:rFonts w:hint="eastAsia" w:asciiTheme="majorEastAsia" w:hAnsiTheme="majorEastAsia" w:eastAsiaTheme="majorEastAsia" w:cstheme="majorEastAsia"/>
          <w:b/>
          <w:bCs/>
          <w:color w:val="000000"/>
          <w:sz w:val="36"/>
          <w:szCs w:val="36"/>
        </w:rPr>
        <w:t>2</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0</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1</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8</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年</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度</w:t>
      </w:r>
      <w:bookmarkEnd w:id="1"/>
      <w:bookmarkEnd w:id="2"/>
      <w:bookmarkEnd w:id="3"/>
      <w:bookmarkEnd w:id="4"/>
      <w:bookmarkEnd w:id="5"/>
    </w:p>
    <w:bookmarkEnd w:id="0"/>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bookmarkStart w:id="6" w:name="_Toc15306268"/>
      <w:bookmarkStart w:id="7" w:name="_Toc15377194"/>
      <w:bookmarkStart w:id="8" w:name="_Toc15396598"/>
      <w:bookmarkStart w:id="9" w:name="_Toc15377426"/>
      <w:bookmarkStart w:id="10" w:name="_Toc15378442"/>
      <w:bookmarkStart w:id="11" w:name="_Toc15396476"/>
      <w:r>
        <w:rPr>
          <w:rFonts w:hint="eastAsia" w:asciiTheme="majorEastAsia" w:hAnsiTheme="majorEastAsia" w:eastAsiaTheme="majorEastAsia" w:cstheme="majorEastAsia"/>
          <w:b/>
          <w:bCs/>
          <w:color w:val="000000"/>
          <w:sz w:val="36"/>
          <w:szCs w:val="36"/>
          <w:lang w:val="en-US" w:eastAsia="zh-CN"/>
        </w:rPr>
        <w:t>壤</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塘</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县</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巡</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察</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办</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决</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算</w:t>
      </w:r>
      <w:bookmarkEnd w:id="6"/>
      <w:bookmarkEnd w:id="7"/>
      <w:bookmarkEnd w:id="8"/>
      <w:bookmarkEnd w:id="9"/>
      <w:bookmarkEnd w:id="10"/>
      <w:bookmarkEnd w:id="11"/>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公</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开</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编</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制</w:t>
      </w:r>
    </w:p>
    <w:p>
      <w:pPr>
        <w:widowControl/>
        <w:jc w:val="both"/>
        <w:rPr>
          <w:rFonts w:ascii="黑体" w:hAnsi="黑体" w:eastAsia="黑体"/>
          <w:color w:val="000000"/>
          <w:sz w:val="48"/>
          <w:szCs w:val="48"/>
        </w:rPr>
      </w:pPr>
      <w:r>
        <w:rPr>
          <w:rFonts w:hint="eastAsia" w:asciiTheme="majorEastAsia" w:hAnsiTheme="majorEastAsia" w:eastAsiaTheme="majorEastAsia" w:cstheme="majorEastAsia"/>
          <w:color w:val="000000"/>
          <w:sz w:val="36"/>
          <w:szCs w:val="36"/>
        </w:rPr>
        <w:br w:type="page"/>
      </w:r>
      <w:r>
        <w:rPr>
          <w:rFonts w:hint="eastAsia" w:asciiTheme="majorEastAsia" w:hAnsiTheme="majorEastAsia" w:eastAsiaTheme="majorEastAsia" w:cstheme="majorEastAsia"/>
          <w:color w:val="000000"/>
          <w:sz w:val="30"/>
          <w:szCs w:val="30"/>
          <w:lang w:val="en-US" w:eastAsia="zh-CN"/>
        </w:rPr>
        <w:t xml:space="preserve">                       </w:t>
      </w: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 xml:space="preserve">公开时间：2019年 </w:t>
      </w:r>
      <w:r>
        <w:rPr>
          <w:rFonts w:hint="eastAsia"/>
          <w:lang w:val="en-US" w:eastAsia="zh-CN"/>
        </w:rPr>
        <w:t>10</w:t>
      </w:r>
      <w:r>
        <w:rPr>
          <w:rFonts w:hint="eastAsia"/>
        </w:rPr>
        <w:t xml:space="preserve"> 月 </w:t>
      </w:r>
      <w:r>
        <w:rPr>
          <w:rFonts w:hint="eastAsia"/>
          <w:lang w:val="en-US" w:eastAsia="zh-CN"/>
        </w:rPr>
        <w:t>20</w:t>
      </w:r>
      <w:r>
        <w:rPr>
          <w:rFonts w:hint="eastAsia"/>
        </w:rPr>
        <w:t>日</w:t>
      </w:r>
    </w:p>
    <w:p/>
    <w:p>
      <w:pPr>
        <w:pStyle w:val="10"/>
        <w:rPr>
          <w:rFonts w:cs="黑体"/>
        </w:rPr>
      </w:pPr>
      <w:r>
        <w:fldChar w:fldCharType="begin"/>
      </w:r>
      <w:r>
        <w:instrText xml:space="preserve">HYPERLINK  \l "_Toc15396599" </w:instrText>
      </w:r>
      <w:r>
        <w:fldChar w:fldCharType="separate"/>
      </w:r>
      <w:r>
        <w:rPr>
          <w:rStyle w:val="15"/>
          <w:rFonts w:hint="eastAsia"/>
        </w:rPr>
        <w:t>第一部分部门概况</w:t>
      </w:r>
      <w:r>
        <w:tab/>
      </w:r>
      <w:r>
        <w:rPr>
          <w:rFonts w:hint="eastAsia"/>
        </w:rPr>
        <w:t>4</w:t>
      </w:r>
      <w:r>
        <w:fldChar w:fldCharType="end"/>
      </w:r>
    </w:p>
    <w:p>
      <w:pPr>
        <w:pStyle w:val="11"/>
        <w:rPr>
          <w:rFonts w:ascii="仿宋" w:hAnsi="仿宋" w:eastAsia="仿宋" w:cs="黑体"/>
          <w:sz w:val="28"/>
          <w:szCs w:val="28"/>
        </w:rPr>
      </w:pPr>
      <w:r>
        <w:fldChar w:fldCharType="begin"/>
      </w:r>
      <w:r>
        <w:instrText xml:space="preserve">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fldChar w:fldCharType="end"/>
      </w:r>
    </w:p>
    <w:p>
      <w:pPr>
        <w:pStyle w:val="11"/>
        <w:rPr>
          <w:rFonts w:ascii="仿宋" w:hAnsi="仿宋" w:eastAsia="仿宋" w:cs="黑体"/>
          <w:sz w:val="28"/>
          <w:szCs w:val="28"/>
        </w:rPr>
      </w:pPr>
      <w:r>
        <w:fldChar w:fldCharType="begin"/>
      </w:r>
      <w:r>
        <w:instrText xml:space="preserve">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fldChar w:fldCharType="end"/>
      </w:r>
    </w:p>
    <w:p>
      <w:pPr>
        <w:pStyle w:val="10"/>
      </w:pPr>
      <w:r>
        <w:fldChar w:fldCharType="begin"/>
      </w:r>
      <w:r>
        <w:instrText xml:space="preserve">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cs="黑体"/>
          <w:sz w:val="28"/>
          <w:szCs w:val="28"/>
        </w:rPr>
      </w:pPr>
      <w:r>
        <w:fldChar w:fldCharType="begin"/>
      </w:r>
      <w:r>
        <w:instrText xml:space="preserve">HYPERLINK  \l "_Toc15396603" </w:instrText>
      </w:r>
      <w:r>
        <w:fldChar w:fldCharType="separate"/>
      </w:r>
      <w:r>
        <w:rPr>
          <w:rStyle w:val="15"/>
          <w:rFonts w:hint="eastAsia" w:ascii="仿宋" w:hAnsi="仿宋" w:eastAsia="仿宋" w:cs="黑体"/>
          <w:bCs/>
          <w:sz w:val="28"/>
          <w:szCs w:val="28"/>
        </w:rPr>
        <w:t>一、</w:t>
      </w:r>
      <w:r>
        <w:rPr>
          <w:rStyle w:val="15"/>
          <w:rFonts w:hint="eastAsia" w:ascii="仿宋" w:hAnsi="仿宋" w:eastAsia="仿宋"/>
          <w:sz w:val="28"/>
          <w:szCs w:val="28"/>
        </w:rPr>
        <w:t>收</w:t>
      </w:r>
      <w:r>
        <w:rPr>
          <w:rStyle w:val="15"/>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"_Toc15396604" </w:instrText>
      </w:r>
      <w:r>
        <w:fldChar w:fldCharType="separate"/>
      </w:r>
      <w:r>
        <w:rPr>
          <w:rStyle w:val="15"/>
          <w:rFonts w:hint="eastAsia" w:ascii="仿宋" w:hAnsi="仿宋" w:eastAsia="仿宋" w:cs="黑体"/>
          <w:bCs/>
          <w:sz w:val="28"/>
          <w:szCs w:val="28"/>
        </w:rPr>
        <w:t>二、</w:t>
      </w:r>
      <w:r>
        <w:rPr>
          <w:rStyle w:val="15"/>
          <w:rFonts w:hint="eastAsia" w:ascii="仿宋" w:hAnsi="仿宋" w:eastAsia="仿宋"/>
          <w:sz w:val="28"/>
          <w:szCs w:val="28"/>
        </w:rPr>
        <w:t>收</w:t>
      </w:r>
      <w:r>
        <w:rPr>
          <w:rStyle w:val="15"/>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"_Toc15396605" </w:instrText>
      </w:r>
      <w:r>
        <w:fldChar w:fldCharType="separate"/>
      </w:r>
      <w:r>
        <w:rPr>
          <w:rStyle w:val="15"/>
          <w:rFonts w:hint="eastAsia" w:ascii="仿宋" w:hAnsi="仿宋" w:eastAsia="仿宋" w:cs="黑体"/>
          <w:bCs/>
          <w:sz w:val="28"/>
          <w:szCs w:val="28"/>
        </w:rPr>
        <w:t>三、</w:t>
      </w:r>
      <w:r>
        <w:rPr>
          <w:rStyle w:val="15"/>
          <w:rFonts w:hint="eastAsia" w:ascii="仿宋" w:hAnsi="仿宋" w:eastAsia="仿宋"/>
          <w:sz w:val="28"/>
          <w:szCs w:val="28"/>
        </w:rPr>
        <w:t>支</w:t>
      </w:r>
      <w:r>
        <w:rPr>
          <w:rStyle w:val="15"/>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pStyle w:val="11"/>
        <w:rPr>
          <w:rFonts w:hint="eastAsia"/>
        </w:rPr>
      </w:pPr>
      <w:r>
        <w:fldChar w:fldCharType="begin"/>
      </w:r>
      <w:r>
        <w:instrText xml:space="preserve">HYPERLINK  \l "_Toc15396611" </w:instrText>
      </w:r>
      <w:r>
        <w:fldChar w:fldCharType="separate"/>
      </w:r>
      <w:r>
        <w:rPr>
          <w:rStyle w:val="15"/>
          <w:rFonts w:hint="eastAsia" w:ascii="仿宋" w:hAnsi="仿宋" w:eastAsia="仿宋" w:cs="黑体"/>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rPr>
          <w:color w:val="000000"/>
        </w:rPr>
      </w:pPr>
      <w:r>
        <w:rPr>
          <w:rFonts w:hint="eastAsia"/>
        </w:rPr>
        <w:t xml:space="preserve">    </w:t>
      </w:r>
      <w:r>
        <w:rPr>
          <w:rStyle w:val="15"/>
          <w:rFonts w:hint="eastAsia" w:ascii="仿宋" w:hAnsi="仿宋" w:eastAsia="仿宋" w:cs="黑体"/>
          <w:bCs/>
          <w:color w:val="000000"/>
          <w:sz w:val="28"/>
          <w:szCs w:val="28"/>
          <w:u w:val="none"/>
        </w:rPr>
        <w:t>十、预算绩效情况说明</w:t>
      </w:r>
      <w:r>
        <w:rPr>
          <w:rStyle w:val="15"/>
          <w:rFonts w:ascii="仿宋" w:hAnsi="仿宋" w:eastAsia="仿宋" w:cs="黑体"/>
          <w:bCs/>
          <w:color w:val="000000"/>
          <w:sz w:val="28"/>
          <w:szCs w:val="28"/>
          <w:u w:val="none"/>
        </w:rPr>
        <w:t>…………………………………………</w:t>
      </w:r>
      <w:r>
        <w:rPr>
          <w:rStyle w:val="15"/>
          <w:rFonts w:hint="eastAsia" w:ascii="仿宋" w:hAnsi="仿宋" w:eastAsia="仿宋" w:cs="黑体"/>
          <w:bCs/>
          <w:color w:val="000000"/>
          <w:sz w:val="28"/>
          <w:szCs w:val="28"/>
          <w:u w:val="none"/>
        </w:rPr>
        <w:t xml:space="preserve">  13</w:t>
      </w:r>
    </w:p>
    <w:p>
      <w:pPr>
        <w:pStyle w:val="11"/>
        <w:rPr>
          <w:rFonts w:ascii="仿宋" w:hAnsi="仿宋" w:eastAsia="仿宋" w:cs="黑体"/>
          <w:sz w:val="28"/>
          <w:szCs w:val="28"/>
        </w:rPr>
      </w:pPr>
      <w:r>
        <w:fldChar w:fldCharType="begin"/>
      </w:r>
      <w:r>
        <w:instrText xml:space="preserve">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黑体"/>
        </w:rPr>
      </w:pPr>
      <w:r>
        <w:fldChar w:fldCharType="begin"/>
      </w:r>
      <w:r>
        <w:instrText xml:space="preserve">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16</w:t>
      </w:r>
      <w:r>
        <w:fldChar w:fldCharType="end"/>
      </w:r>
      <w:r>
        <w:fldChar w:fldCharType="end"/>
      </w:r>
    </w:p>
    <w:p>
      <w:pPr>
        <w:pStyle w:val="11"/>
        <w:rPr>
          <w:rFonts w:ascii="仿宋" w:hAnsi="仿宋" w:eastAsia="仿宋" w:cs="黑体"/>
          <w:sz w:val="28"/>
          <w:szCs w:val="28"/>
        </w:rPr>
      </w:pPr>
      <w:r>
        <w:fldChar w:fldCharType="begin"/>
      </w:r>
      <w:r>
        <w:instrText xml:space="preserve">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19</w:t>
      </w:r>
      <w: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一、</w:t>
      </w:r>
      <w:r>
        <w:fldChar w:fldCharType="begin"/>
      </w:r>
      <w:r>
        <w:instrText xml:space="preserve">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二、</w:t>
      </w:r>
      <w:r>
        <w:fldChar w:fldCharType="begin"/>
      </w:r>
      <w:r>
        <w:instrText xml:space="preserve">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三、</w:t>
      </w:r>
      <w:r>
        <w:fldChar w:fldCharType="begin"/>
      </w:r>
      <w:r>
        <w:instrText xml:space="preserve">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四、</w:t>
      </w:r>
      <w:r>
        <w:fldChar w:fldCharType="begin"/>
      </w:r>
      <w:r>
        <w:instrText xml:space="preserve">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六、</w:t>
      </w:r>
      <w:r>
        <w:fldChar w:fldCharType="begin"/>
      </w:r>
      <w:r>
        <w:instrText xml:space="preserve">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七、</w:t>
      </w:r>
      <w:r>
        <w:fldChar w:fldCharType="begin"/>
      </w:r>
      <w:r>
        <w:instrText xml:space="preserve">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八、</w:t>
      </w:r>
      <w:r>
        <w:fldChar w:fldCharType="begin"/>
      </w:r>
      <w:r>
        <w:instrText xml:space="preserve">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九、</w:t>
      </w:r>
      <w:r>
        <w:fldChar w:fldCharType="begin"/>
      </w:r>
      <w:r>
        <w:instrText xml:space="preserve">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w:t>
      </w:r>
      <w:r>
        <w:fldChar w:fldCharType="begin"/>
      </w:r>
      <w:r>
        <w:instrText xml:space="preserve">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十一、</w:t>
      </w:r>
      <w:r>
        <w:fldChar w:fldCharType="begin"/>
      </w:r>
      <w:r>
        <w:instrText xml:space="preserve">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十二、</w:t>
      </w:r>
      <w:r>
        <w:fldChar w:fldCharType="begin"/>
      </w:r>
      <w:r>
        <w:instrText xml:space="preserve">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ascii="仿宋" w:hAnsi="仿宋" w:eastAsia="仿宋" w:cs="黑体"/>
          <w:sz w:val="24"/>
        </w:rPr>
      </w:pPr>
      <w:r>
        <w:rPr>
          <w:rFonts w:hint="eastAsia" w:ascii="仿宋" w:hAnsi="仿宋" w:eastAsia="仿宋"/>
          <w:sz w:val="28"/>
          <w:szCs w:val="28"/>
        </w:rPr>
        <w:t>十三、</w:t>
      </w:r>
      <w:r>
        <w:fldChar w:fldCharType="begin"/>
      </w:r>
      <w:r>
        <w:instrText xml:space="preserve">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pStyle w:val="3"/>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textAlignment w:val="auto"/>
        <w:outlineLvl w:val="9"/>
        <w:rPr>
          <w:rFonts w:hint="eastAsia" w:ascii="仿宋" w:hAnsi="仿宋" w:eastAsia="仿宋"/>
          <w:bCs/>
          <w:color w:val="000000"/>
          <w:sz w:val="32"/>
          <w:szCs w:val="32"/>
          <w:lang w:eastAsia="zh-CN"/>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 w:hAnsi="仿宋" w:eastAsia="仿宋"/>
          <w:bCs/>
          <w:color w:val="000000"/>
          <w:sz w:val="32"/>
          <w:szCs w:val="32"/>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1.向州委巡察工作领导小组办公室报送巡察工作规划、年度计划、年度总结、重要情况和信息；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2.向县委巡察工作领导小组报告工作情况，传达贯彻县委巡察工作领导小组的决策和部署；</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3.统筹、协调、指导巡察组开展工作；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4.承担政策研究、制度建设等工作，对县委和县委巡察工作领导小组决定的事项进行督办；</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5.配合县纪委、县委组织部等部门对巡察工作人员进行培训、考核、监督和管理；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6.建立健全与纪检、政法、组织、审计、信访等部门的联系机制，负责与其进行沟通衔接；</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60" w:lineRule="auto"/>
        <w:ind w:left="0" w:right="0" w:firstLine="420"/>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7.办理县委巡察工作领导小组和上级巡察办交办的其他事项。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15" w:lineRule="atLeast"/>
        <w:ind w:left="0" w:right="0" w:firstLine="420"/>
        <w:rPr>
          <w:rFonts w:hint="eastAsia" w:ascii="宋体" w:hAnsi="宋体" w:eastAsia="宋体" w:cs="宋体"/>
          <w:i w:val="0"/>
          <w:caps w:val="0"/>
          <w:color w:val="333333"/>
          <w:spacing w:val="0"/>
          <w:sz w:val="24"/>
          <w:szCs w:val="24"/>
          <w:shd w:val="clear" w:fill="FFFFFF"/>
        </w:rPr>
      </w:pPr>
    </w:p>
    <w:p>
      <w:pPr>
        <w:widowControl w:val="0"/>
        <w:numPr>
          <w:ilvl w:val="0"/>
          <w:numId w:val="0"/>
        </w:numPr>
        <w:wordWrap/>
        <w:adjustRightInd/>
        <w:snapToGrid/>
        <w:textAlignment w:val="auto"/>
        <w:rPr>
          <w:rFonts w:hint="eastAsia" w:ascii="仿宋" w:hAnsi="仿宋" w:eastAsia="仿宋"/>
          <w:bCs/>
          <w:color w:val="000000"/>
          <w:sz w:val="32"/>
          <w:szCs w:val="32"/>
          <w:lang w:eastAsia="zh-CN"/>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 w:hAnsi="仿宋" w:eastAsia="仿宋"/>
          <w:bCs/>
          <w:color w:val="000000"/>
          <w:sz w:val="32"/>
          <w:szCs w:val="32"/>
          <w:lang w:eastAsia="zh-CN"/>
        </w:rPr>
        <w:t>：</w:t>
      </w:r>
    </w:p>
    <w:p>
      <w:pPr>
        <w:widowControl w:val="0"/>
        <w:numPr>
          <w:ilvl w:val="0"/>
          <w:numId w:val="1"/>
        </w:numPr>
        <w:wordWrap/>
        <w:adjustRightInd/>
        <w:snapToGrid/>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认真履职，扎实开展巡察工作</w:t>
      </w:r>
    </w:p>
    <w:p>
      <w:pPr>
        <w:widowControl w:val="0"/>
        <w:numPr>
          <w:ilvl w:val="0"/>
          <w:numId w:val="0"/>
        </w:numPr>
        <w:wordWrap/>
        <w:adjustRightInd/>
        <w:snapToGrid/>
        <w:ind w:leftChars="200" w:firstLine="320"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今年按照巡察规划，安排巡察</w:t>
      </w:r>
      <w:r>
        <w:rPr>
          <w:rFonts w:hint="eastAsia" w:ascii="仿宋_GB2312" w:hAnsi="仿宋_GB2312" w:eastAsia="仿宋_GB2312" w:cs="仿宋_GB2312"/>
          <w:b w:val="0"/>
          <w:bCs w:val="0"/>
          <w:sz w:val="32"/>
          <w:szCs w:val="32"/>
          <w:lang w:val="en-US" w:eastAsia="zh-CN"/>
        </w:rPr>
        <w:t>2次。上半年一次、下半年一次。现上半年的巡察已完成（第三次巡察）；下半年的巡察（第四次巡察）正在开展之中。</w:t>
      </w:r>
    </w:p>
    <w:p>
      <w:pPr>
        <w:widowControl w:val="0"/>
        <w:wordWrap/>
        <w:adjustRightInd/>
        <w:snapToGrid/>
        <w:ind w:firstLine="643" w:firstLineChars="200"/>
        <w:jc w:val="left"/>
        <w:textAlignment w:val="auto"/>
        <w:rPr>
          <w:rFonts w:hint="eastAsia" w:ascii="楷体_GB2312" w:eastAsia="楷体_GB2312"/>
          <w:b/>
          <w:sz w:val="32"/>
          <w:szCs w:val="32"/>
          <w:lang w:eastAsia="zh-CN"/>
        </w:rPr>
      </w:pPr>
      <w:r>
        <w:rPr>
          <w:rFonts w:hint="eastAsia" w:ascii="楷体_GB2312" w:eastAsia="楷体_GB2312"/>
          <w:b/>
          <w:sz w:val="32"/>
          <w:szCs w:val="32"/>
          <w:lang w:eastAsia="zh-CN"/>
        </w:rPr>
        <w:t>（一）巡察工作开展情况：</w:t>
      </w:r>
    </w:p>
    <w:p>
      <w:pPr>
        <w:widowControl w:val="0"/>
        <w:wordWrap/>
        <w:adjustRightInd/>
        <w:snapToGrid/>
        <w:ind w:firstLine="643" w:firstLineChars="200"/>
        <w:jc w:val="left"/>
        <w:textAlignment w:val="auto"/>
        <w:rPr>
          <w:rFonts w:hint="eastAsia" w:ascii="仿宋_GB2312" w:eastAsia="仿宋_GB2312"/>
          <w:sz w:val="32"/>
          <w:szCs w:val="32"/>
        </w:rPr>
      </w:pPr>
      <w:r>
        <w:rPr>
          <w:rFonts w:hint="eastAsia" w:ascii="仿宋_GB2312" w:hAnsi="仿宋_GB2312" w:eastAsia="仿宋_GB2312" w:cs="仿宋_GB2312"/>
          <w:b/>
          <w:bCs/>
          <w:snapToGrid w:val="0"/>
          <w:kern w:val="0"/>
          <w:sz w:val="32"/>
          <w:szCs w:val="32"/>
          <w:lang w:eastAsia="zh-CN"/>
        </w:rPr>
        <w:t>第三轮巡察工作开展情况：</w:t>
      </w:r>
      <w:r>
        <w:rPr>
          <w:rFonts w:hint="eastAsia" w:ascii="仿宋_GB2312" w:hAnsi="仿宋_GB2312" w:eastAsia="仿宋_GB2312" w:cs="仿宋_GB2312"/>
          <w:snapToGrid w:val="0"/>
          <w:kern w:val="0"/>
          <w:sz w:val="32"/>
          <w:szCs w:val="32"/>
        </w:rPr>
        <w:t>根据县委巡察工作统一部署，</w:t>
      </w:r>
      <w:r>
        <w:rPr>
          <w:rFonts w:hint="eastAsia" w:ascii="仿宋_GB2312" w:hAnsi="仿宋_GB2312" w:eastAsia="仿宋_GB2312" w:cs="仿宋_GB2312"/>
          <w:spacing w:val="-20"/>
          <w:sz w:val="32"/>
          <w:szCs w:val="32"/>
        </w:rPr>
        <w:t>201</w:t>
      </w:r>
      <w:r>
        <w:rPr>
          <w:rFonts w:hint="eastAsia" w:ascii="仿宋_GB2312" w:hAnsi="仿宋_GB2312" w:eastAsia="仿宋_GB2312" w:cs="仿宋_GB2312"/>
          <w:spacing w:val="-20"/>
          <w:sz w:val="32"/>
          <w:szCs w:val="32"/>
          <w:lang w:val="en-US" w:eastAsia="zh-CN"/>
        </w:rPr>
        <w:t>8</w:t>
      </w:r>
      <w:r>
        <w:rPr>
          <w:rFonts w:hint="eastAsia" w:ascii="仿宋_GB2312" w:hAnsi="仿宋_GB2312" w:eastAsia="仿宋_GB2312" w:cs="仿宋_GB2312"/>
          <w:snapToGrid w:val="0"/>
          <w:kern w:val="0"/>
          <w:sz w:val="32"/>
          <w:szCs w:val="32"/>
        </w:rPr>
        <w:t>年</w:t>
      </w:r>
      <w:r>
        <w:rPr>
          <w:rFonts w:hint="eastAsia" w:ascii="仿宋_GB2312" w:hAnsi="仿宋" w:eastAsia="仿宋_GB2312" w:cs="仿宋_GB2312"/>
          <w:color w:val="333333"/>
          <w:sz w:val="32"/>
          <w:szCs w:val="32"/>
          <w:shd w:val="clear" w:color="auto" w:fill="FFFFFF"/>
          <w:lang w:val="en-US" w:eastAsia="zh-CN"/>
        </w:rPr>
        <w:t>5</w:t>
      </w:r>
      <w:r>
        <w:rPr>
          <w:rFonts w:hint="eastAsia" w:ascii="仿宋_GB2312" w:hAnsi="仿宋" w:eastAsia="仿宋_GB2312" w:cs="仿宋_GB2312"/>
          <w:color w:val="333333"/>
          <w:sz w:val="32"/>
          <w:szCs w:val="32"/>
          <w:shd w:val="clear" w:color="auto" w:fill="FFFFFF"/>
        </w:rPr>
        <w:t>月2</w:t>
      </w:r>
      <w:r>
        <w:rPr>
          <w:rFonts w:hint="eastAsia" w:ascii="仿宋_GB2312" w:hAnsi="仿宋" w:eastAsia="仿宋_GB2312" w:cs="仿宋_GB2312"/>
          <w:color w:val="333333"/>
          <w:sz w:val="32"/>
          <w:szCs w:val="32"/>
          <w:shd w:val="clear" w:color="auto" w:fill="FFFFFF"/>
          <w:lang w:val="en-US" w:eastAsia="zh-CN"/>
        </w:rPr>
        <w:t>2</w:t>
      </w:r>
      <w:r>
        <w:rPr>
          <w:rFonts w:hint="eastAsia" w:ascii="仿宋_GB2312" w:hAnsi="仿宋" w:eastAsia="仿宋_GB2312" w:cs="仿宋_GB2312"/>
          <w:color w:val="333333"/>
          <w:sz w:val="32"/>
          <w:szCs w:val="32"/>
          <w:shd w:val="clear" w:color="auto" w:fill="FFFFFF"/>
        </w:rPr>
        <w:t>日</w:t>
      </w:r>
      <w:r>
        <w:rPr>
          <w:rFonts w:hint="eastAsia" w:ascii="仿宋_GB2312" w:hAnsi="仿宋" w:eastAsia="仿宋_GB2312" w:cs="仿宋_GB2312"/>
          <w:color w:val="333333"/>
          <w:sz w:val="32"/>
          <w:szCs w:val="32"/>
          <w:shd w:val="clear" w:color="auto" w:fill="FFFFFF"/>
          <w:lang w:eastAsia="zh-CN"/>
        </w:rPr>
        <w:t>至</w:t>
      </w:r>
      <w:r>
        <w:rPr>
          <w:rFonts w:hint="eastAsia" w:ascii="仿宋_GB2312" w:hAnsi="仿宋" w:eastAsia="仿宋_GB2312" w:cs="仿宋_GB2312"/>
          <w:color w:val="333333"/>
          <w:sz w:val="32"/>
          <w:szCs w:val="32"/>
          <w:shd w:val="clear" w:color="auto" w:fill="FFFFFF"/>
          <w:lang w:val="en-US" w:eastAsia="zh-CN"/>
        </w:rPr>
        <w:t>7月30日，县委3个巡察组先后对县规建局、县审计局、县人社局、县委党校、壤柯镇和岗木达乡开展了第三轮巡察工作。</w:t>
      </w:r>
      <w:r>
        <w:rPr>
          <w:rFonts w:hint="eastAsia" w:ascii="仿宋_GB2312" w:hAnsi="仿宋_GB2312" w:eastAsia="仿宋_GB2312" w:cs="仿宋_GB2312"/>
          <w:sz w:val="32"/>
          <w:szCs w:val="32"/>
          <w:lang w:val="en-US" w:eastAsia="zh-CN"/>
        </w:rPr>
        <w:t xml:space="preserve">                                                                                                                                                                                                                                                                                                                                                                                                                                                                                                                                                                                                                                                                                                                                                                                                                                                                                                                                                                                                                                                                                                                                                                               </w:t>
      </w:r>
    </w:p>
    <w:p>
      <w:pPr>
        <w:widowControl w:val="0"/>
        <w:wordWrap/>
        <w:adjustRightInd/>
        <w:snapToGrid/>
        <w:ind w:firstLine="643" w:firstLineChars="200"/>
        <w:jc w:val="left"/>
        <w:textAlignment w:val="auto"/>
        <w:rPr>
          <w:rFonts w:hint="eastAsia" w:eastAsia="仿宋_GB2312"/>
          <w:b w:val="0"/>
          <w:bCs w:val="0"/>
          <w:color w:val="000000"/>
          <w:sz w:val="32"/>
          <w:szCs w:val="32"/>
          <w:lang w:val="en-US" w:eastAsia="zh-CN"/>
        </w:rPr>
      </w:pPr>
      <w:r>
        <w:rPr>
          <w:rFonts w:hint="eastAsia" w:ascii="仿宋_GB2312" w:eastAsia="仿宋_GB2312"/>
          <w:b/>
          <w:bCs/>
          <w:sz w:val="32"/>
          <w:szCs w:val="32"/>
          <w:lang w:eastAsia="zh-CN"/>
        </w:rPr>
        <w:t>第四轮巡察工作开展情况：</w:t>
      </w:r>
      <w:r>
        <w:rPr>
          <w:rFonts w:hint="eastAsia" w:ascii="仿宋_GB2312" w:eastAsia="仿宋_GB2312"/>
          <w:b w:val="0"/>
          <w:bCs w:val="0"/>
          <w:sz w:val="32"/>
          <w:szCs w:val="32"/>
          <w:lang w:eastAsia="zh-CN"/>
        </w:rPr>
        <w:t>根据州委巡察办要求和县委巡察工作规划，</w:t>
      </w:r>
      <w:r>
        <w:rPr>
          <w:rFonts w:hint="eastAsia" w:ascii="仿宋_GB2312" w:eastAsia="仿宋_GB2312"/>
          <w:b w:val="0"/>
          <w:bCs w:val="0"/>
          <w:sz w:val="32"/>
          <w:szCs w:val="32"/>
          <w:lang w:val="en-US" w:eastAsia="zh-CN"/>
        </w:rPr>
        <w:t>2018年10月22日至12月21日，</w:t>
      </w:r>
      <w:r>
        <w:rPr>
          <w:rFonts w:hint="eastAsia" w:ascii="仿宋_GB2312" w:eastAsia="仿宋_GB2312"/>
          <w:b w:val="0"/>
          <w:bCs w:val="0"/>
          <w:sz w:val="32"/>
          <w:szCs w:val="32"/>
          <w:lang w:eastAsia="zh-CN"/>
        </w:rPr>
        <w:t>对部分县级单位、乡镇，脱贫攻坚主责部门开展常规巡察暨扶贫领域专项巡察和巡察整改“回头看”对</w:t>
      </w:r>
      <w:r>
        <w:rPr>
          <w:rFonts w:hint="eastAsia" w:eastAsia="仿宋_GB2312"/>
          <w:b w:val="0"/>
          <w:bCs w:val="0"/>
          <w:color w:val="000000"/>
          <w:sz w:val="32"/>
          <w:szCs w:val="32"/>
        </w:rPr>
        <w:t>茸木达乡党委</w:t>
      </w:r>
      <w:r>
        <w:rPr>
          <w:rFonts w:hint="eastAsia" w:eastAsia="仿宋_GB2312"/>
          <w:b w:val="0"/>
          <w:bCs w:val="0"/>
          <w:color w:val="000000"/>
          <w:sz w:val="32"/>
          <w:szCs w:val="32"/>
          <w:lang w:eastAsia="zh-CN"/>
        </w:rPr>
        <w:t>、</w:t>
      </w:r>
      <w:r>
        <w:rPr>
          <w:rFonts w:hint="eastAsia" w:eastAsia="仿宋_GB2312"/>
          <w:b w:val="0"/>
          <w:bCs w:val="0"/>
          <w:color w:val="000000"/>
          <w:sz w:val="32"/>
          <w:szCs w:val="32"/>
        </w:rPr>
        <w:t>南木达镇党委</w:t>
      </w:r>
      <w:r>
        <w:rPr>
          <w:rFonts w:hint="eastAsia" w:eastAsia="仿宋_GB2312"/>
          <w:b w:val="0"/>
          <w:bCs w:val="0"/>
          <w:color w:val="000000"/>
          <w:sz w:val="32"/>
          <w:szCs w:val="32"/>
          <w:lang w:eastAsia="zh-CN"/>
        </w:rPr>
        <w:t>、</w:t>
      </w:r>
      <w:r>
        <w:rPr>
          <w:rFonts w:hint="eastAsia" w:eastAsia="仿宋_GB2312"/>
          <w:b w:val="0"/>
          <w:bCs w:val="0"/>
          <w:color w:val="000000"/>
          <w:sz w:val="32"/>
          <w:szCs w:val="32"/>
        </w:rPr>
        <w:t>吾依乡党委</w:t>
      </w:r>
      <w:r>
        <w:rPr>
          <w:rFonts w:hint="eastAsia" w:eastAsia="仿宋_GB2312"/>
          <w:b w:val="0"/>
          <w:bCs w:val="0"/>
          <w:color w:val="000000"/>
          <w:sz w:val="32"/>
          <w:szCs w:val="32"/>
          <w:lang w:eastAsia="zh-CN"/>
        </w:rPr>
        <w:t>、县</w:t>
      </w:r>
      <w:r>
        <w:rPr>
          <w:rFonts w:hint="eastAsia" w:eastAsia="仿宋_GB2312"/>
          <w:b w:val="0"/>
          <w:bCs w:val="0"/>
          <w:color w:val="000000"/>
          <w:sz w:val="32"/>
          <w:szCs w:val="32"/>
        </w:rPr>
        <w:t>委</w:t>
      </w:r>
      <w:r>
        <w:rPr>
          <w:rFonts w:hint="eastAsia" w:eastAsia="仿宋_GB2312"/>
          <w:b w:val="0"/>
          <w:bCs w:val="0"/>
          <w:color w:val="000000"/>
          <w:sz w:val="32"/>
          <w:szCs w:val="32"/>
          <w:lang w:eastAsia="zh-CN"/>
        </w:rPr>
        <w:t>办公室</w:t>
      </w:r>
      <w:r>
        <w:rPr>
          <w:rFonts w:hint="eastAsia" w:eastAsia="仿宋_GB2312"/>
          <w:b w:val="0"/>
          <w:bCs w:val="0"/>
          <w:color w:val="000000"/>
          <w:sz w:val="32"/>
          <w:szCs w:val="32"/>
        </w:rPr>
        <w:t>（</w:t>
      </w:r>
      <w:r>
        <w:rPr>
          <w:rFonts w:hint="eastAsia" w:eastAsia="仿宋_GB2312"/>
          <w:b w:val="0"/>
          <w:bCs w:val="0"/>
          <w:color w:val="000000"/>
          <w:sz w:val="32"/>
          <w:szCs w:val="32"/>
          <w:lang w:eastAsia="zh-CN"/>
        </w:rPr>
        <w:t>含</w:t>
      </w:r>
      <w:r>
        <w:rPr>
          <w:rFonts w:hint="eastAsia" w:eastAsia="仿宋_GB2312"/>
          <w:b w:val="0"/>
          <w:bCs w:val="0"/>
          <w:color w:val="000000"/>
          <w:sz w:val="32"/>
          <w:szCs w:val="32"/>
        </w:rPr>
        <w:t>县保密局、县委机要局</w:t>
      </w:r>
      <w:r>
        <w:rPr>
          <w:rFonts w:hint="eastAsia" w:eastAsia="仿宋_GB2312"/>
          <w:b w:val="0"/>
          <w:bCs w:val="0"/>
          <w:color w:val="000000"/>
          <w:sz w:val="32"/>
          <w:szCs w:val="32"/>
          <w:lang w:eastAsia="zh-CN"/>
        </w:rPr>
        <w:t>、</w:t>
      </w:r>
      <w:r>
        <w:rPr>
          <w:rFonts w:hint="eastAsia" w:eastAsia="仿宋_GB2312"/>
          <w:b w:val="0"/>
          <w:bCs w:val="0"/>
          <w:color w:val="000000"/>
          <w:sz w:val="32"/>
          <w:szCs w:val="32"/>
        </w:rPr>
        <w:t>县委督查室、县委农工办）</w:t>
      </w:r>
      <w:r>
        <w:rPr>
          <w:rFonts w:hint="eastAsia" w:eastAsia="仿宋_GB2312"/>
          <w:b w:val="0"/>
          <w:bCs w:val="0"/>
          <w:color w:val="000000"/>
          <w:sz w:val="32"/>
          <w:szCs w:val="32"/>
          <w:lang w:eastAsia="zh-CN"/>
        </w:rPr>
        <w:t>、</w:t>
      </w:r>
      <w:r>
        <w:rPr>
          <w:rFonts w:hint="eastAsia" w:eastAsia="仿宋_GB2312"/>
          <w:b w:val="0"/>
          <w:bCs w:val="0"/>
          <w:color w:val="000000"/>
          <w:sz w:val="32"/>
          <w:szCs w:val="32"/>
        </w:rPr>
        <w:t>县机关事务管理局党支部</w:t>
      </w:r>
      <w:r>
        <w:rPr>
          <w:rFonts w:hint="eastAsia" w:eastAsia="仿宋_GB2312"/>
          <w:b w:val="0"/>
          <w:bCs w:val="0"/>
          <w:color w:val="000000"/>
          <w:sz w:val="32"/>
          <w:szCs w:val="32"/>
          <w:lang w:eastAsia="zh-CN"/>
        </w:rPr>
        <w:t>、</w:t>
      </w:r>
      <w:r>
        <w:rPr>
          <w:rFonts w:hint="eastAsia" w:eastAsia="仿宋_GB2312"/>
          <w:b w:val="0"/>
          <w:bCs w:val="0"/>
          <w:color w:val="000000"/>
          <w:sz w:val="32"/>
          <w:szCs w:val="32"/>
        </w:rPr>
        <w:t>县发展改革和经济商务信息化局党</w:t>
      </w:r>
      <w:r>
        <w:rPr>
          <w:rFonts w:hint="eastAsia" w:eastAsia="仿宋_GB2312"/>
          <w:b w:val="0"/>
          <w:bCs w:val="0"/>
          <w:color w:val="000000"/>
          <w:sz w:val="32"/>
          <w:szCs w:val="32"/>
          <w:lang w:eastAsia="zh-CN"/>
        </w:rPr>
        <w:t>组、</w:t>
      </w:r>
      <w:r>
        <w:rPr>
          <w:rFonts w:hint="eastAsia" w:eastAsia="仿宋_GB2312"/>
          <w:b w:val="0"/>
          <w:bCs w:val="0"/>
          <w:color w:val="000000"/>
          <w:sz w:val="32"/>
          <w:szCs w:val="32"/>
        </w:rPr>
        <w:t>县财政局党</w:t>
      </w:r>
      <w:r>
        <w:rPr>
          <w:rFonts w:hint="eastAsia" w:eastAsia="仿宋_GB2312"/>
          <w:b w:val="0"/>
          <w:bCs w:val="0"/>
          <w:color w:val="000000"/>
          <w:sz w:val="32"/>
          <w:szCs w:val="32"/>
          <w:lang w:eastAsia="zh-CN"/>
        </w:rPr>
        <w:t>组、</w:t>
      </w:r>
      <w:r>
        <w:rPr>
          <w:rFonts w:hint="eastAsia" w:eastAsia="仿宋_GB2312"/>
          <w:b w:val="0"/>
          <w:bCs w:val="0"/>
          <w:color w:val="000000"/>
          <w:sz w:val="32"/>
          <w:szCs w:val="32"/>
        </w:rPr>
        <w:t>县交通局党</w:t>
      </w:r>
      <w:r>
        <w:rPr>
          <w:rFonts w:hint="eastAsia" w:eastAsia="仿宋_GB2312"/>
          <w:b w:val="0"/>
          <w:bCs w:val="0"/>
          <w:color w:val="000000"/>
          <w:sz w:val="32"/>
          <w:szCs w:val="32"/>
          <w:lang w:eastAsia="zh-CN"/>
        </w:rPr>
        <w:t>组、</w:t>
      </w:r>
      <w:r>
        <w:rPr>
          <w:rFonts w:hint="eastAsia" w:eastAsia="仿宋_GB2312"/>
          <w:b w:val="0"/>
          <w:bCs w:val="0"/>
          <w:color w:val="000000"/>
          <w:sz w:val="32"/>
          <w:szCs w:val="32"/>
        </w:rPr>
        <w:t>县民政局党</w:t>
      </w:r>
      <w:r>
        <w:rPr>
          <w:rFonts w:hint="eastAsia" w:eastAsia="仿宋_GB2312"/>
          <w:b w:val="0"/>
          <w:bCs w:val="0"/>
          <w:color w:val="000000"/>
          <w:sz w:val="32"/>
          <w:szCs w:val="32"/>
          <w:lang w:eastAsia="zh-CN"/>
        </w:rPr>
        <w:t>组</w:t>
      </w:r>
      <w:r>
        <w:rPr>
          <w:rFonts w:hint="eastAsia" w:eastAsia="仿宋_GB2312"/>
          <w:b w:val="0"/>
          <w:bCs w:val="0"/>
          <w:color w:val="000000"/>
          <w:sz w:val="32"/>
          <w:szCs w:val="32"/>
          <w:lang w:val="en-US" w:eastAsia="zh-CN"/>
        </w:rPr>
        <w:t>9个单位开展常规暨专项巡察；对县物价局党支部、县供销社党支部、县科知局党支部3个单位开展巡察整改“回头看”。</w:t>
      </w:r>
    </w:p>
    <w:p>
      <w:pPr>
        <w:widowControl w:val="0"/>
        <w:numPr>
          <w:ilvl w:val="0"/>
          <w:numId w:val="1"/>
        </w:numPr>
        <w:wordWrap/>
        <w:adjustRightInd/>
        <w:snapToGrid/>
        <w:ind w:left="0" w:leftChars="0" w:firstLine="640" w:firstLineChars="200"/>
        <w:jc w:val="left"/>
        <w:textAlignment w:val="auto"/>
        <w:rPr>
          <w:rFonts w:hint="eastAsia" w:ascii="仿宋_GB2312" w:hAnsi="仿宋_GB2312" w:eastAsia="仿宋_GB2312" w:cs="仿宋_GB2312"/>
          <w:b/>
          <w:sz w:val="32"/>
          <w:szCs w:val="32"/>
        </w:rPr>
      </w:pPr>
      <w:r>
        <w:rPr>
          <w:rFonts w:hint="eastAsia" w:ascii="黑体" w:hAnsi="黑体" w:eastAsia="黑体"/>
          <w:sz w:val="32"/>
          <w:szCs w:val="32"/>
          <w:lang w:eastAsia="zh-CN"/>
        </w:rPr>
        <w:t>修订完善规划</w:t>
      </w:r>
    </w:p>
    <w:p>
      <w:pPr>
        <w:widowControl w:val="0"/>
        <w:numPr>
          <w:ilvl w:val="0"/>
          <w:numId w:val="0"/>
        </w:numPr>
        <w:wordWrap/>
        <w:adjustRightInd/>
        <w:snapToGrid/>
        <w:ind w:leftChars="200"/>
        <w:jc w:val="left"/>
        <w:textAlignment w:val="auto"/>
        <w:rPr>
          <w:rFonts w:hint="eastAsia" w:ascii="仿宋_GB2312" w:eastAsia="仿宋_GB2312"/>
          <w:sz w:val="32"/>
          <w:szCs w:val="32"/>
          <w:lang w:eastAsia="zh-CN"/>
        </w:rPr>
      </w:pPr>
      <w:r>
        <w:rPr>
          <w:rFonts w:hint="eastAsia" w:ascii="楷体_GB2312" w:eastAsia="楷体_GB2312"/>
          <w:b/>
          <w:sz w:val="32"/>
          <w:szCs w:val="32"/>
          <w:lang w:val="en-US" w:eastAsia="zh-CN"/>
        </w:rPr>
        <w:t>（一）修订完善规划、指定工作方案。</w:t>
      </w:r>
      <w:r>
        <w:rPr>
          <w:rFonts w:hint="eastAsia" w:ascii="仿宋_GB2312" w:eastAsia="仿宋_GB2312"/>
          <w:sz w:val="32"/>
          <w:szCs w:val="32"/>
          <w:lang w:val="en-US" w:eastAsia="zh-CN"/>
        </w:rPr>
        <w:t>9月，修订完善</w:t>
      </w:r>
      <w:r>
        <w:rPr>
          <w:rFonts w:hint="eastAsia" w:ascii="Times New Roman" w:hAnsi="仿宋_GB2312" w:eastAsia="仿宋_GB2312"/>
          <w:sz w:val="32"/>
          <w:szCs w:val="32"/>
        </w:rPr>
        <w:t>了《中共壤塘县第十三届委员会巡察工作规划（2017—2021年）》</w:t>
      </w:r>
      <w:r>
        <w:rPr>
          <w:rFonts w:hint="eastAsia" w:ascii="Times New Roman" w:hAnsi="仿宋_GB2312" w:eastAsia="仿宋_GB2312"/>
          <w:sz w:val="32"/>
          <w:szCs w:val="32"/>
          <w:lang w:eastAsia="zh-CN"/>
        </w:rPr>
        <w:t>。</w:t>
      </w:r>
    </w:p>
    <w:p>
      <w:pPr>
        <w:widowControl w:val="0"/>
        <w:numPr>
          <w:ilvl w:val="0"/>
          <w:numId w:val="0"/>
        </w:numPr>
        <w:wordWrap/>
        <w:adjustRightInd/>
        <w:snapToGrid/>
        <w:ind w:firstLine="643" w:firstLineChars="200"/>
        <w:textAlignment w:val="auto"/>
        <w:rPr>
          <w:rFonts w:hint="eastAsia" w:ascii="仿宋_GB2312" w:eastAsia="仿宋_GB2312"/>
          <w:b w:val="0"/>
          <w:bCs/>
          <w:sz w:val="32"/>
          <w:szCs w:val="32"/>
          <w:lang w:val="en-US" w:eastAsia="zh-CN"/>
        </w:rPr>
      </w:pPr>
      <w:r>
        <w:rPr>
          <w:rFonts w:hint="eastAsia" w:ascii="楷体_GB2312" w:eastAsia="楷体_GB2312"/>
          <w:b/>
          <w:sz w:val="32"/>
          <w:szCs w:val="32"/>
          <w:lang w:eastAsia="zh-CN"/>
        </w:rPr>
        <w:t>（二）制定整改工作方案</w:t>
      </w:r>
      <w:r>
        <w:rPr>
          <w:rFonts w:hint="eastAsia" w:ascii="楷体_GB2312" w:eastAsia="楷体_GB2312"/>
          <w:b/>
          <w:sz w:val="32"/>
          <w:szCs w:val="32"/>
        </w:rPr>
        <w:t>。</w:t>
      </w:r>
      <w:r>
        <w:rPr>
          <w:rFonts w:hint="eastAsia" w:ascii="仿宋_GB2312" w:eastAsia="仿宋_GB2312"/>
          <w:b w:val="0"/>
          <w:bCs/>
          <w:sz w:val="32"/>
          <w:szCs w:val="32"/>
          <w:lang w:val="en-US" w:eastAsia="zh-CN"/>
        </w:rPr>
        <w:t>9月</w:t>
      </w:r>
      <w:r>
        <w:rPr>
          <w:rFonts w:hint="eastAsia" w:ascii="仿宋_GB2312" w:eastAsia="仿宋_GB2312"/>
          <w:b w:val="0"/>
          <w:bCs/>
          <w:sz w:val="32"/>
          <w:szCs w:val="32"/>
          <w:lang w:eastAsia="zh-CN"/>
        </w:rPr>
        <w:t>制定中共壤塘县委关于印发《中央第四巡视组巡视四川省反馈意见壤塘县“</w:t>
      </w:r>
      <w:r>
        <w:rPr>
          <w:rFonts w:hint="eastAsia" w:ascii="仿宋_GB2312" w:eastAsia="仿宋_GB2312"/>
          <w:b w:val="0"/>
          <w:bCs/>
          <w:sz w:val="32"/>
          <w:szCs w:val="32"/>
          <w:lang w:val="en-US" w:eastAsia="zh-CN"/>
        </w:rPr>
        <w:t>1+9+1</w:t>
      </w:r>
      <w:r>
        <w:rPr>
          <w:rFonts w:hint="eastAsia" w:ascii="仿宋_GB2312" w:eastAsia="仿宋_GB2312"/>
          <w:b w:val="0"/>
          <w:bCs/>
          <w:sz w:val="32"/>
          <w:szCs w:val="32"/>
          <w:lang w:eastAsia="zh-CN"/>
        </w:rPr>
        <w:t>”整改工作方案》；落实整改领导小组名单，结合中央巡视四川省反馈意见涉及县级的问题，将州委梳理出的中央巡视组反馈意见指出的</w:t>
      </w:r>
      <w:r>
        <w:rPr>
          <w:rFonts w:hint="eastAsia" w:ascii="仿宋_GB2312" w:eastAsia="仿宋_GB2312"/>
          <w:b w:val="0"/>
          <w:bCs/>
          <w:sz w:val="32"/>
          <w:szCs w:val="32"/>
          <w:lang w:val="en-US" w:eastAsia="zh-CN"/>
        </w:rPr>
        <w:t>5个方面突出问题，细化分解为5类10大项35小项具体整改任务，明确了牵头领导、责任单位、整改措施和完成时限。</w:t>
      </w:r>
    </w:p>
    <w:p>
      <w:pPr>
        <w:widowControl w:val="0"/>
        <w:numPr>
          <w:ilvl w:val="0"/>
          <w:numId w:val="0"/>
        </w:numPr>
        <w:wordWrap/>
        <w:adjustRightInd/>
        <w:snapToGrid/>
        <w:ind w:firstLine="643" w:firstLineChars="200"/>
        <w:textAlignment w:val="auto"/>
        <w:rPr>
          <w:rFonts w:ascii="仿宋_GB2312" w:eastAsia="仿宋_GB2312"/>
          <w:sz w:val="32"/>
          <w:szCs w:val="32"/>
        </w:rPr>
      </w:pPr>
      <w:r>
        <w:rPr>
          <w:rFonts w:hint="eastAsia" w:ascii="楷体_GB2312" w:eastAsia="楷体_GB2312"/>
          <w:b/>
          <w:sz w:val="32"/>
          <w:szCs w:val="32"/>
        </w:rPr>
        <w:t>（三）巡察工作保障。</w:t>
      </w:r>
      <w:r>
        <w:rPr>
          <w:rFonts w:hint="eastAsia" w:ascii="仿宋_GB2312" w:eastAsia="仿宋_GB2312"/>
          <w:sz w:val="32"/>
          <w:szCs w:val="32"/>
        </w:rPr>
        <w:t>巡察工作得到县委高度重视，县委常委会议和</w:t>
      </w:r>
      <w:r>
        <w:rPr>
          <w:rFonts w:hint="eastAsia" w:ascii="仿宋_GB2312" w:eastAsia="仿宋_GB2312"/>
          <w:sz w:val="32"/>
          <w:szCs w:val="32"/>
          <w:lang w:eastAsia="zh-CN"/>
        </w:rPr>
        <w:t>县委巡察领导小组</w:t>
      </w:r>
      <w:r>
        <w:rPr>
          <w:rFonts w:hint="eastAsia" w:ascii="仿宋_GB2312" w:eastAsia="仿宋_GB2312"/>
          <w:sz w:val="32"/>
          <w:szCs w:val="32"/>
        </w:rPr>
        <w:t>会议多次就巡察</w:t>
      </w:r>
      <w:r>
        <w:rPr>
          <w:rFonts w:hint="eastAsia" w:ascii="仿宋_GB2312" w:eastAsia="仿宋_GB2312"/>
          <w:sz w:val="32"/>
          <w:szCs w:val="32"/>
          <w:lang w:eastAsia="zh-CN"/>
        </w:rPr>
        <w:t>规划、整改方案</w:t>
      </w:r>
      <w:r>
        <w:rPr>
          <w:rFonts w:hint="eastAsia" w:ascii="仿宋_GB2312" w:eastAsia="仿宋_GB2312"/>
          <w:sz w:val="32"/>
          <w:szCs w:val="32"/>
        </w:rPr>
        <w:t>等重要事项和重大问题进行专题研究。</w:t>
      </w:r>
    </w:p>
    <w:p>
      <w:pPr>
        <w:widowControl w:val="0"/>
        <w:wordWrap/>
        <w:adjustRightInd/>
        <w:snapToGrid/>
        <w:ind w:firstLine="643" w:firstLineChars="200"/>
        <w:textAlignment w:val="auto"/>
        <w:rPr>
          <w:rFonts w:hint="eastAsia" w:ascii="仿宋_GB2312" w:eastAsia="仿宋_GB2312"/>
          <w:b/>
          <w:bCs/>
          <w:sz w:val="32"/>
          <w:szCs w:val="32"/>
          <w:lang w:eastAsia="zh-CN"/>
        </w:rPr>
      </w:pPr>
      <w:r>
        <w:rPr>
          <w:rFonts w:hint="eastAsia" w:ascii="楷体_GB2312" w:hAnsi="楷体_GB2312" w:eastAsia="楷体_GB2312" w:cs="楷体_GB2312"/>
          <w:b/>
          <w:bCs/>
          <w:sz w:val="32"/>
          <w:szCs w:val="32"/>
          <w:lang w:eastAsia="zh-CN"/>
        </w:rPr>
        <w:t>（四）讲求实效，注重巡察应用</w:t>
      </w:r>
    </w:p>
    <w:p>
      <w:pPr>
        <w:widowControl w:val="0"/>
        <w:wordWrap/>
        <w:adjustRightInd/>
        <w:snapToGrid/>
        <w:ind w:firstLine="640" w:firstLineChars="200"/>
        <w:textAlignment w:val="auto"/>
        <w:rPr>
          <w:rFonts w:hint="eastAsia" w:ascii="仿宋" w:hAnsi="仿宋" w:eastAsia="仿宋"/>
          <w:bCs/>
          <w:color w:val="000000"/>
          <w:sz w:val="32"/>
          <w:szCs w:val="32"/>
          <w:lang w:eastAsia="zh-CN"/>
        </w:rPr>
      </w:pPr>
      <w:r>
        <w:rPr>
          <w:rFonts w:hint="eastAsia" w:ascii="仿宋_GB2312" w:eastAsia="仿宋_GB2312"/>
          <w:sz w:val="32"/>
          <w:szCs w:val="32"/>
          <w:lang w:eastAsia="zh-CN"/>
        </w:rPr>
        <w:t>一是认真梳理问题线索。紧扣巡察重点，实事求是认真梳理分析巡察中发现问题和线索，分类建立问题台账，拟定处置措施。二是及时反馈移交。为使巡察的意见和建议落到实处，巡察办及时进行巡察反馈，积极移交相关问题线索并督促被巡察单位制定整改方案、抓好督促整改要求，逐条逐项落实。</w:t>
      </w:r>
    </w:p>
    <w:p>
      <w:pPr>
        <w:pStyle w:val="3"/>
        <w:spacing w:line="360" w:lineRule="auto"/>
        <w:ind w:firstLine="320" w:firstLineChars="100"/>
        <w:rPr>
          <w:rStyle w:val="2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中共壤塘县委巡察办是一级预算单位，下属二级单位0个。</w:t>
      </w:r>
    </w:p>
    <w:p>
      <w:pPr>
        <w:pStyle w:val="2"/>
        <w:ind w:right="440"/>
        <w:jc w:val="right"/>
      </w:pPr>
      <w:bookmarkStart w:id="22" w:name="_Toc15396602"/>
      <w:bookmarkStart w:id="23" w:name="_Toc15377204"/>
      <w:r>
        <w:rPr>
          <w:rFonts w:hint="eastAsia" w:ascii="黑体" w:hAnsi="黑体" w:eastAsia="黑体"/>
          <w:b w:val="0"/>
          <w:color w:val="000000"/>
        </w:rPr>
        <w:t>第二部分</w:t>
      </w:r>
      <w:r>
        <w:rPr>
          <w:rStyle w:val="26"/>
          <w:rFonts w:hint="eastAsia" w:ascii="黑体" w:hAnsi="黑体" w:eastAsia="黑体"/>
          <w:b w:val="0"/>
          <w:bCs w:val="0"/>
        </w:rPr>
        <w:t>2018年度部门决算情况说明</w:t>
      </w:r>
      <w:bookmarkEnd w:id="22"/>
      <w:bookmarkEnd w:id="23"/>
    </w:p>
    <w:p>
      <w:pPr>
        <w:pStyle w:val="18"/>
        <w:numPr>
          <w:ilvl w:val="0"/>
          <w:numId w:val="2"/>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2018年度收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90.88</w:t>
      </w:r>
      <w:r>
        <w:rPr>
          <w:rFonts w:hint="eastAsia" w:ascii="仿宋" w:hAnsi="仿宋" w:eastAsia="仿宋"/>
          <w:color w:val="000000"/>
          <w:sz w:val="32"/>
          <w:szCs w:val="32"/>
        </w:rPr>
        <w:t>万元。与2017年相比，收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增加90.88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增长100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巡察办为新成立单位。2018年度支出总计90.88万元。与2017年相比，支出增加90.88万元，增长100％，主要变动原因是巡察办为新成立单位。</w:t>
      </w:r>
    </w:p>
    <w:p>
      <w:pPr>
        <w:spacing w:line="24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4584700" cy="2755900"/>
            <wp:effectExtent l="0" t="0" r="0" b="0"/>
            <wp:docPr id="9" name="图片 9" descr="2017、2018年度收入支出对比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7、2018年度收入支出对比表"/>
                    <pic:cNvPicPr>
                      <a:picLocks noChangeAspect="1"/>
                    </pic:cNvPicPr>
                  </pic:nvPicPr>
                  <pic:blipFill>
                    <a:blip r:embed="rId6"/>
                    <a:stretch>
                      <a:fillRect/>
                    </a:stretch>
                  </pic:blipFill>
                  <pic:spPr>
                    <a:xfrm>
                      <a:off x="0" y="0"/>
                      <a:ext cx="4584700" cy="2755900"/>
                    </a:xfrm>
                    <a:prstGeom prst="rect">
                      <a:avLst/>
                    </a:prstGeom>
                  </pic:spPr>
                </pic:pic>
              </a:graphicData>
            </a:graphic>
          </wp:inline>
        </w:drawing>
      </w:r>
    </w:p>
    <w:p>
      <w:pPr>
        <w:pStyle w:val="18"/>
        <w:numPr>
          <w:ilvl w:val="0"/>
          <w:numId w:val="2"/>
        </w:numPr>
        <w:spacing w:line="600"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8年本年收入合计83.26万元，其中：一般公共预算财政拨款收入83.26万元，占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如图：</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700" cy="2755900"/>
            <wp:effectExtent l="0" t="0" r="0" b="0"/>
            <wp:docPr id="11" name="图片 11" descr="收入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收入结构图"/>
                    <pic:cNvPicPr>
                      <a:picLocks noChangeAspect="1"/>
                    </pic:cNvPicPr>
                  </pic:nvPicPr>
                  <pic:blipFill>
                    <a:blip r:embed="rId7"/>
                    <a:stretch>
                      <a:fillRect/>
                    </a:stretch>
                  </pic:blipFill>
                  <pic:spPr>
                    <a:xfrm>
                      <a:off x="0" y="0"/>
                      <a:ext cx="4584700" cy="2755900"/>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p>
    <w:p>
      <w:pPr>
        <w:pStyle w:val="18"/>
        <w:numPr>
          <w:ilvl w:val="0"/>
          <w:numId w:val="2"/>
        </w:numPr>
        <w:spacing w:line="600" w:lineRule="exact"/>
        <w:ind w:firstLineChars="0"/>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240" w:lineRule="auto"/>
        <w:ind w:firstLine="64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8年本年支出合计90.89万元，其中：基本支出87.88万元，占</w:t>
      </w:r>
      <w:r>
        <w:rPr>
          <w:rFonts w:hint="eastAsia" w:ascii="仿宋" w:hAnsi="仿宋" w:eastAsia="仿宋"/>
          <w:color w:val="000000"/>
          <w:sz w:val="32"/>
          <w:szCs w:val="32"/>
          <w:lang w:val="en-US" w:eastAsia="zh-CN"/>
        </w:rPr>
        <w:t>96.69</w:t>
      </w:r>
      <w:r>
        <w:rPr>
          <w:rFonts w:ascii="仿宋" w:hAnsi="仿宋" w:eastAsia="仿宋"/>
          <w:color w:val="000000"/>
          <w:sz w:val="32"/>
          <w:szCs w:val="32"/>
        </w:rPr>
        <w:t>%</w:t>
      </w:r>
      <w:r>
        <w:rPr>
          <w:rFonts w:hint="eastAsia" w:ascii="仿宋" w:hAnsi="仿宋" w:eastAsia="仿宋"/>
          <w:color w:val="000000"/>
          <w:sz w:val="32"/>
          <w:szCs w:val="32"/>
        </w:rPr>
        <w:t>；项目支出3.01万元，占</w:t>
      </w:r>
      <w:r>
        <w:rPr>
          <w:rFonts w:hint="eastAsia" w:ascii="仿宋" w:hAnsi="仿宋" w:eastAsia="仿宋"/>
          <w:color w:val="000000"/>
          <w:sz w:val="32"/>
          <w:szCs w:val="32"/>
          <w:lang w:val="en-US" w:eastAsia="zh-CN"/>
        </w:rPr>
        <w:t>3.31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如图：</w:t>
      </w:r>
      <w:r>
        <w:rPr>
          <w:rFonts w:hint="eastAsia" w:ascii="仿宋" w:hAnsi="仿宋" w:eastAsia="仿宋"/>
          <w:color w:val="000000"/>
          <w:sz w:val="32"/>
          <w:szCs w:val="32"/>
          <w:lang w:val="en-US" w:eastAsia="zh-CN"/>
        </w:rPr>
        <w:drawing>
          <wp:inline distT="0" distB="0" distL="114300" distR="114300">
            <wp:extent cx="4584700" cy="2755900"/>
            <wp:effectExtent l="0" t="0" r="0" b="0"/>
            <wp:docPr id="12" name="图片 12" descr="2018年度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8年度支出决算表"/>
                    <pic:cNvPicPr>
                      <a:picLocks noChangeAspect="1"/>
                    </pic:cNvPicPr>
                  </pic:nvPicPr>
                  <pic:blipFill>
                    <a:blip r:embed="rId8"/>
                    <a:stretch>
                      <a:fillRect/>
                    </a:stretch>
                  </pic:blipFill>
                  <pic:spPr>
                    <a:xfrm>
                      <a:off x="0" y="0"/>
                      <a:ext cx="4584700" cy="2755900"/>
                    </a:xfrm>
                    <a:prstGeom prst="rect">
                      <a:avLst/>
                    </a:prstGeom>
                  </pic:spPr>
                </pic:pic>
              </a:graphicData>
            </a:graphic>
          </wp:inline>
        </w:drawing>
      </w:r>
    </w:p>
    <w:p>
      <w:pPr>
        <w:spacing w:line="240" w:lineRule="auto"/>
        <w:ind w:firstLine="640" w:firstLineChars="200"/>
        <w:rPr>
          <w:rFonts w:hint="eastAsia" w:ascii="仿宋_GB2312" w:eastAsia="仿宋_GB2312"/>
          <w:color w:val="FF0000"/>
          <w:sz w:val="32"/>
          <w:szCs w:val="32"/>
          <w:lang w:eastAsia="zh-CN"/>
        </w:rPr>
      </w:pP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为90.88</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90.88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val="en-US" w:eastAsia="zh-CN"/>
        </w:rPr>
        <w:t>是县委巡察办是新成立单位。如图：</w:t>
      </w:r>
    </w:p>
    <w:p>
      <w:pPr>
        <w:spacing w:line="24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drawing>
          <wp:inline distT="0" distB="0" distL="114300" distR="114300">
            <wp:extent cx="4584700" cy="2755900"/>
            <wp:effectExtent l="0" t="0" r="0" b="0"/>
            <wp:docPr id="6" name="图片 6" descr="财政拨款收、支决算总计变动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财政拨款收、支决算总计变动情况"/>
                    <pic:cNvPicPr>
                      <a:picLocks noChangeAspect="1"/>
                    </pic:cNvPicPr>
                  </pic:nvPicPr>
                  <pic:blipFill>
                    <a:blip r:embed="rId9"/>
                    <a:stretch>
                      <a:fillRect/>
                    </a:stretch>
                  </pic:blipFill>
                  <pic:spPr>
                    <a:xfrm>
                      <a:off x="0" y="0"/>
                      <a:ext cx="4584700" cy="2755900"/>
                    </a:xfrm>
                    <a:prstGeom prst="rect">
                      <a:avLst/>
                    </a:prstGeom>
                  </pic:spPr>
                </pic:pic>
              </a:graphicData>
            </a:graphic>
          </wp:inline>
        </w:drawing>
      </w:r>
    </w:p>
    <w:p>
      <w:pPr>
        <w:spacing w:line="600" w:lineRule="exact"/>
        <w:ind w:firstLine="640"/>
        <w:rPr>
          <w:rFonts w:ascii="仿宋" w:hAnsi="仿宋" w:eastAsia="仿宋"/>
          <w:b/>
          <w:color w:val="00B050"/>
          <w:sz w:val="32"/>
          <w:szCs w:val="32"/>
        </w:rPr>
      </w:pPr>
      <w:r>
        <w:rPr>
          <w:rFonts w:hint="eastAsia" w:ascii="仿宋" w:hAnsi="仿宋" w:eastAsia="仿宋"/>
          <w:b/>
          <w:color w:val="000000"/>
          <w:sz w:val="32"/>
          <w:szCs w:val="32"/>
        </w:rPr>
        <w:t>（除国有资本经营预算外，数据来源于财决</w:t>
      </w:r>
      <w:r>
        <w:rPr>
          <w:rFonts w:ascii="仿宋" w:hAnsi="仿宋" w:eastAsia="仿宋"/>
          <w:b/>
          <w:color w:val="000000"/>
          <w:sz w:val="32"/>
          <w:szCs w:val="32"/>
        </w:rPr>
        <w:t>Z01-1</w:t>
      </w:r>
      <w:r>
        <w:rPr>
          <w:rFonts w:hint="eastAsia" w:ascii="仿宋" w:hAnsi="仿宋" w:eastAsia="仿宋"/>
          <w:b/>
          <w:color w:val="000000"/>
          <w:sz w:val="32"/>
          <w:szCs w:val="32"/>
        </w:rPr>
        <w:t>表，口径为“总计”数+国有资本经营预算。）</w:t>
      </w: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8年一般公共预算财政拨款支出90.89万元，占本年支出合计的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90.89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县委巡察办为新成立单位。如图：</w:t>
      </w:r>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864100" cy="3067050"/>
            <wp:effectExtent l="0" t="0" r="0" b="6350"/>
            <wp:docPr id="14" name="图片 14" descr="一般公共预算财政拨款支出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一般公共预算财政拨款支出对比图"/>
                    <pic:cNvPicPr>
                      <a:picLocks noChangeAspect="1"/>
                    </pic:cNvPicPr>
                  </pic:nvPicPr>
                  <pic:blipFill>
                    <a:blip r:embed="rId10"/>
                    <a:stretch>
                      <a:fillRect/>
                    </a:stretch>
                  </pic:blipFill>
                  <pic:spPr>
                    <a:xfrm>
                      <a:off x="0" y="0"/>
                      <a:ext cx="4864100" cy="3067050"/>
                    </a:xfrm>
                    <a:prstGeom prst="rect">
                      <a:avLst/>
                    </a:prstGeom>
                  </pic:spPr>
                </pic:pic>
              </a:graphicData>
            </a:graphic>
          </wp:inline>
        </w:drawing>
      </w:r>
    </w:p>
    <w:p>
      <w:pPr>
        <w:spacing w:line="240" w:lineRule="auto"/>
        <w:ind w:firstLine="640" w:firstLineChars="200"/>
        <w:rPr>
          <w:rFonts w:hint="eastAsia" w:ascii="仿宋" w:hAnsi="仿宋" w:eastAsia="仿宋"/>
          <w:color w:val="000000"/>
          <w:sz w:val="32"/>
          <w:szCs w:val="32"/>
          <w:lang w:val="en-US" w:eastAsia="zh-CN"/>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90.89</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72.24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79.48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科学技术</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社会保障和就业</w:t>
      </w:r>
      <w:r>
        <w:rPr>
          <w:rFonts w:hint="eastAsia" w:ascii="仿宋" w:hAnsi="仿宋" w:eastAsia="仿宋"/>
          <w:color w:val="000000"/>
          <w:sz w:val="32"/>
          <w:szCs w:val="32"/>
        </w:rPr>
        <w:t>支出10.67万元，占</w:t>
      </w:r>
      <w:r>
        <w:rPr>
          <w:rFonts w:hint="eastAsia" w:ascii="仿宋" w:hAnsi="仿宋" w:eastAsia="仿宋"/>
          <w:color w:val="000000"/>
          <w:sz w:val="32"/>
          <w:szCs w:val="32"/>
          <w:lang w:val="en-US" w:eastAsia="zh-CN"/>
        </w:rPr>
        <w:t>11.74</w:t>
      </w:r>
      <w:r>
        <w:rPr>
          <w:rFonts w:ascii="仿宋" w:hAnsi="仿宋" w:eastAsia="仿宋"/>
          <w:color w:val="000000"/>
          <w:sz w:val="32"/>
          <w:szCs w:val="32"/>
        </w:rPr>
        <w:t>%</w:t>
      </w:r>
      <w:r>
        <w:rPr>
          <w:rFonts w:hint="eastAsia" w:ascii="仿宋" w:hAnsi="仿宋" w:eastAsia="仿宋"/>
          <w:color w:val="000000"/>
          <w:sz w:val="32"/>
          <w:szCs w:val="32"/>
        </w:rPr>
        <w:t>；医疗卫生支出2.66万元，占</w:t>
      </w:r>
      <w:r>
        <w:rPr>
          <w:rFonts w:hint="eastAsia" w:ascii="仿宋" w:hAnsi="仿宋" w:eastAsia="仿宋"/>
          <w:color w:val="000000"/>
          <w:sz w:val="32"/>
          <w:szCs w:val="32"/>
          <w:lang w:val="en-US" w:eastAsia="zh-CN"/>
        </w:rPr>
        <w:t>2.93</w:t>
      </w:r>
      <w:r>
        <w:rPr>
          <w:rFonts w:ascii="仿宋" w:hAnsi="仿宋" w:eastAsia="仿宋"/>
          <w:color w:val="000000"/>
          <w:sz w:val="32"/>
          <w:szCs w:val="32"/>
        </w:rPr>
        <w:t>%</w:t>
      </w:r>
      <w:r>
        <w:rPr>
          <w:rFonts w:hint="eastAsia" w:ascii="仿宋" w:hAnsi="仿宋" w:eastAsia="仿宋"/>
          <w:color w:val="000000"/>
          <w:sz w:val="32"/>
          <w:szCs w:val="32"/>
        </w:rPr>
        <w:t>；住房保障支出5.32万元，占</w:t>
      </w:r>
      <w:r>
        <w:rPr>
          <w:rFonts w:hint="eastAsia" w:ascii="仿宋" w:hAnsi="仿宋" w:eastAsia="仿宋"/>
          <w:color w:val="000000"/>
          <w:sz w:val="32"/>
          <w:szCs w:val="32"/>
          <w:lang w:val="en-US" w:eastAsia="zh-CN"/>
        </w:rPr>
        <w:t>5.85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（罗列全部功能分类科，至类级。）</w:t>
      </w:r>
      <w:r>
        <w:rPr>
          <w:rFonts w:hint="eastAsia" w:ascii="仿宋" w:hAnsi="仿宋" w:eastAsia="仿宋"/>
          <w:b/>
          <w:color w:val="000000"/>
          <w:sz w:val="32"/>
          <w:szCs w:val="32"/>
          <w:lang w:val="en-US" w:eastAsia="zh-CN"/>
        </w:rPr>
        <w:t>如图：</w:t>
      </w:r>
    </w:p>
    <w:p>
      <w:pPr>
        <w:spacing w:line="240" w:lineRule="auto"/>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lang w:val="en-US" w:eastAsia="zh-CN"/>
        </w:rPr>
        <w:drawing>
          <wp:inline distT="0" distB="0" distL="114300" distR="114300">
            <wp:extent cx="3860800" cy="2322830"/>
            <wp:effectExtent l="0" t="0" r="0" b="1270"/>
            <wp:docPr id="15" name="图片 15" descr="2018年一般公共预算财政拨款支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8年一般公共预算财政拨款支出图"/>
                    <pic:cNvPicPr>
                      <a:picLocks noChangeAspect="1"/>
                    </pic:cNvPicPr>
                  </pic:nvPicPr>
                  <pic:blipFill>
                    <a:blip r:embed="rId11"/>
                    <a:stretch>
                      <a:fillRect/>
                    </a:stretch>
                  </pic:blipFill>
                  <pic:spPr>
                    <a:xfrm>
                      <a:off x="0" y="0"/>
                      <a:ext cx="3860800" cy="2322830"/>
                    </a:xfrm>
                    <a:prstGeom prst="rect">
                      <a:avLst/>
                    </a:prstGeom>
                  </pic:spPr>
                </pic:pic>
              </a:graphicData>
            </a:graphic>
          </wp:inline>
        </w:drawing>
      </w:r>
      <w:bookmarkStart w:id="73" w:name="_GoBack"/>
      <w:bookmarkEnd w:id="73"/>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213"/>
      <w:bookmarkStart w:id="39" w:name="_Toc15377444"/>
      <w:r>
        <w:rPr>
          <w:rFonts w:hint="eastAsia" w:ascii="仿宋" w:hAnsi="仿宋" w:eastAsia="仿宋"/>
          <w:b/>
          <w:color w:val="000000"/>
          <w:sz w:val="32"/>
          <w:szCs w:val="32"/>
        </w:rPr>
        <w:t>2018年般公共预算支出决算数为</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20111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72.24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小于/等于</w:t>
      </w:r>
      <w:r>
        <w:rPr>
          <w:rStyle w:val="14"/>
          <w:rFonts w:hint="eastAsia" w:ascii="仿宋" w:hAnsi="仿宋" w:eastAsia="仿宋"/>
          <w:b w:val="0"/>
          <w:bCs/>
          <w:color w:val="000000"/>
          <w:sz w:val="32"/>
          <w:szCs w:val="32"/>
        </w:rPr>
        <w:t>预算数的主要原因是</w:t>
      </w:r>
      <w:r>
        <w:rPr>
          <w:rStyle w:val="14"/>
          <w:rFonts w:hint="eastAsia" w:ascii="仿宋" w:hAnsi="仿宋" w:eastAsia="仿宋"/>
          <w:b w:val="0"/>
          <w:bCs/>
          <w:color w:val="000000"/>
          <w:sz w:val="32"/>
          <w:szCs w:val="32"/>
          <w:lang w:val="en-US" w:eastAsia="zh-CN"/>
        </w:rPr>
        <w:t>工资上调，人员增加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（款）</w:t>
      </w:r>
      <w:r>
        <w:rPr>
          <w:rStyle w:val="14"/>
          <w:rFonts w:hint="eastAsia" w:ascii="仿宋_GB2312" w:eastAsia="仿宋_GB2312"/>
          <w:color w:val="000000"/>
          <w:sz w:val="32"/>
          <w:szCs w:val="32"/>
          <w:lang w:val="en-US" w:eastAsia="zh-CN"/>
        </w:rPr>
        <w:t>20805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支出决算为10.67万元，完成预算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p>
    <w:p>
      <w:pPr>
        <w:spacing w:line="240" w:lineRule="auto"/>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（款）21011（项）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小于/等于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bookmarkStart w:id="40" w:name="_Toc15377214"/>
      <w:bookmarkStart w:id="41" w:name="_Toc15396608"/>
    </w:p>
    <w:p>
      <w:pPr>
        <w:spacing w:line="240" w:lineRule="auto"/>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（款）22102（项）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5.32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小于/等于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p>
    <w:p>
      <w:pPr>
        <w:spacing w:line="240" w:lineRule="auto"/>
        <w:ind w:firstLine="640" w:firstLineChars="200"/>
        <w:rPr>
          <w:rStyle w:val="14"/>
          <w:rFonts w:hint="eastAsia" w:ascii="仿宋" w:hAnsi="仿宋" w:eastAsia="仿宋"/>
          <w:b w:val="0"/>
          <w:bCs/>
          <w:color w:val="000000"/>
          <w:sz w:val="32"/>
          <w:szCs w:val="32"/>
        </w:rPr>
      </w:pPr>
    </w:p>
    <w:p>
      <w:pPr>
        <w:tabs>
          <w:tab w:val="right" w:pos="8306"/>
        </w:tabs>
        <w:spacing w:line="600" w:lineRule="exact"/>
        <w:ind w:firstLine="640"/>
        <w:outlineLvl w:val="1"/>
        <w:rPr>
          <w:rStyle w:val="27"/>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87.89</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66.26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21.63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万元。具体情况如下：</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700" cy="2755900"/>
            <wp:effectExtent l="0" t="0" r="0" b="0"/>
            <wp:docPr id="1" name="图片 1" descr="2018年“三公”经费财政拨款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年“三公”经费财政拨款支出表"/>
                    <pic:cNvPicPr>
                      <a:picLocks noChangeAspect="1"/>
                    </pic:cNvPicPr>
                  </pic:nvPicPr>
                  <pic:blipFill>
                    <a:blip r:embed="rId12"/>
                    <a:stretch>
                      <a:fillRect/>
                    </a:stretch>
                  </pic:blipFill>
                  <pic:spPr>
                    <a:xfrm>
                      <a:off x="0" y="0"/>
                      <a:ext cx="4584700" cy="2755900"/>
                    </a:xfrm>
                    <a:prstGeom prst="rect">
                      <a:avLst/>
                    </a:prstGeom>
                  </pic:spPr>
                </pic:pic>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接待人员的餐饮和住宿</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接待人员的餐饮和住宿。</w:t>
      </w:r>
      <w:bookmarkStart w:id="46" w:name="_Toc15396610"/>
      <w:bookmarkStart w:id="47" w:name="_Toc15377218"/>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7"/>
          <w:rFonts w:ascii="黑体" w:hAnsi="黑体" w:eastAsia="黑体"/>
          <w:b w:val="0"/>
        </w:rPr>
      </w:pPr>
      <w:bookmarkStart w:id="48" w:name="_Toc15377219"/>
      <w:bookmarkStart w:id="49" w:name="_Toc15396611"/>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8"/>
        <w:numPr>
          <w:ilvl w:val="0"/>
          <w:numId w:val="4"/>
        </w:numPr>
        <w:spacing w:line="580" w:lineRule="exact"/>
        <w:ind w:firstLineChars="0"/>
        <w:rPr>
          <w:rStyle w:val="27"/>
          <w:rFonts w:ascii="黑体" w:hAnsi="黑体" w:eastAsia="黑体"/>
          <w:b w:val="0"/>
        </w:rPr>
      </w:pPr>
      <w:r>
        <w:rPr>
          <w:rStyle w:val="27"/>
          <w:rFonts w:hint="eastAsia" w:ascii="黑体" w:hAnsi="黑体" w:eastAsia="黑体"/>
          <w:b w:val="0"/>
        </w:rPr>
        <w:t>预算绩效情况说明</w:t>
      </w:r>
    </w:p>
    <w:p>
      <w:pPr>
        <w:numPr>
          <w:ilvl w:val="0"/>
          <w:numId w:val="5"/>
        </w:numPr>
        <w:spacing w:line="580" w:lineRule="exact"/>
        <w:ind w:firstLine="643" w:firstLineChars="200"/>
        <w:rPr>
          <w:rFonts w:hint="eastAsia" w:ascii="仿宋_GB2312" w:hAnsi="仿宋_GB2312" w:eastAsia="仿宋" w:cs="仿宋_GB2312"/>
          <w:sz w:val="32"/>
          <w:szCs w:val="32"/>
          <w:lang w:val="en-US" w:eastAsia="zh-CN"/>
        </w:rPr>
      </w:pPr>
      <w:r>
        <w:rPr>
          <w:rFonts w:hint="eastAsia" w:ascii="仿宋" w:hAnsi="仿宋" w:eastAsia="仿宋" w:cs="楷体_GB2312"/>
          <w:b/>
          <w:bCs/>
          <w:sz w:val="32"/>
          <w:szCs w:val="32"/>
        </w:rPr>
        <w:t>预算绩效管理工作开展情况。</w:t>
      </w:r>
    </w:p>
    <w:p>
      <w:pPr>
        <w:numPr>
          <w:ilvl w:val="0"/>
          <w:numId w:val="0"/>
        </w:numPr>
        <w:spacing w:line="580" w:lineRule="exact"/>
        <w:ind w:firstLine="1285" w:firstLineChars="400"/>
        <w:rPr>
          <w:rFonts w:hint="eastAsia" w:ascii="仿宋_GB2312" w:hAnsi="仿宋_GB2312" w:eastAsia="仿宋" w:cs="仿宋_GB2312"/>
          <w:sz w:val="32"/>
          <w:szCs w:val="32"/>
          <w:lang w:val="en-US" w:eastAsia="zh-CN"/>
        </w:rPr>
      </w:pPr>
      <w:r>
        <w:rPr>
          <w:rFonts w:hint="eastAsia" w:ascii="仿宋" w:hAnsi="仿宋" w:eastAsia="仿宋" w:cs="楷体_GB2312"/>
          <w:b/>
          <w:bCs/>
          <w:sz w:val="32"/>
          <w:szCs w:val="32"/>
          <w:lang w:val="en-US" w:eastAsia="zh-CN"/>
        </w:rPr>
        <w:t>无</w:t>
      </w: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numPr>
          <w:ilvl w:val="0"/>
          <w:numId w:val="0"/>
        </w:numPr>
        <w:spacing w:line="580" w:lineRule="exact"/>
        <w:ind w:firstLine="1285" w:firstLineChars="400"/>
        <w:rPr>
          <w:rFonts w:ascii="仿宋" w:hAnsi="仿宋" w:eastAsia="仿宋" w:cs="仿宋_GB2312"/>
          <w:sz w:val="32"/>
          <w:szCs w:val="32"/>
        </w:rPr>
      </w:pPr>
      <w:r>
        <w:rPr>
          <w:rFonts w:hint="eastAsia" w:ascii="仿宋" w:hAnsi="仿宋" w:eastAsia="仿宋" w:cs="楷体_GB2312"/>
          <w:b/>
          <w:bCs/>
          <w:sz w:val="32"/>
          <w:szCs w:val="32"/>
          <w:lang w:val="en-US" w:eastAsia="zh-CN"/>
        </w:rPr>
        <w:t>无</w:t>
      </w:r>
    </w:p>
    <w:p>
      <w:pPr>
        <w:spacing w:line="600" w:lineRule="exact"/>
        <w:ind w:firstLine="800" w:firstLineChars="25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21.63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万元。主要原因是</w:t>
      </w:r>
      <w:r>
        <w:rPr>
          <w:rFonts w:hint="eastAsia" w:ascii="仿宋_GB2312" w:eastAsia="仿宋_GB2312"/>
          <w:color w:val="000000"/>
          <w:sz w:val="32"/>
          <w:szCs w:val="32"/>
          <w:lang w:val="en-US" w:eastAsia="zh-CN"/>
        </w:rPr>
        <w:t>县委巡察办属于新成立单位。</w:t>
      </w:r>
      <w:r>
        <w:rPr>
          <w:rFonts w:hint="eastAsia" w:ascii="仿宋" w:hAnsi="仿宋" w:eastAsia="仿宋"/>
          <w:b/>
          <w:color w:val="000000"/>
          <w:sz w:val="32"/>
          <w:szCs w:val="32"/>
        </w:rPr>
        <w:t>（数据来源财决CS05表）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辆，其他用车主要是用于</w:t>
      </w:r>
      <w:r>
        <w:rPr>
          <w:rFonts w:hint="eastAsia" w:ascii="仿宋_GB2312" w:eastAsia="仿宋_GB2312"/>
          <w:color w:val="000000"/>
          <w:sz w:val="32"/>
          <w:szCs w:val="32"/>
          <w:lang w:val="en-US" w:eastAsia="zh-CN"/>
        </w:rPr>
        <w:t>用于纪委办案。</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6"/>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6"/>
          <w:rFonts w:hint="eastAsia" w:ascii="黑体" w:hAnsi="黑体" w:eastAsia="黑体"/>
          <w:b w:val="0"/>
        </w:rPr>
        <w:t>词解释</w:t>
      </w:r>
      <w:bookmarkEnd w:id="55"/>
      <w:bookmarkEnd w:id="56"/>
    </w:p>
    <w:p>
      <w:pPr>
        <w:pStyle w:val="17"/>
        <w:spacing w:line="560" w:lineRule="exact"/>
        <w:ind w:firstLine="640" w:firstLineChars="200"/>
        <w:rPr>
          <w:rFonts w:ascii="仿宋_GB2312" w:eastAsia="仿宋_GB2312"/>
          <w:sz w:val="32"/>
          <w:szCs w:val="32"/>
        </w:rPr>
      </w:pPr>
      <w:bookmarkStart w:id="57" w:name="_Toc15396614"/>
      <w:bookmarkStart w:id="58"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9.一般公共服务：指反映政府提供一般公共服务的支出。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10.外交：指反映政府外交事务支出。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公共安全：指反映政府维护社会公共安全方面的支出。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 ：指反映政府教育事务支出。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科学技术：指反映科学技术方面的支出。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 ：指反映政府在文化、体育、文物、广播影视、新闻出版等方面的支出。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社会保障和就业：指反映政府在社会保障与就业方面的支出。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医疗卫生与计划生育：指反映医疗卫生与计划生育、中医等管理事务方面的支出。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节能环保：指反映政府节能环保支出。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城乡社区：指反映政府城乡管理事务支出。</w:t>
      </w:r>
    </w:p>
    <w:p>
      <w:pPr>
        <w:numPr>
          <w:ilvl w:val="0"/>
          <w:numId w:val="7"/>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农林水：指反映政府农林水支出。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交通运输：指反映交通运输和邮政业务相关的支出。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资源勘探信息等：指反映用于资源勘探、制造业、建筑业、工业信息等方面的支出。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商业服务业：指反映商业服务等方面的支出。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金融：指反映金融方面的支出。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国土海洋气象：指反映政府用于国土资源、海洋、测绘、地震、气象等公益服务事业方面的支出。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住房保障：指集中反映政府用于住房方面的支出。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粮油物资储备：指反映政府用于粮油物资储备方面的支出。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880" w:firstLineChars="200"/>
        <w:rPr>
          <w:rFonts w:hint="eastAsia" w:ascii="黑体" w:hAnsi="黑体" w:eastAsia="黑体"/>
          <w:color w:val="000000"/>
          <w:sz w:val="44"/>
          <w:szCs w:val="44"/>
        </w:rPr>
      </w:pPr>
    </w:p>
    <w:p>
      <w:pPr>
        <w:pStyle w:val="17"/>
        <w:spacing w:line="560" w:lineRule="exact"/>
        <w:ind w:firstLine="880" w:firstLineChars="200"/>
        <w:rPr>
          <w:rFonts w:hint="eastAsia" w:ascii="黑体" w:hAnsi="黑体" w:eastAsia="黑体"/>
          <w:color w:val="000000"/>
          <w:sz w:val="44"/>
          <w:szCs w:val="44"/>
        </w:rPr>
      </w:pPr>
    </w:p>
    <w:p>
      <w:pPr>
        <w:pStyle w:val="17"/>
        <w:spacing w:line="560" w:lineRule="exact"/>
        <w:ind w:firstLine="880" w:firstLineChars="200"/>
        <w:rPr>
          <w:rFonts w:hint="eastAsia" w:ascii="黑体" w:hAnsi="黑体" w:eastAsia="黑体"/>
          <w:color w:val="000000"/>
          <w:sz w:val="44"/>
          <w:szCs w:val="44"/>
        </w:rPr>
      </w:pPr>
    </w:p>
    <w:p>
      <w:pPr>
        <w:pStyle w:val="17"/>
        <w:spacing w:line="560" w:lineRule="exact"/>
        <w:ind w:firstLine="880" w:firstLineChars="200"/>
        <w:rPr>
          <w:rFonts w:hint="eastAsia" w:ascii="黑体" w:hAnsi="黑体" w:eastAsia="黑体"/>
          <w:color w:val="000000"/>
          <w:sz w:val="44"/>
          <w:szCs w:val="44"/>
        </w:rPr>
      </w:pPr>
    </w:p>
    <w:p>
      <w:pPr>
        <w:pStyle w:val="17"/>
        <w:spacing w:line="560" w:lineRule="exact"/>
        <w:ind w:firstLine="880" w:firstLineChars="200"/>
        <w:rPr>
          <w:rFonts w:hint="eastAsia" w:ascii="黑体" w:hAnsi="黑体" w:eastAsia="黑体"/>
          <w:color w:val="000000"/>
          <w:sz w:val="44"/>
          <w:szCs w:val="44"/>
        </w:rPr>
      </w:pPr>
    </w:p>
    <w:bookmarkEnd w:id="57"/>
    <w:p>
      <w:pPr>
        <w:spacing w:line="600" w:lineRule="exact"/>
        <w:jc w:val="center"/>
        <w:outlineLvl w:val="0"/>
        <w:rPr>
          <w:rStyle w:val="26"/>
          <w:rFonts w:ascii="黑体" w:hAnsi="黑体" w:eastAsia="黑体"/>
          <w:b w:val="0"/>
        </w:rPr>
      </w:pPr>
      <w:bookmarkStart w:id="59" w:name="_Toc15396618"/>
      <w:r>
        <w:rPr>
          <w:rFonts w:hint="eastAsia" w:ascii="黑体" w:hAnsi="黑体" w:eastAsia="黑体"/>
          <w:color w:val="000000"/>
          <w:sz w:val="44"/>
          <w:szCs w:val="44"/>
        </w:rPr>
        <w:t>第</w:t>
      </w:r>
      <w:r>
        <w:rPr>
          <w:rStyle w:val="26"/>
          <w:rFonts w:hint="eastAsia" w:ascii="黑体" w:hAnsi="黑体" w:eastAsia="黑体"/>
          <w:b w:val="0"/>
          <w:lang w:val="en-US" w:eastAsia="zh-CN"/>
        </w:rPr>
        <w:t>四</w:t>
      </w:r>
      <w:r>
        <w:rPr>
          <w:rStyle w:val="26"/>
          <w:rFonts w:hint="eastAsia" w:ascii="黑体" w:hAnsi="黑体" w:eastAsia="黑体"/>
          <w:b w:val="0"/>
        </w:rPr>
        <w:t>部分 附表</w:t>
      </w:r>
      <w:bookmarkEnd w:id="58"/>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3"/>
        <w:rPr>
          <w:rFonts w:ascii="仿宋" w:hAnsi="仿宋" w:eastAsia="仿宋"/>
          <w:color w:val="000000"/>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A8DBC"/>
    <w:multiLevelType w:val="singleLevel"/>
    <w:tmpl w:val="ABEA8DBC"/>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1E9B184"/>
    <w:multiLevelType w:val="singleLevel"/>
    <w:tmpl w:val="11E9B184"/>
    <w:lvl w:ilvl="0" w:tentative="0">
      <w:start w:val="19"/>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88756ED"/>
    <w:rsid w:val="0B847CB5"/>
    <w:rsid w:val="10C055FF"/>
    <w:rsid w:val="12874824"/>
    <w:rsid w:val="16BB723D"/>
    <w:rsid w:val="175B3EE3"/>
    <w:rsid w:val="211B4F18"/>
    <w:rsid w:val="240371BF"/>
    <w:rsid w:val="28E30B68"/>
    <w:rsid w:val="29FD04D3"/>
    <w:rsid w:val="3182655F"/>
    <w:rsid w:val="319F7F4E"/>
    <w:rsid w:val="3BE87BD4"/>
    <w:rsid w:val="3D12124E"/>
    <w:rsid w:val="433E2F58"/>
    <w:rsid w:val="46934D14"/>
    <w:rsid w:val="48510E1C"/>
    <w:rsid w:val="4C2253CD"/>
    <w:rsid w:val="5BE71E71"/>
    <w:rsid w:val="65150123"/>
    <w:rsid w:val="6532322B"/>
    <w:rsid w:val="6A533B85"/>
    <w:rsid w:val="757328A3"/>
    <w:rsid w:val="7BAF0DC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List Paragraph"/>
    <w:basedOn w:val="1"/>
    <w:qFormat/>
    <w:uiPriority w:val="34"/>
    <w:pPr>
      <w:ind w:firstLine="420" w:firstLineChars="200"/>
    </w:p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20">
    <w:name w:val="Header Char"/>
    <w:basedOn w:val="13"/>
    <w:semiHidden/>
    <w:qFormat/>
    <w:uiPriority w:val="99"/>
    <w:rPr>
      <w:rFonts w:ascii="Times New Roman" w:hAnsi="Times New Roman"/>
      <w:sz w:val="18"/>
      <w:szCs w:val="18"/>
    </w:rPr>
  </w:style>
  <w:style w:type="character" w:customStyle="1" w:styleId="21">
    <w:name w:val="页眉 Char"/>
    <w:link w:val="9"/>
    <w:semiHidden/>
    <w:qFormat/>
    <w:locked/>
    <w:uiPriority w:val="99"/>
    <w:rPr>
      <w:sz w:val="18"/>
    </w:rPr>
  </w:style>
  <w:style w:type="character" w:customStyle="1" w:styleId="22">
    <w:name w:val="Footer Char"/>
    <w:basedOn w:val="13"/>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3"/>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character" w:customStyle="1" w:styleId="26">
    <w:name w:val="标题 1 Char"/>
    <w:basedOn w:val="13"/>
    <w:link w:val="2"/>
    <w:qFormat/>
    <w:uiPriority w:val="9"/>
    <w:rPr>
      <w:rFonts w:ascii="Times New Roman" w:hAnsi="Times New Roman"/>
      <w:b/>
      <w:bCs/>
      <w:kern w:val="44"/>
      <w:sz w:val="44"/>
      <w:szCs w:val="44"/>
    </w:rPr>
  </w:style>
  <w:style w:type="character" w:customStyle="1" w:styleId="27">
    <w:name w:val="标题 2 Char"/>
    <w:basedOn w:val="13"/>
    <w:link w:val="3"/>
    <w:qFormat/>
    <w:uiPriority w:val="9"/>
    <w:rPr>
      <w:rFonts w:ascii="Cambria" w:hAnsi="Cambria" w:eastAsia="宋体" w:cs="黑体"/>
      <w:b/>
      <w:bCs/>
      <w:kern w:val="2"/>
      <w:sz w:val="32"/>
      <w:szCs w:val="32"/>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31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曾是信仰</cp:lastModifiedBy>
  <cp:lastPrinted>2019-10-22T07:37:11Z</cp:lastPrinted>
  <dcterms:modified xsi:type="dcterms:W3CDTF">2019-10-22T07:38:20Z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