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hint="eastAsia" w:asciiTheme="majorEastAsia" w:hAnsiTheme="majorEastAsia" w:eastAsiaTheme="majorEastAsia" w:cstheme="majorEastAsia"/>
          <w:color w:val="000000"/>
          <w:sz w:val="40"/>
          <w:szCs w:val="40"/>
        </w:rPr>
      </w:pPr>
      <w:bookmarkStart w:id="0" w:name="_Toc15306267"/>
    </w:p>
    <w:p>
      <w:pPr>
        <w:adjustRightInd w:val="0"/>
        <w:snapToGrid w:val="0"/>
        <w:spacing w:line="360" w:lineRule="auto"/>
        <w:jc w:val="center"/>
        <w:outlineLvl w:val="0"/>
        <w:rPr>
          <w:rFonts w:hint="eastAsia" w:asciiTheme="majorEastAsia" w:hAnsiTheme="majorEastAsia" w:eastAsiaTheme="majorEastAsia" w:cstheme="majorEastAsia"/>
          <w:b/>
          <w:bCs/>
          <w:color w:val="000000"/>
          <w:sz w:val="40"/>
          <w:szCs w:val="40"/>
        </w:rPr>
      </w:pPr>
      <w:bookmarkStart w:id="1" w:name="_Toc15396597"/>
      <w:bookmarkStart w:id="2" w:name="_Toc15378441"/>
      <w:bookmarkStart w:id="3" w:name="_Toc15396475"/>
      <w:bookmarkStart w:id="4" w:name="_Toc15377193"/>
      <w:bookmarkStart w:id="5" w:name="_Toc15377425"/>
      <w:r>
        <w:rPr>
          <w:rFonts w:hint="eastAsia" w:asciiTheme="majorEastAsia" w:hAnsiTheme="majorEastAsia" w:eastAsiaTheme="majorEastAsia" w:cstheme="majorEastAsia"/>
          <w:b/>
          <w:bCs/>
          <w:color w:val="000000"/>
          <w:sz w:val="40"/>
          <w:szCs w:val="40"/>
        </w:rPr>
        <w:t>2</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40"/>
          <w:szCs w:val="40"/>
        </w:rPr>
      </w:pPr>
      <w:r>
        <w:rPr>
          <w:rFonts w:hint="eastAsia" w:asciiTheme="majorEastAsia" w:hAnsiTheme="majorEastAsia" w:eastAsiaTheme="majorEastAsia" w:cstheme="majorEastAsia"/>
          <w:b/>
          <w:bCs/>
          <w:color w:val="000000"/>
          <w:sz w:val="40"/>
          <w:szCs w:val="40"/>
        </w:rPr>
        <w:t>0</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40"/>
          <w:szCs w:val="40"/>
        </w:rPr>
      </w:pPr>
      <w:r>
        <w:rPr>
          <w:rFonts w:hint="eastAsia" w:asciiTheme="majorEastAsia" w:hAnsiTheme="majorEastAsia" w:eastAsiaTheme="majorEastAsia" w:cstheme="majorEastAsia"/>
          <w:b/>
          <w:bCs/>
          <w:color w:val="000000"/>
          <w:sz w:val="40"/>
          <w:szCs w:val="40"/>
        </w:rPr>
        <w:t>1</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40"/>
          <w:szCs w:val="40"/>
        </w:rPr>
      </w:pPr>
      <w:r>
        <w:rPr>
          <w:rFonts w:hint="eastAsia" w:asciiTheme="majorEastAsia" w:hAnsiTheme="majorEastAsia" w:eastAsiaTheme="majorEastAsia" w:cstheme="majorEastAsia"/>
          <w:b/>
          <w:bCs/>
          <w:color w:val="000000"/>
          <w:sz w:val="40"/>
          <w:szCs w:val="40"/>
        </w:rPr>
        <w:t>8</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40"/>
          <w:szCs w:val="40"/>
        </w:rPr>
      </w:pPr>
      <w:r>
        <w:rPr>
          <w:rFonts w:hint="eastAsia" w:asciiTheme="majorEastAsia" w:hAnsiTheme="majorEastAsia" w:eastAsiaTheme="majorEastAsia" w:cstheme="majorEastAsia"/>
          <w:b/>
          <w:bCs/>
          <w:color w:val="000000"/>
          <w:sz w:val="40"/>
          <w:szCs w:val="40"/>
        </w:rPr>
        <w:t>年</w:t>
      </w:r>
    </w:p>
    <w:p>
      <w:pPr>
        <w:adjustRightInd w:val="0"/>
        <w:snapToGrid w:val="0"/>
        <w:spacing w:line="360" w:lineRule="auto"/>
        <w:jc w:val="center"/>
        <w:outlineLvl w:val="0"/>
        <w:rPr>
          <w:rFonts w:hint="eastAsia" w:asciiTheme="majorEastAsia" w:hAnsiTheme="majorEastAsia" w:eastAsiaTheme="majorEastAsia" w:cstheme="majorEastAsia"/>
          <w:b/>
          <w:bCs/>
          <w:color w:val="000000"/>
          <w:sz w:val="40"/>
          <w:szCs w:val="40"/>
        </w:rPr>
      </w:pPr>
      <w:r>
        <w:rPr>
          <w:rFonts w:hint="eastAsia" w:asciiTheme="majorEastAsia" w:hAnsiTheme="majorEastAsia" w:eastAsiaTheme="majorEastAsia" w:cstheme="majorEastAsia"/>
          <w:b/>
          <w:bCs/>
          <w:color w:val="000000"/>
          <w:sz w:val="40"/>
          <w:szCs w:val="40"/>
        </w:rPr>
        <w:t>度</w:t>
      </w:r>
      <w:bookmarkEnd w:id="1"/>
      <w:bookmarkEnd w:id="2"/>
      <w:bookmarkEnd w:id="3"/>
      <w:bookmarkEnd w:id="4"/>
      <w:bookmarkEnd w:id="5"/>
    </w:p>
    <w:bookmarkEnd w:id="0"/>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lang w:val="en-US" w:eastAsia="zh-CN"/>
        </w:rPr>
      </w:pPr>
      <w:bookmarkStart w:id="6" w:name="_Toc15378442"/>
      <w:bookmarkStart w:id="7" w:name="_Toc15377426"/>
      <w:bookmarkStart w:id="8" w:name="_Toc15396598"/>
      <w:bookmarkStart w:id="9" w:name="_Toc15306268"/>
      <w:bookmarkStart w:id="10" w:name="_Toc15396476"/>
      <w:bookmarkStart w:id="11" w:name="_Toc15377194"/>
      <w:r>
        <w:rPr>
          <w:rFonts w:hint="eastAsia" w:asciiTheme="majorEastAsia" w:hAnsiTheme="majorEastAsia" w:eastAsiaTheme="majorEastAsia" w:cstheme="majorEastAsia"/>
          <w:b/>
          <w:bCs/>
          <w:color w:val="000000"/>
          <w:sz w:val="40"/>
          <w:szCs w:val="40"/>
          <w:lang w:val="en-US" w:eastAsia="zh-CN"/>
        </w:rPr>
        <w:t>壤</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lang w:val="en-US" w:eastAsia="zh-CN"/>
        </w:rPr>
      </w:pPr>
      <w:r>
        <w:rPr>
          <w:rFonts w:hint="eastAsia" w:asciiTheme="majorEastAsia" w:hAnsiTheme="majorEastAsia" w:eastAsiaTheme="majorEastAsia" w:cstheme="majorEastAsia"/>
          <w:b/>
          <w:bCs/>
          <w:color w:val="000000"/>
          <w:sz w:val="40"/>
          <w:szCs w:val="40"/>
          <w:lang w:val="en-US" w:eastAsia="zh-CN"/>
        </w:rPr>
        <w:t>塘</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lang w:val="en-US" w:eastAsia="zh-CN"/>
        </w:rPr>
      </w:pPr>
      <w:r>
        <w:rPr>
          <w:rFonts w:hint="eastAsia" w:asciiTheme="majorEastAsia" w:hAnsiTheme="majorEastAsia" w:eastAsiaTheme="majorEastAsia" w:cstheme="majorEastAsia"/>
          <w:b/>
          <w:bCs/>
          <w:color w:val="000000"/>
          <w:sz w:val="40"/>
          <w:szCs w:val="40"/>
          <w:lang w:val="en-US" w:eastAsia="zh-CN"/>
        </w:rPr>
        <w:t>县</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lang w:val="en-US" w:eastAsia="zh-CN"/>
        </w:rPr>
      </w:pPr>
      <w:r>
        <w:rPr>
          <w:rFonts w:hint="eastAsia" w:asciiTheme="majorEastAsia" w:hAnsiTheme="majorEastAsia" w:eastAsiaTheme="majorEastAsia" w:cstheme="majorEastAsia"/>
          <w:b/>
          <w:bCs/>
          <w:color w:val="000000"/>
          <w:sz w:val="40"/>
          <w:szCs w:val="40"/>
          <w:lang w:val="en-US" w:eastAsia="zh-CN"/>
        </w:rPr>
        <w:t>纪</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lang w:val="en-US" w:eastAsia="zh-CN"/>
        </w:rPr>
      </w:pPr>
      <w:r>
        <w:rPr>
          <w:rFonts w:hint="eastAsia" w:asciiTheme="majorEastAsia" w:hAnsiTheme="majorEastAsia" w:eastAsiaTheme="majorEastAsia" w:cstheme="majorEastAsia"/>
          <w:b/>
          <w:bCs/>
          <w:color w:val="000000"/>
          <w:sz w:val="40"/>
          <w:szCs w:val="40"/>
          <w:lang w:val="en-US" w:eastAsia="zh-CN"/>
        </w:rPr>
        <w:t>委</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rPr>
      </w:pPr>
      <w:r>
        <w:rPr>
          <w:rFonts w:hint="eastAsia" w:asciiTheme="majorEastAsia" w:hAnsiTheme="majorEastAsia" w:eastAsiaTheme="majorEastAsia" w:cstheme="majorEastAsia"/>
          <w:b/>
          <w:bCs/>
          <w:color w:val="000000"/>
          <w:sz w:val="40"/>
          <w:szCs w:val="40"/>
        </w:rPr>
        <w:t>决</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rPr>
      </w:pPr>
      <w:r>
        <w:rPr>
          <w:rFonts w:hint="eastAsia" w:asciiTheme="majorEastAsia" w:hAnsiTheme="majorEastAsia" w:eastAsiaTheme="majorEastAsia" w:cstheme="majorEastAsia"/>
          <w:b/>
          <w:bCs/>
          <w:color w:val="000000"/>
          <w:sz w:val="40"/>
          <w:szCs w:val="40"/>
        </w:rPr>
        <w:t>算</w:t>
      </w:r>
      <w:bookmarkEnd w:id="6"/>
      <w:bookmarkEnd w:id="7"/>
      <w:bookmarkEnd w:id="8"/>
      <w:bookmarkEnd w:id="9"/>
      <w:bookmarkEnd w:id="10"/>
      <w:bookmarkEnd w:id="11"/>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lang w:val="en-US" w:eastAsia="zh-CN"/>
        </w:rPr>
      </w:pPr>
      <w:r>
        <w:rPr>
          <w:rFonts w:hint="eastAsia" w:asciiTheme="majorEastAsia" w:hAnsiTheme="majorEastAsia" w:eastAsiaTheme="majorEastAsia" w:cstheme="majorEastAsia"/>
          <w:b/>
          <w:bCs/>
          <w:color w:val="000000"/>
          <w:sz w:val="40"/>
          <w:szCs w:val="40"/>
          <w:lang w:val="en-US" w:eastAsia="zh-CN"/>
        </w:rPr>
        <w:t>公</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lang w:val="en-US" w:eastAsia="zh-CN"/>
        </w:rPr>
      </w:pPr>
      <w:r>
        <w:rPr>
          <w:rFonts w:hint="eastAsia" w:asciiTheme="majorEastAsia" w:hAnsiTheme="majorEastAsia" w:eastAsiaTheme="majorEastAsia" w:cstheme="majorEastAsia"/>
          <w:b/>
          <w:bCs/>
          <w:color w:val="000000"/>
          <w:sz w:val="40"/>
          <w:szCs w:val="40"/>
          <w:lang w:val="en-US" w:eastAsia="zh-CN"/>
        </w:rPr>
        <w:t>开</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lang w:val="en-US" w:eastAsia="zh-CN"/>
        </w:rPr>
      </w:pPr>
      <w:r>
        <w:rPr>
          <w:rFonts w:hint="eastAsia" w:asciiTheme="majorEastAsia" w:hAnsiTheme="majorEastAsia" w:eastAsiaTheme="majorEastAsia" w:cstheme="majorEastAsia"/>
          <w:b/>
          <w:bCs/>
          <w:color w:val="000000"/>
          <w:sz w:val="40"/>
          <w:szCs w:val="40"/>
          <w:lang w:val="en-US" w:eastAsia="zh-CN"/>
        </w:rPr>
        <w:t>编</w:t>
      </w:r>
    </w:p>
    <w:p>
      <w:pPr>
        <w:numPr>
          <w:ilvl w:val="0"/>
          <w:numId w:val="0"/>
        </w:numPr>
        <w:adjustRightInd w:val="0"/>
        <w:snapToGrid w:val="0"/>
        <w:spacing w:line="360" w:lineRule="auto"/>
        <w:ind w:leftChars="0"/>
        <w:jc w:val="center"/>
        <w:outlineLvl w:val="0"/>
        <w:rPr>
          <w:rFonts w:hint="eastAsia" w:asciiTheme="majorEastAsia" w:hAnsiTheme="majorEastAsia" w:eastAsiaTheme="majorEastAsia" w:cstheme="majorEastAsia"/>
          <w:b/>
          <w:bCs/>
          <w:color w:val="000000"/>
          <w:sz w:val="40"/>
          <w:szCs w:val="40"/>
          <w:lang w:val="en-US" w:eastAsia="zh-CN"/>
        </w:rPr>
      </w:pPr>
      <w:r>
        <w:rPr>
          <w:rFonts w:hint="eastAsia" w:asciiTheme="majorEastAsia" w:hAnsiTheme="majorEastAsia" w:eastAsiaTheme="majorEastAsia" w:cstheme="majorEastAsia"/>
          <w:b/>
          <w:bCs/>
          <w:color w:val="000000"/>
          <w:sz w:val="40"/>
          <w:szCs w:val="40"/>
          <w:lang w:val="en-US" w:eastAsia="zh-CN"/>
        </w:rPr>
        <w:t>制</w:t>
      </w:r>
    </w:p>
    <w:p>
      <w:pPr>
        <w:widowControl/>
        <w:jc w:val="both"/>
        <w:rPr>
          <w:rFonts w:ascii="黑体" w:hAnsi="黑体" w:eastAsia="黑体"/>
          <w:color w:val="000000"/>
          <w:sz w:val="48"/>
          <w:szCs w:val="48"/>
        </w:rPr>
      </w:pPr>
      <w:r>
        <w:rPr>
          <w:rFonts w:hint="eastAsia" w:asciiTheme="majorEastAsia" w:hAnsiTheme="majorEastAsia" w:eastAsiaTheme="majorEastAsia" w:cstheme="majorEastAsia"/>
          <w:color w:val="000000"/>
          <w:sz w:val="30"/>
          <w:szCs w:val="30"/>
        </w:rPr>
        <w:br w:type="page"/>
      </w:r>
      <w:r>
        <w:rPr>
          <w:rFonts w:hint="eastAsia" w:asciiTheme="majorEastAsia" w:hAnsiTheme="majorEastAsia" w:eastAsiaTheme="majorEastAsia" w:cstheme="majorEastAsia"/>
          <w:color w:val="000000"/>
          <w:sz w:val="30"/>
          <w:szCs w:val="30"/>
          <w:lang w:val="en-US" w:eastAsia="zh-CN"/>
        </w:rPr>
        <w:t xml:space="preserve">                       </w:t>
      </w:r>
      <w:r>
        <w:rPr>
          <w:rFonts w:hint="eastAsia" w:ascii="黑体" w:hAnsi="黑体" w:eastAsia="黑体"/>
          <w:color w:val="000000"/>
          <w:sz w:val="48"/>
          <w:szCs w:val="48"/>
        </w:rPr>
        <w:t>目录</w:t>
      </w:r>
    </w:p>
    <w:p>
      <w:pPr>
        <w:widowControl/>
        <w:jc w:val="center"/>
        <w:rPr>
          <w:rFonts w:ascii="黑体" w:hAnsi="黑体" w:eastAsia="黑体" w:cs="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 xml:space="preserve">公开时间：2019年 </w:t>
      </w:r>
      <w:r>
        <w:rPr>
          <w:rFonts w:hint="eastAsia"/>
          <w:lang w:val="en-US" w:eastAsia="zh-CN"/>
        </w:rPr>
        <w:t>10</w:t>
      </w:r>
      <w:r>
        <w:rPr>
          <w:rFonts w:hint="eastAsia"/>
        </w:rPr>
        <w:t xml:space="preserve"> 月 </w:t>
      </w:r>
      <w:r>
        <w:rPr>
          <w:rFonts w:hint="eastAsia"/>
          <w:lang w:val="en-US" w:eastAsia="zh-CN"/>
        </w:rPr>
        <w:t>20</w:t>
      </w:r>
      <w:r>
        <w:rPr>
          <w:rFonts w:hint="eastAsia"/>
        </w:rPr>
        <w:t>日</w:t>
      </w:r>
    </w:p>
    <w:p/>
    <w:p>
      <w:pPr>
        <w:pStyle w:val="10"/>
        <w:rPr>
          <w:rFonts w:cs="黑体"/>
        </w:rPr>
      </w:pPr>
      <w:r>
        <w:fldChar w:fldCharType="begin"/>
      </w:r>
      <w:r>
        <w:instrText xml:space="preserve">HYPERLINK  \l "_Toc15396599" </w:instrText>
      </w:r>
      <w:r>
        <w:fldChar w:fldCharType="separate"/>
      </w:r>
      <w:r>
        <w:rPr>
          <w:rStyle w:val="14"/>
          <w:rFonts w:hint="eastAsia"/>
        </w:rPr>
        <w:t>第一部分部门概况</w:t>
      </w:r>
      <w:r>
        <w:tab/>
      </w:r>
      <w:r>
        <w:rPr>
          <w:rFonts w:hint="eastAsia"/>
        </w:rPr>
        <w:t>4</w:t>
      </w:r>
      <w:r>
        <w:fldChar w:fldCharType="end"/>
      </w:r>
    </w:p>
    <w:p>
      <w:pPr>
        <w:pStyle w:val="11"/>
        <w:rPr>
          <w:rFonts w:ascii="仿宋" w:hAnsi="仿宋" w:eastAsia="仿宋" w:cs="黑体"/>
          <w:sz w:val="28"/>
          <w:szCs w:val="28"/>
        </w:rPr>
      </w:pPr>
      <w:r>
        <w:fldChar w:fldCharType="begin"/>
      </w:r>
      <w:r>
        <w:instrText xml:space="preserve">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fldChar w:fldCharType="end"/>
      </w:r>
    </w:p>
    <w:p>
      <w:pPr>
        <w:pStyle w:val="11"/>
        <w:rPr>
          <w:rFonts w:ascii="仿宋" w:hAnsi="仿宋" w:eastAsia="仿宋" w:cs="黑体"/>
          <w:sz w:val="28"/>
          <w:szCs w:val="28"/>
        </w:rPr>
      </w:pPr>
      <w:r>
        <w:fldChar w:fldCharType="begin"/>
      </w:r>
      <w:r>
        <w:instrText xml:space="preserve">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fldChar w:fldCharType="end"/>
      </w:r>
    </w:p>
    <w:p>
      <w:pPr>
        <w:pStyle w:val="10"/>
      </w:pPr>
      <w:r>
        <w:fldChar w:fldCharType="begin"/>
      </w:r>
      <w:r>
        <w:instrText xml:space="preserve">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11</w:t>
      </w:r>
      <w:r>
        <w:fldChar w:fldCharType="end"/>
      </w:r>
      <w:r>
        <w:fldChar w:fldCharType="end"/>
      </w:r>
    </w:p>
    <w:p>
      <w:pPr>
        <w:pStyle w:val="11"/>
        <w:rPr>
          <w:rFonts w:ascii="仿宋" w:hAnsi="仿宋" w:eastAsia="仿宋" w:cs="黑体"/>
          <w:sz w:val="28"/>
          <w:szCs w:val="28"/>
        </w:rPr>
      </w:pPr>
      <w:r>
        <w:fldChar w:fldCharType="begin"/>
      </w:r>
      <w:r>
        <w:instrText xml:space="preserve">HYPERLINK  \l "_Toc15396603" </w:instrText>
      </w:r>
      <w:r>
        <w:fldChar w:fldCharType="separate"/>
      </w:r>
      <w:r>
        <w:rPr>
          <w:rStyle w:val="14"/>
          <w:rFonts w:hint="eastAsia" w:ascii="仿宋" w:hAnsi="仿宋" w:eastAsia="仿宋" w:cs="黑体"/>
          <w:bCs/>
          <w:sz w:val="28"/>
          <w:szCs w:val="28"/>
        </w:rPr>
        <w:t>一、</w:t>
      </w:r>
      <w:r>
        <w:rPr>
          <w:rStyle w:val="14"/>
          <w:rFonts w:hint="eastAsia" w:ascii="仿宋" w:hAnsi="仿宋" w:eastAsia="仿宋"/>
          <w:sz w:val="28"/>
          <w:szCs w:val="28"/>
        </w:rPr>
        <w:t>收</w:t>
      </w:r>
      <w:r>
        <w:rPr>
          <w:rStyle w:val="14"/>
          <w:rFonts w:hint="eastAsia" w:ascii="仿宋" w:hAnsi="仿宋" w:eastAsia="仿宋" w:cs="黑体"/>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"_Toc15396604" </w:instrText>
      </w:r>
      <w:r>
        <w:fldChar w:fldCharType="separate"/>
      </w:r>
      <w:r>
        <w:rPr>
          <w:rStyle w:val="14"/>
          <w:rFonts w:hint="eastAsia" w:ascii="仿宋" w:hAnsi="仿宋" w:eastAsia="仿宋" w:cs="黑体"/>
          <w:bCs/>
          <w:sz w:val="28"/>
          <w:szCs w:val="28"/>
        </w:rPr>
        <w:t>二、</w:t>
      </w:r>
      <w:r>
        <w:rPr>
          <w:rStyle w:val="14"/>
          <w:rFonts w:hint="eastAsia" w:ascii="仿宋" w:hAnsi="仿宋" w:eastAsia="仿宋"/>
          <w:sz w:val="28"/>
          <w:szCs w:val="28"/>
        </w:rPr>
        <w:t>收</w:t>
      </w:r>
      <w:r>
        <w:rPr>
          <w:rStyle w:val="14"/>
          <w:rFonts w:hint="eastAsia" w:ascii="仿宋" w:hAnsi="仿宋" w:eastAsia="仿宋" w:cs="黑体"/>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"_Toc15396605" </w:instrText>
      </w:r>
      <w:r>
        <w:fldChar w:fldCharType="separate"/>
      </w:r>
      <w:r>
        <w:rPr>
          <w:rStyle w:val="14"/>
          <w:rFonts w:hint="eastAsia" w:ascii="仿宋" w:hAnsi="仿宋" w:eastAsia="仿宋" w:cs="黑体"/>
          <w:bCs/>
          <w:sz w:val="28"/>
          <w:szCs w:val="28"/>
        </w:rPr>
        <w:t>三、</w:t>
      </w:r>
      <w:r>
        <w:rPr>
          <w:rStyle w:val="14"/>
          <w:rFonts w:hint="eastAsia" w:ascii="仿宋" w:hAnsi="仿宋" w:eastAsia="仿宋"/>
          <w:sz w:val="28"/>
          <w:szCs w:val="28"/>
        </w:rPr>
        <w:t>支</w:t>
      </w:r>
      <w:r>
        <w:rPr>
          <w:rStyle w:val="14"/>
          <w:rFonts w:hint="eastAsia" w:ascii="仿宋" w:hAnsi="仿宋" w:eastAsia="仿宋" w:cs="黑体"/>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黑体"/>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黑体"/>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黑体"/>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黑体"/>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黑体"/>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1"/>
        <w:rPr>
          <w:rFonts w:hint="eastAsia"/>
        </w:rPr>
      </w:pPr>
      <w:r>
        <w:fldChar w:fldCharType="begin"/>
      </w:r>
      <w:r>
        <w:instrText xml:space="preserve">HYPERLINK  \l "_Toc15396611" </w:instrText>
      </w:r>
      <w:r>
        <w:fldChar w:fldCharType="separate"/>
      </w:r>
      <w:r>
        <w:rPr>
          <w:rStyle w:val="14"/>
          <w:rFonts w:hint="eastAsia" w:ascii="仿宋" w:hAnsi="仿宋" w:eastAsia="仿宋" w:cs="黑体"/>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黑体"/>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rPr>
          <w:color w:val="000000"/>
        </w:rPr>
      </w:pPr>
      <w:r>
        <w:rPr>
          <w:rFonts w:hint="eastAsia"/>
        </w:rPr>
        <w:t xml:space="preserve">    </w:t>
      </w:r>
      <w:r>
        <w:rPr>
          <w:rStyle w:val="14"/>
          <w:rFonts w:hint="eastAsia" w:ascii="仿宋" w:hAnsi="仿宋" w:eastAsia="仿宋" w:cs="黑体"/>
          <w:bCs/>
          <w:color w:val="000000"/>
          <w:sz w:val="28"/>
          <w:szCs w:val="28"/>
          <w:u w:val="none"/>
        </w:rPr>
        <w:t>十、预算绩效情况说明</w:t>
      </w:r>
      <w:r>
        <w:rPr>
          <w:rStyle w:val="14"/>
          <w:rFonts w:ascii="仿宋" w:hAnsi="仿宋" w:eastAsia="仿宋" w:cs="黑体"/>
          <w:bCs/>
          <w:color w:val="000000"/>
          <w:sz w:val="28"/>
          <w:szCs w:val="28"/>
          <w:u w:val="none"/>
        </w:rPr>
        <w:t>…………………………………………</w:t>
      </w:r>
      <w:r>
        <w:rPr>
          <w:rStyle w:val="14"/>
          <w:rFonts w:hint="eastAsia" w:ascii="仿宋" w:hAnsi="仿宋" w:eastAsia="仿宋" w:cs="黑体"/>
          <w:bCs/>
          <w:color w:val="000000"/>
          <w:sz w:val="28"/>
          <w:szCs w:val="28"/>
          <w:u w:val="none"/>
        </w:rPr>
        <w:t xml:space="preserve">  13</w:t>
      </w:r>
    </w:p>
    <w:p>
      <w:pPr>
        <w:pStyle w:val="11"/>
        <w:rPr>
          <w:rFonts w:ascii="仿宋" w:hAnsi="仿宋" w:eastAsia="仿宋" w:cs="黑体"/>
          <w:sz w:val="28"/>
          <w:szCs w:val="28"/>
        </w:rPr>
      </w:pPr>
      <w:r>
        <w:fldChar w:fldCharType="begin"/>
      </w:r>
      <w:r>
        <w:instrText xml:space="preserve">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黑体"/>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fldChar w:fldCharType="end"/>
      </w:r>
    </w:p>
    <w:p>
      <w:pPr>
        <w:pStyle w:val="10"/>
        <w:rPr>
          <w:rFonts w:cs="黑体"/>
        </w:rPr>
      </w:pPr>
      <w:r>
        <w:fldChar w:fldCharType="begin"/>
      </w:r>
      <w:r>
        <w:instrText xml:space="preserve">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21</w:t>
      </w:r>
      <w:r>
        <w:fldChar w:fldCharType="end"/>
      </w:r>
      <w:r>
        <w:fldChar w:fldCharType="end"/>
      </w:r>
    </w:p>
    <w:p>
      <w:pPr>
        <w:pStyle w:val="10"/>
        <w:rPr>
          <w:rFonts w:cs="黑体"/>
        </w:rPr>
      </w:pPr>
      <w:r>
        <w:fldChar w:fldCharType="begin"/>
      </w:r>
      <w:r>
        <w:instrText xml:space="preserve">HYPERLINK  \l "_Toc15396614" </w:instrText>
      </w:r>
      <w:r>
        <w:fldChar w:fldCharType="separate"/>
      </w:r>
      <w:r>
        <w:rPr>
          <w:rStyle w:val="14"/>
          <w:rFonts w:hint="eastAsia"/>
        </w:rPr>
        <w:t>第</w:t>
      </w:r>
      <w:r>
        <w:rPr>
          <w:rStyle w:val="14"/>
          <w:rFonts w:hint="eastAsia"/>
          <w:bCs/>
          <w:kern w:val="44"/>
        </w:rPr>
        <w:t>四部分附件</w:t>
      </w:r>
      <w:r>
        <w:tab/>
      </w:r>
      <w:r>
        <w:fldChar w:fldCharType="begin"/>
      </w:r>
      <w:r>
        <w:instrText xml:space="preserve"> PAGEREF _Toc15396614 \h </w:instrText>
      </w:r>
      <w:r>
        <w:fldChar w:fldCharType="separate"/>
      </w:r>
      <w:r>
        <w:t>21</w:t>
      </w:r>
      <w:r>
        <w:fldChar w:fldCharType="end"/>
      </w:r>
      <w:r>
        <w:fldChar w:fldCharType="end"/>
      </w:r>
    </w:p>
    <w:p>
      <w:pPr>
        <w:pStyle w:val="11"/>
        <w:rPr>
          <w:rFonts w:ascii="仿宋" w:hAnsi="仿宋" w:eastAsia="仿宋" w:cs="黑体"/>
          <w:sz w:val="28"/>
          <w:szCs w:val="28"/>
        </w:rPr>
      </w:pPr>
      <w:r>
        <w:fldChar w:fldCharType="begin"/>
      </w:r>
      <w:r>
        <w:instrText xml:space="preserve">HYPERLINK  \l "_Toc15396615"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"_Toc15396617"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fldChar w:fldCharType="end"/>
      </w:r>
    </w:p>
    <w:p>
      <w:pPr>
        <w:pStyle w:val="10"/>
        <w:rPr>
          <w:rFonts w:cs="黑体"/>
        </w:rPr>
      </w:pPr>
      <w:r>
        <w:fldChar w:fldCharType="begin"/>
      </w:r>
      <w:r>
        <w:instrText xml:space="preserve">HYPERLINK  \l "_Toc15396618" </w:instrText>
      </w:r>
      <w:r>
        <w:fldChar w:fldCharType="separate"/>
      </w:r>
      <w:r>
        <w:rPr>
          <w:rStyle w:val="14"/>
          <w:rFonts w:hint="eastAsia"/>
        </w:rPr>
        <w:t>第</w:t>
      </w:r>
      <w:r>
        <w:rPr>
          <w:rStyle w:val="14"/>
          <w:rFonts w:hint="eastAsia"/>
          <w:bCs/>
          <w:kern w:val="44"/>
        </w:rPr>
        <w:t>五部分附表</w:t>
      </w:r>
      <w:r>
        <w:tab/>
      </w:r>
      <w:r>
        <w:fldChar w:fldCharType="begin"/>
      </w:r>
      <w:r>
        <w:instrText xml:space="preserve"> PAGEREF _Toc15396618 \h </w:instrText>
      </w:r>
      <w:r>
        <w:fldChar w:fldCharType="separate"/>
      </w:r>
      <w:r>
        <w:t>27</w:t>
      </w:r>
      <w: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一、</w:t>
      </w:r>
      <w:r>
        <w:fldChar w:fldCharType="begin"/>
      </w:r>
      <w:r>
        <w:instrText xml:space="preserve">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二、</w:t>
      </w:r>
      <w:r>
        <w:fldChar w:fldCharType="begin"/>
      </w:r>
      <w:r>
        <w:instrText xml:space="preserve">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三、</w:t>
      </w:r>
      <w:r>
        <w:fldChar w:fldCharType="begin"/>
      </w:r>
      <w:r>
        <w:instrText xml:space="preserve">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四、</w:t>
      </w:r>
      <w:r>
        <w:fldChar w:fldCharType="begin"/>
      </w:r>
      <w:r>
        <w:instrText xml:space="preserve">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六、</w:t>
      </w:r>
      <w:r>
        <w:fldChar w:fldCharType="begin"/>
      </w:r>
      <w:r>
        <w:instrText xml:space="preserve">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七、</w:t>
      </w:r>
      <w:r>
        <w:fldChar w:fldCharType="begin"/>
      </w:r>
      <w:r>
        <w:instrText xml:space="preserve">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八、</w:t>
      </w:r>
      <w:r>
        <w:fldChar w:fldCharType="begin"/>
      </w:r>
      <w:r>
        <w:instrText xml:space="preserve">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九、</w:t>
      </w:r>
      <w:r>
        <w:fldChar w:fldCharType="begin"/>
      </w:r>
      <w:r>
        <w:instrText xml:space="preserve">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十、</w:t>
      </w:r>
      <w:r>
        <w:fldChar w:fldCharType="begin"/>
      </w:r>
      <w:r>
        <w:instrText xml:space="preserve">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十一、</w:t>
      </w:r>
      <w:r>
        <w:fldChar w:fldCharType="begin"/>
      </w:r>
      <w:r>
        <w:instrText xml:space="preserve">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十二、</w:t>
      </w:r>
      <w:r>
        <w:fldChar w:fldCharType="begin"/>
      </w:r>
      <w:r>
        <w:instrText xml:space="preserve">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pStyle w:val="11"/>
        <w:rPr>
          <w:rFonts w:ascii="仿宋" w:hAnsi="仿宋" w:eastAsia="仿宋" w:cs="黑体"/>
          <w:sz w:val="24"/>
        </w:rPr>
      </w:pPr>
      <w:r>
        <w:rPr>
          <w:rFonts w:hint="eastAsia" w:ascii="仿宋" w:hAnsi="仿宋" w:eastAsia="仿宋"/>
          <w:sz w:val="28"/>
          <w:szCs w:val="28"/>
        </w:rPr>
        <w:t>十三、</w:t>
      </w:r>
      <w:r>
        <w:fldChar w:fldCharType="begin"/>
      </w:r>
      <w:r>
        <w:instrText xml:space="preserve">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right="0"/>
        <w:textAlignment w:val="auto"/>
        <w:outlineLvl w:val="9"/>
        <w:rPr>
          <w:rFonts w:hint="eastAsia" w:ascii="仿宋" w:hAnsi="仿宋" w:eastAsia="仿宋"/>
          <w:bCs/>
          <w:color w:val="000000"/>
          <w:sz w:val="32"/>
          <w:szCs w:val="32"/>
          <w:lang w:eastAsia="zh-CN"/>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r>
        <w:rPr>
          <w:rFonts w:hint="eastAsia" w:ascii="仿宋" w:hAnsi="仿宋" w:eastAsia="仿宋"/>
          <w:bCs/>
          <w:color w:val="000000"/>
          <w:sz w:val="32"/>
          <w:szCs w:val="32"/>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Cs/>
          <w:sz w:val="32"/>
          <w:szCs w:val="32"/>
        </w:rPr>
      </w:pPr>
      <w:r>
        <w:rPr>
          <w:rFonts w:hint="eastAsia"/>
          <w:bCs/>
          <w:sz w:val="32"/>
          <w:szCs w:val="32"/>
        </w:rPr>
        <w:t>1、主管全县党的纪律检查工作；</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bCs/>
          <w:sz w:val="32"/>
          <w:szCs w:val="32"/>
        </w:rPr>
      </w:pPr>
      <w:r>
        <w:rPr>
          <w:rFonts w:hint="eastAsia"/>
          <w:bCs/>
          <w:sz w:val="32"/>
          <w:szCs w:val="32"/>
        </w:rPr>
        <w:t>2、主管全县行政监察工作；</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3、负责调查处理县级党政群机关各部门、各乡镇党的组织和县委管理的党员干部违反党的章程及其他党内法规的案件，决定给予或取消对这些案件中的党员的处分，受理党员的控告和申诉；</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4、负责调查处理县政府各部门及其工作人员、各乡镇人民政府及其主要负责人违反国家政策、法律、法规以及违反政纪的行为，并根据责任人所犯错误的情节轻重,作出撤职及撤职以下的行政处分(对涉及选举产生的领导干部按法定程序办理);受理监察对象不服政纪处分的申诉,受理个人或单位监察对象违纪行为的检举、控告；</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5、按照上级党委和县委的要求,负责作出关于维护党纪的决定,制定全县党风党纪教育规划,配合有关部门做好党的纪检工作方针、政策的宣传工作和对党员遵守纪律的教育工作；</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6、会同有关部门做好行政监察工作的方针、政策和法律法规的宣传工作，教育国家工作人员，遵纪守法、为政清廉；</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7、负责对党的纪律检查工作理论及有关问题进行调查研究，拟定党纪条规和政策规定在本地区实施细则，参与制定地区性的党内法规；</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8、调查研究县政府各部门和乡政府制定有关政策法规情况，对其违反国家法律和有损国家利益的条款，提出修改、补充工撤消的建议；</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72" w:firstLineChars="210"/>
        <w:textAlignment w:val="auto"/>
        <w:rPr>
          <w:rFonts w:hint="eastAsia"/>
          <w:sz w:val="32"/>
          <w:szCs w:val="32"/>
        </w:rPr>
      </w:pPr>
      <w:r>
        <w:rPr>
          <w:rFonts w:hint="eastAsia"/>
          <w:sz w:val="32"/>
          <w:szCs w:val="32"/>
        </w:rPr>
        <w:t>9、承办州纪委、州监察局和县委、县政府工作报告授权和交办的其他任务。</w:t>
      </w:r>
    </w:p>
    <w:p>
      <w:pPr>
        <w:pStyle w:val="5"/>
        <w:adjustRightInd w:val="0"/>
        <w:snapToGrid w:val="0"/>
        <w:spacing w:before="93" w:line="600" w:lineRule="exact"/>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r>
        <w:rPr>
          <w:rFonts w:hint="eastAsia" w:ascii="仿宋" w:hAnsi="仿宋" w:eastAsia="仿宋"/>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000000"/>
          <w:sz w:val="32"/>
          <w:szCs w:val="32"/>
        </w:rPr>
      </w:pPr>
      <w:r>
        <w:rPr>
          <w:rFonts w:hint="eastAsia" w:ascii="楷体_GB2312" w:hAnsi="楷体_GB2312" w:eastAsia="楷体_GB2312" w:cs="楷体_GB2312"/>
          <w:b/>
          <w:color w:val="000000"/>
          <w:sz w:val="32"/>
          <w:szCs w:val="32"/>
          <w:lang w:eastAsia="zh-CN"/>
        </w:rPr>
        <w:t>（一）</w:t>
      </w:r>
      <w:r>
        <w:rPr>
          <w:rFonts w:hint="eastAsia" w:ascii="楷体_GB2312" w:hAnsi="楷体_GB2312" w:eastAsia="楷体_GB2312" w:cs="楷体_GB2312"/>
          <w:b/>
          <w:color w:val="000000"/>
          <w:sz w:val="32"/>
          <w:szCs w:val="32"/>
        </w:rPr>
        <w:t>“两个责任”</w:t>
      </w:r>
      <w:r>
        <w:rPr>
          <w:rFonts w:hint="eastAsia" w:ascii="楷体_GB2312" w:hAnsi="楷体_GB2312" w:eastAsia="楷体_GB2312" w:cs="楷体_GB2312"/>
          <w:b/>
          <w:color w:val="000000"/>
          <w:sz w:val="32"/>
          <w:szCs w:val="32"/>
          <w:lang w:eastAsia="zh-CN"/>
        </w:rPr>
        <w:t>落实更加强化</w:t>
      </w:r>
      <w:r>
        <w:rPr>
          <w:rFonts w:hint="eastAsia" w:ascii="楷体_GB2312" w:hAnsi="楷体_GB2312" w:eastAsia="楷体_GB2312" w:cs="楷体_GB2312"/>
          <w:b/>
          <w:color w:val="000000"/>
          <w:sz w:val="32"/>
          <w:szCs w:val="32"/>
        </w:rPr>
        <w:t>。</w:t>
      </w:r>
      <w:r>
        <w:rPr>
          <w:rFonts w:hint="eastAsia" w:ascii="仿宋_GB2312" w:hAnsi="仿宋_GB2312" w:eastAsia="仿宋_GB2312" w:cs="仿宋_GB2312"/>
          <w:bCs/>
          <w:color w:val="000000"/>
          <w:sz w:val="32"/>
          <w:szCs w:val="32"/>
        </w:rPr>
        <w:t>加大落实“两个责任”力度，特别是党委主体责任的检查考核、述责述廉及责任追究力度。</w:t>
      </w:r>
      <w:r>
        <w:rPr>
          <w:rFonts w:hint="eastAsia" w:ascii="仿宋_GB2312" w:hAnsi="仿宋_GB2312" w:eastAsia="仿宋_GB2312" w:cs="仿宋_GB2312"/>
          <w:bCs/>
          <w:color w:val="000000"/>
          <w:sz w:val="32"/>
          <w:szCs w:val="32"/>
          <w:lang w:eastAsia="zh-CN"/>
        </w:rPr>
        <w:t>履行主体责任方面，</w:t>
      </w:r>
      <w:r>
        <w:rPr>
          <w:rFonts w:hint="eastAsia" w:ascii="仿宋_GB2312" w:hAnsi="仿宋_GB2312" w:eastAsia="仿宋_GB2312" w:cs="仿宋_GB2312"/>
          <w:bCs/>
          <w:color w:val="000000"/>
          <w:sz w:val="32"/>
          <w:szCs w:val="32"/>
        </w:rPr>
        <w:t>县委书记与各乡镇、县级各部门“一把手”签订2018年度《党风廉政建设主体责任书》</w:t>
      </w:r>
      <w:r>
        <w:rPr>
          <w:rFonts w:hint="eastAsia" w:ascii="仿宋_GB2312" w:hAnsi="仿宋_GB2312" w:eastAsia="仿宋_GB2312" w:cs="仿宋_GB2312"/>
          <w:bCs/>
          <w:color w:val="000000"/>
          <w:sz w:val="32"/>
          <w:szCs w:val="32"/>
          <w:lang w:val="en-US" w:eastAsia="zh-CN"/>
        </w:rPr>
        <w:t>69份</w:t>
      </w:r>
      <w:r>
        <w:rPr>
          <w:rFonts w:hint="eastAsia" w:ascii="仿宋_GB2312" w:hAnsi="仿宋_GB2312" w:eastAsia="仿宋_GB2312" w:cs="仿宋_GB2312"/>
          <w:bCs/>
          <w:color w:val="000000"/>
          <w:sz w:val="32"/>
          <w:szCs w:val="32"/>
          <w:lang w:eastAsia="zh-CN"/>
        </w:rPr>
        <w:t>，定期召开会议听取述责述廉报告；履行监督责任方面，县纪委书记与各乡镇纪委书记、部门纪检组长签订</w:t>
      </w:r>
      <w:r>
        <w:rPr>
          <w:rFonts w:hint="eastAsia" w:ascii="仿宋_GB2312" w:hAnsi="仿宋_GB2312" w:eastAsia="仿宋_GB2312" w:cs="仿宋_GB2312"/>
          <w:bCs/>
          <w:color w:val="000000"/>
          <w:sz w:val="32"/>
          <w:szCs w:val="32"/>
        </w:rPr>
        <w:t>《党风廉政建设监督责任书》</w:t>
      </w:r>
      <w:r>
        <w:rPr>
          <w:rFonts w:hint="eastAsia" w:ascii="仿宋_GB2312" w:hAnsi="仿宋_GB2312" w:eastAsia="仿宋_GB2312" w:cs="仿宋_GB2312"/>
          <w:bCs/>
          <w:color w:val="000000"/>
          <w:sz w:val="32"/>
          <w:szCs w:val="32"/>
          <w:lang w:val="en-US" w:eastAsia="zh-CN"/>
        </w:rPr>
        <w:t>33份</w:t>
      </w:r>
      <w:r>
        <w:rPr>
          <w:rFonts w:hint="eastAsia" w:ascii="仿宋_GB2312" w:hAnsi="仿宋_GB2312" w:eastAsia="仿宋_GB2312" w:cs="仿宋_GB2312"/>
          <w:bCs/>
          <w:color w:val="000000"/>
          <w:sz w:val="32"/>
          <w:szCs w:val="32"/>
        </w:rPr>
        <w:t>，将2018年党风廉政建设9 项重点任务25项小项任务分门别类进行细化，进一步完善了横向到边、纵向到底的责任体系。把开展扶贫领域监督执纪问责工作列入年度党风廉政建设责任制专项检查考核内容，实行“签字背书”机制，明确了责任追究的适用范围，带头落实“一岗双责”，持续推进党风廉政社会评价反馈结果的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坚持“一案双查”</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sz w:val="32"/>
          <w:szCs w:val="32"/>
        </w:rPr>
        <w:t>定期开展“两个责任”落实情况督查，坚持问题导向，强化责任追究，倒逼责任落实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截至11月，追究主体责任落实不到位案件3件3人，给予党纪处分2人，组织处理1人；追究监督责任落实不到位案件2件2人，给予党纪处分1人，组织处理1人。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eastAsia="仿宋_GB2312"/>
          <w:color w:val="000000"/>
          <w:sz w:val="32"/>
          <w:szCs w:val="32"/>
        </w:rPr>
      </w:pPr>
      <w:r>
        <w:rPr>
          <w:rFonts w:hint="eastAsia" w:ascii="楷体_GB2312" w:hAnsi="楷体_GB2312" w:eastAsia="楷体_GB2312" w:cs="楷体_GB2312"/>
          <w:b/>
          <w:color w:val="000000"/>
          <w:sz w:val="32"/>
          <w:szCs w:val="32"/>
          <w:lang w:eastAsia="zh-CN"/>
        </w:rPr>
        <w:t>（二）</w:t>
      </w:r>
      <w:r>
        <w:rPr>
          <w:rFonts w:hint="eastAsia" w:ascii="楷体_GB2312" w:hAnsi="楷体_GB2312" w:eastAsia="楷体_GB2312" w:cs="楷体_GB2312"/>
          <w:b/>
          <w:color w:val="000000"/>
          <w:sz w:val="32"/>
          <w:szCs w:val="32"/>
        </w:rPr>
        <w:t>忠诚履职，纪律审查</w:t>
      </w:r>
      <w:r>
        <w:rPr>
          <w:rFonts w:hint="eastAsia" w:ascii="楷体_GB2312" w:hAnsi="楷体_GB2312" w:eastAsia="楷体_GB2312" w:cs="楷体_GB2312"/>
          <w:b/>
          <w:color w:val="000000"/>
          <w:sz w:val="32"/>
          <w:szCs w:val="32"/>
          <w:lang w:eastAsia="zh-CN"/>
        </w:rPr>
        <w:t>力度更加强化</w:t>
      </w:r>
      <w:r>
        <w:rPr>
          <w:rFonts w:hint="eastAsia" w:ascii="楷体_GB2312" w:hAnsi="楷体_GB2312" w:eastAsia="楷体_GB2312" w:cs="楷体_GB2312"/>
          <w:b/>
          <w:color w:val="000000"/>
          <w:sz w:val="32"/>
          <w:szCs w:val="32"/>
        </w:rPr>
        <w:t>。</w:t>
      </w:r>
      <w:r>
        <w:rPr>
          <w:rFonts w:hint="eastAsia" w:ascii="仿宋_GB2312" w:eastAsia="仿宋_GB2312"/>
          <w:sz w:val="32"/>
          <w:szCs w:val="32"/>
        </w:rPr>
        <w:t>严格按照</w:t>
      </w:r>
      <w:r>
        <w:rPr>
          <w:rFonts w:hint="eastAsia" w:ascii="仿宋_GB2312" w:eastAsia="仿宋_GB2312"/>
          <w:sz w:val="32"/>
          <w:szCs w:val="32"/>
          <w:lang w:eastAsia="zh-CN"/>
        </w:rPr>
        <w:t>上级</w:t>
      </w:r>
      <w:r>
        <w:rPr>
          <w:rFonts w:hint="eastAsia" w:ascii="仿宋_GB2312" w:eastAsia="仿宋_GB2312"/>
          <w:sz w:val="32"/>
          <w:szCs w:val="32"/>
        </w:rPr>
        <w:t>纪委要求，</w:t>
      </w:r>
      <w:r>
        <w:rPr>
          <w:rFonts w:hint="eastAsia" w:ascii="仿宋_GB2312" w:eastAsia="仿宋_GB2312"/>
          <w:sz w:val="32"/>
          <w:szCs w:val="32"/>
          <w:lang w:eastAsia="zh-CN"/>
        </w:rPr>
        <w:t>进一步聚焦执纪问责主业，积极拓展案源，通过设置举报电话等方式进一步</w:t>
      </w:r>
      <w:r>
        <w:rPr>
          <w:rFonts w:hint="eastAsia" w:ascii="仿宋_GB2312" w:eastAsia="仿宋_GB2312"/>
          <w:sz w:val="32"/>
          <w:szCs w:val="32"/>
        </w:rPr>
        <w:t>畅通信访渠道，</w:t>
      </w:r>
      <w:r>
        <w:rPr>
          <w:rFonts w:hint="eastAsia" w:ascii="仿宋_GB2312" w:eastAsia="仿宋_GB2312"/>
          <w:sz w:val="32"/>
          <w:szCs w:val="32"/>
          <w:lang w:eastAsia="zh-CN"/>
        </w:rPr>
        <w:t>对“四风”问题常抓不懈、紧盯扶贫领域问题、更加强化政治规矩监督、深入开展扫黑除恶专项工作，今年共收到</w:t>
      </w:r>
      <w:r>
        <w:rPr>
          <w:rFonts w:hint="eastAsia" w:ascii="仿宋_GB2312" w:eastAsia="仿宋_GB2312"/>
          <w:sz w:val="32"/>
          <w:szCs w:val="32"/>
          <w:lang w:val="en-US" w:eastAsia="zh-CN"/>
        </w:rPr>
        <w:t>群众来信来访来电8件，业务范围内6件（其中：来信4件，来访1件，来电1件），业务范围外2件。信访了结7件，1件正在办理；截止11月处置问题线索75条，</w:t>
      </w:r>
      <w:r>
        <w:rPr>
          <w:rFonts w:hint="eastAsia" w:ascii="仿宋_GB2312" w:eastAsia="仿宋_GB2312"/>
          <w:sz w:val="32"/>
          <w:szCs w:val="32"/>
        </w:rPr>
        <w:t>立案</w:t>
      </w:r>
      <w:r>
        <w:rPr>
          <w:rFonts w:hint="eastAsia" w:ascii="仿宋_GB2312" w:eastAsia="仿宋_GB2312"/>
          <w:sz w:val="32"/>
          <w:szCs w:val="32"/>
          <w:lang w:val="en-US" w:eastAsia="zh-CN"/>
        </w:rPr>
        <w:t>42</w:t>
      </w:r>
      <w:r>
        <w:rPr>
          <w:rFonts w:hint="eastAsia" w:ascii="仿宋_GB2312" w:eastAsia="仿宋_GB2312"/>
          <w:sz w:val="32"/>
          <w:szCs w:val="32"/>
        </w:rPr>
        <w:t>件,结案</w:t>
      </w:r>
      <w:r>
        <w:rPr>
          <w:rFonts w:hint="eastAsia" w:ascii="仿宋_GB2312" w:eastAsia="仿宋_GB2312"/>
          <w:sz w:val="32"/>
          <w:szCs w:val="32"/>
          <w:lang w:val="en-US" w:eastAsia="zh-CN"/>
        </w:rPr>
        <w:t>40</w:t>
      </w:r>
      <w:r>
        <w:rPr>
          <w:rFonts w:hint="eastAsia" w:ascii="仿宋_GB2312" w:eastAsia="仿宋_GB2312"/>
          <w:sz w:val="32"/>
          <w:szCs w:val="32"/>
        </w:rPr>
        <w:t>件</w:t>
      </w:r>
      <w:r>
        <w:rPr>
          <w:rFonts w:hint="eastAsia" w:eastAsia="仿宋_GB2312"/>
          <w:color w:val="000000"/>
          <w:sz w:val="32"/>
          <w:szCs w:val="32"/>
        </w:rPr>
        <w:t>（</w:t>
      </w:r>
      <w:r>
        <w:rPr>
          <w:rFonts w:hint="eastAsia" w:eastAsia="仿宋_GB2312"/>
          <w:color w:val="000000"/>
          <w:sz w:val="32"/>
          <w:szCs w:val="32"/>
          <w:lang w:eastAsia="zh-CN"/>
        </w:rPr>
        <w:t>给予</w:t>
      </w:r>
      <w:r>
        <w:rPr>
          <w:rFonts w:hint="eastAsia" w:eastAsia="仿宋_GB2312"/>
          <w:color w:val="000000"/>
          <w:sz w:val="32"/>
          <w:szCs w:val="32"/>
        </w:rPr>
        <w:t>党纪处分</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人，政</w:t>
      </w:r>
      <w:r>
        <w:rPr>
          <w:rFonts w:hint="eastAsia" w:ascii="仿宋_GB2312" w:hAnsi="仿宋_GB2312" w:eastAsia="仿宋_GB2312" w:cs="仿宋_GB2312"/>
          <w:color w:val="000000"/>
          <w:sz w:val="32"/>
          <w:szCs w:val="32"/>
          <w:lang w:eastAsia="zh-CN"/>
        </w:rPr>
        <w:t>务</w:t>
      </w:r>
      <w:r>
        <w:rPr>
          <w:rFonts w:hint="eastAsia" w:ascii="仿宋_GB2312" w:hAnsi="仿宋_GB2312" w:eastAsia="仿宋_GB2312" w:cs="仿宋_GB2312"/>
          <w:color w:val="000000"/>
          <w:sz w:val="32"/>
          <w:szCs w:val="32"/>
        </w:rPr>
        <w:t>处分</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人，组织处理</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件正在办理中；</w:t>
      </w:r>
      <w:r>
        <w:rPr>
          <w:rFonts w:hint="eastAsia" w:ascii="仿宋_GB2312" w:hAnsi="仿宋_GB2312" w:eastAsia="仿宋_GB2312" w:cs="仿宋_GB2312"/>
          <w:color w:val="000000"/>
          <w:sz w:val="32"/>
          <w:szCs w:val="32"/>
          <w:lang w:eastAsia="zh-CN"/>
        </w:rPr>
        <w:t>并加大通报曝光力度，目前</w:t>
      </w:r>
      <w:r>
        <w:rPr>
          <w:rFonts w:hint="eastAsia" w:ascii="仿宋_GB2312" w:hAnsi="仿宋_GB2312" w:eastAsia="仿宋_GB2312" w:cs="仿宋_GB2312"/>
          <w:color w:val="000000"/>
          <w:sz w:val="32"/>
          <w:szCs w:val="32"/>
        </w:rPr>
        <w:t>通报曝光9批次</w:t>
      </w:r>
      <w:r>
        <w:rPr>
          <w:rFonts w:hint="eastAsia" w:ascii="仿宋_GB2312" w:hAnsi="仿宋_GB2312" w:eastAsia="仿宋_GB2312" w:cs="仿宋_GB2312"/>
          <w:color w:val="000000"/>
          <w:sz w:val="32"/>
          <w:szCs w:val="32"/>
          <w:lang w:val="en-US" w:eastAsia="zh-CN"/>
        </w:rPr>
        <w:t>35人</w:t>
      </w:r>
      <w:r>
        <w:rPr>
          <w:rFonts w:hint="eastAsia" w:ascii="仿宋_GB2312" w:eastAsia="仿宋_GB2312"/>
          <w:sz w:val="32"/>
          <w:szCs w:val="32"/>
        </w:rPr>
        <w:t>。</w:t>
      </w:r>
      <w:r>
        <w:rPr>
          <w:rFonts w:hint="eastAsia" w:ascii="仿宋" w:hAnsi="仿宋" w:eastAsia="仿宋"/>
          <w:b/>
          <w:bCs/>
          <w:color w:val="000000"/>
          <w:sz w:val="32"/>
          <w:szCs w:val="32"/>
          <w:shd w:val="clear" w:color="auto" w:fill="FFFFFF"/>
          <w:lang w:eastAsia="zh-CN"/>
        </w:rPr>
        <w:t>一是突出政治纪律审查，坚定党员干部政治立场。</w:t>
      </w:r>
      <w:r>
        <w:rPr>
          <w:rFonts w:hint="eastAsia" w:ascii="仿宋" w:hAnsi="仿宋" w:eastAsia="仿宋"/>
          <w:color w:val="000000"/>
          <w:sz w:val="32"/>
          <w:szCs w:val="32"/>
          <w:shd w:val="clear" w:color="auto" w:fill="FFFFFF"/>
          <w:lang w:eastAsia="zh-CN"/>
        </w:rPr>
        <w:t>严肃查处岗木达乡岗木达村原妇女主任出境朝拜达赖案，给予其开除党籍处分，并依法罢免其村妇女主任职务；严肃查处南木达镇南木达村一名农村党员长期不参加组织活动，不向组织报告去向，信仰佛教参加寺庙活动的案件，给予其开除党籍处分。</w:t>
      </w:r>
      <w:r>
        <w:rPr>
          <w:rFonts w:hint="eastAsia" w:ascii="仿宋" w:hAnsi="仿宋" w:eastAsia="仿宋"/>
          <w:b/>
          <w:bCs/>
          <w:color w:val="000000"/>
          <w:sz w:val="32"/>
          <w:szCs w:val="32"/>
          <w:shd w:val="clear" w:color="auto" w:fill="FFFFFF"/>
          <w:lang w:eastAsia="zh-CN"/>
        </w:rPr>
        <w:t>二是狠抓违反八项规定精神查处，确保清正廉洁。</w:t>
      </w:r>
      <w:r>
        <w:rPr>
          <w:rFonts w:hint="eastAsia" w:ascii="仿宋" w:hAnsi="仿宋" w:eastAsia="仿宋"/>
          <w:color w:val="000000"/>
          <w:sz w:val="32"/>
          <w:szCs w:val="32"/>
          <w:shd w:val="clear" w:color="auto" w:fill="FFFFFF"/>
          <w:lang w:eastAsia="zh-CN"/>
        </w:rPr>
        <w:t>把中央八项规定精神作为加强作风建设的突破口，率先垂范、驰而不息纠正“四风”，今年查处违反中央八项规定精神问题数</w:t>
      </w:r>
      <w:r>
        <w:rPr>
          <w:rFonts w:hint="eastAsia" w:ascii="仿宋" w:hAnsi="仿宋" w:eastAsia="仿宋"/>
          <w:color w:val="000000"/>
          <w:sz w:val="32"/>
          <w:szCs w:val="32"/>
          <w:shd w:val="clear" w:color="auto" w:fill="FFFFFF"/>
          <w:lang w:val="en-US" w:eastAsia="zh-CN"/>
        </w:rPr>
        <w:t>22个，立案审查7件7人，给予党纪政务处分7人，组织处理15人；查处违纪金额全部上缴财政，并在全县范围内指名道姓通报曝光。</w:t>
      </w:r>
      <w:r>
        <w:rPr>
          <w:rFonts w:hint="eastAsia" w:ascii="仿宋_GB2312" w:hAnsi="仿宋_GB2312" w:eastAsia="仿宋_GB2312" w:cs="仿宋_GB2312"/>
          <w:b/>
          <w:bCs/>
          <w:color w:val="000000"/>
          <w:sz w:val="32"/>
          <w:szCs w:val="32"/>
          <w:lang w:eastAsia="zh-CN"/>
        </w:rPr>
        <w:t>三是深入开展“扫黑除恶”专项斗争，坚持“一案三查”。</w:t>
      </w:r>
      <w:r>
        <w:rPr>
          <w:rFonts w:hint="eastAsia" w:ascii="仿宋" w:hAnsi="仿宋" w:eastAsia="仿宋"/>
          <w:color w:val="000000"/>
          <w:sz w:val="32"/>
          <w:szCs w:val="32"/>
          <w:shd w:val="clear" w:color="auto" w:fill="FFFFFF"/>
        </w:rPr>
        <w:t>会同县政法</w:t>
      </w:r>
      <w:r>
        <w:rPr>
          <w:rFonts w:hint="eastAsia" w:ascii="仿宋" w:hAnsi="仿宋" w:eastAsia="仿宋"/>
          <w:color w:val="000000"/>
          <w:sz w:val="32"/>
          <w:szCs w:val="32"/>
          <w:shd w:val="clear" w:color="auto" w:fill="FFFFFF"/>
          <w:lang w:eastAsia="zh-CN"/>
        </w:rPr>
        <w:t>、公安等部门全面</w:t>
      </w:r>
      <w:r>
        <w:rPr>
          <w:rFonts w:hint="eastAsia" w:ascii="仿宋" w:hAnsi="仿宋" w:eastAsia="仿宋"/>
          <w:color w:val="000000"/>
          <w:sz w:val="32"/>
          <w:szCs w:val="32"/>
          <w:shd w:val="clear" w:color="auto" w:fill="FFFFFF"/>
        </w:rPr>
        <w:t>摸排涉黑涉恶腐败和“保护伞”问题，把扫黑除恶专项行动纳入整风肃纪监督检查范围</w:t>
      </w:r>
      <w:r>
        <w:rPr>
          <w:rFonts w:hint="eastAsia" w:ascii="仿宋" w:hAnsi="仿宋" w:eastAsia="仿宋"/>
          <w:color w:val="000000"/>
          <w:sz w:val="32"/>
          <w:szCs w:val="32"/>
          <w:shd w:val="clear" w:color="auto" w:fill="FFFFFF"/>
          <w:lang w:eastAsia="zh-CN"/>
        </w:rPr>
        <w:t>，</w:t>
      </w:r>
      <w:r>
        <w:rPr>
          <w:rFonts w:hint="eastAsia" w:ascii="仿宋_GB2312" w:eastAsia="仿宋_GB2312"/>
          <w:sz w:val="32"/>
          <w:szCs w:val="32"/>
          <w:lang w:val="en-US" w:eastAsia="zh-CN"/>
        </w:rPr>
        <w:t>严肃查处了岗木达乡达日村原村委会主任和一名农村党员强迫交易的涉恶案件，都给予开除党籍处分，并依法罢免了村委会主任的职务；同时根据“一案三查”的精神，及时开展案件回头看，对达日村支部书记因履行主体责任不力进行立案审查，确保我县社会稳定和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Cs/>
          <w:color w:val="000000"/>
          <w:sz w:val="32"/>
          <w:szCs w:val="32"/>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三</w:t>
      </w:r>
      <w:r>
        <w:rPr>
          <w:rFonts w:hint="eastAsia" w:ascii="楷体_GB2312" w:hAnsi="楷体_GB2312" w:eastAsia="楷体_GB2312" w:cs="楷体_GB2312"/>
          <w:b/>
          <w:color w:val="000000"/>
          <w:sz w:val="32"/>
          <w:szCs w:val="32"/>
        </w:rPr>
        <w:t>） 脱贫攻坚工作执纪力度</w:t>
      </w:r>
      <w:r>
        <w:rPr>
          <w:rFonts w:hint="eastAsia" w:ascii="楷体_GB2312" w:hAnsi="楷体_GB2312" w:eastAsia="楷体_GB2312" w:cs="楷体_GB2312"/>
          <w:b/>
          <w:color w:val="000000"/>
          <w:sz w:val="32"/>
          <w:szCs w:val="32"/>
          <w:lang w:eastAsia="zh-CN"/>
        </w:rPr>
        <w:t>更加突出</w:t>
      </w:r>
      <w:r>
        <w:rPr>
          <w:rFonts w:hint="eastAsia" w:ascii="楷体_GB2312" w:hAnsi="楷体_GB2312" w:eastAsia="楷体_GB2312" w:cs="楷体_GB2312"/>
          <w:b/>
          <w:color w:val="000000"/>
          <w:sz w:val="32"/>
          <w:szCs w:val="32"/>
        </w:rPr>
        <w:t>。</w:t>
      </w:r>
      <w:r>
        <w:rPr>
          <w:rFonts w:hint="eastAsia" w:ascii="仿宋_GB2312" w:hAnsi="仿宋_GB2312" w:eastAsia="仿宋_GB2312" w:cs="仿宋_GB2312"/>
          <w:bCs/>
          <w:color w:val="000000"/>
          <w:sz w:val="32"/>
          <w:szCs w:val="32"/>
        </w:rPr>
        <w:t>加强</w:t>
      </w:r>
      <w:r>
        <w:rPr>
          <w:rFonts w:hint="eastAsia" w:ascii="仿宋_GB2312" w:hAnsi="仿宋_GB2312" w:eastAsia="仿宋_GB2312" w:cs="仿宋_GB2312"/>
          <w:bCs/>
          <w:color w:val="000000"/>
          <w:sz w:val="32"/>
          <w:szCs w:val="32"/>
          <w:lang w:eastAsia="zh-CN"/>
        </w:rPr>
        <w:t>监督</w:t>
      </w:r>
      <w:r>
        <w:rPr>
          <w:rFonts w:hint="eastAsia" w:ascii="仿宋_GB2312" w:hAnsi="仿宋_GB2312" w:eastAsia="仿宋_GB2312" w:cs="仿宋_GB2312"/>
          <w:bCs/>
          <w:color w:val="000000"/>
          <w:sz w:val="32"/>
          <w:szCs w:val="32"/>
        </w:rPr>
        <w:t>执纪问责，印发《在脱贫攻坚中落实中央八项规定精神专项治理工作方案》、《机关干部驻村蹲点调研督导工作方案》，</w:t>
      </w:r>
      <w:r>
        <w:rPr>
          <w:rFonts w:hint="eastAsia" w:ascii="仿宋_GB2312" w:hAnsi="仿宋_GB2312" w:eastAsia="仿宋_GB2312" w:cs="仿宋_GB2312"/>
          <w:bCs/>
          <w:color w:val="000000"/>
          <w:sz w:val="32"/>
          <w:szCs w:val="32"/>
          <w:lang w:eastAsia="zh-CN"/>
        </w:rPr>
        <w:t>拟定了《壤塘县整县摘帽脱贫攻坚纪律问责工作制度》，</w:t>
      </w:r>
      <w:r>
        <w:rPr>
          <w:rFonts w:hint="eastAsia" w:ascii="仿宋_GB2312" w:hAnsi="仿宋_GB2312" w:eastAsia="仿宋_GB2312" w:cs="仿宋_GB2312"/>
          <w:bCs/>
          <w:color w:val="000000"/>
          <w:sz w:val="32"/>
          <w:szCs w:val="32"/>
        </w:rPr>
        <w:t>深入12个乡（镇），对全县今年脱贫的18个摘帽村，采取“走访+查阅+座谈+暗访的方式，开展以扶贫领域腐败作风问题为重点，涵盖政治监督、环保监督、安全生产监督、涉黑涉恶监督、四风监督、风险防控监督7个方面</w:t>
      </w:r>
      <w:r>
        <w:rPr>
          <w:rFonts w:hint="eastAsia" w:ascii="仿宋_GB2312" w:hAnsi="仿宋_GB2312" w:eastAsia="仿宋_GB2312" w:cs="仿宋_GB2312"/>
          <w:bCs/>
          <w:color w:val="000000"/>
          <w:sz w:val="32"/>
          <w:szCs w:val="32"/>
          <w:lang w:eastAsia="zh-CN"/>
        </w:rPr>
        <w:t>的蹲点督导和问题线索收集</w:t>
      </w:r>
      <w:r>
        <w:rPr>
          <w:rFonts w:hint="eastAsia" w:ascii="仿宋_GB2312" w:hAnsi="仿宋_GB2312" w:eastAsia="仿宋_GB2312" w:cs="仿宋_GB2312"/>
          <w:bCs/>
          <w:color w:val="000000"/>
          <w:sz w:val="32"/>
          <w:szCs w:val="32"/>
        </w:rPr>
        <w:t>，对脱贫攻坚组织领导不力、政策执行不到位、工作业务不精通、工作作风不扎实、工作任务不能按时保质完成等方面的情况进行问责，采取“暗访直通车”模式，随机抽取有脱贫任务的乡（镇）进行全面的再监督再检查，认真梳理，划分责任到人，明确办理时限，做到整改到位，切实让扶贫政策和措施快落实、真落实，工作动态全掌握。</w:t>
      </w:r>
      <w:r>
        <w:rPr>
          <w:rFonts w:hint="eastAsia" w:ascii="Times New Roman" w:hAnsi="Times New Roman" w:eastAsia="仿宋_GB2312"/>
          <w:sz w:val="32"/>
          <w:szCs w:val="32"/>
          <w:lang w:eastAsia="zh-CN"/>
        </w:rPr>
        <w:t>目前</w:t>
      </w:r>
      <w:r>
        <w:rPr>
          <w:rFonts w:hint="eastAsia" w:ascii="Times New Roman" w:hAnsi="Times New Roman" w:eastAsia="仿宋_GB2312"/>
          <w:sz w:val="32"/>
          <w:szCs w:val="32"/>
        </w:rPr>
        <w:t>开展专项督查</w:t>
      </w:r>
      <w:r>
        <w:rPr>
          <w:rFonts w:hint="eastAsia" w:ascii="Times New Roman" w:hAnsi="Times New Roman" w:eastAsia="仿宋_GB2312"/>
          <w:sz w:val="32"/>
          <w:szCs w:val="32"/>
          <w:lang w:val="en-US" w:eastAsia="zh-CN"/>
        </w:rPr>
        <w:t>36</w:t>
      </w:r>
      <w:r>
        <w:rPr>
          <w:rFonts w:hint="eastAsia" w:ascii="Times New Roman" w:hAnsi="Times New Roman" w:eastAsia="仿宋_GB2312"/>
          <w:sz w:val="32"/>
          <w:szCs w:val="32"/>
        </w:rPr>
        <w:t>次，</w:t>
      </w:r>
      <w:r>
        <w:rPr>
          <w:rFonts w:hint="eastAsia" w:ascii="Times New Roman" w:hAnsi="Times New Roman" w:eastAsia="仿宋_GB2312"/>
          <w:sz w:val="32"/>
          <w:szCs w:val="32"/>
          <w:lang w:eastAsia="zh-CN"/>
        </w:rPr>
        <w:t>督查</w:t>
      </w:r>
      <w:r>
        <w:rPr>
          <w:rFonts w:hint="eastAsia" w:ascii="Times New Roman" w:hAnsi="Times New Roman" w:eastAsia="仿宋_GB2312"/>
          <w:sz w:val="32"/>
          <w:szCs w:val="32"/>
        </w:rPr>
        <w:t>单位</w:t>
      </w: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98</w:t>
      </w:r>
      <w:r>
        <w:rPr>
          <w:rFonts w:hint="eastAsia" w:ascii="Times New Roman" w:hAnsi="Times New Roman" w:eastAsia="仿宋_GB2312"/>
          <w:sz w:val="32"/>
          <w:szCs w:val="32"/>
        </w:rPr>
        <w:t>个次，发现问题</w:t>
      </w:r>
      <w:r>
        <w:rPr>
          <w:rFonts w:hint="eastAsia" w:ascii="Times New Roman" w:hAnsi="Times New Roman" w:eastAsia="仿宋_GB2312"/>
          <w:sz w:val="32"/>
          <w:szCs w:val="32"/>
          <w:lang w:val="en-US" w:eastAsia="zh-CN"/>
        </w:rPr>
        <w:t>41</w:t>
      </w:r>
      <w:r>
        <w:rPr>
          <w:rFonts w:hint="eastAsia" w:ascii="Times New Roman" w:hAnsi="Times New Roman" w:eastAsia="仿宋_GB2312"/>
          <w:sz w:val="32"/>
          <w:szCs w:val="32"/>
        </w:rPr>
        <w:t>个，针对问题提出整改意见</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查处扶贫领域问题</w:t>
      </w:r>
      <w:r>
        <w:rPr>
          <w:rFonts w:ascii="Times New Roman" w:hAnsi="Times New Roman" w:eastAsia="仿宋_GB2312"/>
          <w:sz w:val="32"/>
          <w:szCs w:val="32"/>
        </w:rPr>
        <w:t>11</w:t>
      </w:r>
      <w:r>
        <w:rPr>
          <w:rFonts w:hint="eastAsia" w:ascii="Times New Roman" w:hAnsi="Times New Roman" w:eastAsia="仿宋_GB2312"/>
          <w:sz w:val="32"/>
          <w:szCs w:val="32"/>
        </w:rPr>
        <w:t>个</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立案</w:t>
      </w:r>
      <w:r>
        <w:rPr>
          <w:rFonts w:ascii="Times New Roman" w:hAnsi="Times New Roman" w:eastAsia="仿宋_GB2312"/>
          <w:sz w:val="32"/>
          <w:szCs w:val="32"/>
        </w:rPr>
        <w:t>9</w:t>
      </w:r>
      <w:r>
        <w:rPr>
          <w:rFonts w:hint="eastAsia" w:ascii="Times New Roman" w:hAnsi="Times New Roman" w:eastAsia="仿宋_GB2312"/>
          <w:sz w:val="32"/>
          <w:szCs w:val="32"/>
        </w:rPr>
        <w:t>件；结案</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件（其中给予党纪处分</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人，组织处理</w:t>
      </w:r>
      <w:r>
        <w:rPr>
          <w:rFonts w:ascii="Times New Roman" w:hAnsi="Times New Roman" w:eastAsia="仿宋_GB2312"/>
          <w:sz w:val="32"/>
          <w:szCs w:val="32"/>
        </w:rPr>
        <w:t>2</w:t>
      </w:r>
      <w:r>
        <w:rPr>
          <w:rFonts w:hint="eastAsia" w:ascii="Times New Roman" w:hAnsi="Times New Roman" w:eastAsia="仿宋_GB2312"/>
          <w:sz w:val="32"/>
          <w:szCs w:val="32"/>
        </w:rPr>
        <w:t>人）；通报曝光</w:t>
      </w:r>
      <w:r>
        <w:rPr>
          <w:rFonts w:ascii="Times New Roman" w:hAnsi="Times New Roman" w:eastAsia="仿宋_GB2312"/>
          <w:sz w:val="32"/>
          <w:szCs w:val="32"/>
        </w:rPr>
        <w:t>3</w:t>
      </w:r>
      <w:r>
        <w:rPr>
          <w:rFonts w:hint="eastAsia" w:ascii="Times New Roman" w:hAnsi="Times New Roman" w:eastAsia="仿宋_GB2312"/>
          <w:sz w:val="32"/>
          <w:szCs w:val="32"/>
        </w:rPr>
        <w:t>批次（涉及</w:t>
      </w:r>
      <w:r>
        <w:rPr>
          <w:rFonts w:ascii="Times New Roman" w:hAnsi="Times New Roman" w:eastAsia="仿宋_GB2312"/>
          <w:sz w:val="32"/>
          <w:szCs w:val="32"/>
        </w:rPr>
        <w:t>9</w:t>
      </w:r>
      <w:r>
        <w:rPr>
          <w:rFonts w:hint="eastAsia" w:ascii="Times New Roman" w:hAnsi="Times New Roman" w:eastAsia="仿宋_GB2312"/>
          <w:sz w:val="32"/>
          <w:szCs w:val="32"/>
        </w:rPr>
        <w:t>个问题</w:t>
      </w:r>
      <w:r>
        <w:rPr>
          <w:rFonts w:ascii="Times New Roman" w:hAnsi="Times New Roman" w:eastAsia="仿宋_GB2312"/>
          <w:sz w:val="32"/>
          <w:szCs w:val="32"/>
        </w:rPr>
        <w:t>10</w:t>
      </w:r>
      <w:r>
        <w:rPr>
          <w:rFonts w:hint="eastAsia" w:ascii="Times New Roman" w:hAnsi="Times New Roman" w:eastAsia="仿宋_GB2312"/>
          <w:sz w:val="32"/>
          <w:szCs w:val="32"/>
        </w:rPr>
        <w:t>人）。</w:t>
      </w:r>
      <w:r>
        <w:rPr>
          <w:rFonts w:hint="eastAsia" w:ascii="仿宋_GB2312" w:hAnsi="宋体" w:eastAsia="仿宋_GB2312" w:cs="宋体"/>
          <w:color w:val="000000"/>
          <w:kern w:val="0"/>
          <w:sz w:val="32"/>
          <w:szCs w:val="32"/>
        </w:rPr>
        <w:t>结合省委提出的“大学习、大讨论、大调研”活动，在全县各部门、乡镇和村社支部范围内开展了以“脱贫攻坚中我的纪律、我的作为”为主题的组织生活会，</w:t>
      </w:r>
      <w:r>
        <w:rPr>
          <w:rFonts w:hint="eastAsia" w:ascii="仿宋_GB2312" w:hAnsi="Arial" w:eastAsia="仿宋_GB2312" w:cs="Arial"/>
          <w:color w:val="000000"/>
          <w:sz w:val="32"/>
          <w:szCs w:val="32"/>
        </w:rPr>
        <w:t>力争解决脱贫领域“四个意识”不强、责任落实不到位、工作措施不精准、工作作风不扎实等突出问题，达到了预期效果。督促县财政部门牵头</w:t>
      </w:r>
      <w:r>
        <w:rPr>
          <w:rFonts w:hint="eastAsia" w:ascii="Times New Roman" w:hAnsi="Times New Roman" w:eastAsia="仿宋_GB2312"/>
          <w:color w:val="000000"/>
          <w:sz w:val="32"/>
          <w:szCs w:val="32"/>
        </w:rPr>
        <w:t>开展“一卡通”管理问题专项治理工作，会同财政、审计等部门先后</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次召开会议，开展专项督查</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次，调研</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次，查办主动说清案件</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件</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人，给予党内警告处分</w:t>
      </w:r>
      <w:r>
        <w:rPr>
          <w:rFonts w:hint="eastAsia" w:ascii="Times New Roman" w:hAnsi="Times New Roman" w:eastAsia="仿宋_GB2312"/>
          <w:color w:val="000000"/>
          <w:sz w:val="32"/>
          <w:szCs w:val="32"/>
          <w:lang w:eastAsia="zh-CN"/>
        </w:rPr>
        <w:t>。通过一系列举措的有效开展，</w:t>
      </w:r>
      <w:r>
        <w:rPr>
          <w:rFonts w:hint="eastAsia" w:ascii="仿宋_GB2312" w:hAnsi="仿宋_GB2312" w:eastAsia="仿宋_GB2312" w:cs="仿宋_GB2312"/>
          <w:bCs/>
          <w:color w:val="000000"/>
          <w:sz w:val="32"/>
          <w:szCs w:val="32"/>
        </w:rPr>
        <w:t>为打赢脱贫攻坚战提供了机制保障。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eastAsia="仿宋_GB2312"/>
          <w:sz w:val="32"/>
          <w:szCs w:val="32"/>
          <w:lang w:val="en-US" w:eastAsia="zh-CN"/>
        </w:rPr>
      </w:pPr>
      <w:r>
        <w:rPr>
          <w:rFonts w:hint="eastAsia" w:ascii="楷体_GB2312" w:hAnsi="楷体_GB2312" w:eastAsia="楷体_GB2312" w:cs="楷体_GB2312"/>
          <w:b/>
          <w:color w:val="000000"/>
          <w:sz w:val="32"/>
          <w:szCs w:val="32"/>
          <w:lang w:eastAsia="zh-CN"/>
        </w:rPr>
        <w:t>（四）</w:t>
      </w:r>
      <w:r>
        <w:rPr>
          <w:rFonts w:hint="eastAsia" w:ascii="楷体_GB2312" w:hAnsi="楷体_GB2312" w:eastAsia="楷体_GB2312" w:cs="楷体_GB2312"/>
          <w:b/>
          <w:color w:val="000000"/>
          <w:sz w:val="32"/>
          <w:szCs w:val="32"/>
        </w:rPr>
        <w:t>坚持源头管控</w:t>
      </w:r>
      <w:r>
        <w:rPr>
          <w:rFonts w:hint="eastAsia" w:ascii="楷体_GB2312" w:hAnsi="楷体_GB2312" w:eastAsia="楷体_GB2312" w:cs="楷体_GB2312"/>
          <w:b/>
          <w:color w:val="000000"/>
          <w:sz w:val="32"/>
          <w:szCs w:val="32"/>
          <w:lang w:eastAsia="zh-CN"/>
        </w:rPr>
        <w:t>，</w:t>
      </w:r>
      <w:r>
        <w:rPr>
          <w:rFonts w:hint="eastAsia" w:ascii="楷体_GB2312" w:hAnsi="楷体_GB2312" w:eastAsia="楷体_GB2312" w:cs="楷体_GB2312"/>
          <w:b/>
          <w:color w:val="000000"/>
          <w:sz w:val="32"/>
          <w:szCs w:val="32"/>
        </w:rPr>
        <w:t>廉洁氛围营造</w:t>
      </w:r>
      <w:r>
        <w:rPr>
          <w:rFonts w:hint="eastAsia" w:ascii="楷体_GB2312" w:hAnsi="楷体_GB2312" w:eastAsia="楷体_GB2312" w:cs="楷体_GB2312"/>
          <w:b/>
          <w:color w:val="000000"/>
          <w:sz w:val="32"/>
          <w:szCs w:val="32"/>
          <w:lang w:eastAsia="zh-CN"/>
        </w:rPr>
        <w:t>更加浓厚</w:t>
      </w:r>
      <w:r>
        <w:rPr>
          <w:rFonts w:hint="eastAsia" w:ascii="楷体_GB2312" w:hAnsi="楷体_GB2312" w:eastAsia="楷体_GB2312" w:cs="楷体_GB2312"/>
          <w:b/>
          <w:color w:val="000000"/>
          <w:sz w:val="32"/>
          <w:szCs w:val="32"/>
        </w:rPr>
        <w:t>。</w:t>
      </w:r>
      <w:r>
        <w:rPr>
          <w:rFonts w:hint="eastAsia" w:ascii="仿宋" w:hAnsi="仿宋" w:eastAsia="仿宋"/>
          <w:color w:val="000000"/>
          <w:sz w:val="32"/>
          <w:szCs w:val="32"/>
          <w:shd w:val="clear" w:color="auto" w:fill="FFFFFF"/>
          <w:lang w:eastAsia="zh-CN"/>
        </w:rPr>
        <w:t>全</w:t>
      </w:r>
      <w:r>
        <w:rPr>
          <w:rFonts w:hint="eastAsia" w:ascii="仿宋" w:hAnsi="仿宋" w:eastAsia="仿宋"/>
          <w:color w:val="000000"/>
          <w:sz w:val="32"/>
          <w:szCs w:val="32"/>
          <w:shd w:val="clear" w:color="auto" w:fill="FFFFFF"/>
          <w:lang w:val="en-US" w:eastAsia="zh-CN"/>
        </w:rPr>
        <w:t>面加强正</w:t>
      </w:r>
      <w:r>
        <w:rPr>
          <w:rFonts w:hint="eastAsia" w:ascii="仿宋_GB2312" w:eastAsia="仿宋_GB2312"/>
          <w:sz w:val="32"/>
          <w:szCs w:val="32"/>
          <w:lang w:val="en-US" w:eastAsia="zh-CN"/>
        </w:rPr>
        <w:t>面引导，组织全县党员干部观看《永远在路上》专题片，同时在城乡公路沿线制作8幅党风廉政宣传挂幅；更加注重反面警示，今年以来组织集中学习《荣辱两重天》警示教育片，向全县通报曝光扶贫领域、违反八规精神等典型案例9批次；充分利用、媒体、广播、微信公众等平台大力开展党风廉政宣传教育,积极组织参加全州“书香阿坝全民阅读好风传家廉政诵读”比赛，并获得全州三等奖；加大通报典型案例力度，继续深入开展公开宣布处分决定“四个面对面”专题教育活动,让干部遵规守矩成为常态，形成“微提醒、微教育、微举报”三股强劲“微力量”；把好任前廉考关，在开展任前廉政知识</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HYPERLINK "http://home.5ykj.com/mnkc/" \t "_blank"</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考试</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 xml:space="preserve">过程中，始终做到周密安排部署，不断更新筑牢廉政知识效果，对19人次进行了干部任前廉政知识考试，达到了以考促学、以考促廉的目的；把好节前廉洁关，每逢节假日前夕，开展“八项规定”和“反四风”督查4次，向全县领导干部发送纪律要求严明的廉政短信警示提醒短1500余条；做好廉政警示教育，今年组织扶贫领域重点部门9名副科级干部、63个村（社区）支部书记到德阳阿坝监狱接受现场警示教育，极大地丰富了我县警示教育内容，深刻剖析解读案例中村干部走上违纪违法道路的思想根源，以案明纪，以案释纪，使干部群众知敬畏、守底线，不踩纪律“红线”，不破法律底线。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楷体_GB2312" w:eastAsia="楷体_GB2312"/>
          <w:b/>
          <w:sz w:val="32"/>
          <w:szCs w:val="32"/>
          <w:lang w:val="en-US" w:eastAsia="zh-CN"/>
        </w:rPr>
        <w:t>（五）</w:t>
      </w:r>
      <w:r>
        <w:rPr>
          <w:rFonts w:hint="eastAsia" w:ascii="楷体_GB2312" w:eastAsia="楷体_GB2312"/>
          <w:b/>
          <w:sz w:val="32"/>
          <w:szCs w:val="32"/>
        </w:rPr>
        <w:t>整风肃纪常态化</w:t>
      </w:r>
      <w:r>
        <w:rPr>
          <w:rFonts w:hint="eastAsia" w:ascii="楷体_GB2312" w:eastAsia="楷体_GB2312"/>
          <w:b/>
          <w:sz w:val="32"/>
          <w:szCs w:val="32"/>
          <w:lang w:eastAsia="zh-CN"/>
        </w:rPr>
        <w:t>，工作纪律更加好转</w:t>
      </w:r>
      <w:r>
        <w:rPr>
          <w:rFonts w:hint="eastAsia" w:ascii="仿宋_GB2312" w:eastAsia="仿宋_GB2312"/>
          <w:sz w:val="32"/>
          <w:szCs w:val="32"/>
          <w:lang w:val="en-US" w:eastAsia="zh-CN"/>
        </w:rPr>
        <w:t>。以抓返岗督查、抓会风督查、抓廉洁检查、抓常态督查为切入点，目前开展了3次执行工作纪律情况督查，对9个请假把关不严的单位、13个违反会场纪律的单位在全县通报点名曝光；对全县84个财政预算部门的财务管理制度进行专项检查，责令7个存在财务管理制度缺失、财务管理不规范甚至混乱的单位进行整改。干部职工纪律意识持续提升，单位面貌更加好转，权力运行的制约和监督进一步强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color w:val="000000"/>
          <w:sz w:val="32"/>
          <w:szCs w:val="32"/>
          <w:shd w:val="clear" w:color="auto" w:fill="FFFFFF"/>
        </w:rPr>
        <w:t>（</w:t>
      </w:r>
      <w:r>
        <w:rPr>
          <w:rFonts w:hint="eastAsia" w:ascii="楷体_GB2312" w:hAnsi="楷体_GB2312" w:eastAsia="楷体_GB2312" w:cs="楷体_GB2312"/>
          <w:b/>
          <w:color w:val="000000"/>
          <w:sz w:val="32"/>
          <w:szCs w:val="32"/>
          <w:shd w:val="clear" w:color="auto" w:fill="FFFFFF"/>
          <w:lang w:eastAsia="zh-CN"/>
        </w:rPr>
        <w:t>六</w:t>
      </w:r>
      <w:r>
        <w:rPr>
          <w:rFonts w:hint="eastAsia" w:ascii="楷体_GB2312" w:hAnsi="楷体_GB2312" w:eastAsia="楷体_GB2312" w:cs="楷体_GB2312"/>
          <w:b/>
          <w:color w:val="000000"/>
          <w:sz w:val="32"/>
          <w:szCs w:val="32"/>
          <w:shd w:val="clear" w:color="auto" w:fill="FFFFFF"/>
        </w:rPr>
        <w:t>）巡察整改扎牢制度笼子进入常态。</w:t>
      </w:r>
      <w:r>
        <w:rPr>
          <w:rFonts w:hint="eastAsia" w:ascii="仿宋_GB2312" w:eastAsia="仿宋_GB2312"/>
          <w:sz w:val="32"/>
          <w:szCs w:val="32"/>
          <w:lang w:val="en-US" w:eastAsia="zh-CN"/>
        </w:rPr>
        <w:t>巡察工作继去年实现稳步开局，今年修订完善</w:t>
      </w:r>
      <w:r>
        <w:rPr>
          <w:rFonts w:hint="eastAsia" w:ascii="Times New Roman" w:hAnsi="仿宋_GB2312" w:eastAsia="仿宋_GB2312"/>
          <w:sz w:val="32"/>
          <w:szCs w:val="32"/>
        </w:rPr>
        <w:t>了《中共壤塘县第十三届委员会巡察工作规划（2017—2021年）》</w:t>
      </w:r>
      <w:r>
        <w:rPr>
          <w:rFonts w:hint="eastAsia" w:ascii="Times New Roman" w:hAnsi="仿宋_GB2312" w:eastAsia="仿宋_GB2312"/>
          <w:sz w:val="32"/>
          <w:szCs w:val="32"/>
          <w:lang w:eastAsia="zh-CN"/>
        </w:rPr>
        <w:t>，巡察工作</w:t>
      </w:r>
      <w:r>
        <w:rPr>
          <w:rFonts w:hint="eastAsia" w:ascii="仿宋_GB2312" w:eastAsia="仿宋_GB2312"/>
          <w:sz w:val="32"/>
          <w:szCs w:val="32"/>
          <w:lang w:val="en-US" w:eastAsia="zh-CN"/>
        </w:rPr>
        <w:t>进入常态化，着力从党的领导、党的建设、全面从严治党、党风廉政建设和反腐败斗争等方面加强巡回督查，</w:t>
      </w:r>
      <w:r>
        <w:rPr>
          <w:rFonts w:hint="eastAsia" w:eastAsia="仿宋_GB2312"/>
          <w:b/>
          <w:bCs/>
          <w:color w:val="000000"/>
          <w:sz w:val="32"/>
          <w:szCs w:val="32"/>
          <w:lang w:val="en-US" w:eastAsia="zh-CN"/>
        </w:rPr>
        <w:t>一是</w:t>
      </w:r>
      <w:r>
        <w:rPr>
          <w:rFonts w:hint="eastAsia" w:ascii="仿宋_GB2312" w:eastAsia="仿宋_GB2312"/>
          <w:b w:val="0"/>
          <w:bCs/>
          <w:sz w:val="32"/>
          <w:szCs w:val="32"/>
          <w:lang w:eastAsia="zh-CN"/>
        </w:rPr>
        <w:t>结合中央巡视四川省反馈意见涉及县级的问题，</w:t>
      </w:r>
      <w:r>
        <w:rPr>
          <w:rFonts w:hint="eastAsia" w:ascii="仿宋_GB2312" w:eastAsia="仿宋_GB2312"/>
          <w:b w:val="0"/>
          <w:bCs/>
          <w:sz w:val="32"/>
          <w:szCs w:val="32"/>
          <w:lang w:val="en-US" w:eastAsia="zh-CN"/>
        </w:rPr>
        <w:t>细化分解为5类10大项35小项具体整改任务，明确了牵头领导、责任单位、整改措施和完成时限，确保整改落实到位；</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全年开展2轮累计对10个县级部门、5个乡镇进行了巡察，同时对3个县级单位进行</w:t>
      </w:r>
      <w:r>
        <w:rPr>
          <w:rFonts w:hint="eastAsia" w:eastAsia="仿宋_GB2312"/>
          <w:b w:val="0"/>
          <w:bCs w:val="0"/>
          <w:color w:val="000000"/>
          <w:sz w:val="32"/>
          <w:szCs w:val="32"/>
          <w:lang w:val="en-US" w:eastAsia="zh-CN"/>
        </w:rPr>
        <w:t>巡察整改“回头看”。今年县纪委查处的违反中央八项规定精神的案件均是县委巡察办移送的问题线索，</w:t>
      </w:r>
      <w:r>
        <w:rPr>
          <w:rFonts w:hint="eastAsia" w:ascii="仿宋_GB2312" w:eastAsia="仿宋_GB2312"/>
          <w:sz w:val="32"/>
          <w:szCs w:val="32"/>
          <w:lang w:val="en-US" w:eastAsia="zh-CN"/>
        </w:rPr>
        <w:t>“发现问题、形成震慑”的利剑作用更加彰显。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000000"/>
          <w:sz w:val="32"/>
          <w:szCs w:val="32"/>
          <w:shd w:val="clear" w:color="auto" w:fill="FFFFFF"/>
          <w:lang w:eastAsia="zh-CN"/>
        </w:rPr>
      </w:pPr>
      <w:r>
        <w:rPr>
          <w:rFonts w:hint="eastAsia" w:ascii="楷体_GB2312" w:hAnsi="楷体_GB2312" w:eastAsia="楷体_GB2312" w:cs="楷体_GB2312"/>
          <w:b/>
          <w:color w:val="000000"/>
          <w:sz w:val="32"/>
          <w:szCs w:val="32"/>
          <w:shd w:val="clear" w:color="auto" w:fill="FFFFFF"/>
          <w:lang w:eastAsia="zh-CN"/>
        </w:rPr>
        <w:t>（七）</w:t>
      </w:r>
      <w:r>
        <w:rPr>
          <w:rFonts w:hint="eastAsia" w:ascii="楷体_GB2312" w:hAnsi="楷体_GB2312" w:eastAsia="楷体_GB2312" w:cs="楷体_GB2312"/>
          <w:b/>
          <w:bCs/>
          <w:sz w:val="32"/>
          <w:szCs w:val="32"/>
        </w:rPr>
        <w:t>强化党风廉政社会评价反馈结果的整改。</w:t>
      </w:r>
      <w:r>
        <w:rPr>
          <w:rFonts w:hint="eastAsia" w:ascii="仿宋_GB2312" w:hAnsi="仿宋_GB2312" w:eastAsia="仿宋_GB2312" w:cs="仿宋_GB2312"/>
          <w:sz w:val="32"/>
          <w:szCs w:val="32"/>
        </w:rPr>
        <w:t>以抓党风廉政社会评价的整改为契机，以梳理问题找准原因为基础、以发布预告提高社会知晓度和参与度为前提、以提出针对性整改建议措施为核心、以建立整改台帐督促整改为重点，以倒逼责任落实为手段，不断推进我县党风廉政社会评价结果不断攀升。</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rPr>
        <w:t>民意调查中反映的</w:t>
      </w:r>
      <w:r>
        <w:rPr>
          <w:rFonts w:eastAsia="仿宋_GB2312"/>
          <w:color w:val="000000"/>
          <w:sz w:val="32"/>
          <w:szCs w:val="32"/>
        </w:rPr>
        <w:t>：</w:t>
      </w:r>
      <w:r>
        <w:rPr>
          <w:rFonts w:eastAsia="仿宋_GB2312"/>
          <w:sz w:val="32"/>
          <w:szCs w:val="32"/>
        </w:rPr>
        <w:t>“壤柯镇祥塘社区低保太混乱，一些有工作有私家车的人在拿低保”</w:t>
      </w:r>
      <w:r>
        <w:rPr>
          <w:rFonts w:hint="eastAsia" w:eastAsia="仿宋_GB2312"/>
          <w:color w:val="000000"/>
          <w:sz w:val="32"/>
          <w:szCs w:val="32"/>
          <w:lang w:eastAsia="zh-CN"/>
        </w:rPr>
        <w:t>的问题，</w:t>
      </w:r>
      <w:r>
        <w:rPr>
          <w:rFonts w:hint="eastAsia" w:eastAsia="仿宋_GB2312"/>
          <w:b/>
          <w:bCs/>
          <w:color w:val="000000"/>
          <w:sz w:val="32"/>
          <w:szCs w:val="32"/>
          <w:lang w:eastAsia="zh-CN"/>
        </w:rPr>
        <w:t>一是</w:t>
      </w:r>
      <w:r>
        <w:rPr>
          <w:rFonts w:hint="eastAsia" w:eastAsia="仿宋_GB2312"/>
          <w:color w:val="000000"/>
          <w:sz w:val="32"/>
          <w:szCs w:val="32"/>
          <w:lang w:eastAsia="zh-CN"/>
        </w:rPr>
        <w:t>通过核实整改，就营运性车辆人员享受低保问题，因壤柯镇没有土地等资源，这些人通过借款、贷款的方式买车自主创业符合党和政府鼓励劳动增收的政策，并向群众做好了解释和宣传；</w:t>
      </w:r>
      <w:r>
        <w:rPr>
          <w:rFonts w:hint="eastAsia" w:eastAsia="仿宋_GB2312"/>
          <w:b/>
          <w:bCs/>
          <w:sz w:val="32"/>
          <w:szCs w:val="32"/>
          <w:lang w:eastAsia="zh-CN"/>
        </w:rPr>
        <w:t>二是</w:t>
      </w:r>
      <w:r>
        <w:rPr>
          <w:rFonts w:hint="eastAsia" w:eastAsia="仿宋_GB2312"/>
          <w:sz w:val="32"/>
          <w:szCs w:val="32"/>
          <w:lang w:eastAsia="zh-CN"/>
        </w:rPr>
        <w:t>要求壤柯镇</w:t>
      </w:r>
      <w:r>
        <w:rPr>
          <w:rFonts w:hint="eastAsia" w:eastAsia="仿宋_GB2312"/>
          <w:color w:val="000000"/>
          <w:sz w:val="32"/>
          <w:szCs w:val="32"/>
          <w:lang w:eastAsia="zh-CN"/>
        </w:rPr>
        <w:t>进行了一次全面清理，</w:t>
      </w:r>
      <w:r>
        <w:rPr>
          <w:rFonts w:hint="eastAsia" w:eastAsia="仿宋_GB2312"/>
          <w:sz w:val="32"/>
          <w:szCs w:val="32"/>
          <w:lang w:eastAsia="zh-CN"/>
        </w:rPr>
        <w:t>共清退不符合享受低保</w:t>
      </w:r>
      <w:r>
        <w:rPr>
          <w:rFonts w:hint="eastAsia" w:ascii="仿宋_GB2312" w:hAnsi="仿宋_GB2312" w:eastAsia="仿宋_GB2312" w:cs="仿宋_GB2312"/>
          <w:sz w:val="32"/>
          <w:szCs w:val="32"/>
          <w:lang w:val="en-US" w:eastAsia="zh-CN"/>
        </w:rPr>
        <w:t>398人，其中：死亡人员33人，户籍迁移人员68人，就业人员12人，重复享受低保金11人，非营运车辆人员62人，社区“两委”大三职4人，领取社保退休工资208人。</w:t>
      </w:r>
      <w:r>
        <w:rPr>
          <w:rFonts w:hint="eastAsia" w:ascii="仿宋_GB2312" w:hAnsi="仿宋_GB2312" w:eastAsia="仿宋_GB2312" w:cs="仿宋_GB2312"/>
          <w:sz w:val="32"/>
          <w:szCs w:val="32"/>
        </w:rPr>
        <w:t>以整改成果推动长效机制的建立，使整改成</w:t>
      </w:r>
      <w:r>
        <w:rPr>
          <w:rFonts w:eastAsia="仿宋_GB2312"/>
          <w:sz w:val="32"/>
          <w:szCs w:val="32"/>
        </w:rPr>
        <w:t>果成为推动工作</w:t>
      </w:r>
      <w:r>
        <w:rPr>
          <w:rFonts w:hint="eastAsia" w:eastAsia="仿宋_GB2312"/>
          <w:sz w:val="32"/>
          <w:szCs w:val="32"/>
          <w:lang w:eastAsia="zh-CN"/>
        </w:rPr>
        <w:t>再</w:t>
      </w:r>
      <w:r>
        <w:rPr>
          <w:rFonts w:eastAsia="仿宋_GB2312"/>
          <w:sz w:val="32"/>
          <w:szCs w:val="32"/>
        </w:rPr>
        <w:t>上台阶的动力，以实际成效取信于民。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right="0" w:firstLine="643" w:firstLineChars="200"/>
        <w:textAlignment w:val="auto"/>
        <w:outlineLvl w:val="9"/>
        <w:rPr>
          <w:rFonts w:hint="eastAsia" w:ascii="黑体" w:eastAsia="黑体"/>
          <w:b w:val="0"/>
          <w:color w:val="000000"/>
        </w:rPr>
      </w:pPr>
      <w:r>
        <w:rPr>
          <w:rFonts w:hint="eastAsia" w:ascii="楷体_GB2312" w:hAnsi="楷体_GB2312" w:eastAsia="楷体_GB2312" w:cs="楷体_GB2312"/>
          <w:b/>
          <w:bCs/>
          <w:kern w:val="2"/>
          <w:sz w:val="32"/>
          <w:szCs w:val="32"/>
          <w:lang w:val="en-US" w:eastAsia="zh-CN" w:bidi="ar-SA"/>
        </w:rPr>
        <w:t>（八）推进纪检体制改革，狠抓队伍建设。</w:t>
      </w:r>
      <w:r>
        <w:rPr>
          <w:rFonts w:hint="eastAsia" w:ascii="仿宋_GB2312" w:hAnsi="仿宋_GB2312" w:eastAsia="仿宋_GB2312" w:cs="仿宋_GB2312"/>
          <w:b/>
          <w:bCs w:val="0"/>
          <w:color w:val="000000"/>
          <w:sz w:val="32"/>
          <w:szCs w:val="32"/>
          <w:lang w:eastAsia="zh-CN"/>
        </w:rPr>
        <w:t>一是</w:t>
      </w:r>
      <w:r>
        <w:rPr>
          <w:rFonts w:hint="eastAsia" w:ascii="Calibri" w:hAnsi="Calibri" w:eastAsia="仿宋_GB2312" w:cs="Times New Roman"/>
          <w:b w:val="0"/>
          <w:kern w:val="2"/>
          <w:sz w:val="32"/>
          <w:szCs w:val="32"/>
          <w:lang w:val="en-US" w:eastAsia="zh-CN" w:bidi="ar-SA"/>
        </w:rPr>
        <w:t>《壤塘县级纪检体制改革建议方案》，现已通过州纪委初审，根据《关于加强壤塘县纪委派驻机构全覆盖改革的意见》，改革工作正加紧落实中；</w:t>
      </w:r>
      <w:r>
        <w:rPr>
          <w:rFonts w:hint="eastAsia" w:ascii="仿宋_GB2312" w:hAnsi="仿宋_GB2312" w:eastAsia="仿宋_GB2312" w:cs="仿宋_GB2312"/>
          <w:b/>
          <w:bCs w:val="0"/>
          <w:color w:val="000000"/>
          <w:sz w:val="32"/>
          <w:szCs w:val="32"/>
          <w:lang w:val="en-US" w:eastAsia="zh-CN"/>
        </w:rPr>
        <w:t>二是</w:t>
      </w:r>
      <w:r>
        <w:rPr>
          <w:rFonts w:hint="eastAsia" w:ascii="仿宋_GB2312" w:hAnsi="仿宋_GB2312" w:eastAsia="仿宋_GB2312" w:cs="仿宋_GB2312"/>
          <w:b w:val="0"/>
          <w:bCs/>
          <w:color w:val="000000"/>
          <w:kern w:val="2"/>
          <w:sz w:val="32"/>
          <w:szCs w:val="32"/>
          <w:lang w:val="en-US" w:eastAsia="zh-CN" w:bidi="ar-SA"/>
        </w:rPr>
        <w:t>扎实推进意识形态和“大学习、大讨论、大调研”活动，持之以恒坚持周五单位集中学习，进一步加强学习习近平总书记来川视察重要讲话精神、中央、省、州全会精神和中共壤塘县委十三届三次全体会议精神，在学懂弄通上下功夫，作为统筹现在和今后纪检工作的重要指引，并不断提升个人综合素质，强化贯彻执行的本领，切实发挥纪委督战队的作用；</w:t>
      </w:r>
      <w:r>
        <w:rPr>
          <w:rFonts w:hint="eastAsia" w:ascii="仿宋_GB2312" w:hAnsi="仿宋_GB2312" w:eastAsia="仿宋_GB2312" w:cs="仿宋_GB2312"/>
          <w:b/>
          <w:bCs w:val="0"/>
          <w:color w:val="000000"/>
          <w:sz w:val="32"/>
          <w:szCs w:val="32"/>
          <w:lang w:eastAsia="zh-CN"/>
        </w:rPr>
        <w:t>三是</w:t>
      </w:r>
      <w:r>
        <w:rPr>
          <w:rFonts w:hint="eastAsia" w:ascii="仿宋_GB2312" w:hAnsi="仿宋_GB2312" w:eastAsia="仿宋_GB2312" w:cs="仿宋_GB2312"/>
          <w:b w:val="0"/>
          <w:bCs/>
          <w:color w:val="000000"/>
          <w:kern w:val="2"/>
          <w:sz w:val="32"/>
          <w:szCs w:val="32"/>
          <w:lang w:val="en-US" w:eastAsia="zh-CN" w:bidi="ar-SA"/>
        </w:rPr>
        <w:t>深刻开展“政治体检”工作，并向单位非党职工延伸，通过“照镜子、正衣冠、洗洗澡、治治病”来自查自纠，着力保持政治忠诚、坚守政治定力、强化政治担当、提高政治能力、增强政治自律；</w:t>
      </w:r>
      <w:r>
        <w:rPr>
          <w:rFonts w:hint="eastAsia" w:ascii="仿宋_GB2312" w:hAnsi="仿宋_GB2312" w:eastAsia="仿宋_GB2312" w:cs="仿宋_GB2312"/>
          <w:b/>
          <w:bCs w:val="0"/>
          <w:color w:val="000000"/>
          <w:sz w:val="32"/>
          <w:szCs w:val="32"/>
          <w:lang w:val="en-US" w:eastAsia="zh-CN"/>
        </w:rPr>
        <w:t>四是</w:t>
      </w:r>
      <w:r>
        <w:rPr>
          <w:rFonts w:hint="eastAsia" w:ascii="仿宋_GB2312" w:hAnsi="仿宋_GB2312" w:eastAsia="仿宋_GB2312" w:cs="仿宋_GB2312"/>
          <w:b w:val="0"/>
          <w:bCs/>
          <w:color w:val="000000"/>
          <w:kern w:val="2"/>
          <w:sz w:val="32"/>
          <w:szCs w:val="32"/>
          <w:lang w:val="en-US" w:eastAsia="zh-CN" w:bidi="ar-SA"/>
        </w:rPr>
        <w:t>选派2名干部到州纪委跟班锻炼，通过学习和实践，干部职工履职水平得到提升；</w:t>
      </w:r>
      <w:r>
        <w:rPr>
          <w:rFonts w:hint="eastAsia" w:ascii="仿宋_GB2312" w:hAnsi="仿宋_GB2312" w:eastAsia="仿宋_GB2312" w:cs="仿宋_GB2312"/>
          <w:b/>
          <w:bCs w:val="0"/>
          <w:color w:val="000000"/>
          <w:kern w:val="2"/>
          <w:sz w:val="32"/>
          <w:szCs w:val="32"/>
          <w:lang w:val="en-US" w:eastAsia="zh-CN" w:bidi="ar-SA"/>
        </w:rPr>
        <w:t>五是</w:t>
      </w:r>
      <w:r>
        <w:rPr>
          <w:rFonts w:hint="eastAsia" w:ascii="仿宋_GB2312" w:hAnsi="仿宋_GB2312" w:eastAsia="仿宋_GB2312" w:cs="仿宋_GB2312"/>
          <w:b w:val="0"/>
          <w:bCs/>
          <w:color w:val="000000"/>
          <w:kern w:val="2"/>
          <w:sz w:val="32"/>
          <w:szCs w:val="32"/>
          <w:lang w:val="en-US" w:eastAsia="zh-CN" w:bidi="ar-SA"/>
        </w:rPr>
        <w:t>坚持刀刃向内，加强干部管理，严防“灯下黑”，严格工作纪律，鲜明“实干、担当”理念，牢固树立“打铁还需自身硬”的观念，今年对2名履行监督职责不力的乡镇纪委书记进行了问责处理。</w:t>
      </w:r>
      <w:bookmarkStart w:id="20" w:name="_Toc15377200"/>
      <w:bookmarkStart w:id="21" w:name="_Toc15396601"/>
    </w:p>
    <w:p>
      <w:pPr>
        <w:pStyle w:val="3"/>
        <w:spacing w:line="360" w:lineRule="auto"/>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spacing w:line="360" w:lineRule="auto"/>
        <w:rPr>
          <w:rFonts w:ascii="仿宋" w:hAnsi="仿宋" w:eastAsia="仿宋"/>
          <w:sz w:val="32"/>
          <w:szCs w:val="32"/>
        </w:rPr>
      </w:pPr>
      <w:r>
        <w:rPr>
          <w:rFonts w:hint="eastAsia" w:ascii="仿宋" w:hAnsi="仿宋" w:eastAsia="仿宋"/>
          <w:sz w:val="32"/>
          <w:szCs w:val="32"/>
          <w:lang w:val="en-US" w:eastAsia="zh-CN"/>
        </w:rPr>
        <w:t>纪委监委</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5"/>
          <w:rFonts w:hint="eastAsia" w:ascii="黑体" w:hAnsi="黑体" w:eastAsia="黑体"/>
          <w:b w:val="0"/>
          <w:bCs w:val="0"/>
        </w:rPr>
        <w:t>2018年度部门决算情况说明</w:t>
      </w:r>
      <w:bookmarkEnd w:id="22"/>
      <w:bookmarkEnd w:id="23"/>
    </w:p>
    <w:p/>
    <w:p>
      <w:pPr>
        <w:pStyle w:val="17"/>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24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2018年度收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406.72</w:t>
      </w:r>
      <w:r>
        <w:rPr>
          <w:rFonts w:hint="eastAsia" w:ascii="仿宋" w:hAnsi="仿宋" w:eastAsia="仿宋"/>
          <w:color w:val="000000"/>
          <w:sz w:val="32"/>
          <w:szCs w:val="32"/>
        </w:rPr>
        <w:t>万元。与2017年相比，收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总计减少</w:t>
      </w:r>
      <w:r>
        <w:rPr>
          <w:rFonts w:hint="eastAsia" w:ascii="仿宋" w:hAnsi="仿宋" w:eastAsia="仿宋"/>
          <w:color w:val="000000"/>
          <w:sz w:val="32"/>
          <w:szCs w:val="32"/>
          <w:lang w:val="en-US" w:eastAsia="zh-CN"/>
        </w:rPr>
        <w:t>104.89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25.79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严格按照要求，规范节省开支。2018年度支出总计522.77万元。与2017年相比，支出增加11.27万元，增长2.2％，主要变动原因是人员增加，相对的工资福利及商品服务支出增加。</w:t>
      </w:r>
    </w:p>
    <w:p>
      <w:pPr>
        <w:spacing w:line="24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5751830" cy="2919730"/>
            <wp:effectExtent l="0" t="0" r="1270" b="1270"/>
            <wp:docPr id="1" name="图片 1" descr="2017、2018年度收入支出对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7、2018年度收入支出对比图"/>
                    <pic:cNvPicPr>
                      <a:picLocks noChangeAspect="1"/>
                    </pic:cNvPicPr>
                  </pic:nvPicPr>
                  <pic:blipFill>
                    <a:blip r:embed="rId6"/>
                    <a:stretch>
                      <a:fillRect/>
                    </a:stretch>
                  </pic:blipFill>
                  <pic:spPr>
                    <a:xfrm>
                      <a:off x="0" y="0"/>
                      <a:ext cx="5751830" cy="2919730"/>
                    </a:xfrm>
                    <a:prstGeom prst="rect">
                      <a:avLst/>
                    </a:prstGeom>
                  </pic:spPr>
                </pic:pic>
              </a:graphicData>
            </a:graphic>
          </wp:inline>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17"/>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406.72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406.71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万元；其他收入</w:t>
      </w:r>
      <w:r>
        <w:rPr>
          <w:rFonts w:hint="eastAsia" w:ascii="仿宋" w:hAnsi="仿宋" w:eastAsia="仿宋"/>
          <w:color w:val="000000"/>
          <w:sz w:val="32"/>
          <w:szCs w:val="32"/>
          <w:lang w:val="en-US" w:eastAsia="zh-CN"/>
        </w:rPr>
        <w:t>0.01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如图：</w:t>
      </w: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700" cy="2755900"/>
            <wp:effectExtent l="0" t="0" r="0" b="0"/>
            <wp:docPr id="2" name="图片 2" descr="收入决算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入决算结构图"/>
                    <pic:cNvPicPr>
                      <a:picLocks noChangeAspect="1"/>
                    </pic:cNvPicPr>
                  </pic:nvPicPr>
                  <pic:blipFill>
                    <a:blip r:embed="rId7"/>
                    <a:stretch>
                      <a:fillRect/>
                    </a:stretch>
                  </pic:blipFill>
                  <pic:spPr>
                    <a:xfrm>
                      <a:off x="0" y="0"/>
                      <a:ext cx="4584700" cy="2755900"/>
                    </a:xfrm>
                    <a:prstGeom prst="rect">
                      <a:avLst/>
                    </a:prstGeom>
                  </pic:spPr>
                </pic:pic>
              </a:graphicData>
            </a:graphic>
          </wp:inline>
        </w:drawing>
      </w:r>
    </w:p>
    <w:p>
      <w:pPr>
        <w:spacing w:line="600" w:lineRule="exact"/>
        <w:ind w:firstLine="640" w:firstLineChars="200"/>
        <w:rPr>
          <w:rFonts w:ascii="仿宋_GB2312" w:eastAsia="仿宋_GB2312"/>
          <w:color w:val="FF0000"/>
          <w:sz w:val="32"/>
          <w:szCs w:val="32"/>
        </w:rPr>
      </w:pPr>
    </w:p>
    <w:p>
      <w:pPr>
        <w:pStyle w:val="17"/>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522.77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496.48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94.97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26.29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5.03</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如图：</w:t>
      </w:r>
    </w:p>
    <w:p>
      <w:pPr>
        <w:spacing w:line="240" w:lineRule="auto"/>
        <w:ind w:firstLine="640" w:firstLineChars="200"/>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drawing>
          <wp:inline distT="0" distB="0" distL="114300" distR="114300">
            <wp:extent cx="4584700" cy="2755900"/>
            <wp:effectExtent l="0" t="0" r="0" b="0"/>
            <wp:docPr id="3" name="图片 3" descr="支出决算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支出决算结构图"/>
                    <pic:cNvPicPr>
                      <a:picLocks noChangeAspect="1"/>
                    </pic:cNvPicPr>
                  </pic:nvPicPr>
                  <pic:blipFill>
                    <a:blip r:embed="rId8"/>
                    <a:stretch>
                      <a:fillRect/>
                    </a:stretch>
                  </pic:blipFill>
                  <pic:spPr>
                    <a:xfrm>
                      <a:off x="0" y="0"/>
                      <a:ext cx="4584700" cy="2755900"/>
                    </a:xfrm>
                    <a:prstGeom prst="rect">
                      <a:avLst/>
                    </a:prstGeom>
                  </pic:spPr>
                </pic:pic>
              </a:graphicData>
            </a:graphic>
          </wp:inline>
        </w:drawing>
      </w: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为522.77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hint="eastAsia" w:ascii="仿宋" w:hAnsi="仿宋" w:eastAsia="仿宋"/>
          <w:color w:val="000000"/>
          <w:sz w:val="32"/>
          <w:szCs w:val="32"/>
          <w:lang w:val="en-US" w:eastAsia="zh-CN"/>
        </w:rPr>
        <w:t>11.27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2.2</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val="en-US" w:eastAsia="zh-CN"/>
        </w:rPr>
        <w:t>是人员新增，相应的工资福利支出及商品服务支出增加。如图：</w:t>
      </w:r>
    </w:p>
    <w:p>
      <w:pPr>
        <w:spacing w:line="24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drawing>
          <wp:inline distT="0" distB="0" distL="114300" distR="114300">
            <wp:extent cx="4584700" cy="2755900"/>
            <wp:effectExtent l="0" t="0" r="0" b="0"/>
            <wp:docPr id="6" name="图片 6" descr="财政拨款收、支决算总计变动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财政拨款收、支决算总计变动情况"/>
                    <pic:cNvPicPr>
                      <a:picLocks noChangeAspect="1"/>
                    </pic:cNvPicPr>
                  </pic:nvPicPr>
                  <pic:blipFill>
                    <a:blip r:embed="rId9"/>
                    <a:stretch>
                      <a:fillRect/>
                    </a:stretch>
                  </pic:blipFill>
                  <pic:spPr>
                    <a:xfrm>
                      <a:off x="0" y="0"/>
                      <a:ext cx="4584700" cy="2755900"/>
                    </a:xfrm>
                    <a:prstGeom prst="rect">
                      <a:avLst/>
                    </a:prstGeom>
                  </pic:spPr>
                </pic:pic>
              </a:graphicData>
            </a:graphic>
          </wp:inline>
        </w:drawing>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（除国有资本经营预算外，数据来源于财决</w:t>
      </w:r>
      <w:r>
        <w:rPr>
          <w:rFonts w:ascii="仿宋" w:hAnsi="仿宋" w:eastAsia="仿宋"/>
          <w:b/>
          <w:color w:val="000000"/>
          <w:sz w:val="32"/>
          <w:szCs w:val="32"/>
        </w:rPr>
        <w:t>Z01-1</w:t>
      </w:r>
      <w:r>
        <w:rPr>
          <w:rFonts w:hint="eastAsia" w:ascii="仿宋" w:hAnsi="仿宋" w:eastAsia="仿宋"/>
          <w:b/>
          <w:color w:val="000000"/>
          <w:sz w:val="32"/>
          <w:szCs w:val="32"/>
        </w:rPr>
        <w:t>表，口径为“总计”数+国有资本经营预算。）</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522.77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11.27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人员增加，相应的工资福利支出增加。如图：</w:t>
      </w:r>
    </w:p>
    <w:p>
      <w:pPr>
        <w:spacing w:line="24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4584700" cy="2755900"/>
            <wp:effectExtent l="0" t="0" r="0" b="0"/>
            <wp:docPr id="8" name="图片 8" descr="一般公共预算财政拨款支出对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一般公共预算财政拨款支出对比图"/>
                    <pic:cNvPicPr>
                      <a:picLocks noChangeAspect="1"/>
                    </pic:cNvPicPr>
                  </pic:nvPicPr>
                  <pic:blipFill>
                    <a:blip r:embed="rId10"/>
                    <a:stretch>
                      <a:fillRect/>
                    </a:stretch>
                  </pic:blipFill>
                  <pic:spPr>
                    <a:xfrm>
                      <a:off x="0" y="0"/>
                      <a:ext cx="4584700" cy="2755900"/>
                    </a:xfrm>
                    <a:prstGeom prst="rect">
                      <a:avLst/>
                    </a:prstGeom>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b/>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522.77</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420.18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80.38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b/>
          <w:color w:val="000000"/>
          <w:sz w:val="32"/>
          <w:szCs w:val="32"/>
        </w:rPr>
        <w:t>科学技术</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b/>
          <w:color w:val="000000"/>
          <w:sz w:val="32"/>
          <w:szCs w:val="32"/>
        </w:rPr>
        <w:t>社会保障和就业</w:t>
      </w:r>
      <w:r>
        <w:rPr>
          <w:rFonts w:hint="eastAsia" w:ascii="仿宋" w:hAnsi="仿宋" w:eastAsia="仿宋"/>
          <w:color w:val="000000"/>
          <w:sz w:val="32"/>
          <w:szCs w:val="32"/>
        </w:rPr>
        <w:t>支出58.13万元，占</w:t>
      </w:r>
      <w:r>
        <w:rPr>
          <w:rFonts w:hint="eastAsia" w:ascii="仿宋" w:hAnsi="仿宋" w:eastAsia="仿宋"/>
          <w:color w:val="000000"/>
          <w:sz w:val="32"/>
          <w:szCs w:val="32"/>
          <w:lang w:val="en-US" w:eastAsia="zh-CN"/>
        </w:rPr>
        <w:t>11.12</w:t>
      </w:r>
      <w:r>
        <w:rPr>
          <w:rFonts w:ascii="仿宋" w:hAnsi="仿宋" w:eastAsia="仿宋"/>
          <w:color w:val="000000"/>
          <w:sz w:val="32"/>
          <w:szCs w:val="32"/>
        </w:rPr>
        <w:t>%</w:t>
      </w:r>
      <w:r>
        <w:rPr>
          <w:rFonts w:hint="eastAsia" w:ascii="仿宋" w:hAnsi="仿宋" w:eastAsia="仿宋"/>
          <w:color w:val="000000"/>
          <w:sz w:val="32"/>
          <w:szCs w:val="32"/>
        </w:rPr>
        <w:t>；医疗卫生支出14.46万元，占</w:t>
      </w:r>
      <w:r>
        <w:rPr>
          <w:rFonts w:hint="eastAsia" w:ascii="仿宋" w:hAnsi="仿宋" w:eastAsia="仿宋"/>
          <w:color w:val="000000"/>
          <w:sz w:val="32"/>
          <w:szCs w:val="32"/>
          <w:lang w:val="en-US" w:eastAsia="zh-CN"/>
        </w:rPr>
        <w:t>2.77</w:t>
      </w:r>
      <w:r>
        <w:rPr>
          <w:rFonts w:ascii="仿宋" w:hAnsi="仿宋" w:eastAsia="仿宋"/>
          <w:color w:val="000000"/>
          <w:sz w:val="32"/>
          <w:szCs w:val="32"/>
        </w:rPr>
        <w:t>%</w:t>
      </w:r>
      <w:r>
        <w:rPr>
          <w:rFonts w:hint="eastAsia" w:ascii="仿宋" w:hAnsi="仿宋" w:eastAsia="仿宋"/>
          <w:color w:val="000000"/>
          <w:sz w:val="32"/>
          <w:szCs w:val="32"/>
        </w:rPr>
        <w:t>；住房保障支出30万元，占</w:t>
      </w:r>
      <w:r>
        <w:rPr>
          <w:rFonts w:hint="eastAsia" w:ascii="仿宋" w:hAnsi="仿宋" w:eastAsia="仿宋"/>
          <w:color w:val="000000"/>
          <w:sz w:val="32"/>
          <w:szCs w:val="32"/>
          <w:lang w:val="en-US" w:eastAsia="zh-CN"/>
        </w:rPr>
        <w:t>5.73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（罗列全部功能分类科目，至类级。）</w:t>
      </w:r>
      <w:r>
        <w:rPr>
          <w:rFonts w:hint="eastAsia" w:ascii="仿宋" w:hAnsi="仿宋" w:eastAsia="仿宋"/>
          <w:b/>
          <w:color w:val="000000"/>
          <w:sz w:val="32"/>
          <w:szCs w:val="32"/>
          <w:lang w:val="en-US" w:eastAsia="zh-CN"/>
        </w:rPr>
        <w:t>如图：</w:t>
      </w:r>
    </w:p>
    <w:p>
      <w:pPr>
        <w:spacing w:line="240" w:lineRule="auto"/>
        <w:ind w:firstLine="640"/>
        <w:rPr>
          <w:rFonts w:hint="eastAsia" w:ascii="仿宋" w:hAnsi="仿宋" w:eastAsia="仿宋"/>
          <w:b/>
          <w:color w:val="000000"/>
          <w:sz w:val="32"/>
          <w:szCs w:val="32"/>
          <w:lang w:val="en-US" w:eastAsia="zh-CN"/>
        </w:rPr>
      </w:pPr>
      <w:r>
        <w:rPr>
          <w:rFonts w:hint="eastAsia" w:ascii="仿宋" w:hAnsi="仿宋" w:eastAsia="仿宋"/>
          <w:b/>
          <w:color w:val="000000"/>
          <w:sz w:val="32"/>
          <w:szCs w:val="32"/>
          <w:lang w:val="en-US" w:eastAsia="zh-CN"/>
        </w:rPr>
        <w:drawing>
          <wp:inline distT="0" distB="0" distL="114300" distR="114300">
            <wp:extent cx="4584700" cy="2755900"/>
            <wp:effectExtent l="0" t="0" r="0" b="0"/>
            <wp:docPr id="10" name="图片 10" descr="一般公共预算财政拨款支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一般公共预算财政拨款支出图"/>
                    <pic:cNvPicPr>
                      <a:picLocks noChangeAspect="1"/>
                    </pic:cNvPicPr>
                  </pic:nvPicPr>
                  <pic:blipFill>
                    <a:blip r:embed="rId11"/>
                    <a:stretch>
                      <a:fillRect/>
                    </a:stretch>
                  </pic:blipFill>
                  <pic:spPr>
                    <a:xfrm>
                      <a:off x="0" y="0"/>
                      <a:ext cx="4584700" cy="2755900"/>
                    </a:xfrm>
                    <a:prstGeom prst="rect">
                      <a:avLst/>
                    </a:prstGeom>
                  </pic:spPr>
                </pic:pic>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sz w:val="32"/>
          <w:szCs w:val="32"/>
        </w:rPr>
        <w:t>2018年般公共预算支出决算数为</w:t>
      </w:r>
      <w:r>
        <w:rPr>
          <w:rFonts w:hint="eastAsia" w:ascii="仿宋" w:hAnsi="仿宋" w:eastAsia="仿宋"/>
          <w:b/>
          <w:color w:val="000000"/>
          <w:sz w:val="32"/>
          <w:szCs w:val="32"/>
          <w:lang w:val="en-US" w:eastAsia="zh-CN"/>
        </w:rPr>
        <w:t>522.77</w:t>
      </w:r>
      <w:r>
        <w:rPr>
          <w:rFonts w:hint="eastAsia" w:ascii="仿宋" w:hAnsi="仿宋" w:eastAsia="仿宋"/>
          <w:color w:val="000000"/>
          <w:sz w:val="32"/>
          <w:szCs w:val="32"/>
        </w:rPr>
        <w:t>，</w:t>
      </w:r>
      <w:r>
        <w:rPr>
          <w:rStyle w:val="13"/>
          <w:rFonts w:hint="eastAsia" w:ascii="仿宋" w:hAnsi="仿宋" w:eastAsia="仿宋"/>
          <w:bCs/>
          <w:color w:val="000000"/>
          <w:sz w:val="32"/>
          <w:szCs w:val="32"/>
        </w:rPr>
        <w:t>完成预算</w:t>
      </w:r>
      <w:r>
        <w:rPr>
          <w:rStyle w:val="13"/>
          <w:rFonts w:hint="eastAsia" w:ascii="仿宋" w:hAnsi="仿宋" w:eastAsia="仿宋"/>
          <w:bCs/>
          <w:color w:val="000000"/>
          <w:sz w:val="32"/>
          <w:szCs w:val="32"/>
          <w:lang w:val="en-US" w:eastAsia="zh-CN"/>
        </w:rPr>
        <w:t>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一般公共服务（类）</w:t>
      </w:r>
      <w:r>
        <w:rPr>
          <w:rStyle w:val="13"/>
          <w:rFonts w:hint="eastAsia" w:ascii="仿宋" w:hAnsi="仿宋" w:eastAsia="仿宋"/>
          <w:bCs/>
          <w:color w:val="000000"/>
          <w:sz w:val="32"/>
          <w:szCs w:val="32"/>
          <w:lang w:val="en-US" w:eastAsia="zh-CN"/>
        </w:rPr>
        <w:t>201</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val="en-US" w:eastAsia="zh-CN"/>
        </w:rPr>
        <w:t>20111</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420.18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w:t>
      </w:r>
      <w:r>
        <w:rPr>
          <w:rStyle w:val="13"/>
          <w:rFonts w:hint="eastAsia" w:ascii="仿宋" w:hAnsi="仿宋" w:eastAsia="仿宋"/>
          <w:b w:val="0"/>
          <w:bCs/>
          <w:color w:val="000000"/>
          <w:sz w:val="32"/>
          <w:szCs w:val="32"/>
          <w:lang w:val="en-US" w:eastAsia="zh-CN"/>
        </w:rPr>
        <w:t>小于/等于</w:t>
      </w:r>
      <w:r>
        <w:rPr>
          <w:rStyle w:val="13"/>
          <w:rFonts w:hint="eastAsia" w:ascii="仿宋" w:hAnsi="仿宋" w:eastAsia="仿宋"/>
          <w:b w:val="0"/>
          <w:bCs/>
          <w:color w:val="000000"/>
          <w:sz w:val="32"/>
          <w:szCs w:val="32"/>
        </w:rPr>
        <w:t>预算数的主要原因是</w:t>
      </w:r>
      <w:r>
        <w:rPr>
          <w:rStyle w:val="13"/>
          <w:rFonts w:hint="eastAsia" w:ascii="仿宋" w:hAnsi="仿宋" w:eastAsia="仿宋"/>
          <w:b w:val="0"/>
          <w:bCs/>
          <w:color w:val="000000"/>
          <w:sz w:val="32"/>
          <w:szCs w:val="32"/>
          <w:lang w:val="en-US" w:eastAsia="zh-CN"/>
        </w:rPr>
        <w:t>工资上调，人员增加</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rPr>
          <w:rStyle w:val="13"/>
          <w:rFonts w:hint="eastAsia" w:ascii="仿宋" w:hAnsi="仿宋" w:eastAsia="仿宋"/>
          <w:bCs/>
          <w:color w:val="000000"/>
          <w:sz w:val="32"/>
          <w:szCs w:val="32"/>
        </w:rPr>
        <w:t>教育（类）（款）（项）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w:t>
      </w:r>
      <w:r>
        <w:rPr>
          <w:rStyle w:val="13"/>
          <w:rFonts w:hint="eastAsia" w:ascii="仿宋" w:hAnsi="仿宋" w:eastAsia="仿宋"/>
          <w:b w:val="0"/>
          <w:bCs/>
          <w:color w:val="000000"/>
          <w:sz w:val="32"/>
          <w:szCs w:val="32"/>
        </w:rPr>
        <w:t>万元。</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3.</w:t>
      </w:r>
      <w:r>
        <w:rPr>
          <w:rStyle w:val="13"/>
          <w:rFonts w:hint="eastAsia" w:ascii="仿宋" w:hAnsi="仿宋" w:eastAsia="仿宋"/>
          <w:bCs/>
          <w:color w:val="000000"/>
          <w:sz w:val="32"/>
          <w:szCs w:val="32"/>
        </w:rPr>
        <w:t>科学技术（类）（款）（项）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w:t>
      </w:r>
      <w:r>
        <w:rPr>
          <w:rStyle w:val="13"/>
          <w:rFonts w:hint="eastAsia" w:ascii="仿宋" w:hAnsi="仿宋" w:eastAsia="仿宋"/>
          <w:b w:val="0"/>
          <w:bCs/>
          <w:color w:val="000000"/>
          <w:sz w:val="32"/>
          <w:szCs w:val="32"/>
        </w:rPr>
        <w:t>万元。</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4.</w:t>
      </w:r>
      <w:r>
        <w:rPr>
          <w:rStyle w:val="13"/>
          <w:rFonts w:hint="eastAsia" w:ascii="仿宋" w:hAnsi="仿宋" w:eastAsia="仿宋"/>
          <w:bCs/>
          <w:color w:val="000000"/>
          <w:sz w:val="32"/>
          <w:szCs w:val="32"/>
        </w:rPr>
        <w:t>文化体育与传媒（类）（款）（项）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w:t>
      </w:r>
      <w:r>
        <w:rPr>
          <w:rStyle w:val="13"/>
          <w:rFonts w:hint="eastAsia" w:ascii="仿宋" w:hAnsi="仿宋" w:eastAsia="仿宋"/>
          <w:b w:val="0"/>
          <w:bCs/>
          <w:color w:val="000000"/>
          <w:sz w:val="32"/>
          <w:szCs w:val="32"/>
        </w:rPr>
        <w:t>万元。</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5.</w:t>
      </w:r>
      <w:r>
        <w:rPr>
          <w:rStyle w:val="13"/>
          <w:rFonts w:hint="eastAsia" w:ascii="仿宋" w:hAnsi="仿宋" w:eastAsia="仿宋"/>
          <w:bCs/>
          <w:color w:val="000000"/>
          <w:sz w:val="32"/>
          <w:szCs w:val="32"/>
        </w:rPr>
        <w:t>社会保障和就业（类）</w:t>
      </w:r>
      <w:r>
        <w:rPr>
          <w:rStyle w:val="13"/>
          <w:rFonts w:hint="eastAsia" w:ascii="仿宋" w:hAnsi="仿宋" w:eastAsia="仿宋"/>
          <w:bCs/>
          <w:color w:val="000000"/>
          <w:sz w:val="32"/>
          <w:szCs w:val="32"/>
          <w:lang w:val="en-US" w:eastAsia="zh-CN"/>
        </w:rPr>
        <w:t>208</w:t>
      </w:r>
      <w:r>
        <w:rPr>
          <w:rStyle w:val="13"/>
          <w:rFonts w:hint="eastAsia" w:ascii="仿宋" w:hAnsi="仿宋" w:eastAsia="仿宋"/>
          <w:bCs/>
          <w:color w:val="000000"/>
          <w:sz w:val="32"/>
          <w:szCs w:val="32"/>
        </w:rPr>
        <w:t>（款）</w:t>
      </w:r>
      <w:r>
        <w:rPr>
          <w:rStyle w:val="13"/>
          <w:rFonts w:hint="eastAsia" w:ascii="仿宋_GB2312" w:eastAsia="仿宋_GB2312"/>
          <w:color w:val="000000"/>
          <w:sz w:val="32"/>
          <w:szCs w:val="32"/>
          <w:lang w:val="en-US" w:eastAsia="zh-CN"/>
        </w:rPr>
        <w:t>20805</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58.13</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w:t>
      </w:r>
      <w:r>
        <w:rPr>
          <w:rStyle w:val="13"/>
          <w:rFonts w:hint="eastAsia" w:ascii="仿宋" w:hAnsi="仿宋" w:eastAsia="仿宋"/>
          <w:b w:val="0"/>
          <w:bCs/>
          <w:color w:val="000000"/>
          <w:sz w:val="32"/>
          <w:szCs w:val="32"/>
          <w:lang w:val="en-US" w:eastAsia="zh-CN"/>
        </w:rPr>
        <w:t>大于</w:t>
      </w:r>
      <w:r>
        <w:rPr>
          <w:rStyle w:val="13"/>
          <w:rFonts w:hint="eastAsia" w:ascii="仿宋" w:hAnsi="仿宋" w:eastAsia="仿宋"/>
          <w:b w:val="0"/>
          <w:bCs/>
          <w:color w:val="000000"/>
          <w:sz w:val="32"/>
          <w:szCs w:val="32"/>
        </w:rPr>
        <w:t>预算数的主要原因是</w:t>
      </w:r>
      <w:r>
        <w:rPr>
          <w:rStyle w:val="13"/>
          <w:rFonts w:hint="eastAsia" w:ascii="仿宋_GB2312" w:eastAsia="仿宋_GB2312"/>
          <w:b w:val="0"/>
          <w:color w:val="000000"/>
          <w:sz w:val="32"/>
          <w:szCs w:val="32"/>
          <w:lang w:eastAsia="zh-CN"/>
        </w:rPr>
        <w:t>工资上调、人员增加</w:t>
      </w:r>
      <w:r>
        <w:rPr>
          <w:rStyle w:val="13"/>
          <w:rFonts w:hint="eastAsia" w:ascii="仿宋" w:hAnsi="仿宋" w:eastAsia="仿宋"/>
          <w:b w:val="0"/>
          <w:bCs/>
          <w:color w:val="000000"/>
          <w:sz w:val="32"/>
          <w:szCs w:val="32"/>
        </w:rPr>
        <w:t>。</w:t>
      </w:r>
    </w:p>
    <w:p>
      <w:pPr>
        <w:spacing w:line="240" w:lineRule="auto"/>
        <w:ind w:firstLine="643" w:firstLineChars="200"/>
        <w:rPr>
          <w:rStyle w:val="13"/>
          <w:rFonts w:hint="eastAsia" w:ascii="仿宋" w:hAnsi="仿宋" w:eastAsia="仿宋"/>
          <w:b w:val="0"/>
          <w:bCs/>
          <w:color w:val="000000"/>
          <w:sz w:val="32"/>
          <w:szCs w:val="32"/>
        </w:rPr>
      </w:pPr>
      <w:r>
        <w:rPr>
          <w:rStyle w:val="13"/>
          <w:rFonts w:ascii="仿宋" w:hAnsi="仿宋" w:eastAsia="仿宋"/>
          <w:bCs/>
          <w:color w:val="000000"/>
          <w:sz w:val="32"/>
          <w:szCs w:val="32"/>
        </w:rPr>
        <w:t>6.</w:t>
      </w:r>
      <w:r>
        <w:rPr>
          <w:rStyle w:val="13"/>
          <w:rFonts w:hint="eastAsia" w:ascii="仿宋" w:hAnsi="仿宋" w:eastAsia="仿宋"/>
          <w:bCs/>
          <w:color w:val="000000"/>
          <w:sz w:val="32"/>
          <w:szCs w:val="32"/>
        </w:rPr>
        <w:t>医疗卫生与计划生育（类）</w:t>
      </w:r>
      <w:r>
        <w:rPr>
          <w:rStyle w:val="13"/>
          <w:rFonts w:hint="eastAsia" w:ascii="仿宋" w:hAnsi="仿宋" w:eastAsia="仿宋"/>
          <w:bCs/>
          <w:color w:val="000000"/>
          <w:sz w:val="32"/>
          <w:szCs w:val="32"/>
          <w:lang w:val="en-US" w:eastAsia="zh-CN"/>
        </w:rPr>
        <w:t>210</w:t>
      </w:r>
      <w:r>
        <w:rPr>
          <w:rStyle w:val="13"/>
          <w:rFonts w:hint="eastAsia" w:ascii="仿宋" w:hAnsi="仿宋" w:eastAsia="仿宋"/>
          <w:bCs/>
          <w:color w:val="000000"/>
          <w:sz w:val="32"/>
          <w:szCs w:val="32"/>
        </w:rPr>
        <w:t>（款）21011（项）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14.16</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w:t>
      </w:r>
      <w:r>
        <w:rPr>
          <w:rStyle w:val="13"/>
          <w:rFonts w:hint="eastAsia" w:ascii="仿宋" w:hAnsi="仿宋" w:eastAsia="仿宋"/>
          <w:b w:val="0"/>
          <w:bCs/>
          <w:color w:val="000000"/>
          <w:sz w:val="32"/>
          <w:szCs w:val="32"/>
          <w:lang w:val="en-US" w:eastAsia="zh-CN"/>
        </w:rPr>
        <w:t>小于/等于</w:t>
      </w:r>
      <w:r>
        <w:rPr>
          <w:rStyle w:val="13"/>
          <w:rFonts w:hint="eastAsia" w:ascii="仿宋" w:hAnsi="仿宋" w:eastAsia="仿宋"/>
          <w:b w:val="0"/>
          <w:bCs/>
          <w:color w:val="000000"/>
          <w:sz w:val="32"/>
          <w:szCs w:val="32"/>
        </w:rPr>
        <w:t>预算数的主要原因是</w:t>
      </w:r>
      <w:r>
        <w:rPr>
          <w:rStyle w:val="13"/>
          <w:rFonts w:hint="eastAsia" w:ascii="仿宋_GB2312" w:eastAsia="仿宋_GB2312"/>
          <w:b w:val="0"/>
          <w:color w:val="000000"/>
          <w:sz w:val="32"/>
          <w:szCs w:val="32"/>
          <w:lang w:eastAsia="zh-CN"/>
        </w:rPr>
        <w:t>工资上调、人员增加</w:t>
      </w:r>
      <w:r>
        <w:rPr>
          <w:rStyle w:val="13"/>
          <w:rFonts w:hint="eastAsia" w:ascii="仿宋" w:hAnsi="仿宋" w:eastAsia="仿宋"/>
          <w:b w:val="0"/>
          <w:bCs/>
          <w:color w:val="000000"/>
          <w:sz w:val="32"/>
          <w:szCs w:val="32"/>
        </w:rPr>
        <w:t>。</w:t>
      </w:r>
      <w:bookmarkStart w:id="40" w:name="_Toc15396608"/>
      <w:bookmarkStart w:id="41" w:name="_Toc15377214"/>
    </w:p>
    <w:p>
      <w:pPr>
        <w:spacing w:line="240" w:lineRule="auto"/>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7.住房保障支出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val="en-US" w:eastAsia="zh-CN"/>
        </w:rPr>
        <w:t>221</w:t>
      </w:r>
      <w:r>
        <w:rPr>
          <w:rStyle w:val="13"/>
          <w:rFonts w:hint="eastAsia" w:ascii="仿宋" w:hAnsi="仿宋" w:eastAsia="仿宋"/>
          <w:bCs/>
          <w:color w:val="000000"/>
          <w:sz w:val="32"/>
          <w:szCs w:val="32"/>
        </w:rPr>
        <w:t>（款）22102（项）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30</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w:t>
      </w:r>
      <w:r>
        <w:rPr>
          <w:rStyle w:val="13"/>
          <w:rFonts w:hint="eastAsia" w:ascii="仿宋" w:hAnsi="仿宋" w:eastAsia="仿宋"/>
          <w:b w:val="0"/>
          <w:bCs/>
          <w:color w:val="000000"/>
          <w:sz w:val="32"/>
          <w:szCs w:val="32"/>
          <w:lang w:val="en-US" w:eastAsia="zh-CN"/>
        </w:rPr>
        <w:t>小于/等于</w:t>
      </w:r>
      <w:r>
        <w:rPr>
          <w:rStyle w:val="13"/>
          <w:rFonts w:hint="eastAsia" w:ascii="仿宋" w:hAnsi="仿宋" w:eastAsia="仿宋"/>
          <w:b w:val="0"/>
          <w:bCs/>
          <w:color w:val="000000"/>
          <w:sz w:val="32"/>
          <w:szCs w:val="32"/>
        </w:rPr>
        <w:t>预算数的主要原因是</w:t>
      </w:r>
      <w:r>
        <w:rPr>
          <w:rStyle w:val="13"/>
          <w:rFonts w:hint="eastAsia" w:ascii="仿宋_GB2312" w:eastAsia="仿宋_GB2312"/>
          <w:b w:val="0"/>
          <w:color w:val="000000"/>
          <w:sz w:val="32"/>
          <w:szCs w:val="32"/>
          <w:lang w:eastAsia="zh-CN"/>
        </w:rPr>
        <w:t>工资上调、人员增加</w:t>
      </w:r>
      <w:r>
        <w:rPr>
          <w:rStyle w:val="13"/>
          <w:rFonts w:hint="eastAsia" w:ascii="仿宋" w:hAnsi="仿宋" w:eastAsia="仿宋"/>
          <w:b w:val="0"/>
          <w:bCs/>
          <w:color w:val="000000"/>
          <w:sz w:val="32"/>
          <w:szCs w:val="32"/>
        </w:rPr>
        <w:t>。</w:t>
      </w:r>
    </w:p>
    <w:p>
      <w:pPr>
        <w:spacing w:line="240" w:lineRule="auto"/>
        <w:ind w:firstLine="640" w:firstLineChars="200"/>
        <w:rPr>
          <w:rStyle w:val="13"/>
          <w:rFonts w:hint="eastAsia" w:ascii="仿宋" w:hAnsi="仿宋" w:eastAsia="仿宋"/>
          <w:b w:val="0"/>
          <w:bCs/>
          <w:color w:val="000000"/>
          <w:sz w:val="32"/>
          <w:szCs w:val="32"/>
          <w:lang w:val="en-US" w:eastAsia="zh-CN"/>
        </w:rPr>
      </w:pPr>
    </w:p>
    <w:p>
      <w:pPr>
        <w:spacing w:line="240" w:lineRule="auto"/>
        <w:ind w:firstLine="640" w:firstLineChars="200"/>
        <w:rPr>
          <w:rStyle w:val="13"/>
          <w:rFonts w:hint="eastAsia" w:ascii="仿宋" w:hAnsi="仿宋" w:eastAsia="仿宋"/>
          <w:b w:val="0"/>
          <w:bCs/>
          <w:color w:val="000000"/>
          <w:sz w:val="32"/>
          <w:szCs w:val="32"/>
          <w:lang w:eastAsia="zh-CN"/>
        </w:rPr>
      </w:pPr>
      <w:r>
        <w:rPr>
          <w:rStyle w:val="13"/>
          <w:rFonts w:hint="eastAsia" w:ascii="仿宋" w:hAnsi="仿宋" w:eastAsia="仿宋"/>
          <w:b w:val="0"/>
          <w:bCs/>
          <w:color w:val="000000"/>
          <w:sz w:val="32"/>
          <w:szCs w:val="32"/>
          <w:lang w:eastAsia="zh-CN"/>
        </w:rPr>
        <w:drawing>
          <wp:inline distT="0" distB="0" distL="114300" distR="114300">
            <wp:extent cx="4349750" cy="2348230"/>
            <wp:effectExtent l="0" t="0" r="6350" b="1270"/>
            <wp:docPr id="5" name="图片 5" descr="一般公共预算财政拨款支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一般公共预算财政拨款支出图"/>
                    <pic:cNvPicPr>
                      <a:picLocks noChangeAspect="1"/>
                    </pic:cNvPicPr>
                  </pic:nvPicPr>
                  <pic:blipFill>
                    <a:blip r:embed="rId12"/>
                    <a:stretch>
                      <a:fillRect/>
                    </a:stretch>
                  </pic:blipFill>
                  <pic:spPr>
                    <a:xfrm>
                      <a:off x="0" y="0"/>
                      <a:ext cx="4349750" cy="2348230"/>
                    </a:xfrm>
                    <a:prstGeom prst="rect">
                      <a:avLst/>
                    </a:prstGeom>
                  </pic:spPr>
                </pic:pic>
              </a:graphicData>
            </a:graphic>
          </wp:inline>
        </w:drawing>
      </w:r>
    </w:p>
    <w:p>
      <w:pPr>
        <w:spacing w:line="600" w:lineRule="exact"/>
        <w:ind w:firstLine="640" w:firstLineChars="200"/>
        <w:rPr>
          <w:rStyle w:val="13"/>
          <w:rFonts w:hint="eastAsia" w:ascii="仿宋" w:hAnsi="仿宋" w:eastAsia="仿宋"/>
          <w:b w:val="0"/>
          <w:bCs/>
          <w:color w:val="000000"/>
          <w:sz w:val="32"/>
          <w:szCs w:val="32"/>
        </w:rPr>
      </w:pPr>
    </w:p>
    <w:p>
      <w:pPr>
        <w:tabs>
          <w:tab w:val="right" w:pos="8306"/>
        </w:tabs>
        <w:spacing w:line="600" w:lineRule="exact"/>
        <w:ind w:firstLine="640"/>
        <w:outlineLvl w:val="1"/>
        <w:rPr>
          <w:rStyle w:val="26"/>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8年一般公共预算财政拨款基本支出496.48万元，其中：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425.48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71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8年“三公”经费财政拨款支出决算12.34为万元，完成预算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_GB2312" w:eastAsia="仿宋_GB2312"/>
          <w:color w:val="000000"/>
          <w:sz w:val="32"/>
          <w:szCs w:val="32"/>
          <w:lang w:eastAsia="zh-CN"/>
        </w:rPr>
        <w:t>各项工作的增加导致监督检查次数的增加，同时州纪委下达审查任务每年上涨、业务量增加，导致公务用车增加，本单位</w:t>
      </w:r>
      <w:r>
        <w:rPr>
          <w:rFonts w:hint="eastAsia" w:ascii="仿宋_GB2312" w:eastAsia="仿宋_GB2312"/>
          <w:color w:val="000000"/>
          <w:sz w:val="32"/>
          <w:szCs w:val="32"/>
          <w:lang w:val="en-US" w:eastAsia="zh-CN"/>
        </w:rPr>
        <w:t>严格遵守八项规定，厉行节俭</w:t>
      </w:r>
      <w:r>
        <w:rPr>
          <w:rFonts w:hint="eastAsia" w:ascii="仿宋_GB2312" w:eastAsia="仿宋_GB2312"/>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万元，；公务用车购置及运行维护费支出决算12.34万元，占</w:t>
      </w:r>
      <w:r>
        <w:rPr>
          <w:rFonts w:hint="eastAsia" w:ascii="仿宋" w:hAnsi="仿宋" w:eastAsia="仿宋"/>
          <w:color w:val="000000"/>
          <w:sz w:val="32"/>
          <w:szCs w:val="32"/>
          <w:lang w:val="en-US" w:eastAsia="zh-CN"/>
        </w:rPr>
        <w:t>98.25</w:t>
      </w:r>
      <w:r>
        <w:rPr>
          <w:rFonts w:ascii="仿宋" w:hAnsi="仿宋" w:eastAsia="仿宋"/>
          <w:color w:val="000000"/>
          <w:sz w:val="32"/>
          <w:szCs w:val="32"/>
        </w:rPr>
        <w:t>%</w:t>
      </w:r>
      <w:r>
        <w:rPr>
          <w:rFonts w:hint="eastAsia" w:ascii="仿宋" w:hAnsi="仿宋" w:eastAsia="仿宋"/>
          <w:color w:val="000000"/>
          <w:sz w:val="32"/>
          <w:szCs w:val="32"/>
        </w:rPr>
        <w:t>；公务接待费支出决算0.22万元，占</w:t>
      </w:r>
      <w:r>
        <w:rPr>
          <w:rFonts w:hint="eastAsia" w:ascii="仿宋" w:hAnsi="仿宋" w:eastAsia="仿宋"/>
          <w:color w:val="000000"/>
          <w:sz w:val="32"/>
          <w:szCs w:val="32"/>
          <w:lang w:val="en-US" w:eastAsia="zh-CN"/>
        </w:rPr>
        <w:t>1.75</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240" w:lineRule="auto"/>
        <w:ind w:firstLine="640"/>
        <w:rPr>
          <w:rFonts w:hint="eastAsia" w:ascii="仿宋_GB2312" w:eastAsia="仿宋_GB2312"/>
          <w:b/>
          <w:color w:val="000000"/>
          <w:sz w:val="32"/>
          <w:szCs w:val="32"/>
          <w:lang w:eastAsia="zh-CN"/>
        </w:rPr>
      </w:pPr>
      <w:r>
        <w:rPr>
          <w:rFonts w:hint="eastAsia" w:ascii="仿宋_GB2312" w:eastAsia="仿宋_GB2312"/>
          <w:b/>
          <w:color w:val="000000"/>
          <w:sz w:val="32"/>
          <w:szCs w:val="32"/>
          <w:lang w:eastAsia="zh-CN"/>
        </w:rPr>
        <w:drawing>
          <wp:inline distT="0" distB="0" distL="114300" distR="114300">
            <wp:extent cx="4584700" cy="2222500"/>
            <wp:effectExtent l="0" t="0" r="0" b="0"/>
            <wp:docPr id="7" name="图片 7" descr="“三公”经费财政拨款支出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三公”经费财政拨款支出结构图"/>
                    <pic:cNvPicPr>
                      <a:picLocks noChangeAspect="1"/>
                    </pic:cNvPicPr>
                  </pic:nvPicPr>
                  <pic:blipFill>
                    <a:blip r:embed="rId13"/>
                    <a:stretch>
                      <a:fillRect/>
                    </a:stretch>
                  </pic:blipFill>
                  <pic:spPr>
                    <a:xfrm>
                      <a:off x="0" y="0"/>
                      <a:ext cx="4584700" cy="2222500"/>
                    </a:xfrm>
                    <a:prstGeom prst="rect">
                      <a:avLst/>
                    </a:prstGeom>
                  </pic:spPr>
                </pic:pic>
              </a:graphicData>
            </a:graphic>
          </wp:inline>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12.34</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7.21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36.88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厉行节俭，严格按照中央八项规定进行公务用车使用</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辆，其中：轿车</w:t>
      </w:r>
      <w:r>
        <w:rPr>
          <w:rFonts w:ascii="仿宋_GB2312" w:eastAsia="仿宋_GB2312"/>
          <w:color w:val="000000"/>
          <w:sz w:val="32"/>
          <w:szCs w:val="32"/>
        </w:rPr>
        <w:t>**</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12.34</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全县党的纪律检查工作</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全县行政监察工作等所需的公务用车燃料费、维修费、过路过桥费、保险费等支出。</w:t>
      </w:r>
    </w:p>
    <w:p>
      <w:pPr>
        <w:spacing w:line="600" w:lineRule="exact"/>
        <w:ind w:firstLine="640"/>
        <w:rPr>
          <w:rFonts w:hint="eastAsia" w:ascii="仿宋_GB2312" w:eastAsia="仿宋_GB2312"/>
          <w:color w:val="000000"/>
          <w:sz w:val="32"/>
          <w:szCs w:val="32"/>
          <w:lang w:val="en-US"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0.22</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0.18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接待人数较多。</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0.22</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接待人员的餐饮和住宿</w:t>
      </w:r>
      <w:r>
        <w:rPr>
          <w:rFonts w:hint="eastAsia" w:ascii="仿宋_GB2312" w:eastAsia="仿宋_GB2312"/>
          <w:color w:val="000000"/>
          <w:sz w:val="32"/>
          <w:szCs w:val="32"/>
        </w:rPr>
        <w:t>。其中：</w:t>
      </w:r>
    </w:p>
    <w:p>
      <w:pPr>
        <w:spacing w:line="600" w:lineRule="exact"/>
        <w:ind w:firstLine="643" w:firstLineChars="200"/>
        <w:rPr>
          <w:rFonts w:hint="eastAsia" w:ascii="仿宋_GB2312" w:eastAsia="仿宋_GB2312"/>
          <w:color w:val="000000"/>
          <w:sz w:val="32"/>
          <w:szCs w:val="32"/>
          <w:lang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0.22</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接待人员的餐饮和住宿。</w:t>
      </w: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17"/>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hint="eastAsia" w:ascii="仿宋_GB2312" w:hAnsi="仿宋_GB2312" w:eastAsia="仿宋" w:cs="仿宋_GB2312"/>
          <w:sz w:val="32"/>
          <w:szCs w:val="32"/>
          <w:lang w:val="en-US" w:eastAsia="zh-CN"/>
        </w:rPr>
      </w:pPr>
      <w:r>
        <w:rPr>
          <w:rFonts w:hint="eastAsia" w:ascii="仿宋" w:hAnsi="仿宋" w:eastAsia="仿宋" w:cs="楷体_GB2312"/>
          <w:b/>
          <w:bCs/>
          <w:sz w:val="32"/>
          <w:szCs w:val="32"/>
        </w:rPr>
        <w:t>预算绩效管理工作开展情况。</w:t>
      </w:r>
    </w:p>
    <w:p>
      <w:pPr>
        <w:numPr>
          <w:ilvl w:val="0"/>
          <w:numId w:val="0"/>
        </w:numPr>
        <w:spacing w:line="580" w:lineRule="exact"/>
        <w:ind w:firstLine="1285" w:firstLineChars="400"/>
        <w:rPr>
          <w:rFonts w:hint="eastAsia" w:ascii="仿宋_GB2312" w:hAnsi="仿宋_GB2312" w:eastAsia="仿宋" w:cs="仿宋_GB2312"/>
          <w:sz w:val="32"/>
          <w:szCs w:val="32"/>
          <w:lang w:val="en-US" w:eastAsia="zh-CN"/>
        </w:rPr>
      </w:pPr>
      <w:r>
        <w:rPr>
          <w:rFonts w:hint="eastAsia" w:ascii="仿宋" w:hAnsi="仿宋" w:eastAsia="仿宋" w:cs="楷体_GB2312"/>
          <w:b/>
          <w:bCs/>
          <w:sz w:val="32"/>
          <w:szCs w:val="32"/>
          <w:lang w:val="en-US" w:eastAsia="zh-CN"/>
        </w:rPr>
        <w:t>无</w:t>
      </w: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numPr>
          <w:ilvl w:val="0"/>
          <w:numId w:val="0"/>
        </w:numPr>
        <w:spacing w:line="580" w:lineRule="exact"/>
        <w:ind w:firstLine="1285" w:firstLineChars="400"/>
        <w:rPr>
          <w:rFonts w:ascii="仿宋" w:hAnsi="仿宋" w:eastAsia="仿宋" w:cs="仿宋_GB2312"/>
          <w:sz w:val="32"/>
          <w:szCs w:val="32"/>
        </w:rPr>
      </w:pPr>
      <w:r>
        <w:rPr>
          <w:rFonts w:hint="eastAsia" w:ascii="仿宋" w:hAnsi="仿宋" w:eastAsia="仿宋" w:cs="楷体_GB2312"/>
          <w:b/>
          <w:bCs/>
          <w:sz w:val="32"/>
          <w:szCs w:val="32"/>
          <w:lang w:val="en-US" w:eastAsia="zh-CN"/>
        </w:rPr>
        <w:t>无</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我单位</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71</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7年减少25万元，下降26</w:t>
      </w:r>
      <w:r>
        <w:rPr>
          <w:rFonts w:ascii="仿宋_GB2312" w:eastAsia="仿宋_GB2312"/>
          <w:color w:val="000000"/>
          <w:sz w:val="32"/>
          <w:szCs w:val="32"/>
        </w:rPr>
        <w:t>%</w:t>
      </w:r>
      <w:r>
        <w:rPr>
          <w:rFonts w:hint="eastAsia" w:ascii="仿宋_GB2312" w:eastAsia="仿宋_GB2312"/>
          <w:color w:val="000000"/>
          <w:sz w:val="32"/>
          <w:szCs w:val="32"/>
        </w:rPr>
        <w:t>。主要原因是纪检体制改革</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厉行节俭。</w:t>
      </w:r>
      <w:r>
        <w:rPr>
          <w:rFonts w:hint="eastAsia" w:ascii="仿宋" w:hAnsi="仿宋" w:eastAsia="仿宋"/>
          <w:b/>
          <w:color w:val="000000"/>
          <w:sz w:val="32"/>
          <w:szCs w:val="32"/>
        </w:rPr>
        <w:t>（数据来源财决CS05表）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我单位</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辆，其他用车主要是用于</w:t>
      </w:r>
      <w:r>
        <w:rPr>
          <w:rFonts w:hint="eastAsia" w:ascii="仿宋_GB2312" w:eastAsia="仿宋_GB2312"/>
          <w:color w:val="000000"/>
          <w:sz w:val="32"/>
          <w:szCs w:val="32"/>
          <w:lang w:val="en-US" w:eastAsia="zh-CN"/>
        </w:rPr>
        <w:t>用于纪委办案。</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pStyle w:val="16"/>
        <w:spacing w:line="560" w:lineRule="exact"/>
        <w:ind w:firstLine="640" w:firstLineChars="200"/>
        <w:rPr>
          <w:rFonts w:ascii="仿宋_GB2312" w:eastAsia="仿宋_GB2312"/>
          <w:sz w:val="32"/>
          <w:szCs w:val="32"/>
        </w:rPr>
      </w:pPr>
      <w:bookmarkStart w:id="57" w:name="_Toc15396614"/>
      <w:bookmarkStart w:id="58"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9.一般公共服务：指反映政府提供一般公共服务的支出。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10.外交：指反映政府外交事务支出。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公共安全：指反映政府维护社会公共安全方面的支出。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12.教育 ：指反映政府教育事务支出。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科学技术：指反映科学技术方面的支出。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 ：指反映政府在文化、体育、文物、广播影视、新闻出版等方面的支出。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社会保障和就业：指反映政府在社会保障与就业方面的支出。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医疗卫生与计划生育：指反映医疗卫生与计划生育、中医等管理事务方面的支出。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节能环保：指反映政府节能环保支出。</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城乡社区：指反映政府城乡管理事务支出。</w:t>
      </w:r>
    </w:p>
    <w:p>
      <w:pPr>
        <w:numPr>
          <w:ilvl w:val="0"/>
          <w:numId w:val="6"/>
        </w:num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农林水：指反映政府农林水支出。</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交通运输：指反映交通运输和邮政业务相关的支出。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资源勘探信息等：指反映用于资源勘探、制造业、建筑业、工业信息等方面的支出。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商业服务业：指反映商业服务等方面的支出。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金融：指反映金融方面的支出。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国土海洋气象：指反映政府用于国土资源、海洋、测绘、地震、气象等公益服务事业方面的支出。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住房保障：指集中反映政府用于住房方面的支出。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粮油物资储备：指反映政府用于粮油物资储备方面的支出。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6"/>
        <w:spacing w:line="560" w:lineRule="exact"/>
        <w:ind w:firstLine="880" w:firstLineChars="200"/>
        <w:rPr>
          <w:rFonts w:hint="eastAsia" w:ascii="黑体" w:hAnsi="黑体" w:eastAsia="黑体"/>
          <w:color w:val="000000"/>
          <w:sz w:val="44"/>
          <w:szCs w:val="44"/>
        </w:rPr>
      </w:pPr>
    </w:p>
    <w:p>
      <w:pPr>
        <w:pStyle w:val="16"/>
        <w:spacing w:line="560" w:lineRule="exact"/>
        <w:ind w:firstLine="880" w:firstLineChars="200"/>
        <w:rPr>
          <w:rFonts w:hint="eastAsia" w:ascii="黑体" w:hAnsi="黑体" w:eastAsia="黑体"/>
          <w:color w:val="000000"/>
          <w:sz w:val="44"/>
          <w:szCs w:val="44"/>
        </w:rPr>
      </w:pPr>
    </w:p>
    <w:p>
      <w:pPr>
        <w:pStyle w:val="16"/>
        <w:spacing w:line="560" w:lineRule="exact"/>
        <w:ind w:firstLine="880" w:firstLineChars="200"/>
        <w:rPr>
          <w:rFonts w:hint="eastAsia" w:ascii="黑体" w:hAnsi="黑体" w:eastAsia="黑体"/>
          <w:color w:val="000000"/>
          <w:sz w:val="44"/>
          <w:szCs w:val="44"/>
        </w:rPr>
      </w:pPr>
    </w:p>
    <w:p>
      <w:pPr>
        <w:pStyle w:val="16"/>
        <w:spacing w:line="560" w:lineRule="exact"/>
        <w:ind w:firstLine="880" w:firstLineChars="200"/>
        <w:rPr>
          <w:rFonts w:hint="eastAsia" w:ascii="黑体" w:hAnsi="黑体" w:eastAsia="黑体"/>
          <w:color w:val="000000"/>
          <w:sz w:val="44"/>
          <w:szCs w:val="44"/>
        </w:rPr>
      </w:pPr>
    </w:p>
    <w:p>
      <w:pPr>
        <w:pStyle w:val="16"/>
        <w:spacing w:line="560" w:lineRule="exact"/>
        <w:ind w:firstLine="880" w:firstLineChars="200"/>
        <w:rPr>
          <w:rFonts w:hint="eastAsia" w:ascii="黑体" w:hAnsi="黑体" w:eastAsia="黑体"/>
          <w:color w:val="000000"/>
          <w:sz w:val="44"/>
          <w:szCs w:val="44"/>
        </w:rPr>
      </w:pPr>
    </w:p>
    <w:p>
      <w:pPr>
        <w:pStyle w:val="16"/>
        <w:spacing w:line="560" w:lineRule="exact"/>
        <w:ind w:firstLine="880" w:firstLineChars="200"/>
        <w:rPr>
          <w:rFonts w:hint="eastAsia" w:ascii="黑体" w:hAnsi="黑体" w:eastAsia="黑体"/>
          <w:color w:val="000000"/>
          <w:sz w:val="44"/>
          <w:szCs w:val="44"/>
        </w:rPr>
      </w:pPr>
    </w:p>
    <w:p>
      <w:pPr>
        <w:pStyle w:val="16"/>
        <w:spacing w:line="560" w:lineRule="exact"/>
        <w:ind w:firstLine="880" w:firstLineChars="200"/>
        <w:rPr>
          <w:rStyle w:val="25"/>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7"/>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lang w:val="en-US" w:eastAsia="zh-CN"/>
        </w:rPr>
        <w:t xml:space="preserve"> 纪委</w:t>
      </w: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hint="eastAsia" w:ascii="黑体" w:hAnsi="黑体" w:eastAsia="黑体" w:cs="黑体"/>
          <w:sz w:val="32"/>
          <w:szCs w:val="32"/>
          <w:lang w:val="en-US" w:eastAsia="zh-CN"/>
        </w:rPr>
      </w:pPr>
      <w:bookmarkStart w:id="76" w:name="_GoBack"/>
      <w:bookmarkEnd w:id="76"/>
      <w:r>
        <w:rPr>
          <w:rFonts w:hint="eastAsia" w:ascii="黑体" w:hAnsi="黑体" w:eastAsia="黑体" w:cs="黑体"/>
          <w:sz w:val="32"/>
          <w:szCs w:val="32"/>
          <w:lang w:val="en-US" w:eastAsia="zh-CN"/>
        </w:rPr>
        <w:t>由于本单位无项目，所以无支出绩效评价报告。</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61" w:name="_Toc15396617"/>
      <w:r>
        <w:rPr>
          <w:rStyle w:val="25"/>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val="en-US" w:eastAsia="zh-CN"/>
        </w:rPr>
        <w:t>纪委</w:t>
      </w: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val="en-US" w:eastAsia="zh-CN"/>
        </w:rPr>
        <w:t>由于本单位无项目，所以无支出绩效评价报告。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5"/>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5"/>
          <w:rFonts w:ascii="黑体" w:hAnsi="黑体" w:eastAsia="黑体"/>
          <w:b w:val="0"/>
        </w:rPr>
      </w:pPr>
      <w:bookmarkStart w:id="62"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color w:val="000000"/>
        </w:rPr>
      </w:pPr>
      <w:bookmarkStart w:id="75"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1E9B184"/>
    <w:multiLevelType w:val="singleLevel"/>
    <w:tmpl w:val="11E9B184"/>
    <w:lvl w:ilvl="0" w:tentative="0">
      <w:start w:val="19"/>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088756ED"/>
    <w:rsid w:val="0B847CB5"/>
    <w:rsid w:val="10C055FF"/>
    <w:rsid w:val="12874824"/>
    <w:rsid w:val="16BB723D"/>
    <w:rsid w:val="175B3EE3"/>
    <w:rsid w:val="211B4F18"/>
    <w:rsid w:val="240371BF"/>
    <w:rsid w:val="28E30B68"/>
    <w:rsid w:val="29FD04D3"/>
    <w:rsid w:val="319F7F4E"/>
    <w:rsid w:val="3BE87BD4"/>
    <w:rsid w:val="3D12124E"/>
    <w:rsid w:val="433E2F58"/>
    <w:rsid w:val="4C2253CD"/>
    <w:rsid w:val="5BE71E71"/>
    <w:rsid w:val="65150123"/>
    <w:rsid w:val="6532322B"/>
    <w:rsid w:val="6A533B85"/>
    <w:rsid w:val="757328A3"/>
    <w:rsid w:val="7BAF0DC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u w:val="single"/>
    </w:r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7">
    <w:name w:val="List Paragraph"/>
    <w:basedOn w:val="1"/>
    <w:qFormat/>
    <w:uiPriority w:val="34"/>
    <w:pPr>
      <w:ind w:firstLine="420" w:firstLineChars="200"/>
    </w:pPr>
  </w:style>
  <w:style w:type="paragraph" w:customStyle="1" w:styleId="18">
    <w:name w:val="TOC Heading"/>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character" w:customStyle="1" w:styleId="19">
    <w:name w:val="Header Char"/>
    <w:basedOn w:val="12"/>
    <w:semiHidden/>
    <w:qFormat/>
    <w:uiPriority w:val="99"/>
    <w:rPr>
      <w:rFonts w:ascii="Times New Roman" w:hAnsi="Times New Roman"/>
      <w:sz w:val="18"/>
      <w:szCs w:val="18"/>
    </w:rPr>
  </w:style>
  <w:style w:type="character" w:customStyle="1" w:styleId="20">
    <w:name w:val="页眉 Char"/>
    <w:link w:val="9"/>
    <w:semiHidden/>
    <w:qFormat/>
    <w:locked/>
    <w:uiPriority w:val="99"/>
    <w:rPr>
      <w:sz w:val="18"/>
    </w:rPr>
  </w:style>
  <w:style w:type="character" w:customStyle="1" w:styleId="21">
    <w:name w:val="Footer Char"/>
    <w:basedOn w:val="12"/>
    <w:semiHidden/>
    <w:qFormat/>
    <w:uiPriority w:val="99"/>
    <w:rPr>
      <w:rFonts w:ascii="Times New Roman" w:hAnsi="Times New Roman"/>
      <w:sz w:val="18"/>
      <w:szCs w:val="18"/>
    </w:rPr>
  </w:style>
  <w:style w:type="character" w:customStyle="1" w:styleId="22">
    <w:name w:val="页脚 Char"/>
    <w:link w:val="8"/>
    <w:qFormat/>
    <w:locked/>
    <w:uiPriority w:val="99"/>
    <w:rPr>
      <w:sz w:val="18"/>
    </w:rPr>
  </w:style>
  <w:style w:type="character" w:customStyle="1" w:styleId="23">
    <w:name w:val="Body Text Char"/>
    <w:basedOn w:val="12"/>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character" w:customStyle="1" w:styleId="25">
    <w:name w:val="标题 1 Char"/>
    <w:basedOn w:val="12"/>
    <w:link w:val="2"/>
    <w:qFormat/>
    <w:uiPriority w:val="9"/>
    <w:rPr>
      <w:rFonts w:ascii="Times New Roman" w:hAnsi="Times New Roman"/>
      <w:b/>
      <w:bCs/>
      <w:kern w:val="44"/>
      <w:sz w:val="44"/>
      <w:szCs w:val="44"/>
    </w:rPr>
  </w:style>
  <w:style w:type="character" w:customStyle="1" w:styleId="26">
    <w:name w:val="标题 2 Char"/>
    <w:basedOn w:val="12"/>
    <w:link w:val="3"/>
    <w:qFormat/>
    <w:uiPriority w:val="9"/>
    <w:rPr>
      <w:rFonts w:ascii="Cambria" w:hAnsi="Cambria" w:eastAsia="宋体" w:cs="黑体"/>
      <w:b/>
      <w:bCs/>
      <w:kern w:val="2"/>
      <w:sz w:val="32"/>
      <w:szCs w:val="32"/>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59</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曾是信仰</cp:lastModifiedBy>
  <cp:lastPrinted>2019-10-21T08:32:00Z</cp:lastPrinted>
  <dcterms:modified xsi:type="dcterms:W3CDTF">2019-10-21T09:39:27Z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