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193"/>
      <w:bookmarkStart w:id="2" w:name="_Toc15377425"/>
      <w:bookmarkStart w:id="3" w:name="_Toc15396475"/>
      <w:bookmarkStart w:id="4" w:name="_Toc15378441"/>
      <w:bookmarkStart w:id="5" w:name="_Toc19471"/>
      <w:bookmarkStart w:id="6" w:name="_Toc15396597"/>
      <w:r>
        <w:rPr>
          <w:rFonts w:ascii="黑体" w:hAnsi="黑体" w:eastAsia="黑体"/>
          <w:color w:val="000000"/>
          <w:sz w:val="52"/>
          <w:szCs w:val="52"/>
        </w:rPr>
        <w:t>201</w:t>
      </w:r>
      <w:r>
        <w:rPr>
          <w:rFonts w:hint="eastAsia" w:ascii="黑体" w:hAnsi="黑体" w:eastAsia="黑体"/>
          <w:color w:val="000000"/>
          <w:sz w:val="52"/>
          <w:szCs w:val="52"/>
        </w:rPr>
        <w:t>9</w:t>
      </w:r>
      <w:r>
        <w:rPr>
          <w:rFonts w:hint="eastAsia" w:ascii="方正小标宋简体" w:hAnsi="宋体" w:eastAsia="方正小标宋简体"/>
          <w:color w:val="000000"/>
          <w:sz w:val="52"/>
          <w:szCs w:val="52"/>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宋体" w:eastAsia="方正小标宋简体"/>
          <w:color w:val="000000"/>
          <w:sz w:val="52"/>
          <w:szCs w:val="52"/>
          <w:lang w:eastAsia="zh-CN"/>
        </w:rPr>
      </w:pPr>
      <w:bookmarkStart w:id="7" w:name="_Toc1506"/>
      <w:bookmarkStart w:id="8" w:name="_Toc15396598"/>
      <w:bookmarkStart w:id="9" w:name="_Toc15377426"/>
      <w:bookmarkStart w:id="10" w:name="_Toc15378442"/>
      <w:bookmarkStart w:id="11" w:name="_Toc15377194"/>
      <w:bookmarkStart w:id="12" w:name="_Toc15396476"/>
      <w:r>
        <w:rPr>
          <w:rFonts w:hint="eastAsia" w:ascii="方正小标宋简体" w:hAnsi="宋体" w:eastAsia="方正小标宋简体"/>
          <w:color w:val="000000"/>
          <w:sz w:val="52"/>
          <w:szCs w:val="52"/>
        </w:rPr>
        <w:t>四川省阿坝州</w:t>
      </w:r>
      <w:bookmarkStart w:id="124" w:name="_GoBack"/>
      <w:bookmarkEnd w:id="124"/>
      <w:r>
        <w:rPr>
          <w:rFonts w:hint="eastAsia" w:ascii="方正小标宋简体" w:hAnsi="宋体" w:eastAsia="方正小标宋简体"/>
          <w:color w:val="000000"/>
          <w:sz w:val="52"/>
          <w:szCs w:val="52"/>
          <w:lang w:eastAsia="zh-CN"/>
        </w:rPr>
        <w:t>壤塘县</w:t>
      </w:r>
      <w:bookmarkEnd w:id="7"/>
    </w:p>
    <w:bookmarkEnd w:id="0"/>
    <w:p>
      <w:pPr>
        <w:adjustRightInd w:val="0"/>
        <w:snapToGrid w:val="0"/>
        <w:spacing w:line="360" w:lineRule="auto"/>
        <w:jc w:val="center"/>
        <w:outlineLvl w:val="0"/>
        <w:rPr>
          <w:rFonts w:hint="eastAsia" w:ascii="方正小标宋简体" w:hAnsi="宋体" w:eastAsia="方正小标宋简体"/>
          <w:color w:val="000000"/>
          <w:sz w:val="52"/>
          <w:szCs w:val="52"/>
          <w:lang w:eastAsia="zh-CN"/>
        </w:rPr>
      </w:pPr>
      <w:bookmarkStart w:id="13" w:name="_Toc15306268"/>
      <w:bookmarkStart w:id="14" w:name="_Toc4465"/>
      <w:r>
        <w:rPr>
          <w:rFonts w:hint="eastAsia" w:ascii="方正小标宋简体" w:hAnsi="宋体" w:eastAsia="方正小标宋简体"/>
          <w:color w:val="000000"/>
          <w:sz w:val="52"/>
          <w:szCs w:val="52"/>
          <w:lang w:eastAsia="zh-CN"/>
        </w:rPr>
        <w:t>政协办公室</w:t>
      </w:r>
      <w:r>
        <w:rPr>
          <w:rFonts w:hint="eastAsia" w:ascii="方正小标宋简体" w:hAnsi="宋体" w:eastAsia="方正小标宋简体"/>
          <w:color w:val="000000"/>
          <w:sz w:val="52"/>
          <w:szCs w:val="52"/>
        </w:rPr>
        <w:t>部门决算</w:t>
      </w:r>
      <w:bookmarkEnd w:id="8"/>
      <w:bookmarkEnd w:id="9"/>
      <w:bookmarkEnd w:id="10"/>
      <w:bookmarkEnd w:id="11"/>
      <w:bookmarkEnd w:id="12"/>
      <w:bookmarkEnd w:id="13"/>
      <w:r>
        <w:rPr>
          <w:rFonts w:hint="eastAsia" w:ascii="方正小标宋简体" w:hAnsi="宋体" w:eastAsia="方正小标宋简体"/>
          <w:color w:val="000000"/>
          <w:sz w:val="52"/>
          <w:szCs w:val="52"/>
          <w:lang w:eastAsia="zh-CN"/>
        </w:rPr>
        <w:t>编制说明</w:t>
      </w:r>
      <w:bookmarkEnd w:id="14"/>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adjustRightInd w:val="0"/>
        <w:snapToGrid w:val="0"/>
        <w:spacing w:line="440" w:lineRule="exact"/>
        <w:ind w:firstLine="1980" w:firstLineChars="550"/>
        <w:jc w:val="left"/>
        <w:rPr>
          <w:rFonts w:ascii="方正小标宋简体" w:hAnsi="宋体" w:eastAsia="方正小标宋简体"/>
          <w:sz w:val="36"/>
          <w:szCs w:val="36"/>
        </w:rPr>
      </w:pPr>
      <w:r>
        <w:rPr>
          <w:rFonts w:ascii="方正小标宋简体" w:hAnsi="宋体" w:eastAsia="方正小标宋简体"/>
          <w:sz w:val="36"/>
          <w:szCs w:val="36"/>
        </w:rPr>
        <w:br w:type="page"/>
      </w:r>
    </w:p>
    <w:sdt>
      <w:sdtPr>
        <w:rPr>
          <w:rFonts w:ascii="宋体" w:hAnsi="宋体" w:eastAsia="宋体" w:cs="Times New Roman"/>
          <w:kern w:val="2"/>
          <w:sz w:val="21"/>
          <w:szCs w:val="24"/>
          <w:lang w:val="en-US" w:eastAsia="zh-CN" w:bidi="ar-SA"/>
        </w:rPr>
        <w:id w:val="147479733"/>
        <w15:color w:val="DBDBDB"/>
        <w:docPartObj>
          <w:docPartGallery w:val="Table of Contents"/>
          <w:docPartUnique/>
        </w:docPartObj>
      </w:sdtPr>
      <w:sdtEndPr>
        <w:rPr>
          <w:rFonts w:ascii="方正小标宋简体" w:hAnsi="宋体" w:eastAsia="方正小标宋简体" w:cs="Times New Roman"/>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44"/>
              <w:szCs w:val="44"/>
            </w:rPr>
            <w:t>目录</w:t>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TOC \o "1-3" \h \u </w:instrText>
          </w:r>
          <w:r>
            <w:rPr>
              <w:rFonts w:ascii="方正小标宋简体" w:hAnsi="宋体" w:eastAsia="方正小标宋简体"/>
              <w:sz w:val="28"/>
              <w:szCs w:val="28"/>
            </w:rPr>
            <w:fldChar w:fldCharType="separate"/>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_Toc9441 </w:instrText>
          </w:r>
          <w:r>
            <w:rPr>
              <w:rFonts w:ascii="方正小标宋简体" w:hAnsi="宋体" w:eastAsia="方正小标宋简体"/>
              <w:sz w:val="28"/>
              <w:szCs w:val="28"/>
            </w:rPr>
            <w:fldChar w:fldCharType="separate"/>
          </w:r>
          <w:r>
            <w:rPr>
              <w:rFonts w:hint="eastAsia" w:ascii="黑体" w:hAnsi="黑体" w:eastAsia="黑体"/>
              <w:sz w:val="28"/>
              <w:szCs w:val="28"/>
            </w:rPr>
            <w:t xml:space="preserve">第一部分 </w:t>
          </w:r>
          <w:r>
            <w:rPr>
              <w:rFonts w:hint="eastAsia" w:ascii="黑体" w:hAnsi="黑体" w:eastAsia="黑体"/>
              <w:bCs w:val="0"/>
              <w:sz w:val="28"/>
              <w:szCs w:val="28"/>
            </w:rPr>
            <w:t>部门概况</w:t>
          </w:r>
          <w:r>
            <w:rPr>
              <w:sz w:val="28"/>
              <w:szCs w:val="28"/>
            </w:rPr>
            <w:tab/>
          </w:r>
          <w:r>
            <w:rPr>
              <w:sz w:val="28"/>
              <w:szCs w:val="28"/>
            </w:rPr>
            <w:fldChar w:fldCharType="begin"/>
          </w:r>
          <w:r>
            <w:rPr>
              <w:sz w:val="28"/>
              <w:szCs w:val="28"/>
            </w:rPr>
            <w:instrText xml:space="preserve"> PAGEREF _Toc9441 </w:instrText>
          </w:r>
          <w:r>
            <w:rPr>
              <w:sz w:val="28"/>
              <w:szCs w:val="28"/>
            </w:rPr>
            <w:fldChar w:fldCharType="separate"/>
          </w:r>
          <w:r>
            <w:rPr>
              <w:sz w:val="28"/>
              <w:szCs w:val="28"/>
            </w:rPr>
            <w:t>4</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_Toc25772 </w:instrText>
          </w:r>
          <w:r>
            <w:rPr>
              <w:rFonts w:ascii="方正小标宋简体" w:hAnsi="宋体" w:eastAsia="方正小标宋简体"/>
              <w:sz w:val="28"/>
              <w:szCs w:val="28"/>
            </w:rPr>
            <w:fldChar w:fldCharType="separate"/>
          </w:r>
          <w:r>
            <w:rPr>
              <w:rFonts w:hint="eastAsia" w:ascii="黑体" w:hAnsi="黑体" w:eastAsia="黑体"/>
              <w:sz w:val="28"/>
              <w:szCs w:val="28"/>
            </w:rPr>
            <w:t>一、基</w:t>
          </w:r>
          <w:r>
            <w:rPr>
              <w:rFonts w:hint="eastAsia" w:ascii="黑体" w:hAnsi="黑体" w:eastAsia="黑体"/>
              <w:bCs w:val="0"/>
              <w:sz w:val="28"/>
              <w:szCs w:val="28"/>
            </w:rPr>
            <w:t>本职能及主要工作</w:t>
          </w:r>
          <w:r>
            <w:rPr>
              <w:sz w:val="28"/>
              <w:szCs w:val="28"/>
            </w:rPr>
            <w:tab/>
          </w:r>
          <w:r>
            <w:rPr>
              <w:sz w:val="28"/>
              <w:szCs w:val="28"/>
            </w:rPr>
            <w:fldChar w:fldCharType="begin"/>
          </w:r>
          <w:r>
            <w:rPr>
              <w:sz w:val="28"/>
              <w:szCs w:val="28"/>
            </w:rPr>
            <w:instrText xml:space="preserve"> PAGEREF _Toc25772 </w:instrText>
          </w:r>
          <w:r>
            <w:rPr>
              <w:sz w:val="28"/>
              <w:szCs w:val="28"/>
            </w:rPr>
            <w:fldChar w:fldCharType="separate"/>
          </w:r>
          <w:r>
            <w:rPr>
              <w:sz w:val="28"/>
              <w:szCs w:val="28"/>
            </w:rPr>
            <w:t>4</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_Toc8619 </w:instrText>
          </w:r>
          <w:r>
            <w:rPr>
              <w:rFonts w:ascii="方正小标宋简体" w:hAnsi="宋体" w:eastAsia="方正小标宋简体"/>
              <w:sz w:val="28"/>
              <w:szCs w:val="28"/>
            </w:rPr>
            <w:fldChar w:fldCharType="separate"/>
          </w:r>
          <w:r>
            <w:rPr>
              <w:rFonts w:hint="eastAsia" w:ascii="仿宋" w:hAnsi="仿宋" w:eastAsia="仿宋"/>
              <w:bCs/>
              <w:sz w:val="28"/>
              <w:szCs w:val="28"/>
            </w:rPr>
            <w:t>（一）主要职能。</w:t>
          </w:r>
          <w:r>
            <w:rPr>
              <w:sz w:val="28"/>
              <w:szCs w:val="28"/>
            </w:rPr>
            <w:tab/>
          </w:r>
          <w:r>
            <w:rPr>
              <w:sz w:val="28"/>
              <w:szCs w:val="28"/>
            </w:rPr>
            <w:fldChar w:fldCharType="begin"/>
          </w:r>
          <w:r>
            <w:rPr>
              <w:sz w:val="28"/>
              <w:szCs w:val="28"/>
            </w:rPr>
            <w:instrText xml:space="preserve"> PAGEREF _Toc8619 </w:instrText>
          </w:r>
          <w:r>
            <w:rPr>
              <w:sz w:val="28"/>
              <w:szCs w:val="28"/>
            </w:rPr>
            <w:fldChar w:fldCharType="separate"/>
          </w:r>
          <w:r>
            <w:rPr>
              <w:sz w:val="28"/>
              <w:szCs w:val="28"/>
            </w:rPr>
            <w:t>4</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_Toc30080 </w:instrText>
          </w:r>
          <w:r>
            <w:rPr>
              <w:rFonts w:ascii="方正小标宋简体" w:hAnsi="宋体" w:eastAsia="方正小标宋简体"/>
              <w:sz w:val="28"/>
              <w:szCs w:val="28"/>
            </w:rPr>
            <w:fldChar w:fldCharType="separate"/>
          </w:r>
          <w:r>
            <w:rPr>
              <w:rFonts w:hint="eastAsia" w:ascii="仿宋" w:hAnsi="仿宋" w:eastAsia="仿宋"/>
              <w:bCs/>
              <w:sz w:val="28"/>
              <w:szCs w:val="28"/>
            </w:rPr>
            <w:t>（二）</w:t>
          </w:r>
          <w:r>
            <w:rPr>
              <w:rFonts w:ascii="仿宋" w:hAnsi="仿宋" w:eastAsia="仿宋"/>
              <w:bCs/>
              <w:sz w:val="28"/>
              <w:szCs w:val="28"/>
            </w:rPr>
            <w:t>201</w:t>
          </w:r>
          <w:r>
            <w:rPr>
              <w:rFonts w:hint="eastAsia" w:ascii="仿宋" w:hAnsi="仿宋" w:eastAsia="仿宋"/>
              <w:bCs/>
              <w:sz w:val="28"/>
              <w:szCs w:val="28"/>
            </w:rPr>
            <w:t>9年重点工作完成情况。</w:t>
          </w:r>
          <w:r>
            <w:rPr>
              <w:sz w:val="28"/>
              <w:szCs w:val="28"/>
            </w:rPr>
            <w:tab/>
          </w:r>
          <w:r>
            <w:rPr>
              <w:sz w:val="28"/>
              <w:szCs w:val="28"/>
            </w:rPr>
            <w:fldChar w:fldCharType="begin"/>
          </w:r>
          <w:r>
            <w:rPr>
              <w:sz w:val="28"/>
              <w:szCs w:val="28"/>
            </w:rPr>
            <w:instrText xml:space="preserve"> PAGEREF _Toc30080 </w:instrText>
          </w:r>
          <w:r>
            <w:rPr>
              <w:sz w:val="28"/>
              <w:szCs w:val="28"/>
            </w:rPr>
            <w:fldChar w:fldCharType="separate"/>
          </w:r>
          <w:r>
            <w:rPr>
              <w:sz w:val="28"/>
              <w:szCs w:val="28"/>
            </w:rPr>
            <w:t>4</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_Toc6586 </w:instrText>
          </w:r>
          <w:r>
            <w:rPr>
              <w:rFonts w:ascii="方正小标宋简体" w:hAnsi="宋体" w:eastAsia="方正小标宋简体"/>
              <w:sz w:val="28"/>
              <w:szCs w:val="28"/>
            </w:rPr>
            <w:fldChar w:fldCharType="separate"/>
          </w:r>
          <w:r>
            <w:rPr>
              <w:rFonts w:hint="eastAsia" w:ascii="黑体" w:eastAsia="黑体"/>
              <w:sz w:val="28"/>
              <w:szCs w:val="28"/>
            </w:rPr>
            <w:t>二、</w:t>
          </w:r>
          <w:r>
            <w:rPr>
              <w:rFonts w:hint="eastAsia" w:ascii="黑体" w:hAnsi="黑体" w:eastAsia="黑体"/>
              <w:sz w:val="28"/>
              <w:szCs w:val="28"/>
            </w:rPr>
            <w:t>机</w:t>
          </w:r>
          <w:r>
            <w:rPr>
              <w:rFonts w:hint="eastAsia" w:ascii="黑体" w:hAnsi="黑体" w:eastAsia="黑体"/>
              <w:bCs w:val="0"/>
              <w:sz w:val="28"/>
              <w:szCs w:val="28"/>
            </w:rPr>
            <w:t>构设置</w:t>
          </w:r>
          <w:r>
            <w:rPr>
              <w:sz w:val="28"/>
              <w:szCs w:val="28"/>
            </w:rPr>
            <w:tab/>
          </w:r>
          <w:r>
            <w:rPr>
              <w:sz w:val="28"/>
              <w:szCs w:val="28"/>
            </w:rPr>
            <w:fldChar w:fldCharType="begin"/>
          </w:r>
          <w:r>
            <w:rPr>
              <w:sz w:val="28"/>
              <w:szCs w:val="28"/>
            </w:rPr>
            <w:instrText xml:space="preserve"> PAGEREF _Toc6586 </w:instrText>
          </w:r>
          <w:r>
            <w:rPr>
              <w:sz w:val="28"/>
              <w:szCs w:val="28"/>
            </w:rPr>
            <w:fldChar w:fldCharType="separate"/>
          </w:r>
          <w:r>
            <w:rPr>
              <w:sz w:val="28"/>
              <w:szCs w:val="28"/>
            </w:rPr>
            <w:t>14</w:t>
          </w:r>
          <w:r>
            <w:rPr>
              <w:sz w:val="28"/>
              <w:szCs w:val="28"/>
            </w:rPr>
            <w:fldChar w:fldCharType="end"/>
          </w:r>
          <w:r>
            <w:rPr>
              <w:rFonts w:ascii="方正小标宋简体" w:hAnsi="宋体" w:eastAsia="方正小标宋简体"/>
              <w:sz w:val="28"/>
              <w:szCs w:val="28"/>
            </w:rPr>
            <w:fldChar w:fldCharType="end"/>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_Toc19792 </w:instrText>
          </w:r>
          <w:r>
            <w:rPr>
              <w:rFonts w:ascii="方正小标宋简体" w:hAnsi="宋体" w:eastAsia="方正小标宋简体"/>
              <w:sz w:val="28"/>
              <w:szCs w:val="28"/>
            </w:rPr>
            <w:fldChar w:fldCharType="separate"/>
          </w:r>
          <w:r>
            <w:rPr>
              <w:rFonts w:hint="eastAsia" w:ascii="黑体" w:hAnsi="黑体" w:eastAsia="黑体"/>
              <w:sz w:val="28"/>
              <w:szCs w:val="28"/>
            </w:rPr>
            <w:t xml:space="preserve">第二部分 </w:t>
          </w:r>
          <w:r>
            <w:rPr>
              <w:rFonts w:hint="eastAsia" w:ascii="黑体" w:hAnsi="黑体" w:eastAsia="黑体"/>
              <w:bCs w:val="0"/>
              <w:sz w:val="28"/>
              <w:szCs w:val="28"/>
            </w:rPr>
            <w:t>2019年度部门决算情况说明</w:t>
          </w:r>
          <w:r>
            <w:rPr>
              <w:sz w:val="28"/>
              <w:szCs w:val="28"/>
            </w:rPr>
            <w:tab/>
          </w:r>
          <w:r>
            <w:rPr>
              <w:sz w:val="28"/>
              <w:szCs w:val="28"/>
            </w:rPr>
            <w:fldChar w:fldCharType="begin"/>
          </w:r>
          <w:r>
            <w:rPr>
              <w:sz w:val="28"/>
              <w:szCs w:val="28"/>
            </w:rPr>
            <w:instrText xml:space="preserve"> PAGEREF _Toc19792 </w:instrText>
          </w:r>
          <w:r>
            <w:rPr>
              <w:sz w:val="28"/>
              <w:szCs w:val="28"/>
            </w:rPr>
            <w:fldChar w:fldCharType="separate"/>
          </w:r>
          <w:r>
            <w:rPr>
              <w:sz w:val="28"/>
              <w:szCs w:val="28"/>
            </w:rPr>
            <w:t>15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_Toc4975 </w:instrText>
          </w:r>
          <w:r>
            <w:rPr>
              <w:rFonts w:ascii="方正小标宋简体" w:hAnsi="宋体" w:eastAsia="方正小标宋简体"/>
              <w:sz w:val="28"/>
              <w:szCs w:val="28"/>
            </w:rPr>
            <w:fldChar w:fldCharType="separate"/>
          </w:r>
          <w:r>
            <w:rPr>
              <w:rFonts w:hint="default" w:ascii="黑体" w:hAnsi="黑体" w:eastAsia="黑体"/>
              <w:sz w:val="28"/>
              <w:szCs w:val="28"/>
            </w:rPr>
            <w:t xml:space="preserve">一、 </w:t>
          </w:r>
          <w:r>
            <w:rPr>
              <w:rFonts w:hint="eastAsia" w:ascii="黑体" w:hAnsi="黑体" w:eastAsia="黑体"/>
              <w:sz w:val="28"/>
              <w:szCs w:val="28"/>
            </w:rPr>
            <w:t>收入支出决算总体情况说明</w:t>
          </w:r>
          <w:r>
            <w:rPr>
              <w:sz w:val="28"/>
              <w:szCs w:val="28"/>
            </w:rPr>
            <w:tab/>
          </w:r>
          <w:r>
            <w:rPr>
              <w:sz w:val="28"/>
              <w:szCs w:val="28"/>
            </w:rPr>
            <w:fldChar w:fldCharType="begin"/>
          </w:r>
          <w:r>
            <w:rPr>
              <w:sz w:val="28"/>
              <w:szCs w:val="28"/>
            </w:rPr>
            <w:instrText xml:space="preserve"> PAGEREF _Toc4975 </w:instrText>
          </w:r>
          <w:r>
            <w:rPr>
              <w:sz w:val="28"/>
              <w:szCs w:val="28"/>
            </w:rPr>
            <w:fldChar w:fldCharType="separate"/>
          </w:r>
          <w:r>
            <w:rPr>
              <w:sz w:val="28"/>
              <w:szCs w:val="28"/>
            </w:rPr>
            <w:t>15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_Toc6493 </w:instrText>
          </w:r>
          <w:r>
            <w:rPr>
              <w:rFonts w:ascii="方正小标宋简体" w:hAnsi="宋体" w:eastAsia="方正小标宋简体"/>
              <w:sz w:val="28"/>
              <w:szCs w:val="28"/>
            </w:rPr>
            <w:fldChar w:fldCharType="separate"/>
          </w:r>
          <w:r>
            <w:rPr>
              <w:rFonts w:hint="default" w:ascii="黑体" w:hAnsi="黑体" w:eastAsia="黑体"/>
              <w:sz w:val="28"/>
              <w:szCs w:val="28"/>
            </w:rPr>
            <w:t xml:space="preserve">二、 </w:t>
          </w:r>
          <w:r>
            <w:rPr>
              <w:rFonts w:hint="eastAsia" w:ascii="黑体" w:hAnsi="黑体" w:eastAsia="黑体"/>
              <w:sz w:val="28"/>
              <w:szCs w:val="28"/>
            </w:rPr>
            <w:t>收入决算情况说明</w:t>
          </w:r>
          <w:r>
            <w:rPr>
              <w:sz w:val="28"/>
              <w:szCs w:val="28"/>
            </w:rPr>
            <w:tab/>
          </w:r>
          <w:r>
            <w:rPr>
              <w:sz w:val="28"/>
              <w:szCs w:val="28"/>
            </w:rPr>
            <w:fldChar w:fldCharType="begin"/>
          </w:r>
          <w:r>
            <w:rPr>
              <w:sz w:val="28"/>
              <w:szCs w:val="28"/>
            </w:rPr>
            <w:instrText xml:space="preserve"> PAGEREF _Toc6493 </w:instrText>
          </w:r>
          <w:r>
            <w:rPr>
              <w:sz w:val="28"/>
              <w:szCs w:val="28"/>
            </w:rPr>
            <w:fldChar w:fldCharType="separate"/>
          </w:r>
          <w:r>
            <w:rPr>
              <w:sz w:val="28"/>
              <w:szCs w:val="28"/>
            </w:rPr>
            <w:t>15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_Toc21593 </w:instrText>
          </w:r>
          <w:r>
            <w:rPr>
              <w:rFonts w:ascii="方正小标宋简体" w:hAnsi="宋体" w:eastAsia="方正小标宋简体"/>
              <w:sz w:val="28"/>
              <w:szCs w:val="28"/>
            </w:rPr>
            <w:fldChar w:fldCharType="separate"/>
          </w:r>
          <w:r>
            <w:rPr>
              <w:rFonts w:hint="default" w:ascii="黑体" w:hAnsi="黑体" w:eastAsia="黑体"/>
              <w:sz w:val="28"/>
              <w:szCs w:val="28"/>
            </w:rPr>
            <w:t xml:space="preserve">三、 </w:t>
          </w:r>
          <w:r>
            <w:rPr>
              <w:rFonts w:hint="eastAsia" w:ascii="黑体" w:hAnsi="黑体" w:eastAsia="黑体"/>
              <w:sz w:val="28"/>
              <w:szCs w:val="28"/>
            </w:rPr>
            <w:t>支出决算情况说明</w:t>
          </w:r>
          <w:r>
            <w:rPr>
              <w:sz w:val="28"/>
              <w:szCs w:val="28"/>
            </w:rPr>
            <w:tab/>
          </w:r>
          <w:r>
            <w:rPr>
              <w:sz w:val="28"/>
              <w:szCs w:val="28"/>
            </w:rPr>
            <w:fldChar w:fldCharType="begin"/>
          </w:r>
          <w:r>
            <w:rPr>
              <w:sz w:val="28"/>
              <w:szCs w:val="28"/>
            </w:rPr>
            <w:instrText xml:space="preserve"> PAGEREF _Toc21593 </w:instrText>
          </w:r>
          <w:r>
            <w:rPr>
              <w:sz w:val="28"/>
              <w:szCs w:val="28"/>
            </w:rPr>
            <w:fldChar w:fldCharType="separate"/>
          </w:r>
          <w:r>
            <w:rPr>
              <w:sz w:val="28"/>
              <w:szCs w:val="28"/>
            </w:rPr>
            <w:t>16</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_Toc6657 </w:instrText>
          </w:r>
          <w:r>
            <w:rPr>
              <w:rFonts w:ascii="方正小标宋简体" w:hAnsi="宋体" w:eastAsia="方正小标宋简体"/>
              <w:sz w:val="28"/>
              <w:szCs w:val="28"/>
            </w:rPr>
            <w:fldChar w:fldCharType="separate"/>
          </w:r>
          <w:r>
            <w:rPr>
              <w:rFonts w:hint="default" w:ascii="黑体" w:hAnsi="黑体" w:eastAsia="黑体"/>
              <w:sz w:val="28"/>
              <w:szCs w:val="28"/>
            </w:rPr>
            <w:t xml:space="preserve">四、 </w:t>
          </w:r>
          <w:r>
            <w:rPr>
              <w:rFonts w:hint="eastAsia" w:ascii="黑体" w:hAnsi="黑体" w:eastAsia="黑体"/>
              <w:sz w:val="28"/>
              <w:szCs w:val="28"/>
            </w:rPr>
            <w:t>财政拨款收入支出决算总体情况说明</w:t>
          </w:r>
          <w:r>
            <w:rPr>
              <w:sz w:val="28"/>
              <w:szCs w:val="28"/>
            </w:rPr>
            <w:tab/>
          </w:r>
          <w:r>
            <w:rPr>
              <w:sz w:val="28"/>
              <w:szCs w:val="28"/>
            </w:rPr>
            <w:fldChar w:fldCharType="begin"/>
          </w:r>
          <w:r>
            <w:rPr>
              <w:sz w:val="28"/>
              <w:szCs w:val="28"/>
            </w:rPr>
            <w:instrText xml:space="preserve"> PAGEREF _Toc6657 </w:instrText>
          </w:r>
          <w:r>
            <w:rPr>
              <w:sz w:val="28"/>
              <w:szCs w:val="28"/>
            </w:rPr>
            <w:fldChar w:fldCharType="separate"/>
          </w:r>
          <w:r>
            <w:rPr>
              <w:sz w:val="28"/>
              <w:szCs w:val="28"/>
            </w:rPr>
            <w:t>16</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_Toc16644 </w:instrText>
          </w:r>
          <w:r>
            <w:rPr>
              <w:rFonts w:ascii="方正小标宋简体" w:hAnsi="宋体" w:eastAsia="方正小标宋简体"/>
              <w:sz w:val="28"/>
              <w:szCs w:val="28"/>
            </w:rPr>
            <w:fldChar w:fldCharType="separate"/>
          </w:r>
          <w:r>
            <w:rPr>
              <w:rFonts w:hint="eastAsia" w:ascii="黑体" w:hAnsi="黑体" w:eastAsia="黑体"/>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_Toc16644 </w:instrText>
          </w:r>
          <w:r>
            <w:rPr>
              <w:sz w:val="28"/>
              <w:szCs w:val="28"/>
            </w:rPr>
            <w:fldChar w:fldCharType="separate"/>
          </w:r>
          <w:r>
            <w:rPr>
              <w:sz w:val="28"/>
              <w:szCs w:val="28"/>
            </w:rPr>
            <w:t>17</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_Toc18743 </w:instrText>
          </w:r>
          <w:r>
            <w:rPr>
              <w:rFonts w:ascii="方正小标宋简体" w:hAnsi="宋体" w:eastAsia="方正小标宋简体"/>
              <w:sz w:val="28"/>
              <w:szCs w:val="28"/>
            </w:rPr>
            <w:fldChar w:fldCharType="separate"/>
          </w:r>
          <w:r>
            <w:rPr>
              <w:rFonts w:hint="eastAsia" w:ascii="仿宋" w:hAnsi="仿宋" w:eastAsia="仿宋"/>
              <w:sz w:val="28"/>
              <w:szCs w:val="28"/>
            </w:rPr>
            <w:t>（一）一般公共预算财政拨款支出决算总体情况</w:t>
          </w:r>
          <w:r>
            <w:rPr>
              <w:sz w:val="28"/>
              <w:szCs w:val="28"/>
            </w:rPr>
            <w:tab/>
          </w:r>
          <w:r>
            <w:rPr>
              <w:sz w:val="28"/>
              <w:szCs w:val="28"/>
            </w:rPr>
            <w:fldChar w:fldCharType="begin"/>
          </w:r>
          <w:r>
            <w:rPr>
              <w:sz w:val="28"/>
              <w:szCs w:val="28"/>
            </w:rPr>
            <w:instrText xml:space="preserve"> PAGEREF _Toc18743 </w:instrText>
          </w:r>
          <w:r>
            <w:rPr>
              <w:sz w:val="28"/>
              <w:szCs w:val="28"/>
            </w:rPr>
            <w:fldChar w:fldCharType="separate"/>
          </w:r>
          <w:r>
            <w:rPr>
              <w:sz w:val="28"/>
              <w:szCs w:val="28"/>
            </w:rPr>
            <w:t>17</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_Toc31195 </w:instrText>
          </w:r>
          <w:r>
            <w:rPr>
              <w:rFonts w:ascii="方正小标宋简体" w:hAnsi="宋体" w:eastAsia="方正小标宋简体"/>
              <w:sz w:val="28"/>
              <w:szCs w:val="28"/>
            </w:rPr>
            <w:fldChar w:fldCharType="separate"/>
          </w:r>
          <w:r>
            <w:rPr>
              <w:rFonts w:hint="eastAsia" w:ascii="仿宋" w:hAnsi="仿宋" w:eastAsia="仿宋"/>
              <w:sz w:val="28"/>
              <w:szCs w:val="28"/>
            </w:rPr>
            <w:t>（二）一般公共预算财政拨款支出决算结构情况</w:t>
          </w:r>
          <w:r>
            <w:rPr>
              <w:sz w:val="28"/>
              <w:szCs w:val="28"/>
            </w:rPr>
            <w:tab/>
          </w:r>
          <w:r>
            <w:rPr>
              <w:sz w:val="28"/>
              <w:szCs w:val="28"/>
            </w:rPr>
            <w:fldChar w:fldCharType="begin"/>
          </w:r>
          <w:r>
            <w:rPr>
              <w:sz w:val="28"/>
              <w:szCs w:val="28"/>
            </w:rPr>
            <w:instrText xml:space="preserve"> PAGEREF _Toc31195 </w:instrText>
          </w:r>
          <w:r>
            <w:rPr>
              <w:sz w:val="28"/>
              <w:szCs w:val="28"/>
            </w:rPr>
            <w:fldChar w:fldCharType="separate"/>
          </w:r>
          <w:r>
            <w:rPr>
              <w:sz w:val="28"/>
              <w:szCs w:val="28"/>
            </w:rPr>
            <w:t>18</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_Toc2407 </w:instrText>
          </w:r>
          <w:r>
            <w:rPr>
              <w:rFonts w:ascii="方正小标宋简体" w:hAnsi="宋体" w:eastAsia="方正小标宋简体"/>
              <w:sz w:val="28"/>
              <w:szCs w:val="28"/>
            </w:rPr>
            <w:fldChar w:fldCharType="separate"/>
          </w:r>
          <w:r>
            <w:rPr>
              <w:rFonts w:hint="eastAsia" w:ascii="仿宋" w:hAnsi="仿宋" w:eastAsia="仿宋"/>
              <w:sz w:val="28"/>
              <w:szCs w:val="28"/>
            </w:rPr>
            <w:t>（三）一般公共预算财政拨款支出决算具体情况</w:t>
          </w:r>
          <w:r>
            <w:rPr>
              <w:sz w:val="28"/>
              <w:szCs w:val="28"/>
            </w:rPr>
            <w:tab/>
          </w:r>
          <w:r>
            <w:rPr>
              <w:sz w:val="28"/>
              <w:szCs w:val="28"/>
            </w:rPr>
            <w:fldChar w:fldCharType="begin"/>
          </w:r>
          <w:r>
            <w:rPr>
              <w:sz w:val="28"/>
              <w:szCs w:val="28"/>
            </w:rPr>
            <w:instrText xml:space="preserve"> PAGEREF _Toc2407 </w:instrText>
          </w:r>
          <w:r>
            <w:rPr>
              <w:sz w:val="28"/>
              <w:szCs w:val="28"/>
            </w:rPr>
            <w:fldChar w:fldCharType="separate"/>
          </w:r>
          <w:r>
            <w:rPr>
              <w:sz w:val="28"/>
              <w:szCs w:val="28"/>
            </w:rPr>
            <w:t>19</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_Toc22828 </w:instrText>
          </w:r>
          <w:r>
            <w:rPr>
              <w:rFonts w:ascii="方正小标宋简体" w:hAnsi="宋体" w:eastAsia="方正小标宋简体"/>
              <w:sz w:val="28"/>
              <w:szCs w:val="28"/>
            </w:rPr>
            <w:fldChar w:fldCharType="separate"/>
          </w:r>
          <w:r>
            <w:rPr>
              <w:rFonts w:hint="eastAsia" w:ascii="黑体" w:eastAsia="黑体"/>
              <w:sz w:val="28"/>
              <w:szCs w:val="28"/>
            </w:rPr>
            <w:t>六、</w:t>
          </w:r>
          <w:r>
            <w:rPr>
              <w:rFonts w:hint="eastAsia" w:ascii="黑体" w:hAnsi="黑体" w:eastAsia="黑体"/>
              <w:sz w:val="28"/>
              <w:szCs w:val="28"/>
            </w:rPr>
            <w:t>一般公共预算财政拨款基本支出决算情况说明</w:t>
          </w:r>
          <w:r>
            <w:rPr>
              <w:sz w:val="28"/>
              <w:szCs w:val="28"/>
            </w:rPr>
            <w:tab/>
          </w:r>
          <w:r>
            <w:rPr>
              <w:sz w:val="28"/>
              <w:szCs w:val="28"/>
            </w:rPr>
            <w:fldChar w:fldCharType="begin"/>
          </w:r>
          <w:r>
            <w:rPr>
              <w:sz w:val="28"/>
              <w:szCs w:val="28"/>
            </w:rPr>
            <w:instrText xml:space="preserve"> PAGEREF _Toc22828 </w:instrText>
          </w:r>
          <w:r>
            <w:rPr>
              <w:sz w:val="28"/>
              <w:szCs w:val="28"/>
            </w:rPr>
            <w:fldChar w:fldCharType="separate"/>
          </w:r>
          <w:r>
            <w:rPr>
              <w:sz w:val="28"/>
              <w:szCs w:val="28"/>
            </w:rPr>
            <w:t>20</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_Toc26186 </w:instrText>
          </w:r>
          <w:r>
            <w:rPr>
              <w:rFonts w:ascii="方正小标宋简体" w:hAnsi="宋体" w:eastAsia="方正小标宋简体"/>
              <w:sz w:val="28"/>
              <w:szCs w:val="28"/>
            </w:rPr>
            <w:fldChar w:fldCharType="separate"/>
          </w:r>
          <w:r>
            <w:rPr>
              <w:rFonts w:hint="eastAsia" w:ascii="黑体" w:eastAsia="黑体"/>
              <w:sz w:val="28"/>
              <w:szCs w:val="28"/>
            </w:rPr>
            <w:t>七、</w:t>
          </w:r>
          <w:r>
            <w:rPr>
              <w:rFonts w:hint="eastAsia" w:ascii="黑体" w:hAnsi="黑体" w:eastAsia="黑体"/>
              <w:sz w:val="28"/>
              <w:szCs w:val="28"/>
            </w:rPr>
            <w:t>“三公”经费财政拨款支出决算情况说明</w:t>
          </w:r>
          <w:r>
            <w:rPr>
              <w:sz w:val="28"/>
              <w:szCs w:val="28"/>
            </w:rPr>
            <w:tab/>
          </w:r>
          <w:r>
            <w:rPr>
              <w:sz w:val="28"/>
              <w:szCs w:val="28"/>
            </w:rPr>
            <w:fldChar w:fldCharType="begin"/>
          </w:r>
          <w:r>
            <w:rPr>
              <w:sz w:val="28"/>
              <w:szCs w:val="28"/>
            </w:rPr>
            <w:instrText xml:space="preserve"> PAGEREF _Toc26186 </w:instrText>
          </w:r>
          <w:r>
            <w:rPr>
              <w:sz w:val="28"/>
              <w:szCs w:val="28"/>
            </w:rPr>
            <w:fldChar w:fldCharType="separate"/>
          </w:r>
          <w:r>
            <w:rPr>
              <w:sz w:val="28"/>
              <w:szCs w:val="28"/>
            </w:rPr>
            <w:t>21</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_Toc18035 </w:instrText>
          </w:r>
          <w:r>
            <w:rPr>
              <w:rFonts w:ascii="方正小标宋简体" w:hAnsi="宋体" w:eastAsia="方正小标宋简体"/>
              <w:sz w:val="28"/>
              <w:szCs w:val="28"/>
            </w:rPr>
            <w:fldChar w:fldCharType="separate"/>
          </w:r>
          <w:r>
            <w:rPr>
              <w:rFonts w:hint="eastAsia" w:ascii="仿宋" w:hAnsi="仿宋" w:eastAsia="仿宋"/>
              <w:sz w:val="28"/>
              <w:szCs w:val="28"/>
            </w:rPr>
            <w:t>（一）“三公”经费财政拨款支出决算总体情况说明</w:t>
          </w:r>
          <w:r>
            <w:rPr>
              <w:sz w:val="28"/>
              <w:szCs w:val="28"/>
            </w:rPr>
            <w:tab/>
          </w:r>
          <w:r>
            <w:rPr>
              <w:sz w:val="28"/>
              <w:szCs w:val="28"/>
            </w:rPr>
            <w:fldChar w:fldCharType="begin"/>
          </w:r>
          <w:r>
            <w:rPr>
              <w:sz w:val="28"/>
              <w:szCs w:val="28"/>
            </w:rPr>
            <w:instrText xml:space="preserve"> PAGEREF _Toc18035 </w:instrText>
          </w:r>
          <w:r>
            <w:rPr>
              <w:sz w:val="28"/>
              <w:szCs w:val="28"/>
            </w:rPr>
            <w:fldChar w:fldCharType="separate"/>
          </w:r>
          <w:r>
            <w:rPr>
              <w:sz w:val="28"/>
              <w:szCs w:val="28"/>
            </w:rPr>
            <w:t>21</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_Toc31452 </w:instrText>
          </w:r>
          <w:r>
            <w:rPr>
              <w:rFonts w:ascii="方正小标宋简体" w:hAnsi="宋体" w:eastAsia="方正小标宋简体"/>
              <w:sz w:val="28"/>
              <w:szCs w:val="28"/>
            </w:rPr>
            <w:fldChar w:fldCharType="separate"/>
          </w:r>
          <w:r>
            <w:rPr>
              <w:rFonts w:hint="eastAsia" w:ascii="仿宋" w:hAnsi="仿宋" w:eastAsia="仿宋"/>
              <w:sz w:val="28"/>
              <w:szCs w:val="28"/>
            </w:rPr>
            <w:t>（二）“三公”经费财政拨款支出决算具体情况说明</w:t>
          </w:r>
          <w:r>
            <w:rPr>
              <w:sz w:val="28"/>
              <w:szCs w:val="28"/>
            </w:rPr>
            <w:tab/>
          </w:r>
          <w:r>
            <w:rPr>
              <w:sz w:val="28"/>
              <w:szCs w:val="28"/>
            </w:rPr>
            <w:fldChar w:fldCharType="begin"/>
          </w:r>
          <w:r>
            <w:rPr>
              <w:sz w:val="28"/>
              <w:szCs w:val="28"/>
            </w:rPr>
            <w:instrText xml:space="preserve"> PAGEREF _Toc31452 </w:instrText>
          </w:r>
          <w:r>
            <w:rPr>
              <w:sz w:val="28"/>
              <w:szCs w:val="28"/>
            </w:rPr>
            <w:fldChar w:fldCharType="separate"/>
          </w:r>
          <w:r>
            <w:rPr>
              <w:sz w:val="28"/>
              <w:szCs w:val="28"/>
            </w:rPr>
            <w:t>21</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_Toc23716 </w:instrText>
          </w:r>
          <w:r>
            <w:rPr>
              <w:rFonts w:ascii="方正小标宋简体" w:hAnsi="宋体" w:eastAsia="方正小标宋简体"/>
              <w:sz w:val="28"/>
              <w:szCs w:val="28"/>
            </w:rPr>
            <w:fldChar w:fldCharType="separate"/>
          </w:r>
          <w:r>
            <w:rPr>
              <w:rFonts w:hint="eastAsia" w:ascii="黑体" w:eastAsia="黑体"/>
              <w:sz w:val="28"/>
              <w:szCs w:val="28"/>
            </w:rPr>
            <w:t>八、</w:t>
          </w:r>
          <w:r>
            <w:rPr>
              <w:rFonts w:hint="eastAsia" w:ascii="黑体" w:hAnsi="黑体" w:eastAsia="黑体"/>
              <w:sz w:val="28"/>
              <w:szCs w:val="28"/>
            </w:rPr>
            <w:t>政府性基金预算支出决算情况说明</w:t>
          </w:r>
          <w:r>
            <w:rPr>
              <w:sz w:val="28"/>
              <w:szCs w:val="28"/>
            </w:rPr>
            <w:tab/>
          </w:r>
          <w:r>
            <w:rPr>
              <w:sz w:val="28"/>
              <w:szCs w:val="28"/>
            </w:rPr>
            <w:fldChar w:fldCharType="begin"/>
          </w:r>
          <w:r>
            <w:rPr>
              <w:sz w:val="28"/>
              <w:szCs w:val="28"/>
            </w:rPr>
            <w:instrText xml:space="preserve"> PAGEREF _Toc23716 </w:instrText>
          </w:r>
          <w:r>
            <w:rPr>
              <w:sz w:val="28"/>
              <w:szCs w:val="28"/>
            </w:rPr>
            <w:fldChar w:fldCharType="separate"/>
          </w:r>
          <w:r>
            <w:rPr>
              <w:sz w:val="28"/>
              <w:szCs w:val="28"/>
            </w:rPr>
            <w:t>22</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_Toc301 </w:instrText>
          </w:r>
          <w:r>
            <w:rPr>
              <w:rFonts w:ascii="方正小标宋简体" w:hAnsi="宋体" w:eastAsia="方正小标宋简体"/>
              <w:sz w:val="28"/>
              <w:szCs w:val="28"/>
            </w:rPr>
            <w:fldChar w:fldCharType="separate"/>
          </w:r>
          <w:r>
            <w:rPr>
              <w:rFonts w:hint="eastAsia" w:ascii="黑体" w:hAnsi="黑体" w:eastAsia="黑体"/>
              <w:sz w:val="28"/>
              <w:szCs w:val="28"/>
            </w:rPr>
            <w:t>九、 国有资本经营预算支出决算情况说明</w:t>
          </w:r>
          <w:r>
            <w:rPr>
              <w:sz w:val="28"/>
              <w:szCs w:val="28"/>
            </w:rPr>
            <w:tab/>
          </w:r>
          <w:r>
            <w:rPr>
              <w:sz w:val="28"/>
              <w:szCs w:val="28"/>
            </w:rPr>
            <w:fldChar w:fldCharType="begin"/>
          </w:r>
          <w:r>
            <w:rPr>
              <w:sz w:val="28"/>
              <w:szCs w:val="28"/>
            </w:rPr>
            <w:instrText xml:space="preserve"> PAGEREF _Toc301 </w:instrText>
          </w:r>
          <w:r>
            <w:rPr>
              <w:sz w:val="28"/>
              <w:szCs w:val="28"/>
            </w:rPr>
            <w:fldChar w:fldCharType="separate"/>
          </w:r>
          <w:r>
            <w:rPr>
              <w:sz w:val="28"/>
              <w:szCs w:val="28"/>
            </w:rPr>
            <w:t>23</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_Toc8479 </w:instrText>
          </w:r>
          <w:r>
            <w:rPr>
              <w:rFonts w:ascii="方正小标宋简体" w:hAnsi="宋体" w:eastAsia="方正小标宋简体"/>
              <w:sz w:val="28"/>
              <w:szCs w:val="28"/>
            </w:rPr>
            <w:fldChar w:fldCharType="separate"/>
          </w:r>
          <w:r>
            <w:rPr>
              <w:rFonts w:hint="eastAsia" w:ascii="黑体" w:hAnsi="黑体" w:eastAsia="黑体"/>
              <w:sz w:val="28"/>
              <w:szCs w:val="28"/>
            </w:rPr>
            <w:t>十、其他重要事项的情况说明</w:t>
          </w:r>
          <w:r>
            <w:rPr>
              <w:sz w:val="28"/>
              <w:szCs w:val="28"/>
            </w:rPr>
            <w:tab/>
          </w:r>
          <w:r>
            <w:rPr>
              <w:sz w:val="28"/>
              <w:szCs w:val="28"/>
            </w:rPr>
            <w:fldChar w:fldCharType="begin"/>
          </w:r>
          <w:r>
            <w:rPr>
              <w:sz w:val="28"/>
              <w:szCs w:val="28"/>
            </w:rPr>
            <w:instrText xml:space="preserve"> PAGEREF _Toc8479 </w:instrText>
          </w:r>
          <w:r>
            <w:rPr>
              <w:sz w:val="28"/>
              <w:szCs w:val="28"/>
            </w:rPr>
            <w:fldChar w:fldCharType="separate"/>
          </w:r>
          <w:r>
            <w:rPr>
              <w:sz w:val="28"/>
              <w:szCs w:val="28"/>
            </w:rPr>
            <w:t>23</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_Toc5906 </w:instrText>
          </w:r>
          <w:r>
            <w:rPr>
              <w:rFonts w:ascii="方正小标宋简体" w:hAnsi="宋体" w:eastAsia="方正小标宋简体"/>
              <w:sz w:val="28"/>
              <w:szCs w:val="28"/>
            </w:rPr>
            <w:fldChar w:fldCharType="separate"/>
          </w:r>
          <w:r>
            <w:rPr>
              <w:rFonts w:hint="eastAsia" w:ascii="仿宋" w:hAnsi="仿宋" w:eastAsia="仿宋"/>
              <w:sz w:val="28"/>
              <w:szCs w:val="28"/>
            </w:rPr>
            <w:t>（一）机关运行经费支出情况</w:t>
          </w:r>
          <w:r>
            <w:rPr>
              <w:sz w:val="28"/>
              <w:szCs w:val="28"/>
            </w:rPr>
            <w:tab/>
          </w:r>
          <w:r>
            <w:rPr>
              <w:sz w:val="28"/>
              <w:szCs w:val="28"/>
            </w:rPr>
            <w:fldChar w:fldCharType="begin"/>
          </w:r>
          <w:r>
            <w:rPr>
              <w:sz w:val="28"/>
              <w:szCs w:val="28"/>
            </w:rPr>
            <w:instrText xml:space="preserve"> PAGEREF _Toc5906 </w:instrText>
          </w:r>
          <w:r>
            <w:rPr>
              <w:sz w:val="28"/>
              <w:szCs w:val="28"/>
            </w:rPr>
            <w:fldChar w:fldCharType="separate"/>
          </w:r>
          <w:r>
            <w:rPr>
              <w:sz w:val="28"/>
              <w:szCs w:val="28"/>
            </w:rPr>
            <w:t>23</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_Toc30861 </w:instrText>
          </w:r>
          <w:r>
            <w:rPr>
              <w:rFonts w:ascii="方正小标宋简体" w:hAnsi="宋体" w:eastAsia="方正小标宋简体"/>
              <w:sz w:val="28"/>
              <w:szCs w:val="28"/>
            </w:rPr>
            <w:fldChar w:fldCharType="separate"/>
          </w:r>
          <w:r>
            <w:rPr>
              <w:rFonts w:hint="eastAsia" w:ascii="仿宋" w:hAnsi="仿宋" w:eastAsia="仿宋"/>
              <w:sz w:val="28"/>
              <w:szCs w:val="28"/>
            </w:rPr>
            <w:t>（二）政府采购支出情况</w:t>
          </w:r>
          <w:r>
            <w:rPr>
              <w:sz w:val="28"/>
              <w:szCs w:val="28"/>
            </w:rPr>
            <w:tab/>
          </w:r>
          <w:r>
            <w:rPr>
              <w:sz w:val="28"/>
              <w:szCs w:val="28"/>
            </w:rPr>
            <w:fldChar w:fldCharType="begin"/>
          </w:r>
          <w:r>
            <w:rPr>
              <w:sz w:val="28"/>
              <w:szCs w:val="28"/>
            </w:rPr>
            <w:instrText xml:space="preserve"> PAGEREF _Toc30861 </w:instrText>
          </w:r>
          <w:r>
            <w:rPr>
              <w:sz w:val="28"/>
              <w:szCs w:val="28"/>
            </w:rPr>
            <w:fldChar w:fldCharType="separate"/>
          </w:r>
          <w:r>
            <w:rPr>
              <w:sz w:val="28"/>
              <w:szCs w:val="28"/>
            </w:rPr>
            <w:t>23</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_Toc31761 </w:instrText>
          </w:r>
          <w:r>
            <w:rPr>
              <w:rFonts w:ascii="方正小标宋简体" w:hAnsi="宋体" w:eastAsia="方正小标宋简体"/>
              <w:sz w:val="28"/>
              <w:szCs w:val="28"/>
            </w:rPr>
            <w:fldChar w:fldCharType="separate"/>
          </w:r>
          <w:r>
            <w:rPr>
              <w:rFonts w:hint="eastAsia" w:ascii="仿宋" w:hAnsi="仿宋" w:eastAsia="仿宋"/>
              <w:sz w:val="28"/>
              <w:szCs w:val="28"/>
            </w:rPr>
            <w:t>（三） 国有资产占有使用情况</w:t>
          </w:r>
          <w:r>
            <w:rPr>
              <w:sz w:val="28"/>
              <w:szCs w:val="28"/>
            </w:rPr>
            <w:tab/>
          </w:r>
          <w:r>
            <w:rPr>
              <w:sz w:val="28"/>
              <w:szCs w:val="28"/>
            </w:rPr>
            <w:fldChar w:fldCharType="begin"/>
          </w:r>
          <w:r>
            <w:rPr>
              <w:sz w:val="28"/>
              <w:szCs w:val="28"/>
            </w:rPr>
            <w:instrText xml:space="preserve"> PAGEREF _Toc31761 </w:instrText>
          </w:r>
          <w:r>
            <w:rPr>
              <w:sz w:val="28"/>
              <w:szCs w:val="28"/>
            </w:rPr>
            <w:fldChar w:fldCharType="separate"/>
          </w:r>
          <w:r>
            <w:rPr>
              <w:sz w:val="28"/>
              <w:szCs w:val="28"/>
            </w:rPr>
            <w:t>23</w:t>
          </w:r>
          <w:r>
            <w:rPr>
              <w:sz w:val="28"/>
              <w:szCs w:val="28"/>
            </w:rPr>
            <w:fldChar w:fldCharType="end"/>
          </w:r>
          <w:r>
            <w:rPr>
              <w:rFonts w:ascii="方正小标宋简体" w:hAnsi="宋体" w:eastAsia="方正小标宋简体"/>
              <w:sz w:val="28"/>
              <w:szCs w:val="28"/>
            </w:rPr>
            <w:fldChar w:fldCharType="end"/>
          </w:r>
        </w:p>
        <w:p>
          <w:pPr>
            <w:pStyle w:val="34"/>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_Toc25559 </w:instrText>
          </w:r>
          <w:r>
            <w:rPr>
              <w:rFonts w:ascii="方正小标宋简体" w:hAnsi="宋体" w:eastAsia="方正小标宋简体"/>
              <w:sz w:val="28"/>
              <w:szCs w:val="28"/>
            </w:rPr>
            <w:fldChar w:fldCharType="separate"/>
          </w:r>
          <w:r>
            <w:rPr>
              <w:rFonts w:hint="eastAsia" w:ascii="仿宋" w:hAnsi="仿宋" w:eastAsia="仿宋"/>
              <w:sz w:val="28"/>
              <w:szCs w:val="28"/>
            </w:rPr>
            <w:t>（四） 预算绩效管理情况。</w:t>
          </w:r>
          <w:r>
            <w:rPr>
              <w:sz w:val="28"/>
              <w:szCs w:val="28"/>
            </w:rPr>
            <w:tab/>
          </w:r>
          <w:r>
            <w:rPr>
              <w:sz w:val="28"/>
              <w:szCs w:val="28"/>
            </w:rPr>
            <w:fldChar w:fldCharType="begin"/>
          </w:r>
          <w:r>
            <w:rPr>
              <w:sz w:val="28"/>
              <w:szCs w:val="28"/>
            </w:rPr>
            <w:instrText xml:space="preserve"> PAGEREF _Toc25559 </w:instrText>
          </w:r>
          <w:r>
            <w:rPr>
              <w:sz w:val="28"/>
              <w:szCs w:val="28"/>
            </w:rPr>
            <w:fldChar w:fldCharType="separate"/>
          </w:r>
          <w:r>
            <w:rPr>
              <w:sz w:val="28"/>
              <w:szCs w:val="28"/>
            </w:rPr>
            <w:t>24</w:t>
          </w:r>
          <w:r>
            <w:rPr>
              <w:sz w:val="28"/>
              <w:szCs w:val="28"/>
            </w:rPr>
            <w:fldChar w:fldCharType="end"/>
          </w:r>
          <w:r>
            <w:rPr>
              <w:rFonts w:ascii="方正小标宋简体" w:hAnsi="宋体" w:eastAsia="方正小标宋简体"/>
              <w:sz w:val="28"/>
              <w:szCs w:val="28"/>
            </w:rPr>
            <w:fldChar w:fldCharType="end"/>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_Toc14789 </w:instrText>
          </w:r>
          <w:r>
            <w:rPr>
              <w:rFonts w:ascii="方正小标宋简体" w:hAnsi="宋体" w:eastAsia="方正小标宋简体"/>
              <w:sz w:val="28"/>
              <w:szCs w:val="28"/>
            </w:rPr>
            <w:fldChar w:fldCharType="separate"/>
          </w:r>
          <w:r>
            <w:rPr>
              <w:rFonts w:hint="eastAsia" w:ascii="黑体" w:hAnsi="黑体" w:eastAsia="黑体"/>
              <w:sz w:val="28"/>
              <w:szCs w:val="28"/>
            </w:rPr>
            <w:t>第三部分 名词解释</w:t>
          </w:r>
          <w:r>
            <w:rPr>
              <w:sz w:val="28"/>
              <w:szCs w:val="28"/>
            </w:rPr>
            <w:tab/>
          </w:r>
          <w:r>
            <w:rPr>
              <w:sz w:val="28"/>
              <w:szCs w:val="28"/>
            </w:rPr>
            <w:fldChar w:fldCharType="begin"/>
          </w:r>
          <w:r>
            <w:rPr>
              <w:sz w:val="28"/>
              <w:szCs w:val="28"/>
            </w:rPr>
            <w:instrText xml:space="preserve"> PAGEREF _Toc14789 </w:instrText>
          </w:r>
          <w:r>
            <w:rPr>
              <w:sz w:val="28"/>
              <w:szCs w:val="28"/>
            </w:rPr>
            <w:fldChar w:fldCharType="separate"/>
          </w:r>
          <w:r>
            <w:rPr>
              <w:sz w:val="28"/>
              <w:szCs w:val="28"/>
            </w:rPr>
            <w:t>28</w:t>
          </w:r>
          <w:r>
            <w:rPr>
              <w:sz w:val="28"/>
              <w:szCs w:val="28"/>
            </w:rPr>
            <w:fldChar w:fldCharType="end"/>
          </w:r>
          <w:r>
            <w:rPr>
              <w:rFonts w:ascii="方正小标宋简体" w:hAnsi="宋体" w:eastAsia="方正小标宋简体"/>
              <w:sz w:val="28"/>
              <w:szCs w:val="28"/>
            </w:rPr>
            <w:fldChar w:fldCharType="end"/>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_Toc27051 </w:instrText>
          </w:r>
          <w:r>
            <w:rPr>
              <w:rFonts w:ascii="方正小标宋简体" w:hAnsi="宋体" w:eastAsia="方正小标宋简体"/>
              <w:sz w:val="28"/>
              <w:szCs w:val="28"/>
            </w:rPr>
            <w:fldChar w:fldCharType="separate"/>
          </w:r>
          <w:r>
            <w:rPr>
              <w:rFonts w:hint="eastAsia" w:ascii="黑体" w:hAnsi="黑体" w:eastAsia="黑体"/>
              <w:sz w:val="28"/>
              <w:szCs w:val="28"/>
            </w:rPr>
            <w:t>第四部分 附件</w:t>
          </w:r>
          <w:r>
            <w:rPr>
              <w:sz w:val="28"/>
              <w:szCs w:val="28"/>
            </w:rPr>
            <w:tab/>
          </w:r>
          <w:r>
            <w:rPr>
              <w:sz w:val="28"/>
              <w:szCs w:val="28"/>
            </w:rPr>
            <w:fldChar w:fldCharType="begin"/>
          </w:r>
          <w:r>
            <w:rPr>
              <w:sz w:val="28"/>
              <w:szCs w:val="28"/>
            </w:rPr>
            <w:instrText xml:space="preserve"> PAGEREF _Toc27051 </w:instrText>
          </w:r>
          <w:r>
            <w:rPr>
              <w:sz w:val="28"/>
              <w:szCs w:val="28"/>
            </w:rPr>
            <w:fldChar w:fldCharType="separate"/>
          </w:r>
          <w:r>
            <w:rPr>
              <w:sz w:val="28"/>
              <w:szCs w:val="28"/>
            </w:rPr>
            <w:t>31</w:t>
          </w:r>
          <w:r>
            <w:rPr>
              <w:sz w:val="28"/>
              <w:szCs w:val="28"/>
            </w:rPr>
            <w:fldChar w:fldCharType="end"/>
          </w:r>
          <w:r>
            <w:rPr>
              <w:rFonts w:ascii="方正小标宋简体" w:hAnsi="宋体" w:eastAsia="方正小标宋简体"/>
              <w:sz w:val="28"/>
              <w:szCs w:val="28"/>
            </w:rPr>
            <w:fldChar w:fldCharType="end"/>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_Toc1230 </w:instrText>
          </w:r>
          <w:r>
            <w:rPr>
              <w:rFonts w:ascii="方正小标宋简体" w:hAnsi="宋体" w:eastAsia="方正小标宋简体"/>
              <w:sz w:val="28"/>
              <w:szCs w:val="28"/>
            </w:rPr>
            <w:fldChar w:fldCharType="separate"/>
          </w:r>
          <w:r>
            <w:rPr>
              <w:rFonts w:hint="eastAsia" w:ascii="黑体" w:hAnsi="黑体" w:eastAsia="黑体" w:cs="方正小标宋简体"/>
              <w:sz w:val="28"/>
              <w:szCs w:val="28"/>
            </w:rPr>
            <w:t>201</w:t>
          </w:r>
          <w:r>
            <w:rPr>
              <w:rFonts w:hint="eastAsia" w:ascii="黑体" w:hAnsi="黑体" w:eastAsia="黑体" w:cs="方正小标宋简体"/>
              <w:sz w:val="28"/>
              <w:szCs w:val="28"/>
              <w:lang w:val="en-US" w:eastAsia="zh-CN"/>
            </w:rPr>
            <w:t>9</w:t>
          </w:r>
          <w:r>
            <w:rPr>
              <w:rFonts w:hint="eastAsia" w:ascii="黑体" w:hAnsi="黑体" w:eastAsia="黑体" w:cs="方正小标宋简体"/>
              <w:sz w:val="28"/>
              <w:szCs w:val="28"/>
            </w:rPr>
            <w:t>年部门整体支出绩效评价报告</w:t>
          </w:r>
          <w:r>
            <w:rPr>
              <w:sz w:val="28"/>
              <w:szCs w:val="28"/>
            </w:rPr>
            <w:tab/>
          </w:r>
          <w:r>
            <w:rPr>
              <w:sz w:val="28"/>
              <w:szCs w:val="28"/>
            </w:rPr>
            <w:fldChar w:fldCharType="begin"/>
          </w:r>
          <w:r>
            <w:rPr>
              <w:sz w:val="28"/>
              <w:szCs w:val="28"/>
            </w:rPr>
            <w:instrText xml:space="preserve"> PAGEREF _Toc1230 </w:instrText>
          </w:r>
          <w:r>
            <w:rPr>
              <w:sz w:val="28"/>
              <w:szCs w:val="28"/>
            </w:rPr>
            <w:fldChar w:fldCharType="separate"/>
          </w:r>
          <w:r>
            <w:rPr>
              <w:sz w:val="28"/>
              <w:szCs w:val="28"/>
            </w:rPr>
            <w:t>31</w:t>
          </w:r>
          <w:r>
            <w:rPr>
              <w:sz w:val="28"/>
              <w:szCs w:val="28"/>
            </w:rPr>
            <w:fldChar w:fldCharType="end"/>
          </w:r>
          <w:r>
            <w:rPr>
              <w:rFonts w:ascii="方正小标宋简体" w:hAnsi="宋体" w:eastAsia="方正小标宋简体"/>
              <w:sz w:val="28"/>
              <w:szCs w:val="28"/>
            </w:rPr>
            <w:fldChar w:fldCharType="end"/>
          </w:r>
        </w:p>
        <w:p>
          <w:pPr>
            <w:pStyle w:val="32"/>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_Toc12284 </w:instrText>
          </w:r>
          <w:r>
            <w:rPr>
              <w:rFonts w:ascii="方正小标宋简体" w:hAnsi="宋体" w:eastAsia="方正小标宋简体"/>
              <w:sz w:val="28"/>
              <w:szCs w:val="28"/>
            </w:rPr>
            <w:fldChar w:fldCharType="separate"/>
          </w:r>
          <w:r>
            <w:rPr>
              <w:rFonts w:hint="eastAsia" w:ascii="黑体" w:hAnsi="黑体" w:eastAsia="黑体"/>
              <w:sz w:val="28"/>
              <w:szCs w:val="28"/>
            </w:rPr>
            <w:t>第五部分 附表</w:t>
          </w:r>
          <w:r>
            <w:rPr>
              <w:sz w:val="28"/>
              <w:szCs w:val="28"/>
            </w:rPr>
            <w:tab/>
          </w:r>
          <w:r>
            <w:rPr>
              <w:sz w:val="28"/>
              <w:szCs w:val="28"/>
            </w:rPr>
            <w:fldChar w:fldCharType="begin"/>
          </w:r>
          <w:r>
            <w:rPr>
              <w:sz w:val="28"/>
              <w:szCs w:val="28"/>
            </w:rPr>
            <w:instrText xml:space="preserve"> PAGEREF _Toc12284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_Toc22153 </w:instrText>
          </w:r>
          <w:r>
            <w:rPr>
              <w:rFonts w:ascii="方正小标宋简体" w:hAnsi="宋体" w:eastAsia="方正小标宋简体"/>
              <w:sz w:val="28"/>
              <w:szCs w:val="28"/>
            </w:rPr>
            <w:fldChar w:fldCharType="separate"/>
          </w:r>
          <w:r>
            <w:rPr>
              <w:rFonts w:hint="eastAsia" w:ascii="仿宋" w:hAnsi="仿宋" w:eastAsia="仿宋"/>
              <w:sz w:val="28"/>
              <w:szCs w:val="28"/>
            </w:rPr>
            <w:t>一、收</w:t>
          </w:r>
          <w:r>
            <w:rPr>
              <w:rFonts w:hint="eastAsia" w:ascii="仿宋" w:hAnsi="仿宋" w:eastAsia="仿宋"/>
              <w:bCs w:val="0"/>
              <w:sz w:val="28"/>
              <w:szCs w:val="28"/>
            </w:rPr>
            <w:t>入支出决算总表</w:t>
          </w:r>
          <w:r>
            <w:rPr>
              <w:sz w:val="28"/>
              <w:szCs w:val="28"/>
            </w:rPr>
            <w:tab/>
          </w:r>
          <w:r>
            <w:rPr>
              <w:sz w:val="28"/>
              <w:szCs w:val="28"/>
            </w:rPr>
            <w:fldChar w:fldCharType="begin"/>
          </w:r>
          <w:r>
            <w:rPr>
              <w:sz w:val="28"/>
              <w:szCs w:val="28"/>
            </w:rPr>
            <w:instrText xml:space="preserve"> PAGEREF _Toc22153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_Toc11721 </w:instrText>
          </w:r>
          <w:r>
            <w:rPr>
              <w:rFonts w:ascii="方正小标宋简体" w:hAnsi="宋体" w:eastAsia="方正小标宋简体"/>
              <w:sz w:val="28"/>
              <w:szCs w:val="28"/>
            </w:rPr>
            <w:fldChar w:fldCharType="separate"/>
          </w:r>
          <w:r>
            <w:rPr>
              <w:rFonts w:hint="eastAsia" w:ascii="仿宋" w:hAnsi="仿宋" w:eastAsia="仿宋"/>
              <w:sz w:val="28"/>
              <w:szCs w:val="28"/>
            </w:rPr>
            <w:t>二、收</w:t>
          </w:r>
          <w:r>
            <w:rPr>
              <w:rFonts w:hint="eastAsia" w:ascii="仿宋" w:hAnsi="仿宋" w:eastAsia="仿宋"/>
              <w:bCs w:val="0"/>
              <w:sz w:val="28"/>
              <w:szCs w:val="28"/>
            </w:rPr>
            <w:t>入决算表</w:t>
          </w:r>
          <w:r>
            <w:rPr>
              <w:sz w:val="28"/>
              <w:szCs w:val="28"/>
            </w:rPr>
            <w:tab/>
          </w:r>
          <w:r>
            <w:rPr>
              <w:sz w:val="28"/>
              <w:szCs w:val="28"/>
            </w:rPr>
            <w:fldChar w:fldCharType="begin"/>
          </w:r>
          <w:r>
            <w:rPr>
              <w:sz w:val="28"/>
              <w:szCs w:val="28"/>
            </w:rPr>
            <w:instrText xml:space="preserve"> PAGEREF _Toc11721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_Toc23105 </w:instrText>
          </w:r>
          <w:r>
            <w:rPr>
              <w:rFonts w:ascii="方正小标宋简体" w:hAnsi="宋体" w:eastAsia="方正小标宋简体"/>
              <w:sz w:val="28"/>
              <w:szCs w:val="28"/>
            </w:rPr>
            <w:fldChar w:fldCharType="separate"/>
          </w:r>
          <w:r>
            <w:rPr>
              <w:rFonts w:hint="eastAsia" w:ascii="仿宋" w:hAnsi="仿宋" w:eastAsia="仿宋"/>
              <w:bCs w:val="0"/>
              <w:sz w:val="28"/>
              <w:szCs w:val="28"/>
            </w:rPr>
            <w:t>三、</w:t>
          </w:r>
          <w:r>
            <w:rPr>
              <w:rFonts w:hint="eastAsia" w:ascii="仿宋" w:hAnsi="仿宋" w:eastAsia="仿宋"/>
              <w:sz w:val="28"/>
              <w:szCs w:val="28"/>
            </w:rPr>
            <w:t>支</w:t>
          </w:r>
          <w:r>
            <w:rPr>
              <w:rFonts w:hint="eastAsia" w:ascii="仿宋" w:hAnsi="仿宋" w:eastAsia="仿宋"/>
              <w:bCs w:val="0"/>
              <w:sz w:val="28"/>
              <w:szCs w:val="28"/>
            </w:rPr>
            <w:t>出决算表</w:t>
          </w:r>
          <w:r>
            <w:rPr>
              <w:sz w:val="28"/>
              <w:szCs w:val="28"/>
            </w:rPr>
            <w:tab/>
          </w:r>
          <w:r>
            <w:rPr>
              <w:sz w:val="28"/>
              <w:szCs w:val="28"/>
            </w:rPr>
            <w:fldChar w:fldCharType="begin"/>
          </w:r>
          <w:r>
            <w:rPr>
              <w:sz w:val="28"/>
              <w:szCs w:val="28"/>
            </w:rPr>
            <w:instrText xml:space="preserve"> PAGEREF _Toc23105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_Toc17762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四、</w:t>
          </w:r>
          <w:r>
            <w:rPr>
              <w:rFonts w:hint="eastAsia" w:ascii="仿宋" w:hAnsi="仿宋" w:eastAsia="仿宋"/>
              <w:sz w:val="28"/>
              <w:szCs w:val="28"/>
            </w:rPr>
            <w:t>财</w:t>
          </w:r>
          <w:r>
            <w:rPr>
              <w:rFonts w:hint="eastAsia" w:ascii="仿宋" w:hAnsi="仿宋" w:eastAsia="仿宋"/>
              <w:bCs w:val="0"/>
              <w:sz w:val="28"/>
              <w:szCs w:val="28"/>
            </w:rPr>
            <w:t>政拨款收入支出决算总表</w:t>
          </w:r>
          <w:r>
            <w:rPr>
              <w:sz w:val="28"/>
              <w:szCs w:val="28"/>
            </w:rPr>
            <w:tab/>
          </w:r>
          <w:r>
            <w:rPr>
              <w:sz w:val="28"/>
              <w:szCs w:val="28"/>
            </w:rPr>
            <w:fldChar w:fldCharType="begin"/>
          </w:r>
          <w:r>
            <w:rPr>
              <w:sz w:val="28"/>
              <w:szCs w:val="28"/>
            </w:rPr>
            <w:instrText xml:space="preserve"> PAGEREF _Toc17762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_Toc23766 </w:instrText>
          </w:r>
          <w:r>
            <w:rPr>
              <w:rFonts w:ascii="方正小标宋简体" w:hAnsi="宋体" w:eastAsia="方正小标宋简体"/>
              <w:sz w:val="28"/>
              <w:szCs w:val="28"/>
            </w:rPr>
            <w:fldChar w:fldCharType="separate"/>
          </w:r>
          <w:r>
            <w:rPr>
              <w:rFonts w:hint="eastAsia" w:ascii="仿宋" w:hAnsi="仿宋" w:eastAsia="仿宋"/>
              <w:bCs w:val="0"/>
              <w:sz w:val="28"/>
              <w:szCs w:val="28"/>
            </w:rPr>
            <w:t>五、</w:t>
          </w:r>
          <w:r>
            <w:rPr>
              <w:rFonts w:hint="eastAsia" w:ascii="仿宋" w:hAnsi="仿宋" w:eastAsia="仿宋"/>
              <w:sz w:val="28"/>
              <w:szCs w:val="28"/>
            </w:rPr>
            <w:t>财</w:t>
          </w:r>
          <w:r>
            <w:rPr>
              <w:rFonts w:hint="eastAsia" w:ascii="仿宋" w:hAnsi="仿宋" w:eastAsia="仿宋"/>
              <w:bCs w:val="0"/>
              <w:sz w:val="28"/>
              <w:szCs w:val="28"/>
            </w:rPr>
            <w:t>政拨款支出决算明细表</w:t>
          </w:r>
          <w:r>
            <w:rPr>
              <w:sz w:val="28"/>
              <w:szCs w:val="28"/>
            </w:rPr>
            <w:tab/>
          </w:r>
          <w:r>
            <w:rPr>
              <w:sz w:val="28"/>
              <w:szCs w:val="28"/>
            </w:rPr>
            <w:fldChar w:fldCharType="begin"/>
          </w:r>
          <w:r>
            <w:rPr>
              <w:sz w:val="28"/>
              <w:szCs w:val="28"/>
            </w:rPr>
            <w:instrText xml:space="preserve"> PAGEREF _Toc23766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_Toc19618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六、</w:t>
          </w:r>
          <w:r>
            <w:rPr>
              <w:rFonts w:hint="eastAsia" w:ascii="仿宋" w:hAnsi="仿宋" w:eastAsia="仿宋"/>
              <w:sz w:val="28"/>
              <w:szCs w:val="28"/>
            </w:rPr>
            <w:t>一</w:t>
          </w:r>
          <w:r>
            <w:rPr>
              <w:rFonts w:hint="eastAsia" w:ascii="仿宋" w:hAnsi="仿宋" w:eastAsia="仿宋"/>
              <w:bCs w:val="0"/>
              <w:sz w:val="28"/>
              <w:szCs w:val="28"/>
            </w:rPr>
            <w:t>般公共预算财政拨款支出决算表</w:t>
          </w:r>
          <w:r>
            <w:rPr>
              <w:sz w:val="28"/>
              <w:szCs w:val="28"/>
            </w:rPr>
            <w:tab/>
          </w:r>
          <w:r>
            <w:rPr>
              <w:sz w:val="28"/>
              <w:szCs w:val="28"/>
            </w:rPr>
            <w:fldChar w:fldCharType="begin"/>
          </w:r>
          <w:r>
            <w:rPr>
              <w:sz w:val="28"/>
              <w:szCs w:val="28"/>
            </w:rPr>
            <w:instrText xml:space="preserve"> PAGEREF _Toc19618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_Toc22713 </w:instrText>
          </w:r>
          <w:r>
            <w:rPr>
              <w:rFonts w:ascii="方正小标宋简体" w:hAnsi="宋体" w:eastAsia="方正小标宋简体"/>
              <w:sz w:val="28"/>
              <w:szCs w:val="28"/>
            </w:rPr>
            <w:fldChar w:fldCharType="separate"/>
          </w:r>
          <w:r>
            <w:rPr>
              <w:rFonts w:hint="eastAsia" w:ascii="仿宋" w:hAnsi="仿宋" w:eastAsia="仿宋"/>
              <w:bCs w:val="0"/>
              <w:sz w:val="28"/>
              <w:szCs w:val="28"/>
            </w:rPr>
            <w:t>七、</w:t>
          </w:r>
          <w:r>
            <w:rPr>
              <w:rFonts w:hint="eastAsia" w:ascii="仿宋" w:hAnsi="仿宋" w:eastAsia="仿宋"/>
              <w:sz w:val="28"/>
              <w:szCs w:val="28"/>
            </w:rPr>
            <w:t>一</w:t>
          </w:r>
          <w:r>
            <w:rPr>
              <w:rFonts w:hint="eastAsia" w:ascii="仿宋" w:hAnsi="仿宋" w:eastAsia="仿宋"/>
              <w:bCs w:val="0"/>
              <w:sz w:val="28"/>
              <w:szCs w:val="28"/>
            </w:rPr>
            <w:t>般公共预算财政拨款支出决算明细表</w:t>
          </w:r>
          <w:r>
            <w:rPr>
              <w:sz w:val="28"/>
              <w:szCs w:val="28"/>
            </w:rPr>
            <w:tab/>
          </w:r>
          <w:r>
            <w:rPr>
              <w:sz w:val="28"/>
              <w:szCs w:val="28"/>
            </w:rPr>
            <w:fldChar w:fldCharType="begin"/>
          </w:r>
          <w:r>
            <w:rPr>
              <w:sz w:val="28"/>
              <w:szCs w:val="28"/>
            </w:rPr>
            <w:instrText xml:space="preserve"> PAGEREF _Toc22713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_Toc26672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八、</w:t>
          </w:r>
          <w:r>
            <w:rPr>
              <w:rFonts w:hint="eastAsia" w:ascii="仿宋" w:hAnsi="仿宋" w:eastAsia="仿宋"/>
              <w:sz w:val="28"/>
              <w:szCs w:val="28"/>
            </w:rPr>
            <w:t>一</w:t>
          </w:r>
          <w:r>
            <w:rPr>
              <w:rFonts w:hint="eastAsia" w:ascii="仿宋" w:hAnsi="仿宋" w:eastAsia="仿宋"/>
              <w:bCs w:val="0"/>
              <w:sz w:val="28"/>
              <w:szCs w:val="28"/>
            </w:rPr>
            <w:t>般公共预算财政拨款基本支出决算表</w:t>
          </w:r>
          <w:r>
            <w:rPr>
              <w:sz w:val="28"/>
              <w:szCs w:val="28"/>
            </w:rPr>
            <w:tab/>
          </w:r>
          <w:r>
            <w:rPr>
              <w:sz w:val="28"/>
              <w:szCs w:val="28"/>
            </w:rPr>
            <w:fldChar w:fldCharType="begin"/>
          </w:r>
          <w:r>
            <w:rPr>
              <w:sz w:val="28"/>
              <w:szCs w:val="28"/>
            </w:rPr>
            <w:instrText xml:space="preserve"> PAGEREF _Toc26672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_Toc3077 </w:instrText>
          </w:r>
          <w:r>
            <w:rPr>
              <w:rFonts w:ascii="方正小标宋简体" w:hAnsi="宋体" w:eastAsia="方正小标宋简体"/>
              <w:sz w:val="28"/>
              <w:szCs w:val="28"/>
            </w:rPr>
            <w:fldChar w:fldCharType="separate"/>
          </w:r>
          <w:r>
            <w:rPr>
              <w:rFonts w:hint="eastAsia" w:ascii="仿宋" w:hAnsi="仿宋" w:eastAsia="仿宋"/>
              <w:bCs w:val="0"/>
              <w:sz w:val="28"/>
              <w:szCs w:val="28"/>
            </w:rPr>
            <w:t>九、</w:t>
          </w:r>
          <w:r>
            <w:rPr>
              <w:rFonts w:hint="eastAsia" w:ascii="仿宋" w:hAnsi="仿宋" w:eastAsia="仿宋"/>
              <w:sz w:val="28"/>
              <w:szCs w:val="28"/>
            </w:rPr>
            <w:t>一</w:t>
          </w:r>
          <w:r>
            <w:rPr>
              <w:rFonts w:hint="eastAsia" w:ascii="仿宋" w:hAnsi="仿宋" w:eastAsia="仿宋"/>
              <w:bCs w:val="0"/>
              <w:sz w:val="28"/>
              <w:szCs w:val="28"/>
            </w:rPr>
            <w:t>般公共预算财政拨款项目支出决算表</w:t>
          </w:r>
          <w:r>
            <w:rPr>
              <w:sz w:val="28"/>
              <w:szCs w:val="28"/>
            </w:rPr>
            <w:tab/>
          </w:r>
          <w:r>
            <w:rPr>
              <w:sz w:val="28"/>
              <w:szCs w:val="28"/>
            </w:rPr>
            <w:fldChar w:fldCharType="begin"/>
          </w:r>
          <w:r>
            <w:rPr>
              <w:sz w:val="28"/>
              <w:szCs w:val="28"/>
            </w:rPr>
            <w:instrText xml:space="preserve"> PAGEREF _Toc3077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_Toc8584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十、</w:t>
          </w:r>
          <w:r>
            <w:rPr>
              <w:rFonts w:hint="eastAsia" w:ascii="仿宋" w:hAnsi="仿宋" w:eastAsia="仿宋"/>
              <w:sz w:val="28"/>
              <w:szCs w:val="28"/>
            </w:rPr>
            <w:t>一</w:t>
          </w:r>
          <w:r>
            <w:rPr>
              <w:rFonts w:hint="eastAsia" w:ascii="仿宋" w:hAnsi="仿宋" w:eastAsia="仿宋"/>
              <w:bCs w:val="0"/>
              <w:sz w:val="28"/>
              <w:szCs w:val="28"/>
            </w:rPr>
            <w:t>般公共预算财政拨款“三公”经费支出决算表</w:t>
          </w:r>
          <w:r>
            <w:rPr>
              <w:sz w:val="28"/>
              <w:szCs w:val="28"/>
            </w:rPr>
            <w:tab/>
          </w:r>
          <w:r>
            <w:rPr>
              <w:sz w:val="28"/>
              <w:szCs w:val="28"/>
            </w:rPr>
            <w:fldChar w:fldCharType="begin"/>
          </w:r>
          <w:r>
            <w:rPr>
              <w:sz w:val="28"/>
              <w:szCs w:val="28"/>
            </w:rPr>
            <w:instrText xml:space="preserve"> PAGEREF _Toc8584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_Toc14060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十一、</w:t>
          </w:r>
          <w:r>
            <w:rPr>
              <w:rFonts w:hint="eastAsia" w:ascii="仿宋" w:hAnsi="仿宋" w:eastAsia="仿宋"/>
              <w:sz w:val="28"/>
              <w:szCs w:val="28"/>
            </w:rPr>
            <w:t>政</w:t>
          </w:r>
          <w:r>
            <w:rPr>
              <w:rFonts w:hint="eastAsia" w:ascii="仿宋" w:hAnsi="仿宋" w:eastAsia="仿宋"/>
              <w:bCs w:val="0"/>
              <w:sz w:val="28"/>
              <w:szCs w:val="28"/>
            </w:rPr>
            <w:t>府性基金预算财政拨款收入支出决算表</w:t>
          </w:r>
          <w:r>
            <w:rPr>
              <w:sz w:val="28"/>
              <w:szCs w:val="28"/>
            </w:rPr>
            <w:tab/>
          </w:r>
          <w:r>
            <w:rPr>
              <w:sz w:val="28"/>
              <w:szCs w:val="28"/>
            </w:rPr>
            <w:fldChar w:fldCharType="begin"/>
          </w:r>
          <w:r>
            <w:rPr>
              <w:sz w:val="28"/>
              <w:szCs w:val="28"/>
            </w:rPr>
            <w:instrText xml:space="preserve"> PAGEREF _Toc14060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_Toc10797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十二、</w:t>
          </w:r>
          <w:r>
            <w:rPr>
              <w:rFonts w:hint="eastAsia" w:ascii="仿宋" w:hAnsi="仿宋" w:eastAsia="仿宋"/>
              <w:sz w:val="28"/>
              <w:szCs w:val="28"/>
            </w:rPr>
            <w:t>政</w:t>
          </w:r>
          <w:r>
            <w:rPr>
              <w:rFonts w:hint="eastAsia" w:ascii="仿宋" w:hAnsi="仿宋" w:eastAsia="仿宋"/>
              <w:bCs w:val="0"/>
              <w:sz w:val="28"/>
              <w:szCs w:val="28"/>
            </w:rPr>
            <w:t>府性基金预算财政拨款“三公”经费支出决算表</w:t>
          </w:r>
          <w:r>
            <w:rPr>
              <w:sz w:val="28"/>
              <w:szCs w:val="28"/>
            </w:rPr>
            <w:tab/>
          </w:r>
          <w:r>
            <w:rPr>
              <w:sz w:val="28"/>
              <w:szCs w:val="28"/>
            </w:rPr>
            <w:fldChar w:fldCharType="begin"/>
          </w:r>
          <w:r>
            <w:rPr>
              <w:sz w:val="28"/>
              <w:szCs w:val="28"/>
            </w:rPr>
            <w:instrText xml:space="preserve"> PAGEREF _Toc10797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pStyle w:val="33"/>
            <w:tabs>
              <w:tab w:val="right" w:leader="dot" w:pos="8306"/>
            </w:tabs>
            <w:rPr>
              <w:sz w:val="28"/>
              <w:szCs w:val="28"/>
            </w:rPr>
          </w:pPr>
          <w:r>
            <w:rPr>
              <w:rFonts w:ascii="方正小标宋简体" w:hAnsi="宋体" w:eastAsia="方正小标宋简体"/>
              <w:sz w:val="28"/>
              <w:szCs w:val="28"/>
            </w:rPr>
            <w:fldChar w:fldCharType="begin"/>
          </w:r>
          <w:r>
            <w:rPr>
              <w:rFonts w:ascii="方正小标宋简体" w:hAnsi="宋体" w:eastAsia="方正小标宋简体"/>
              <w:sz w:val="28"/>
              <w:szCs w:val="28"/>
            </w:rPr>
            <w:instrText xml:space="preserve"> HYPERLINK \l _Toc22160 </w:instrText>
          </w:r>
          <w:r>
            <w:rPr>
              <w:rFonts w:ascii="方正小标宋简体" w:hAnsi="宋体" w:eastAsia="方正小标宋简体"/>
              <w:sz w:val="28"/>
              <w:szCs w:val="28"/>
            </w:rPr>
            <w:fldChar w:fldCharType="separate"/>
          </w:r>
          <w:r>
            <w:rPr>
              <w:rFonts w:hint="eastAsia" w:ascii="仿宋" w:hAnsi="仿宋" w:eastAsia="仿宋"/>
              <w:bCs w:val="0"/>
              <w:sz w:val="28"/>
              <w:szCs w:val="28"/>
            </w:rPr>
            <w:t>十三、</w:t>
          </w:r>
          <w:r>
            <w:rPr>
              <w:rFonts w:hint="eastAsia" w:ascii="仿宋" w:hAnsi="仿宋" w:eastAsia="仿宋"/>
              <w:sz w:val="28"/>
              <w:szCs w:val="28"/>
            </w:rPr>
            <w:t>国</w:t>
          </w:r>
          <w:r>
            <w:rPr>
              <w:rFonts w:hint="eastAsia" w:ascii="仿宋" w:hAnsi="仿宋" w:eastAsia="仿宋"/>
              <w:bCs w:val="0"/>
              <w:sz w:val="28"/>
              <w:szCs w:val="28"/>
            </w:rPr>
            <w:t>有资本经营预算支出决算表</w:t>
          </w:r>
          <w:r>
            <w:rPr>
              <w:sz w:val="28"/>
              <w:szCs w:val="28"/>
            </w:rPr>
            <w:tab/>
          </w:r>
          <w:r>
            <w:rPr>
              <w:sz w:val="28"/>
              <w:szCs w:val="28"/>
            </w:rPr>
            <w:fldChar w:fldCharType="begin"/>
          </w:r>
          <w:r>
            <w:rPr>
              <w:sz w:val="28"/>
              <w:szCs w:val="28"/>
            </w:rPr>
            <w:instrText xml:space="preserve"> PAGEREF _Toc22160 </w:instrText>
          </w:r>
          <w:r>
            <w:rPr>
              <w:sz w:val="28"/>
              <w:szCs w:val="28"/>
            </w:rPr>
            <w:fldChar w:fldCharType="separate"/>
          </w:r>
          <w:r>
            <w:rPr>
              <w:sz w:val="28"/>
              <w:szCs w:val="28"/>
            </w:rPr>
            <w:t>35</w:t>
          </w:r>
          <w:r>
            <w:rPr>
              <w:sz w:val="28"/>
              <w:szCs w:val="28"/>
            </w:rPr>
            <w:fldChar w:fldCharType="end"/>
          </w:r>
          <w:r>
            <w:rPr>
              <w:rFonts w:ascii="方正小标宋简体" w:hAnsi="宋体" w:eastAsia="方正小标宋简体"/>
              <w:sz w:val="28"/>
              <w:szCs w:val="28"/>
            </w:rPr>
            <w:fldChar w:fldCharType="end"/>
          </w:r>
        </w:p>
        <w:p>
          <w:pPr>
            <w:widowControl/>
            <w:adjustRightInd w:val="0"/>
            <w:snapToGrid w:val="0"/>
            <w:spacing w:line="440" w:lineRule="exact"/>
            <w:ind w:firstLine="1540" w:firstLineChars="550"/>
            <w:jc w:val="left"/>
            <w:rPr>
              <w:rFonts w:ascii="方正小标宋简体" w:hAnsi="宋体" w:eastAsia="方正小标宋简体"/>
              <w:sz w:val="36"/>
              <w:szCs w:val="36"/>
            </w:rPr>
          </w:pPr>
          <w:r>
            <w:rPr>
              <w:rFonts w:ascii="方正小标宋简体" w:hAnsi="宋体" w:eastAsia="方正小标宋简体"/>
              <w:sz w:val="28"/>
              <w:szCs w:val="28"/>
            </w:rPr>
            <w:fldChar w:fldCharType="end"/>
          </w:r>
        </w:p>
      </w:sdtContent>
    </w:sdt>
    <w:p>
      <w:pPr>
        <w:widowControl/>
        <w:spacing w:line="440" w:lineRule="exact"/>
        <w:jc w:val="left"/>
        <w:rPr>
          <w:rFonts w:ascii="仿宋" w:hAnsi="仿宋" w:eastAsia="仿宋"/>
          <w:bCs/>
          <w:kern w:val="44"/>
          <w:sz w:val="24"/>
        </w:rPr>
      </w:pPr>
      <w:bookmarkStart w:id="15" w:name="_Toc15396599"/>
      <w:bookmarkStart w:id="16" w:name="_Toc15377196"/>
    </w:p>
    <w:p>
      <w:pPr>
        <w:pStyle w:val="2"/>
        <w:jc w:val="center"/>
        <w:rPr>
          <w:rFonts w:ascii="黑体" w:eastAsia="黑体"/>
          <w:color w:val="000000"/>
          <w:sz w:val="32"/>
          <w:szCs w:val="32"/>
        </w:rPr>
      </w:pPr>
      <w:bookmarkStart w:id="17" w:name="_Toc9441"/>
      <w:r>
        <w:rPr>
          <w:rFonts w:hint="eastAsia" w:ascii="黑体" w:hAnsi="黑体" w:eastAsia="黑体"/>
          <w:b w:val="0"/>
        </w:rPr>
        <w:t xml:space="preserve">第一部分 </w:t>
      </w:r>
      <w:r>
        <w:rPr>
          <w:rStyle w:val="24"/>
          <w:rFonts w:hint="eastAsia" w:ascii="黑体" w:hAnsi="黑体" w:eastAsia="黑体"/>
          <w:b w:val="0"/>
          <w:bCs w:val="0"/>
        </w:rPr>
        <w:t>部门概况</w:t>
      </w:r>
      <w:bookmarkEnd w:id="15"/>
      <w:bookmarkEnd w:id="16"/>
      <w:bookmarkEnd w:id="17"/>
    </w:p>
    <w:p>
      <w:pPr>
        <w:pStyle w:val="3"/>
        <w:rPr>
          <w:rStyle w:val="25"/>
          <w:rFonts w:ascii="仿宋" w:hAnsi="仿宋" w:eastAsia="仿宋"/>
          <w:b w:val="0"/>
          <w:bCs w:val="0"/>
        </w:rPr>
      </w:pPr>
      <w:bookmarkStart w:id="18" w:name="_Toc15377197"/>
      <w:bookmarkStart w:id="19" w:name="_Toc15396600"/>
      <w:bookmarkStart w:id="20" w:name="_Toc25772"/>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8"/>
      <w:bookmarkEnd w:id="19"/>
      <w:bookmarkEnd w:id="20"/>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1" w:name="_Toc15378445"/>
      <w:bookmarkStart w:id="22" w:name="_Toc15377198"/>
      <w:bookmarkStart w:id="23" w:name="_Toc8619"/>
      <w:bookmarkStart w:id="24" w:name="_Toc15377199"/>
      <w:bookmarkStart w:id="25" w:name="_Toc15378446"/>
      <w:r>
        <w:rPr>
          <w:rFonts w:hint="eastAsia" w:ascii="仿宋" w:hAnsi="仿宋" w:eastAsia="仿宋"/>
          <w:bCs/>
          <w:color w:val="000000"/>
          <w:sz w:val="32"/>
          <w:szCs w:val="32"/>
        </w:rPr>
        <w:t>（一）主要职能。</w:t>
      </w:r>
      <w:bookmarkEnd w:id="21"/>
      <w:bookmarkEnd w:id="22"/>
      <w:bookmarkEnd w:id="23"/>
    </w:p>
    <w:p>
      <w:pPr>
        <w:widowControl/>
        <w:spacing w:line="6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中华人民共和国宪法规定中国共产党领导的多党合作和政治协商制度将长期存在和发展，其主要职能职责是：政治协商、</w:t>
      </w:r>
      <w:r>
        <w:rPr>
          <w:rFonts w:hint="eastAsia" w:ascii="仿宋" w:hAnsi="仿宋" w:eastAsia="仿宋" w:cs="宋体"/>
          <w:kern w:val="0"/>
          <w:sz w:val="32"/>
          <w:szCs w:val="32"/>
          <w:lang w:eastAsia="zh-CN"/>
        </w:rPr>
        <w:t>民主</w:t>
      </w:r>
      <w:r>
        <w:rPr>
          <w:rFonts w:hint="eastAsia" w:ascii="仿宋" w:hAnsi="仿宋" w:eastAsia="仿宋" w:cs="宋体"/>
          <w:kern w:val="0"/>
          <w:sz w:val="32"/>
          <w:szCs w:val="32"/>
        </w:rPr>
        <w:t>监督、参政议政。</w:t>
      </w:r>
    </w:p>
    <w:p>
      <w:pPr>
        <w:widowControl/>
        <w:spacing w:line="600" w:lineRule="exact"/>
        <w:ind w:firstLine="800" w:firstLineChars="250"/>
        <w:jc w:val="left"/>
        <w:rPr>
          <w:rFonts w:hint="eastAsia" w:ascii="仿宋" w:hAnsi="仿宋" w:eastAsia="仿宋"/>
          <w:bCs/>
          <w:color w:val="000000"/>
          <w:sz w:val="32"/>
          <w:szCs w:val="32"/>
        </w:rPr>
      </w:pPr>
      <w:r>
        <w:rPr>
          <w:rFonts w:ascii="仿宋" w:hAnsi="仿宋" w:eastAsia="仿宋" w:cs="宋体"/>
          <w:kern w:val="0"/>
          <w:sz w:val="32"/>
          <w:szCs w:val="32"/>
        </w:rPr>
        <w:t>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年主要工作任务是：全县政治协商、</w:t>
      </w:r>
      <w:r>
        <w:rPr>
          <w:rFonts w:hint="eastAsia" w:ascii="仿宋" w:hAnsi="仿宋" w:eastAsia="仿宋" w:cs="宋体"/>
          <w:kern w:val="0"/>
          <w:sz w:val="32"/>
          <w:szCs w:val="32"/>
          <w:lang w:eastAsia="zh-CN"/>
        </w:rPr>
        <w:t>民主</w:t>
      </w:r>
      <w:r>
        <w:rPr>
          <w:rFonts w:hint="eastAsia" w:ascii="仿宋" w:hAnsi="仿宋" w:eastAsia="仿宋" w:cs="宋体"/>
          <w:kern w:val="0"/>
          <w:sz w:val="32"/>
          <w:szCs w:val="32"/>
        </w:rPr>
        <w:t>监督、参政议政。</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26" w:name="_Toc30080"/>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4"/>
      <w:bookmarkEnd w:id="25"/>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2019年是新中国成立70周年，是人民政协成立70周年，也是我县</w:t>
      </w:r>
      <w:r>
        <w:rPr>
          <w:rFonts w:hint="eastAsia" w:ascii="仿宋_GB2312" w:hAnsi="仿宋_GB2312" w:eastAsia="仿宋_GB2312" w:cs="仿宋_GB2312"/>
          <w:b w:val="0"/>
          <w:bCs w:val="0"/>
          <w:color w:val="000000"/>
          <w:sz w:val="32"/>
          <w:szCs w:val="32"/>
          <w:lang w:eastAsia="zh-CN"/>
        </w:rPr>
        <w:t>脱贫攻坚</w:t>
      </w:r>
      <w:r>
        <w:rPr>
          <w:rFonts w:hint="eastAsia" w:ascii="仿宋_GB2312" w:hAnsi="仿宋_GB2312" w:eastAsia="仿宋_GB2312" w:cs="仿宋_GB2312"/>
          <w:b w:val="0"/>
          <w:bCs w:val="0"/>
          <w:color w:val="000000"/>
          <w:sz w:val="32"/>
          <w:szCs w:val="32"/>
        </w:rPr>
        <w:t>决战决胜之年。一年来，县政协在县委的坚强领导下，在县政府的大力支持下，以习近平新时代中国特色社会主义思想为指导，深入贯彻落实中央政协工作会议、县委政协工作会议精神，增强“四个意识”、坚定“四个自信”、做到“两个维护”，紧紧围绕</w:t>
      </w:r>
      <w:r>
        <w:rPr>
          <w:rFonts w:hint="eastAsia" w:ascii="仿宋_GB2312" w:hAnsi="仿宋_GB2312" w:eastAsia="仿宋_GB2312" w:cs="仿宋_GB2312"/>
          <w:b w:val="0"/>
          <w:bCs w:val="0"/>
          <w:color w:val="000000"/>
          <w:sz w:val="32"/>
          <w:szCs w:val="32"/>
          <w:lang w:val="en-US" w:eastAsia="zh-CN"/>
        </w:rPr>
        <w:t>壤塘县</w:t>
      </w:r>
      <w:r>
        <w:rPr>
          <w:rFonts w:hint="eastAsia" w:ascii="仿宋_GB2312" w:hAnsi="仿宋_GB2312" w:eastAsia="仿宋_GB2312" w:cs="仿宋_GB2312"/>
          <w:b w:val="0"/>
          <w:bCs w:val="0"/>
          <w:color w:val="000000"/>
          <w:sz w:val="32"/>
          <w:szCs w:val="32"/>
        </w:rPr>
        <w:t>建设“川甘青结合部区域强县”目标，把加强思想政治引领、广泛凝聚共识作为中心环节，坚持团结和民主两大主题，提高政治协商、民主监督、参政议政水平，更好凝聚共识，切实担负起把中央、省、州、县委决策部署和对人民政协工作要求落实下去，把壤塘各族儿女智慧和力量凝聚起来的政治责任，以新担当、新气象、新成就干出了新时代人民政协的新样子，书写了我县政协事业发展的新篇章。一年来</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中共</w:t>
      </w:r>
      <w:r>
        <w:rPr>
          <w:rFonts w:hint="eastAsia" w:ascii="仿宋_GB2312" w:hAnsi="仿宋_GB2312" w:eastAsia="仿宋_GB2312" w:cs="仿宋_GB2312"/>
          <w:b w:val="0"/>
          <w:bCs w:val="0"/>
          <w:color w:val="000000"/>
          <w:sz w:val="32"/>
          <w:szCs w:val="32"/>
          <w:lang w:eastAsia="zh-CN"/>
        </w:rPr>
        <w:t>壤塘县</w:t>
      </w:r>
      <w:r>
        <w:rPr>
          <w:rFonts w:hint="eastAsia" w:ascii="仿宋_GB2312" w:hAnsi="仿宋_GB2312" w:eastAsia="仿宋_GB2312" w:cs="仿宋_GB2312"/>
          <w:b w:val="0"/>
          <w:bCs w:val="0"/>
          <w:color w:val="000000"/>
          <w:sz w:val="32"/>
          <w:szCs w:val="32"/>
        </w:rPr>
        <w:t>委坚决贯彻中共中央关于加强和改进人民政协工作的系列决策部署</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支持政协依法遵章履职</w:t>
      </w:r>
      <w:r>
        <w:rPr>
          <w:rFonts w:hint="eastAsia" w:ascii="仿宋_GB2312" w:hAnsi="仿宋_GB2312" w:eastAsia="仿宋_GB2312" w:cs="仿宋_GB2312"/>
          <w:b w:val="0"/>
          <w:bCs w:val="0"/>
          <w:color w:val="000000"/>
          <w:sz w:val="32"/>
          <w:szCs w:val="32"/>
          <w:lang w:eastAsia="zh-CN"/>
        </w:rPr>
        <w:t>，审定</w:t>
      </w:r>
      <w:r>
        <w:rPr>
          <w:rFonts w:hint="eastAsia" w:ascii="仿宋_GB2312" w:hAnsi="仿宋_GB2312" w:eastAsia="仿宋_GB2312" w:cs="仿宋_GB2312"/>
          <w:b w:val="0"/>
          <w:bCs w:val="0"/>
          <w:color w:val="000000"/>
          <w:sz w:val="32"/>
          <w:szCs w:val="32"/>
        </w:rPr>
        <w:t>年度</w:t>
      </w:r>
      <w:r>
        <w:rPr>
          <w:rFonts w:hint="eastAsia" w:ascii="仿宋_GB2312" w:hAnsi="仿宋_GB2312" w:eastAsia="仿宋_GB2312" w:cs="仿宋_GB2312"/>
          <w:b w:val="0"/>
          <w:bCs w:val="0"/>
          <w:color w:val="000000"/>
          <w:sz w:val="32"/>
          <w:szCs w:val="32"/>
          <w:lang w:eastAsia="zh-CN"/>
        </w:rPr>
        <w:t>工作要点，听取政协工作汇报，</w:t>
      </w:r>
      <w:r>
        <w:rPr>
          <w:rFonts w:hint="eastAsia" w:ascii="仿宋_GB2312" w:hAnsi="仿宋_GB2312" w:eastAsia="仿宋_GB2312" w:cs="仿宋_GB2312"/>
          <w:b w:val="0"/>
          <w:bCs w:val="0"/>
          <w:color w:val="000000"/>
          <w:sz w:val="32"/>
          <w:szCs w:val="32"/>
        </w:rPr>
        <w:t>加强对政协工作的全面领导。</w:t>
      </w:r>
      <w:r>
        <w:rPr>
          <w:rFonts w:hint="eastAsia" w:ascii="仿宋_GB2312" w:hAnsi="仿宋_GB2312" w:eastAsia="仿宋_GB2312" w:cs="仿宋_GB2312"/>
          <w:b w:val="0"/>
          <w:bCs w:val="0"/>
          <w:color w:val="000000"/>
          <w:sz w:val="32"/>
          <w:szCs w:val="32"/>
          <w:lang w:eastAsia="zh-CN"/>
        </w:rPr>
        <w:t>中共壤塘县委、壤塘县人民政府主要领导</w:t>
      </w:r>
      <w:r>
        <w:rPr>
          <w:rFonts w:hint="eastAsia" w:ascii="仿宋_GB2312" w:hAnsi="仿宋_GB2312" w:eastAsia="仿宋_GB2312" w:cs="仿宋_GB2312"/>
          <w:b w:val="0"/>
          <w:bCs w:val="0"/>
          <w:color w:val="000000"/>
          <w:sz w:val="32"/>
          <w:szCs w:val="32"/>
        </w:rPr>
        <w:t>高度重视政协工作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多次出席政协活动和</w:t>
      </w:r>
      <w:r>
        <w:rPr>
          <w:rFonts w:hint="eastAsia" w:ascii="仿宋_GB2312" w:hAnsi="仿宋_GB2312" w:eastAsia="仿宋_GB2312" w:cs="仿宋_GB2312"/>
          <w:b w:val="0"/>
          <w:bCs w:val="0"/>
          <w:color w:val="000000"/>
          <w:sz w:val="32"/>
          <w:szCs w:val="32"/>
          <w:lang w:eastAsia="zh-CN"/>
        </w:rPr>
        <w:t>会议并做</w:t>
      </w:r>
      <w:r>
        <w:rPr>
          <w:rFonts w:hint="eastAsia" w:ascii="仿宋_GB2312" w:hAnsi="仿宋_GB2312" w:eastAsia="仿宋_GB2312" w:cs="仿宋_GB2312"/>
          <w:b w:val="0"/>
          <w:bCs w:val="0"/>
          <w:color w:val="000000"/>
          <w:sz w:val="32"/>
          <w:szCs w:val="32"/>
        </w:rPr>
        <w:t>讲话</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专门</w:t>
      </w:r>
      <w:r>
        <w:rPr>
          <w:rFonts w:hint="eastAsia" w:ascii="仿宋_GB2312" w:hAnsi="仿宋_GB2312" w:eastAsia="仿宋_GB2312" w:cs="仿宋_GB2312"/>
          <w:b w:val="0"/>
          <w:bCs w:val="0"/>
          <w:color w:val="000000"/>
          <w:sz w:val="32"/>
          <w:szCs w:val="32"/>
          <w:lang w:eastAsia="zh-CN"/>
        </w:rPr>
        <w:t>召开了中共壤塘县委政协工作会议，</w:t>
      </w:r>
      <w:r>
        <w:rPr>
          <w:rFonts w:hint="eastAsia" w:ascii="仿宋_GB2312" w:hAnsi="仿宋_GB2312" w:eastAsia="仿宋_GB2312" w:cs="仿宋_GB2312"/>
          <w:b w:val="0"/>
          <w:bCs w:val="0"/>
          <w:color w:val="000000"/>
          <w:sz w:val="32"/>
          <w:szCs w:val="32"/>
        </w:rPr>
        <w:t>为</w:t>
      </w:r>
      <w:r>
        <w:rPr>
          <w:rFonts w:hint="eastAsia" w:ascii="仿宋_GB2312" w:hAnsi="仿宋_GB2312" w:eastAsia="仿宋_GB2312" w:cs="仿宋_GB2312"/>
          <w:b w:val="0"/>
          <w:bCs w:val="0"/>
          <w:color w:val="000000"/>
          <w:sz w:val="32"/>
          <w:szCs w:val="32"/>
          <w:lang w:eastAsia="zh-CN"/>
        </w:rPr>
        <w:t>县</w:t>
      </w:r>
      <w:r>
        <w:rPr>
          <w:rFonts w:hint="eastAsia" w:ascii="仿宋_GB2312" w:hAnsi="仿宋_GB2312" w:eastAsia="仿宋_GB2312" w:cs="仿宋_GB2312"/>
          <w:b w:val="0"/>
          <w:bCs w:val="0"/>
          <w:color w:val="000000"/>
          <w:sz w:val="32"/>
          <w:szCs w:val="32"/>
        </w:rPr>
        <w:t>政协围绕中心大局</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高质量履职进一步指明了方向、提供了重要遵循。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加强</w:t>
      </w:r>
      <w:r>
        <w:rPr>
          <w:rFonts w:hint="eastAsia" w:ascii="黑体" w:hAnsi="黑体" w:eastAsia="黑体" w:cs="黑体"/>
          <w:b w:val="0"/>
          <w:bCs w:val="0"/>
          <w:color w:val="000000"/>
          <w:sz w:val="32"/>
          <w:szCs w:val="32"/>
          <w:lang w:eastAsia="zh-CN"/>
        </w:rPr>
        <w:t>党的建设，</w:t>
      </w:r>
      <w:r>
        <w:rPr>
          <w:rFonts w:hint="eastAsia" w:ascii="黑体" w:hAnsi="黑体" w:eastAsia="黑体" w:cs="黑体"/>
          <w:b w:val="0"/>
          <w:bCs w:val="0"/>
          <w:color w:val="000000"/>
          <w:sz w:val="32"/>
          <w:szCs w:val="32"/>
        </w:rPr>
        <w:t>政治</w:t>
      </w:r>
      <w:r>
        <w:rPr>
          <w:rFonts w:hint="eastAsia" w:ascii="黑体" w:hAnsi="黑体" w:eastAsia="黑体" w:cs="黑体"/>
          <w:b w:val="0"/>
          <w:bCs w:val="0"/>
          <w:color w:val="000000"/>
          <w:sz w:val="32"/>
          <w:szCs w:val="32"/>
          <w:lang w:eastAsia="zh-CN"/>
        </w:rPr>
        <w:t>引领增</w:t>
      </w:r>
      <w:r>
        <w:rPr>
          <w:rFonts w:hint="eastAsia" w:ascii="黑体" w:hAnsi="黑体" w:eastAsia="黑体" w:cs="黑体"/>
          <w:b w:val="0"/>
          <w:bCs w:val="0"/>
          <w:color w:val="000000"/>
          <w:sz w:val="32"/>
          <w:szCs w:val="32"/>
        </w:rPr>
        <w:t>定力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人民政协是政治组织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旗帜鲜明讲政治是人民政协的本质要求。我们把坚持中国共产党领导作为始终恪守的根本政治原则</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坚持科学理论武装</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牢牢把握正确政治方向</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维护核心、永跟党走。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深入学习贯彻习近平新时代中国特色社会主义思想、习近平总书记对四川工作系列重要指示精神</w:t>
      </w:r>
      <w:r>
        <w:rPr>
          <w:rFonts w:hint="eastAsia" w:ascii="楷体" w:hAnsi="楷体" w:eastAsia="楷体" w:cs="楷体"/>
          <w:b/>
          <w:bCs/>
          <w:color w:val="000000"/>
          <w:sz w:val="32"/>
          <w:szCs w:val="32"/>
          <w:lang w:eastAsia="zh-CN"/>
        </w:rPr>
        <w:t>。</w:t>
      </w:r>
      <w:r>
        <w:rPr>
          <w:rFonts w:hint="eastAsia" w:ascii="仿宋_GB2312" w:hAnsi="仿宋_GB2312" w:eastAsia="仿宋_GB2312" w:cs="仿宋_GB2312"/>
          <w:b w:val="0"/>
          <w:bCs w:val="0"/>
          <w:color w:val="000000"/>
          <w:sz w:val="32"/>
          <w:szCs w:val="32"/>
        </w:rPr>
        <w:t>通过及时召开主席会议和常委会议、</w:t>
      </w:r>
      <w:r>
        <w:rPr>
          <w:rFonts w:hint="eastAsia" w:ascii="仿宋_GB2312" w:hAnsi="仿宋_GB2312" w:eastAsia="仿宋_GB2312" w:cs="仿宋_GB2312"/>
          <w:b w:val="0"/>
          <w:bCs w:val="0"/>
          <w:color w:val="000000"/>
          <w:sz w:val="32"/>
          <w:szCs w:val="32"/>
          <w:lang w:eastAsia="zh-CN"/>
        </w:rPr>
        <w:t>机关党组</w:t>
      </w:r>
      <w:r>
        <w:rPr>
          <w:rFonts w:hint="eastAsia" w:ascii="仿宋_GB2312" w:hAnsi="仿宋_GB2312" w:eastAsia="仿宋_GB2312" w:cs="仿宋_GB2312"/>
          <w:b w:val="0"/>
          <w:bCs w:val="0"/>
          <w:color w:val="000000"/>
          <w:sz w:val="32"/>
          <w:szCs w:val="32"/>
          <w:lang w:val="en-US" w:eastAsia="zh-CN"/>
        </w:rPr>
        <w:t>会议</w:t>
      </w:r>
      <w:r>
        <w:rPr>
          <w:rFonts w:hint="eastAsia" w:ascii="仿宋_GB2312" w:hAnsi="仿宋_GB2312" w:eastAsia="仿宋_GB2312" w:cs="仿宋_GB2312"/>
          <w:b w:val="0"/>
          <w:bCs w:val="0"/>
          <w:color w:val="000000"/>
          <w:sz w:val="32"/>
          <w:szCs w:val="32"/>
          <w:lang w:eastAsia="zh-CN"/>
        </w:rPr>
        <w:t>、支部会议、</w:t>
      </w:r>
      <w:r>
        <w:rPr>
          <w:rFonts w:hint="eastAsia" w:ascii="仿宋_GB2312" w:hAnsi="仿宋_GB2312" w:eastAsia="仿宋_GB2312" w:cs="仿宋_GB2312"/>
          <w:b w:val="0"/>
          <w:bCs w:val="0"/>
          <w:color w:val="000000"/>
          <w:sz w:val="32"/>
          <w:szCs w:val="32"/>
        </w:rPr>
        <w:t>委员活动小组学习座谈等形式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持续在学懂弄通做实上下功夫</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牢牢把握习近平总书记关于推动治蜀兴川再上新台阶的总体要求和“五个着力”的重点任务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引导参加人民政协的各</w:t>
      </w:r>
      <w:r>
        <w:rPr>
          <w:rFonts w:hint="eastAsia" w:ascii="仿宋_GB2312" w:hAnsi="仿宋_GB2312" w:eastAsia="仿宋_GB2312" w:cs="仿宋_GB2312"/>
          <w:b w:val="0"/>
          <w:bCs w:val="0"/>
          <w:color w:val="000000"/>
          <w:sz w:val="32"/>
          <w:szCs w:val="32"/>
          <w:lang w:eastAsia="zh-CN"/>
        </w:rPr>
        <w:t>界别</w:t>
      </w:r>
      <w:r>
        <w:rPr>
          <w:rFonts w:hint="eastAsia" w:ascii="仿宋_GB2312" w:hAnsi="仿宋_GB2312" w:eastAsia="仿宋_GB2312" w:cs="仿宋_GB2312"/>
          <w:b w:val="0"/>
          <w:bCs w:val="0"/>
          <w:color w:val="000000"/>
          <w:sz w:val="32"/>
          <w:szCs w:val="32"/>
          <w:lang w:val="en-US" w:eastAsia="zh-CN"/>
        </w:rPr>
        <w:t>委员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各族各界人士把坚定践行“两个维护”作为根本政治任务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树牢“四个意识”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增强“四个自信”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始终在政治立场、政治方向、政治原则、政治道路上同以习近平同志为核心的中共中央保持高度一致。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lang w:eastAsia="zh-CN"/>
        </w:rPr>
        <w:t>扎实</w:t>
      </w:r>
      <w:r>
        <w:rPr>
          <w:rFonts w:hint="eastAsia" w:ascii="楷体" w:hAnsi="楷体" w:eastAsia="楷体" w:cs="楷体"/>
          <w:b/>
          <w:bCs/>
          <w:color w:val="000000"/>
          <w:sz w:val="32"/>
          <w:szCs w:val="32"/>
        </w:rPr>
        <w:t>开展“不忘初心、牢记使命”主题教育</w:t>
      </w:r>
      <w:r>
        <w:rPr>
          <w:rFonts w:hint="eastAsia" w:ascii="楷体" w:hAnsi="楷体" w:eastAsia="楷体" w:cs="楷体"/>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我们</w:t>
      </w:r>
      <w:r>
        <w:rPr>
          <w:rFonts w:hint="eastAsia" w:ascii="仿宋_GB2312" w:hAnsi="仿宋_GB2312" w:eastAsia="仿宋_GB2312" w:cs="仿宋_GB2312"/>
          <w:b w:val="0"/>
          <w:bCs w:val="0"/>
          <w:color w:val="000000"/>
          <w:sz w:val="32"/>
          <w:szCs w:val="32"/>
        </w:rPr>
        <w:t>按照中央和省委</w:t>
      </w:r>
      <w:r>
        <w:rPr>
          <w:rFonts w:hint="eastAsia" w:ascii="仿宋_GB2312" w:hAnsi="仿宋_GB2312" w:eastAsia="仿宋_GB2312" w:cs="仿宋_GB2312"/>
          <w:b w:val="0"/>
          <w:bCs w:val="0"/>
          <w:color w:val="000000"/>
          <w:sz w:val="32"/>
          <w:szCs w:val="32"/>
          <w:lang w:eastAsia="zh-CN"/>
        </w:rPr>
        <w:t>、州委、县委</w:t>
      </w:r>
      <w:r>
        <w:rPr>
          <w:rFonts w:hint="eastAsia" w:ascii="仿宋_GB2312" w:hAnsi="仿宋_GB2312" w:eastAsia="仿宋_GB2312" w:cs="仿宋_GB2312"/>
          <w:b w:val="0"/>
          <w:bCs w:val="0"/>
          <w:color w:val="000000"/>
          <w:sz w:val="32"/>
          <w:szCs w:val="32"/>
        </w:rPr>
        <w:t>统一部署</w:t>
      </w:r>
      <w:r>
        <w:rPr>
          <w:rFonts w:hint="eastAsia" w:ascii="仿宋_GB2312" w:hAnsi="仿宋_GB2312" w:eastAsia="仿宋_GB2312" w:cs="仿宋_GB2312"/>
          <w:b w:val="0"/>
          <w:bCs w:val="0"/>
          <w:color w:val="000000"/>
          <w:sz w:val="32"/>
          <w:szCs w:val="32"/>
          <w:lang w:eastAsia="zh-CN"/>
        </w:rPr>
        <w:t>，牢牢把握主题教育的根本任务、重点措施和目标任务，统筹推进学习教育、调查研究、检视问题、整改落实四项重点工作，把习近平总书记关于加强和改进人民政协工作的重要思想、中央政协工作会议精神纳入学习内容。坚持开门开放抓教育，广泛征求意见建议，建立问题整改清单台账，切实予以整改。扎实召开专题民主生活</w:t>
      </w:r>
      <w:r>
        <w:rPr>
          <w:rFonts w:hint="eastAsia" w:ascii="仿宋_GB2312" w:hAnsi="仿宋_GB2312" w:eastAsia="仿宋_GB2312" w:cs="仿宋_GB2312"/>
          <w:b w:val="0"/>
          <w:bCs w:val="0"/>
          <w:color w:val="000000"/>
          <w:sz w:val="32"/>
          <w:szCs w:val="32"/>
          <w:lang w:val="en-US" w:eastAsia="zh-CN"/>
        </w:rPr>
        <w:t>会</w:t>
      </w:r>
      <w:r>
        <w:rPr>
          <w:rFonts w:hint="eastAsia" w:ascii="仿宋_GB2312" w:hAnsi="仿宋_GB2312" w:eastAsia="仿宋_GB2312" w:cs="仿宋_GB2312"/>
          <w:b w:val="0"/>
          <w:bCs w:val="0"/>
          <w:color w:val="000000"/>
          <w:sz w:val="32"/>
          <w:szCs w:val="32"/>
          <w:lang w:eastAsia="zh-CN"/>
        </w:rPr>
        <w:t>，深刻剖析思想根源，严肃认真开展批评和自我批评，以刀刃向内的自我革命精神解决违背初心和使命的各种问题。通过主题教育，政协党组织和党员干部，学思践悟习近平新时代中国特色社会主义思想更加坚定自觉，运用党的创新理论指导实践、推动工作的能力进一步提高，旗帜鲜明讲政治讲忠诚讲担当的定力进一步增强，主题教育取得显著的阶段性成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rPr>
        <w:t>坚决贯彻落实</w:t>
      </w:r>
      <w:r>
        <w:rPr>
          <w:rFonts w:hint="eastAsia" w:ascii="楷体" w:hAnsi="楷体" w:eastAsia="楷体" w:cs="楷体"/>
          <w:b/>
          <w:bCs/>
          <w:color w:val="000000"/>
          <w:sz w:val="32"/>
          <w:szCs w:val="32"/>
          <w:lang w:eastAsia="zh-CN"/>
        </w:rPr>
        <w:t>县委</w:t>
      </w:r>
      <w:r>
        <w:rPr>
          <w:rFonts w:hint="eastAsia" w:ascii="楷体" w:hAnsi="楷体" w:eastAsia="楷体" w:cs="楷体"/>
          <w:b/>
          <w:bCs/>
          <w:color w:val="000000"/>
          <w:sz w:val="32"/>
          <w:szCs w:val="32"/>
        </w:rPr>
        <w:t>各项决策部署。</w:t>
      </w:r>
      <w:r>
        <w:rPr>
          <w:rFonts w:hint="eastAsia" w:ascii="仿宋_GB2312" w:hAnsi="仿宋_GB2312" w:eastAsia="仿宋_GB2312" w:cs="仿宋_GB2312"/>
          <w:b w:val="0"/>
          <w:bCs w:val="0"/>
          <w:color w:val="000000"/>
          <w:sz w:val="32"/>
          <w:szCs w:val="32"/>
          <w:lang w:eastAsia="zh-CN"/>
        </w:rPr>
        <w:t>县</w:t>
      </w:r>
      <w:r>
        <w:rPr>
          <w:rFonts w:hint="eastAsia" w:ascii="仿宋_GB2312" w:hAnsi="仿宋_GB2312" w:eastAsia="仿宋_GB2312" w:cs="仿宋_GB2312"/>
          <w:b w:val="0"/>
          <w:bCs w:val="0"/>
          <w:color w:val="000000"/>
          <w:sz w:val="32"/>
          <w:szCs w:val="32"/>
        </w:rPr>
        <w:t>政协及其常委会坚定贯彻中央大政方针和省委</w:t>
      </w:r>
      <w:r>
        <w:rPr>
          <w:rFonts w:hint="eastAsia" w:ascii="仿宋_GB2312" w:hAnsi="仿宋_GB2312" w:eastAsia="仿宋_GB2312" w:cs="仿宋_GB2312"/>
          <w:b w:val="0"/>
          <w:bCs w:val="0"/>
          <w:color w:val="000000"/>
          <w:sz w:val="32"/>
          <w:szCs w:val="32"/>
          <w:lang w:eastAsia="zh-CN"/>
        </w:rPr>
        <w:t>、州委、县委</w:t>
      </w:r>
      <w:r>
        <w:rPr>
          <w:rFonts w:hint="eastAsia" w:ascii="仿宋_GB2312" w:hAnsi="仿宋_GB2312" w:eastAsia="仿宋_GB2312" w:cs="仿宋_GB2312"/>
          <w:b w:val="0"/>
          <w:bCs w:val="0"/>
          <w:color w:val="000000"/>
          <w:sz w:val="32"/>
          <w:szCs w:val="32"/>
        </w:rPr>
        <w:t>决策部署</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切实发挥政协党组把方向、管大局、保落实作用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自觉坚持、主动争取</w:t>
      </w:r>
      <w:r>
        <w:rPr>
          <w:rFonts w:hint="eastAsia" w:ascii="仿宋_GB2312" w:hAnsi="仿宋_GB2312" w:eastAsia="仿宋_GB2312" w:cs="仿宋_GB2312"/>
          <w:b w:val="0"/>
          <w:bCs w:val="0"/>
          <w:color w:val="000000"/>
          <w:sz w:val="32"/>
          <w:szCs w:val="32"/>
          <w:lang w:eastAsia="zh-CN"/>
        </w:rPr>
        <w:t>县委</w:t>
      </w:r>
      <w:r>
        <w:rPr>
          <w:rFonts w:hint="eastAsia" w:ascii="仿宋_GB2312" w:hAnsi="仿宋_GB2312" w:eastAsia="仿宋_GB2312" w:cs="仿宋_GB2312"/>
          <w:b w:val="0"/>
          <w:bCs w:val="0"/>
          <w:color w:val="000000"/>
          <w:sz w:val="32"/>
          <w:szCs w:val="32"/>
        </w:rPr>
        <w:t>领导</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认真完成</w:t>
      </w:r>
      <w:r>
        <w:rPr>
          <w:rFonts w:hint="eastAsia" w:ascii="仿宋_GB2312" w:hAnsi="仿宋_GB2312" w:eastAsia="仿宋_GB2312" w:cs="仿宋_GB2312"/>
          <w:b w:val="0"/>
          <w:bCs w:val="0"/>
          <w:color w:val="000000"/>
          <w:sz w:val="32"/>
          <w:szCs w:val="32"/>
          <w:lang w:eastAsia="zh-CN"/>
        </w:rPr>
        <w:t>县委交办的</w:t>
      </w:r>
      <w:r>
        <w:rPr>
          <w:rFonts w:hint="eastAsia" w:ascii="仿宋_GB2312" w:hAnsi="仿宋_GB2312" w:eastAsia="仿宋_GB2312" w:cs="仿宋_GB2312"/>
          <w:b w:val="0"/>
          <w:bCs w:val="0"/>
          <w:color w:val="000000"/>
          <w:sz w:val="32"/>
          <w:szCs w:val="32"/>
        </w:rPr>
        <w:t>工作任务。严格执行请示报告制度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坚持定期向</w:t>
      </w:r>
      <w:r>
        <w:rPr>
          <w:rFonts w:hint="eastAsia" w:ascii="仿宋_GB2312" w:hAnsi="仿宋_GB2312" w:eastAsia="仿宋_GB2312" w:cs="仿宋_GB2312"/>
          <w:b w:val="0"/>
          <w:bCs w:val="0"/>
          <w:color w:val="000000"/>
          <w:sz w:val="32"/>
          <w:szCs w:val="32"/>
          <w:lang w:eastAsia="zh-CN"/>
        </w:rPr>
        <w:t>县委</w:t>
      </w:r>
      <w:r>
        <w:rPr>
          <w:rFonts w:hint="eastAsia" w:ascii="仿宋_GB2312" w:hAnsi="仿宋_GB2312" w:eastAsia="仿宋_GB2312" w:cs="仿宋_GB2312"/>
          <w:b w:val="0"/>
          <w:bCs w:val="0"/>
          <w:color w:val="000000"/>
          <w:sz w:val="32"/>
          <w:szCs w:val="32"/>
        </w:rPr>
        <w:t>汇报</w:t>
      </w:r>
      <w:r>
        <w:rPr>
          <w:rFonts w:hint="eastAsia" w:ascii="仿宋_GB2312" w:hAnsi="仿宋_GB2312" w:eastAsia="仿宋_GB2312" w:cs="仿宋_GB2312"/>
          <w:b w:val="0"/>
          <w:bCs w:val="0"/>
          <w:color w:val="000000"/>
          <w:sz w:val="32"/>
          <w:szCs w:val="32"/>
          <w:lang w:eastAsia="zh-CN"/>
        </w:rPr>
        <w:t>政协</w:t>
      </w:r>
      <w:r>
        <w:rPr>
          <w:rFonts w:hint="eastAsia" w:ascii="仿宋_GB2312" w:hAnsi="仿宋_GB2312" w:eastAsia="仿宋_GB2312" w:cs="仿宋_GB2312"/>
          <w:b w:val="0"/>
          <w:bCs w:val="0"/>
          <w:color w:val="000000"/>
          <w:sz w:val="32"/>
          <w:szCs w:val="32"/>
        </w:rPr>
        <w:t>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年度协商计划、常委会工作报告、全体会议等重要事项提交</w:t>
      </w:r>
      <w:r>
        <w:rPr>
          <w:rFonts w:hint="eastAsia" w:ascii="仿宋_GB2312" w:hAnsi="仿宋_GB2312" w:eastAsia="仿宋_GB2312" w:cs="仿宋_GB2312"/>
          <w:b w:val="0"/>
          <w:bCs w:val="0"/>
          <w:color w:val="000000"/>
          <w:sz w:val="32"/>
          <w:szCs w:val="32"/>
          <w:lang w:eastAsia="zh-CN"/>
        </w:rPr>
        <w:t>县委</w:t>
      </w:r>
      <w:r>
        <w:rPr>
          <w:rFonts w:hint="eastAsia" w:ascii="仿宋_GB2312" w:hAnsi="仿宋_GB2312" w:eastAsia="仿宋_GB2312" w:cs="仿宋_GB2312"/>
          <w:b w:val="0"/>
          <w:bCs w:val="0"/>
          <w:color w:val="000000"/>
          <w:sz w:val="32"/>
          <w:szCs w:val="32"/>
        </w:rPr>
        <w:t>常委会研究决定</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传达学习中共中央和省</w:t>
      </w:r>
      <w:r>
        <w:rPr>
          <w:rFonts w:hint="eastAsia" w:ascii="仿宋_GB2312" w:hAnsi="仿宋_GB2312" w:eastAsia="仿宋_GB2312" w:cs="仿宋_GB2312"/>
          <w:b w:val="0"/>
          <w:bCs w:val="0"/>
          <w:color w:val="000000"/>
          <w:sz w:val="32"/>
          <w:szCs w:val="32"/>
          <w:lang w:eastAsia="zh-CN"/>
        </w:rPr>
        <w:t>、州、县委</w:t>
      </w:r>
      <w:r>
        <w:rPr>
          <w:rFonts w:hint="eastAsia" w:ascii="仿宋_GB2312" w:hAnsi="仿宋_GB2312" w:eastAsia="仿宋_GB2312" w:cs="仿宋_GB2312"/>
          <w:b w:val="0"/>
          <w:bCs w:val="0"/>
          <w:color w:val="000000"/>
          <w:sz w:val="32"/>
          <w:szCs w:val="32"/>
        </w:rPr>
        <w:t>重要会议精神</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及时请示重大事项、报告重点工作、反映重要情况</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真正把坚持中国共产党的领导贯穿政协工作全过程和各方面。</w:t>
      </w:r>
      <w:r>
        <w:rPr>
          <w:rFonts w:hint="eastAsia" w:ascii="仿宋_GB2312" w:hAnsi="仿宋_GB2312" w:eastAsia="仿宋_GB2312" w:cs="仿宋_GB2312"/>
          <w:b w:val="0"/>
          <w:bCs w:val="0"/>
          <w:color w:val="000000"/>
          <w:sz w:val="32"/>
          <w:szCs w:val="32"/>
          <w:lang w:eastAsia="zh-CN"/>
        </w:rPr>
        <w:t>按照县委部署，积极参与</w:t>
      </w:r>
      <w:r>
        <w:rPr>
          <w:rFonts w:hint="eastAsia" w:ascii="仿宋_GB2312" w:hAnsi="仿宋_GB2312" w:eastAsia="仿宋_GB2312" w:cs="仿宋_GB2312"/>
          <w:b w:val="0"/>
          <w:bCs w:val="0"/>
          <w:color w:val="000000"/>
          <w:sz w:val="32"/>
          <w:szCs w:val="32"/>
        </w:rPr>
        <w:t>庆祝中华人民共和国成立70周年、人民政协成立70周</w:t>
      </w:r>
      <w:r>
        <w:rPr>
          <w:rFonts w:hint="eastAsia" w:ascii="仿宋_GB2312" w:hAnsi="仿宋_GB2312" w:eastAsia="仿宋_GB2312" w:cs="仿宋_GB2312"/>
          <w:b w:val="0"/>
          <w:bCs w:val="0"/>
          <w:color w:val="000000"/>
          <w:sz w:val="32"/>
          <w:szCs w:val="32"/>
          <w:lang w:eastAsia="zh-CN"/>
        </w:rPr>
        <w:t>年、壤巴拉节等</w:t>
      </w:r>
      <w:r>
        <w:rPr>
          <w:rFonts w:hint="eastAsia" w:ascii="仿宋_GB2312" w:hAnsi="仿宋_GB2312" w:eastAsia="仿宋_GB2312" w:cs="仿宋_GB2312"/>
          <w:b w:val="0"/>
          <w:bCs w:val="0"/>
          <w:color w:val="000000"/>
          <w:sz w:val="32"/>
          <w:szCs w:val="32"/>
        </w:rPr>
        <w:t>活动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引导广大委员和各族各界人士增强固守政治底线的定力</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不忘初心、永跟党走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为</w:t>
      </w:r>
      <w:r>
        <w:rPr>
          <w:rFonts w:hint="eastAsia" w:ascii="仿宋_GB2312" w:hAnsi="仿宋_GB2312" w:eastAsia="仿宋_GB2312" w:cs="仿宋_GB2312"/>
          <w:b w:val="0"/>
          <w:bCs w:val="0"/>
          <w:color w:val="000000"/>
          <w:sz w:val="32"/>
          <w:szCs w:val="32"/>
          <w:lang w:eastAsia="zh-CN"/>
        </w:rPr>
        <w:t>建设“美丽壤巴拉家园”和“川甘青结合部区域强县”</w:t>
      </w:r>
      <w:r>
        <w:rPr>
          <w:rFonts w:hint="eastAsia" w:ascii="仿宋_GB2312" w:hAnsi="仿宋_GB2312" w:eastAsia="仿宋_GB2312" w:cs="仿宋_GB2312"/>
          <w:b w:val="0"/>
          <w:bCs w:val="0"/>
          <w:color w:val="000000"/>
          <w:sz w:val="32"/>
          <w:szCs w:val="32"/>
        </w:rPr>
        <w:t>凝聚共识、凝聚人心、凝聚力量。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二、紧紧围绕中心，服务大局谋发展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做好人民政协工作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必须坚持围绕中心、服务大局。一年来</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县政协始终秉承“党</w:t>
      </w:r>
      <w:r>
        <w:rPr>
          <w:rFonts w:hint="eastAsia" w:ascii="仿宋_GB2312" w:hAnsi="仿宋_GB2312" w:eastAsia="仿宋_GB2312" w:cs="仿宋_GB2312"/>
          <w:b w:val="0"/>
          <w:bCs w:val="0"/>
          <w:color w:val="000000"/>
          <w:sz w:val="32"/>
          <w:szCs w:val="32"/>
          <w:lang w:eastAsia="zh-CN"/>
        </w:rPr>
        <w:t>委</w:t>
      </w:r>
      <w:r>
        <w:rPr>
          <w:rFonts w:hint="eastAsia" w:ascii="仿宋_GB2312" w:hAnsi="仿宋_GB2312" w:eastAsia="仿宋_GB2312" w:cs="仿宋_GB2312"/>
          <w:b w:val="0"/>
          <w:bCs w:val="0"/>
          <w:color w:val="000000"/>
          <w:sz w:val="32"/>
          <w:szCs w:val="32"/>
        </w:rPr>
        <w:t>工作推进到哪里</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政协</w:t>
      </w:r>
      <w:r>
        <w:rPr>
          <w:rFonts w:hint="eastAsia" w:ascii="仿宋_GB2312" w:hAnsi="仿宋_GB2312" w:eastAsia="仿宋_GB2312" w:cs="仿宋_GB2312"/>
          <w:b w:val="0"/>
          <w:bCs w:val="0"/>
          <w:color w:val="000000"/>
          <w:sz w:val="32"/>
          <w:szCs w:val="32"/>
          <w:lang w:eastAsia="zh-CN"/>
        </w:rPr>
        <w:t>履职</w:t>
      </w:r>
      <w:r>
        <w:rPr>
          <w:rFonts w:hint="eastAsia" w:ascii="仿宋_GB2312" w:hAnsi="仿宋_GB2312" w:eastAsia="仿宋_GB2312" w:cs="仿宋_GB2312"/>
          <w:b w:val="0"/>
          <w:bCs w:val="0"/>
          <w:color w:val="000000"/>
          <w:sz w:val="32"/>
          <w:szCs w:val="32"/>
        </w:rPr>
        <w:t>就跟进到哪里”的理念</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自觉把政协工作放到全</w:t>
      </w:r>
      <w:r>
        <w:rPr>
          <w:rFonts w:hint="eastAsia" w:ascii="仿宋_GB2312" w:hAnsi="仿宋_GB2312" w:eastAsia="仿宋_GB2312" w:cs="仿宋_GB2312"/>
          <w:b w:val="0"/>
          <w:bCs w:val="0"/>
          <w:color w:val="000000"/>
          <w:sz w:val="32"/>
          <w:szCs w:val="32"/>
          <w:lang w:eastAsia="zh-CN"/>
        </w:rPr>
        <w:t>县</w:t>
      </w:r>
      <w:r>
        <w:rPr>
          <w:rFonts w:hint="eastAsia" w:ascii="仿宋_GB2312" w:hAnsi="仿宋_GB2312" w:eastAsia="仿宋_GB2312" w:cs="仿宋_GB2312"/>
          <w:b w:val="0"/>
          <w:bCs w:val="0"/>
          <w:color w:val="000000"/>
          <w:sz w:val="32"/>
          <w:szCs w:val="32"/>
        </w:rPr>
        <w:t>大局中思考、谋划和推进</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自觉围绕全县改革</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发展</w:t>
      </w:r>
      <w:r>
        <w:rPr>
          <w:rFonts w:hint="eastAsia" w:ascii="仿宋_GB2312" w:hAnsi="仿宋_GB2312" w:eastAsia="仿宋_GB2312" w:cs="仿宋_GB2312"/>
          <w:b w:val="0"/>
          <w:bCs w:val="0"/>
          <w:color w:val="000000"/>
          <w:sz w:val="32"/>
          <w:szCs w:val="32"/>
          <w:lang w:eastAsia="zh-CN"/>
        </w:rPr>
        <w:t>、稳定、民生、文化、生态</w:t>
      </w:r>
      <w:r>
        <w:rPr>
          <w:rFonts w:hint="eastAsia" w:ascii="仿宋_GB2312" w:hAnsi="仿宋_GB2312" w:eastAsia="仿宋_GB2312" w:cs="仿宋_GB2312"/>
          <w:b w:val="0"/>
          <w:bCs w:val="0"/>
          <w:color w:val="000000"/>
          <w:sz w:val="32"/>
          <w:szCs w:val="32"/>
        </w:rPr>
        <w:t>建设注入政协力量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深入调查研究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广泛协商建言</w:t>
      </w:r>
      <w:r>
        <w:rPr>
          <w:rFonts w:hint="eastAsia" w:ascii="仿宋_GB2312" w:hAnsi="仿宋_GB2312" w:eastAsia="仿宋_GB2312" w:cs="仿宋_GB2312"/>
          <w:b w:val="0"/>
          <w:bCs w:val="0"/>
          <w:color w:val="000000"/>
          <w:sz w:val="32"/>
          <w:szCs w:val="32"/>
          <w:lang w:eastAsia="zh-CN"/>
        </w:rPr>
        <w:t>，为建设美丽壤巴拉家园</w:t>
      </w:r>
      <w:r>
        <w:rPr>
          <w:rFonts w:hint="eastAsia" w:ascii="仿宋_GB2312" w:hAnsi="仿宋_GB2312" w:eastAsia="仿宋_GB2312" w:cs="仿宋_GB2312"/>
          <w:b w:val="0"/>
          <w:bCs w:val="0"/>
          <w:color w:val="000000"/>
          <w:sz w:val="32"/>
          <w:szCs w:val="32"/>
        </w:rPr>
        <w:t>献计出力、发挥作用、作出贡献。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lang w:eastAsia="zh-CN"/>
        </w:rPr>
        <w:t>持续助力脱贫攻坚。</w:t>
      </w:r>
      <w:r>
        <w:rPr>
          <w:rFonts w:hint="eastAsia" w:ascii="仿宋_GB2312" w:hAnsi="仿宋_GB2312" w:eastAsia="仿宋_GB2312" w:cs="仿宋_GB2312"/>
          <w:b w:val="0"/>
          <w:bCs w:val="0"/>
          <w:color w:val="000000"/>
          <w:sz w:val="32"/>
          <w:szCs w:val="32"/>
          <w:lang w:eastAsia="zh-CN"/>
        </w:rPr>
        <w:t>脱贫攻坚是最大的政治任务和第一民生工程。按照县委“坚决打赢打好脱贫攻坚硬仗”的要求，县政协始终把助推脱贫攻坚作为履职为民的首要任务。</w:t>
      </w:r>
      <w:r>
        <w:rPr>
          <w:rFonts w:hint="eastAsia" w:ascii="仿宋_GB2312" w:hAnsi="仿宋_GB2312" w:eastAsia="仿宋_GB2312" w:cs="仿宋_GB2312"/>
          <w:b/>
          <w:bCs/>
          <w:color w:val="000000"/>
          <w:sz w:val="32"/>
          <w:szCs w:val="32"/>
          <w:lang w:eastAsia="zh-CN"/>
        </w:rPr>
        <w:t>一是充分发挥团结民主、人才荟萃、智力密集等优势，把履行职能的着力点放在对精准扶贫的调查研究和建言献策上，积极为县委、县政府决策部署提供可靠依据。</w:t>
      </w:r>
      <w:r>
        <w:rPr>
          <w:rFonts w:hint="eastAsia" w:ascii="仿宋_GB2312" w:hAnsi="仿宋_GB2312" w:eastAsia="仿宋_GB2312" w:cs="仿宋_GB2312"/>
          <w:b w:val="0"/>
          <w:bCs w:val="0"/>
          <w:color w:val="000000"/>
          <w:sz w:val="32"/>
          <w:szCs w:val="32"/>
          <w:lang w:eastAsia="zh-CN"/>
        </w:rPr>
        <w:t>立足全委会全面协商、常委会重点协商、主席会专题协商、专委会对口协商的协商基础，围绕全县精准扶贫工作大局，对精准扶贫工作的实施情况协商建言、出谋划策；围绕精准扶贫目标任务和工作重点，认真组织委员开展界别调研活动，广泛听取群众意见，全面掌握民情，充分反映民意，对全县精准扶贫产业发展工作进行深入思考和调查研究，实事求是向县委、县政府提出有价值、有见地、务实可行的意见建议。</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b/>
          <w:bCs/>
          <w:color w:val="000000"/>
          <w:sz w:val="32"/>
          <w:szCs w:val="32"/>
        </w:rPr>
        <w:t>打好</w:t>
      </w:r>
      <w:r>
        <w:rPr>
          <w:rFonts w:hint="eastAsia" w:ascii="仿宋_GB2312" w:hAnsi="仿宋_GB2312" w:eastAsia="仿宋_GB2312" w:cs="仿宋_GB2312"/>
          <w:b/>
          <w:bCs/>
          <w:color w:val="000000"/>
          <w:sz w:val="32"/>
          <w:szCs w:val="32"/>
          <w:lang w:eastAsia="zh-CN"/>
        </w:rPr>
        <w:t>联系乡镇、帮扶村</w:t>
      </w:r>
      <w:r>
        <w:rPr>
          <w:rFonts w:hint="eastAsia" w:ascii="仿宋_GB2312" w:hAnsi="仿宋_GB2312" w:eastAsia="仿宋_GB2312" w:cs="仿宋_GB2312"/>
          <w:b/>
          <w:bCs/>
          <w:color w:val="000000"/>
          <w:sz w:val="32"/>
          <w:szCs w:val="32"/>
        </w:rPr>
        <w:t>精准脱贫攻坚战。</w:t>
      </w:r>
      <w:r>
        <w:rPr>
          <w:rFonts w:hint="eastAsia" w:ascii="仿宋_GB2312" w:hAnsi="仿宋_GB2312" w:eastAsia="仿宋_GB2312" w:cs="仿宋_GB2312"/>
          <w:b w:val="0"/>
          <w:bCs w:val="0"/>
          <w:color w:val="000000"/>
          <w:sz w:val="32"/>
          <w:szCs w:val="32"/>
          <w:lang w:eastAsia="zh-CN"/>
        </w:rPr>
        <w:t>县政协</w:t>
      </w:r>
      <w:r>
        <w:rPr>
          <w:rFonts w:hint="eastAsia" w:ascii="仿宋_GB2312" w:hAnsi="仿宋_GB2312" w:eastAsia="仿宋_GB2312" w:cs="仿宋_GB2312"/>
          <w:b w:val="0"/>
          <w:bCs w:val="0"/>
          <w:color w:val="000000"/>
          <w:sz w:val="32"/>
          <w:szCs w:val="32"/>
        </w:rPr>
        <w:t>主席会成员多次深入</w:t>
      </w:r>
      <w:r>
        <w:rPr>
          <w:rFonts w:hint="eastAsia" w:ascii="仿宋_GB2312" w:hAnsi="仿宋_GB2312" w:eastAsia="仿宋_GB2312" w:cs="仿宋_GB2312"/>
          <w:b w:val="0"/>
          <w:bCs w:val="0"/>
          <w:color w:val="000000"/>
          <w:sz w:val="32"/>
          <w:szCs w:val="32"/>
          <w:lang w:val="en-US" w:eastAsia="zh-CN"/>
        </w:rPr>
        <w:t>南木达镇、中壤塘镇、上壤塘乡、岗木达乡17个贫困村</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推进基础设施改造</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挖掘产业扶贫潜力</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督导各帮扶单位落实帮扶任务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合力推动脱贫攻坚。</w:t>
      </w:r>
      <w:r>
        <w:rPr>
          <w:rFonts w:hint="eastAsia" w:ascii="仿宋_GB2312" w:hAnsi="仿宋_GB2312" w:eastAsia="仿宋_GB2312" w:cs="仿宋_GB2312"/>
          <w:b w:val="0"/>
          <w:bCs w:val="0"/>
          <w:color w:val="000000"/>
          <w:sz w:val="32"/>
          <w:szCs w:val="32"/>
          <w:lang w:eastAsia="zh-CN"/>
        </w:rPr>
        <w:t>协调项目</w:t>
      </w:r>
      <w:r>
        <w:rPr>
          <w:rFonts w:hint="eastAsia" w:ascii="仿宋_GB2312" w:hAnsi="仿宋_GB2312" w:eastAsia="仿宋_GB2312" w:cs="仿宋_GB2312"/>
          <w:b w:val="0"/>
          <w:bCs w:val="0"/>
          <w:color w:val="000000"/>
          <w:sz w:val="32"/>
          <w:szCs w:val="32"/>
          <w:lang w:val="en-US" w:eastAsia="zh-CN"/>
        </w:rPr>
        <w:t>21个，争取资金900余万元，</w:t>
      </w:r>
      <w:r>
        <w:rPr>
          <w:rFonts w:hint="eastAsia" w:ascii="仿宋_GB2312" w:hAnsi="仿宋_GB2312" w:eastAsia="仿宋_GB2312" w:cs="仿宋_GB2312"/>
          <w:b w:val="0"/>
          <w:bCs w:val="0"/>
          <w:color w:val="000000"/>
          <w:sz w:val="32"/>
          <w:szCs w:val="32"/>
          <w:lang w:eastAsia="zh-CN"/>
        </w:rPr>
        <w:t>有效拓宽困难群众致富增收渠道。</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bCs/>
          <w:color w:val="000000"/>
          <w:sz w:val="32"/>
          <w:szCs w:val="32"/>
        </w:rPr>
        <w:t>深入开展“我为</w:t>
      </w:r>
      <w:r>
        <w:rPr>
          <w:rFonts w:hint="eastAsia" w:ascii="仿宋_GB2312" w:hAnsi="仿宋_GB2312" w:eastAsia="仿宋_GB2312" w:cs="仿宋_GB2312"/>
          <w:b/>
          <w:bCs/>
          <w:color w:val="000000"/>
          <w:sz w:val="32"/>
          <w:szCs w:val="32"/>
          <w:lang w:val="en-US" w:eastAsia="zh-CN"/>
        </w:rPr>
        <w:t>扶贫</w:t>
      </w:r>
      <w:r>
        <w:rPr>
          <w:rFonts w:hint="eastAsia" w:ascii="仿宋_GB2312" w:hAnsi="仿宋_GB2312" w:eastAsia="仿宋_GB2312" w:cs="仿宋_GB2312"/>
          <w:b/>
          <w:bCs/>
          <w:color w:val="000000"/>
          <w:sz w:val="32"/>
          <w:szCs w:val="32"/>
        </w:rPr>
        <w:t>攻坚做件事”活动</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积极发挥界别特色和专业特长，动员和带领广大委员，深入开展扶贫济困各项活动。工商</w:t>
      </w:r>
      <w:r>
        <w:rPr>
          <w:rFonts w:hint="eastAsia" w:ascii="仿宋_GB2312" w:hAnsi="仿宋_GB2312" w:eastAsia="仿宋_GB2312" w:cs="仿宋_GB2312"/>
          <w:b w:val="0"/>
          <w:bCs w:val="0"/>
          <w:color w:val="000000"/>
          <w:sz w:val="32"/>
          <w:szCs w:val="32"/>
          <w:lang w:val="en-US" w:eastAsia="zh-CN"/>
        </w:rPr>
        <w:t>联界别</w:t>
      </w:r>
      <w:r>
        <w:rPr>
          <w:rFonts w:hint="eastAsia" w:ascii="仿宋_GB2312" w:hAnsi="仿宋_GB2312" w:eastAsia="仿宋_GB2312" w:cs="仿宋_GB2312"/>
          <w:b w:val="0"/>
          <w:bCs w:val="0"/>
          <w:color w:val="000000"/>
          <w:sz w:val="32"/>
          <w:szCs w:val="32"/>
          <w:lang w:eastAsia="zh-CN"/>
        </w:rPr>
        <w:t>委员积极为精准扶贫招才引智，吸收精准贫困户家庭成员就业；农业、科技、教育、医药卫生界别委员，组织开展知识培训、科技下乡、政策宣传、送医就诊活动，不断增强贫困群众内生动力，提高贫困户自我脱贫的信心和能力；经济</w:t>
      </w:r>
      <w:r>
        <w:rPr>
          <w:rFonts w:hint="eastAsia" w:ascii="仿宋_GB2312" w:hAnsi="仿宋_GB2312" w:eastAsia="仿宋_GB2312" w:cs="仿宋_GB2312"/>
          <w:b w:val="0"/>
          <w:bCs w:val="0"/>
          <w:color w:val="000000"/>
          <w:sz w:val="32"/>
          <w:szCs w:val="32"/>
          <w:lang w:val="en-US" w:eastAsia="zh-CN"/>
        </w:rPr>
        <w:t>界别</w:t>
      </w:r>
      <w:r>
        <w:rPr>
          <w:rFonts w:hint="eastAsia" w:ascii="仿宋_GB2312" w:hAnsi="仿宋_GB2312" w:eastAsia="仿宋_GB2312" w:cs="仿宋_GB2312"/>
          <w:b w:val="0"/>
          <w:bCs w:val="0"/>
          <w:color w:val="000000"/>
          <w:sz w:val="32"/>
          <w:szCs w:val="32"/>
          <w:lang w:eastAsia="zh-CN"/>
        </w:rPr>
        <w:t>委员积极宣传</w:t>
      </w:r>
      <w:r>
        <w:rPr>
          <w:rFonts w:hint="eastAsia" w:ascii="仿宋_GB2312" w:hAnsi="仿宋_GB2312" w:eastAsia="仿宋_GB2312" w:cs="仿宋_GB2312"/>
          <w:b w:val="0"/>
          <w:bCs w:val="0"/>
          <w:color w:val="000000"/>
          <w:sz w:val="32"/>
          <w:szCs w:val="32"/>
          <w:lang w:val="en-US" w:eastAsia="zh-CN"/>
        </w:rPr>
        <w:t>富民惠民政策</w:t>
      </w:r>
      <w:r>
        <w:rPr>
          <w:rFonts w:hint="eastAsia" w:ascii="仿宋_GB2312" w:hAnsi="仿宋_GB2312" w:eastAsia="仿宋_GB2312" w:cs="仿宋_GB2312"/>
          <w:b w:val="0"/>
          <w:bCs w:val="0"/>
          <w:color w:val="000000"/>
          <w:sz w:val="32"/>
          <w:szCs w:val="32"/>
          <w:lang w:eastAsia="zh-CN"/>
        </w:rPr>
        <w:t>，帮助</w:t>
      </w:r>
      <w:r>
        <w:rPr>
          <w:rFonts w:hint="eastAsia" w:ascii="仿宋_GB2312" w:hAnsi="仿宋_GB2312" w:eastAsia="仿宋_GB2312" w:cs="仿宋_GB2312"/>
          <w:b w:val="0"/>
          <w:bCs w:val="0"/>
          <w:color w:val="000000"/>
          <w:sz w:val="32"/>
          <w:szCs w:val="32"/>
          <w:lang w:val="en-US" w:eastAsia="zh-CN"/>
        </w:rPr>
        <w:t>群众</w:t>
      </w:r>
      <w:r>
        <w:rPr>
          <w:rFonts w:hint="eastAsia" w:ascii="仿宋_GB2312" w:hAnsi="仿宋_GB2312" w:eastAsia="仿宋_GB2312" w:cs="仿宋_GB2312"/>
          <w:b w:val="0"/>
          <w:bCs w:val="0"/>
          <w:color w:val="000000"/>
          <w:sz w:val="32"/>
          <w:szCs w:val="32"/>
          <w:lang w:eastAsia="zh-CN"/>
        </w:rPr>
        <w:t>寻找致富增收途径；广大政协委员、</w:t>
      </w:r>
      <w:r>
        <w:rPr>
          <w:rFonts w:hint="eastAsia" w:ascii="仿宋_GB2312" w:hAnsi="仿宋_GB2312" w:eastAsia="仿宋_GB2312" w:cs="仿宋_GB2312"/>
          <w:b w:val="0"/>
          <w:bCs w:val="0"/>
          <w:color w:val="000000"/>
          <w:sz w:val="32"/>
          <w:szCs w:val="32"/>
        </w:rPr>
        <w:t>机关党员干部带头深入贫困村开展结对帮扶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捐款</w:t>
      </w:r>
      <w:r>
        <w:rPr>
          <w:rFonts w:hint="eastAsia" w:ascii="仿宋_GB2312" w:hAnsi="仿宋_GB2312" w:eastAsia="仿宋_GB2312" w:cs="仿宋_GB2312"/>
          <w:b w:val="0"/>
          <w:bCs w:val="0"/>
          <w:color w:val="000000"/>
          <w:sz w:val="32"/>
          <w:szCs w:val="32"/>
          <w:lang w:val="en-US" w:eastAsia="zh-CN"/>
        </w:rPr>
        <w:t>80</w:t>
      </w:r>
      <w:r>
        <w:rPr>
          <w:rFonts w:hint="eastAsia" w:ascii="仿宋_GB2312" w:hAnsi="仿宋_GB2312" w:eastAsia="仿宋_GB2312" w:cs="仿宋_GB2312"/>
          <w:b w:val="0"/>
          <w:bCs w:val="0"/>
          <w:color w:val="000000"/>
          <w:sz w:val="32"/>
          <w:szCs w:val="32"/>
        </w:rPr>
        <w:t>余万元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为贫困群众办好事、做实事</w:t>
      </w:r>
      <w:r>
        <w:rPr>
          <w:rFonts w:hint="eastAsia" w:ascii="仿宋_GB2312" w:hAnsi="仿宋_GB2312" w:eastAsia="仿宋_GB2312" w:cs="仿宋_GB2312"/>
          <w:b w:val="0"/>
          <w:bCs w:val="0"/>
          <w:color w:val="000000"/>
          <w:sz w:val="32"/>
          <w:szCs w:val="32"/>
          <w:lang w:val="en-US" w:eastAsia="zh-CN"/>
        </w:rPr>
        <w:t>100多</w:t>
      </w:r>
      <w:r>
        <w:rPr>
          <w:rFonts w:hint="eastAsia" w:ascii="仿宋_GB2312" w:hAnsi="仿宋_GB2312" w:eastAsia="仿宋_GB2312" w:cs="仿宋_GB2312"/>
          <w:b w:val="0"/>
          <w:bCs w:val="0"/>
          <w:color w:val="000000"/>
          <w:sz w:val="32"/>
          <w:szCs w:val="32"/>
        </w:rPr>
        <w:t>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受到广大干部群众赞许。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lang w:eastAsia="zh-CN"/>
        </w:rPr>
        <w:t>深入开展“两联一进”。</w:t>
      </w:r>
      <w:r>
        <w:rPr>
          <w:rFonts w:hint="eastAsia" w:ascii="仿宋_GB2312" w:hAnsi="仿宋_GB2312" w:eastAsia="仿宋_GB2312" w:cs="仿宋_GB2312"/>
          <w:b w:val="0"/>
          <w:bCs w:val="0"/>
          <w:color w:val="000000"/>
          <w:sz w:val="32"/>
          <w:szCs w:val="32"/>
          <w:lang w:eastAsia="zh-CN"/>
        </w:rPr>
        <w:t>一年来，县政协始终把坚持好、维护好、发展好最广大人民根本利益作为政协工作的出发点和落脚点，以“两联一进”群众工作为载体，以人民群众利益为重、以人民群众期盼为念，真诚倾听群众呼声，真实反映群众愿望，真情关心群众疾苦，深入实际、深入基层、深入群众，知民情、解民忧、纾民怨、暖民心。一年来，县政协机关开展“两联一进”群众工作</w:t>
      </w:r>
      <w:r>
        <w:rPr>
          <w:rFonts w:hint="eastAsia" w:ascii="仿宋_GB2312" w:hAnsi="仿宋_GB2312" w:eastAsia="仿宋_GB2312" w:cs="仿宋_GB2312"/>
          <w:b w:val="0"/>
          <w:bCs w:val="0"/>
          <w:color w:val="000000"/>
          <w:sz w:val="32"/>
          <w:szCs w:val="32"/>
          <w:lang w:val="en-US" w:eastAsia="zh-CN"/>
        </w:rPr>
        <w:t>680人次，走访群众1600余户次，收集反馈各类诉求150多条，帮助解决实际困难130余个。发挥政协联系广泛的优势，与宗教界人士联谊交友，交心谈心，引导宗教界委员利用其影响力，教育带动信教群众感党恩、听党话、跟党走，更好地团结全县各族各界群众，切实把县委的部署变成全县人民的共同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rPr>
        <w:t>大力助推</w:t>
      </w:r>
      <w:r>
        <w:rPr>
          <w:rFonts w:hint="eastAsia" w:ascii="楷体" w:hAnsi="楷体" w:eastAsia="楷体" w:cs="楷体"/>
          <w:b/>
          <w:bCs/>
          <w:color w:val="000000"/>
          <w:sz w:val="32"/>
          <w:szCs w:val="32"/>
          <w:lang w:eastAsia="zh-CN"/>
        </w:rPr>
        <w:t>县域经济</w:t>
      </w:r>
      <w:r>
        <w:rPr>
          <w:rFonts w:hint="eastAsia" w:ascii="楷体" w:hAnsi="楷体" w:eastAsia="楷体" w:cs="楷体"/>
          <w:b/>
          <w:bCs/>
          <w:color w:val="000000"/>
          <w:sz w:val="32"/>
          <w:szCs w:val="32"/>
        </w:rPr>
        <w:t>。</w:t>
      </w:r>
      <w:r>
        <w:rPr>
          <w:rFonts w:hint="eastAsia" w:ascii="仿宋_GB2312" w:hAnsi="仿宋_GB2312" w:eastAsia="仿宋_GB2312" w:cs="仿宋_GB2312"/>
          <w:b w:val="0"/>
          <w:bCs w:val="0"/>
          <w:color w:val="000000"/>
          <w:sz w:val="32"/>
          <w:szCs w:val="32"/>
        </w:rPr>
        <w:t>县政协集协商、监督、参与于一体</w:t>
      </w:r>
      <w:r>
        <w:rPr>
          <w:rFonts w:hint="eastAsia" w:ascii="仿宋_GB2312" w:hAnsi="仿宋_GB2312" w:eastAsia="仿宋_GB2312" w:cs="仿宋_GB2312"/>
          <w:b w:val="0"/>
          <w:bCs w:val="0"/>
          <w:color w:val="000000"/>
          <w:sz w:val="32"/>
          <w:szCs w:val="32"/>
          <w:lang w:eastAsia="zh-CN"/>
        </w:rPr>
        <w:t>，紧扣“一城两县三地”发展思路，聚焦</w:t>
      </w:r>
      <w:r>
        <w:rPr>
          <w:rFonts w:hint="eastAsia" w:ascii="仿宋_GB2312" w:hAnsi="仿宋_GB2312" w:eastAsia="仿宋_GB2312" w:cs="仿宋_GB2312"/>
          <w:b w:val="0"/>
          <w:bCs w:val="0"/>
          <w:color w:val="000000"/>
          <w:sz w:val="32"/>
          <w:szCs w:val="32"/>
        </w:rPr>
        <w:t>建设川甘青结合部区域强县宏伟目标</w:t>
      </w:r>
      <w:r>
        <w:rPr>
          <w:rFonts w:hint="eastAsia" w:ascii="仿宋_GB2312" w:hAnsi="仿宋_GB2312" w:eastAsia="仿宋_GB2312" w:cs="仿宋_GB2312"/>
          <w:b w:val="0"/>
          <w:bCs w:val="0"/>
          <w:color w:val="000000"/>
          <w:sz w:val="32"/>
          <w:szCs w:val="32"/>
          <w:lang w:eastAsia="zh-CN"/>
        </w:rPr>
        <w:t>，着力在“脱贫致富、文旅融合、乡村振兴、生态优美”等方面献智出力，助力</w:t>
      </w:r>
      <w:r>
        <w:rPr>
          <w:rFonts w:hint="eastAsia" w:ascii="仿宋_GB2312" w:hAnsi="仿宋_GB2312" w:eastAsia="仿宋_GB2312" w:cs="仿宋_GB2312"/>
          <w:b w:val="0"/>
          <w:bCs w:val="0"/>
          <w:color w:val="000000"/>
          <w:sz w:val="32"/>
          <w:szCs w:val="32"/>
        </w:rPr>
        <w:t>培育新的县域经济增长点</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主动适应和引领经济发展新常态</w:t>
      </w:r>
      <w:r>
        <w:rPr>
          <w:rFonts w:hint="eastAsia" w:ascii="仿宋_GB2312" w:hAnsi="仿宋_GB2312" w:eastAsia="仿宋_GB2312" w:cs="仿宋_GB2312"/>
          <w:b w:val="0"/>
          <w:bCs w:val="0"/>
          <w:color w:val="000000"/>
          <w:sz w:val="32"/>
          <w:szCs w:val="32"/>
          <w:lang w:eastAsia="zh-CN"/>
        </w:rPr>
        <w:t>。围绕全县基础设施、产业培育、乡村振兴等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提出具有针对性、前瞻性的意见、建议。</w:t>
      </w:r>
      <w:r>
        <w:rPr>
          <w:rFonts w:hint="eastAsia" w:ascii="仿宋_GB2312" w:hAnsi="仿宋_GB2312" w:eastAsia="仿宋_GB2312" w:cs="仿宋_GB2312"/>
          <w:b w:val="0"/>
          <w:bCs w:val="0"/>
          <w:color w:val="000000"/>
          <w:sz w:val="32"/>
          <w:szCs w:val="32"/>
          <w:lang w:eastAsia="zh-CN"/>
        </w:rPr>
        <w:t>广大政协委员就“四好农村公路”、《</w:t>
      </w:r>
      <w:r>
        <w:rPr>
          <w:rFonts w:hint="eastAsia" w:ascii="仿宋_GB2312" w:hAnsi="仿宋_GB2312" w:eastAsia="仿宋_GB2312" w:cs="仿宋_GB2312"/>
          <w:b w:val="0"/>
          <w:bCs w:val="0"/>
          <w:color w:val="000000"/>
          <w:sz w:val="32"/>
          <w:szCs w:val="32"/>
          <w:lang w:val="en-US" w:eastAsia="zh-CN"/>
        </w:rPr>
        <w:t>2020——2024年壤塘县乡村振兴战略规划</w:t>
      </w:r>
      <w:r>
        <w:rPr>
          <w:rFonts w:hint="eastAsia" w:ascii="仿宋_GB2312" w:hAnsi="仿宋_GB2312" w:eastAsia="仿宋_GB2312" w:cs="仿宋_GB2312"/>
          <w:b w:val="0"/>
          <w:bCs w:val="0"/>
          <w:color w:val="000000"/>
          <w:sz w:val="32"/>
          <w:szCs w:val="32"/>
          <w:lang w:eastAsia="zh-CN"/>
        </w:rPr>
        <w:t>》和《壤塘县产业园区发展规划》等展开讨论，积极建言献策。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三、牢记使命担当，忠诚履职展形象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围绕团结和民主两大主题，把协商民主贯穿政治协商、民主监督、参政议政全过程。按照县委决策部署，厘清工作思路，明确协商方向与目标，认真组织实施</w:t>
      </w:r>
      <w:r>
        <w:rPr>
          <w:rFonts w:hint="eastAsia" w:ascii="仿宋_GB2312" w:hAnsi="仿宋_GB2312" w:eastAsia="仿宋_GB2312" w:cs="仿宋_GB2312"/>
          <w:b w:val="0"/>
          <w:bCs w:val="0"/>
          <w:color w:val="000000"/>
          <w:sz w:val="32"/>
          <w:szCs w:val="32"/>
          <w:lang w:val="en-US" w:eastAsia="zh-CN"/>
        </w:rPr>
        <w:t>2019</w:t>
      </w:r>
      <w:r>
        <w:rPr>
          <w:rFonts w:hint="eastAsia" w:ascii="仿宋_GB2312" w:hAnsi="仿宋_GB2312" w:eastAsia="仿宋_GB2312" w:cs="仿宋_GB2312"/>
          <w:b w:val="0"/>
          <w:bCs w:val="0"/>
          <w:color w:val="000000"/>
          <w:sz w:val="32"/>
          <w:szCs w:val="32"/>
          <w:lang w:eastAsia="zh-CN"/>
        </w:rPr>
        <w:t>年度协商计划，建立协商计划工作协调机制，完善以全体会议为龙头，以专题议政性常委会议和专题协商为重点，以界别协商、对口协商、提案办理协商为常态的协商议政格局。充分体现了县政协与县委、县政府同频共振、同轴运转的政治定力，真正实现了协商有位有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lang w:eastAsia="zh-CN"/>
        </w:rPr>
        <w:t>建言“建”在需要时。</w:t>
      </w:r>
      <w:r>
        <w:rPr>
          <w:rFonts w:hint="eastAsia" w:ascii="仿宋_GB2312" w:hAnsi="仿宋_GB2312" w:eastAsia="仿宋_GB2312" w:cs="仿宋_GB2312"/>
          <w:b w:val="0"/>
          <w:bCs w:val="0"/>
          <w:color w:val="000000"/>
          <w:sz w:val="32"/>
          <w:szCs w:val="32"/>
          <w:lang w:eastAsia="zh-CN"/>
        </w:rPr>
        <w:t>一年来，我们紧扣建设“川甘青结合部区域强县”目标，围绕“一城两县三地”发展思路，精心选题，选择大背景、小切口、准角度，从社会治理、扶贫攻坚、贫困母亲救助等事关壤塘发展稳定的一些前瞻性、全局性、战略性问题，积极开展调查研究，建言献策，对全县</w:t>
      </w:r>
      <w:r>
        <w:rPr>
          <w:rFonts w:hint="eastAsia" w:ascii="仿宋_GB2312" w:hAnsi="仿宋_GB2312" w:eastAsia="仿宋_GB2312" w:cs="仿宋_GB2312"/>
          <w:b w:val="0"/>
          <w:bCs w:val="0"/>
          <w:color w:val="000000"/>
          <w:sz w:val="32"/>
          <w:szCs w:val="32"/>
          <w:lang w:val="en-US" w:eastAsia="zh-CN"/>
        </w:rPr>
        <w:t>61个村、社区</w:t>
      </w:r>
      <w:r>
        <w:rPr>
          <w:rFonts w:hint="eastAsia" w:ascii="仿宋_GB2312" w:hAnsi="仿宋_GB2312" w:eastAsia="仿宋_GB2312" w:cs="仿宋_GB2312"/>
          <w:b w:val="0"/>
          <w:bCs w:val="0"/>
          <w:color w:val="000000"/>
          <w:sz w:val="32"/>
          <w:szCs w:val="32"/>
          <w:lang w:eastAsia="zh-CN"/>
        </w:rPr>
        <w:t>开展走访调研，召开群众座谈会，反复讨论酝酿形成了《壤塘县电子商务发展情况的视察报告》《壤塘县脱贫攻坚开展情况调研报告》《壤塘县贫困母亲家庭帮扶工作、计划生育情况调研报告》，调研报告内容详实，观点鲜明，把脉精准，措施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lang w:eastAsia="zh-CN"/>
        </w:rPr>
        <w:t>议政“议”在点子上。</w:t>
      </w:r>
      <w:r>
        <w:rPr>
          <w:rFonts w:hint="eastAsia" w:ascii="仿宋_GB2312" w:hAnsi="仿宋_GB2312" w:eastAsia="仿宋_GB2312" w:cs="仿宋_GB2312"/>
          <w:b w:val="0"/>
          <w:bCs w:val="0"/>
          <w:color w:val="000000"/>
          <w:sz w:val="32"/>
          <w:szCs w:val="32"/>
          <w:lang w:eastAsia="zh-CN"/>
        </w:rPr>
        <w:t>围绕全县改革发展中心工作，涉及国民经济和社会发展、生态文明建设、党风廉政建设、“一府两院”工作等内容，用好政协话语权，力求议在关键处、议在点子上。一年来，县政协共召开常委会议</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eastAsia="zh-CN"/>
        </w:rPr>
        <w:t>次、主席会议</w:t>
      </w:r>
      <w:r>
        <w:rPr>
          <w:rFonts w:hint="eastAsia" w:ascii="仿宋_GB2312" w:hAnsi="仿宋_GB2312"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lang w:eastAsia="zh-CN"/>
        </w:rPr>
        <w:t>次、开展调研视察活动</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eastAsia="zh-CN"/>
        </w:rPr>
        <w:t>次，报送调研报告</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lang w:eastAsia="zh-CN"/>
        </w:rPr>
        <w:t>份，报送社情民意信息</w:t>
      </w:r>
      <w:r>
        <w:rPr>
          <w:rFonts w:hint="eastAsia" w:ascii="仿宋_GB2312" w:hAnsi="仿宋_GB2312" w:eastAsia="仿宋_GB2312" w:cs="仿宋_GB2312"/>
          <w:b w:val="0"/>
          <w:bCs w:val="0"/>
          <w:color w:val="000000"/>
          <w:sz w:val="32"/>
          <w:szCs w:val="32"/>
          <w:lang w:val="en-US" w:eastAsia="zh-CN"/>
        </w:rPr>
        <w:t>15</w:t>
      </w:r>
      <w:r>
        <w:rPr>
          <w:rFonts w:hint="eastAsia" w:ascii="仿宋_GB2312" w:hAnsi="仿宋_GB2312" w:eastAsia="仿宋_GB2312" w:cs="仿宋_GB2312"/>
          <w:b w:val="0"/>
          <w:bCs w:val="0"/>
          <w:color w:val="000000"/>
          <w:sz w:val="32"/>
          <w:szCs w:val="32"/>
          <w:lang w:eastAsia="zh-CN"/>
        </w:rPr>
        <w:t>篇，在县政协主席会、常委会、联组会等各类会议上，政协委员踊跃参与、建言献策，在促进发展中贡献政协智慧，一大批真知灼见已转化为推动改革发展、加快民生改善、促进社会和谐的务实举措。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lang w:eastAsia="zh-CN"/>
        </w:rPr>
        <w:t>监督“督”在关键处。</w:t>
      </w:r>
      <w:r>
        <w:rPr>
          <w:rFonts w:hint="eastAsia" w:ascii="仿宋_GB2312" w:hAnsi="仿宋_GB2312" w:eastAsia="仿宋_GB2312" w:cs="仿宋_GB2312"/>
          <w:b w:val="0"/>
          <w:bCs w:val="0"/>
          <w:color w:val="000000"/>
          <w:sz w:val="32"/>
          <w:szCs w:val="32"/>
          <w:lang w:eastAsia="zh-CN"/>
        </w:rPr>
        <w:t>我们坚持围绕中心抓监督，坚持政协主席会成员列席县委常委会、政府常务会，适时对县委、县政府中心工作提出意见建议。发挥协商监督优势，把重要监督议题纳入年度协商计划，寓监督于各项协商议政活动之中，有效助推县委重要决策部署的落实和人民群众关心的热点难点问题的解决。在</w:t>
      </w:r>
      <w:r>
        <w:rPr>
          <w:rFonts w:hint="eastAsia" w:ascii="仿宋_GB2312" w:hAnsi="仿宋_GB2312" w:eastAsia="仿宋_GB2312" w:cs="仿宋_GB2312"/>
          <w:b w:val="0"/>
          <w:bCs w:val="0"/>
          <w:color w:val="000000"/>
          <w:sz w:val="32"/>
          <w:szCs w:val="32"/>
          <w:lang w:val="en-US" w:eastAsia="zh-CN"/>
        </w:rPr>
        <w:t>2019</w:t>
      </w:r>
      <w:r>
        <w:rPr>
          <w:rFonts w:hint="eastAsia" w:ascii="仿宋_GB2312" w:hAnsi="仿宋_GB2312" w:eastAsia="仿宋_GB2312" w:cs="仿宋_GB2312"/>
          <w:b w:val="0"/>
          <w:bCs w:val="0"/>
          <w:color w:val="000000"/>
          <w:sz w:val="32"/>
          <w:szCs w:val="32"/>
          <w:lang w:eastAsia="zh-CN"/>
        </w:rPr>
        <w:t>年初县政协三次全会上，委员们紧扣全县经济社会发展中的重要问题和涉及群众切身利益的实际问题，踊跃建言，提出提案68件，经审查立案49件，转为来信</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lang w:eastAsia="zh-CN"/>
        </w:rPr>
        <w:t>件。提案分别送交24个部门单位办理，办复满意率、基本满意率合计为100%，已经解决或基本解决的占75.51%，部分解决或已列入计划解决的占16.33%。办理过程中，县政协文史提案</w:t>
      </w:r>
      <w:r>
        <w:rPr>
          <w:rFonts w:hint="eastAsia" w:ascii="仿宋_GB2312" w:hAnsi="仿宋_GB2312" w:eastAsia="仿宋_GB2312" w:cs="仿宋_GB2312"/>
          <w:b w:val="0"/>
          <w:bCs w:val="0"/>
          <w:color w:val="000000"/>
          <w:sz w:val="32"/>
          <w:szCs w:val="32"/>
          <w:lang w:val="en-US" w:eastAsia="zh-CN"/>
        </w:rPr>
        <w:t>委员会</w:t>
      </w:r>
      <w:r>
        <w:rPr>
          <w:rFonts w:hint="eastAsia" w:ascii="仿宋_GB2312" w:hAnsi="仿宋_GB2312" w:eastAsia="仿宋_GB2312" w:cs="仿宋_GB2312"/>
          <w:b w:val="0"/>
          <w:bCs w:val="0"/>
          <w:color w:val="000000"/>
          <w:sz w:val="32"/>
          <w:szCs w:val="32"/>
          <w:lang w:eastAsia="zh-CN"/>
        </w:rPr>
        <w:t>与承办部门见面协商28次、召开座谈会2次，委员与承办单位见面率达到98%；5个重点提案实行县政府、县政协领导联合承办督办。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四、不忘为民初心，改善民生添助力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一年来</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县政协始终坚持以人民为中心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紧扣群众日益增长的美好生活需要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倾听群众呼声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反映群众愿望</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关心群众疾苦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不断提升人民群众的获得感和幸福感。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深入</w:t>
      </w:r>
      <w:r>
        <w:rPr>
          <w:rFonts w:hint="eastAsia" w:ascii="楷体" w:hAnsi="楷体" w:eastAsia="楷体" w:cs="楷体"/>
          <w:b/>
          <w:bCs/>
          <w:color w:val="000000"/>
          <w:sz w:val="32"/>
          <w:szCs w:val="32"/>
          <w:lang w:eastAsia="zh-CN"/>
        </w:rPr>
        <w:t>农牧</w:t>
      </w:r>
      <w:r>
        <w:rPr>
          <w:rFonts w:hint="eastAsia" w:ascii="楷体" w:hAnsi="楷体" w:eastAsia="楷体" w:cs="楷体"/>
          <w:b/>
          <w:bCs/>
          <w:color w:val="000000"/>
          <w:sz w:val="32"/>
          <w:szCs w:val="32"/>
        </w:rPr>
        <w:t>群众</w:t>
      </w:r>
      <w:r>
        <w:rPr>
          <w:rFonts w:hint="eastAsia" w:ascii="楷体" w:hAnsi="楷体" w:eastAsia="楷体" w:cs="楷体"/>
          <w:b/>
          <w:bCs/>
          <w:color w:val="000000"/>
          <w:sz w:val="32"/>
          <w:szCs w:val="32"/>
          <w:lang w:eastAsia="zh-CN"/>
        </w:rPr>
        <w:t>，收集</w:t>
      </w:r>
      <w:r>
        <w:rPr>
          <w:rFonts w:hint="eastAsia" w:ascii="楷体" w:hAnsi="楷体" w:eastAsia="楷体" w:cs="楷体"/>
          <w:b/>
          <w:bCs/>
          <w:color w:val="000000"/>
          <w:sz w:val="32"/>
          <w:szCs w:val="32"/>
        </w:rPr>
        <w:t>社情民意。</w:t>
      </w:r>
      <w:r>
        <w:rPr>
          <w:rFonts w:hint="eastAsia" w:ascii="仿宋_GB2312" w:hAnsi="仿宋_GB2312" w:eastAsia="仿宋_GB2312" w:cs="仿宋_GB2312"/>
          <w:b w:val="0"/>
          <w:bCs w:val="0"/>
          <w:color w:val="000000"/>
          <w:sz w:val="32"/>
          <w:szCs w:val="32"/>
          <w:lang w:eastAsia="zh-CN"/>
        </w:rPr>
        <w:t>县政协充分发挥代表性强、联系面广、包容性大的优势，聚焦全县发展、稳定、民生中的重大问题和群众最为关切的问题，深入调查研究，努力为全县发展出实招、谋良策。积极宣传党的方针政策，引导所联系群众支持和参与改革发展，正确对待新形势下改革发展带来的利益格局调整，为发展添助力、增合力。一年来，</w:t>
      </w:r>
      <w:r>
        <w:rPr>
          <w:rFonts w:hint="eastAsia" w:ascii="仿宋_GB2312" w:hAnsi="仿宋_GB2312" w:eastAsia="仿宋_GB2312" w:cs="仿宋_GB2312"/>
          <w:b w:val="0"/>
          <w:bCs w:val="0"/>
          <w:color w:val="000000"/>
          <w:sz w:val="32"/>
          <w:szCs w:val="32"/>
        </w:rPr>
        <w:t>县政协编报《社情民意信息》</w:t>
      </w:r>
      <w:r>
        <w:rPr>
          <w:rFonts w:hint="eastAsia" w:ascii="仿宋_GB2312" w:hAnsi="仿宋_GB2312" w:eastAsia="仿宋_GB2312" w:cs="仿宋_GB2312"/>
          <w:b w:val="0"/>
          <w:bCs w:val="0"/>
          <w:color w:val="000000"/>
          <w:sz w:val="32"/>
          <w:szCs w:val="32"/>
          <w:lang w:val="en-US" w:eastAsia="zh-CN"/>
        </w:rPr>
        <w:t>15</w:t>
      </w:r>
      <w:r>
        <w:rPr>
          <w:rFonts w:hint="eastAsia" w:ascii="仿宋_GB2312" w:hAnsi="仿宋_GB2312" w:eastAsia="仿宋_GB2312" w:cs="仿宋_GB2312"/>
          <w:b w:val="0"/>
          <w:bCs w:val="0"/>
          <w:color w:val="000000"/>
          <w:sz w:val="32"/>
          <w:szCs w:val="32"/>
        </w:rPr>
        <w:t>期</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向</w:t>
      </w:r>
      <w:r>
        <w:rPr>
          <w:rFonts w:hint="eastAsia" w:ascii="仿宋_GB2312" w:hAnsi="仿宋_GB2312" w:eastAsia="仿宋_GB2312" w:cs="仿宋_GB2312"/>
          <w:b w:val="0"/>
          <w:bCs w:val="0"/>
          <w:color w:val="000000"/>
          <w:sz w:val="32"/>
          <w:szCs w:val="32"/>
          <w:lang w:eastAsia="zh-CN"/>
        </w:rPr>
        <w:t>州</w:t>
      </w:r>
      <w:r>
        <w:rPr>
          <w:rFonts w:hint="eastAsia" w:ascii="仿宋_GB2312" w:hAnsi="仿宋_GB2312" w:eastAsia="仿宋_GB2312" w:cs="仿宋_GB2312"/>
          <w:b w:val="0"/>
          <w:bCs w:val="0"/>
          <w:color w:val="000000"/>
          <w:sz w:val="32"/>
          <w:szCs w:val="32"/>
        </w:rPr>
        <w:t>政协报送</w:t>
      </w:r>
      <w:r>
        <w:rPr>
          <w:rFonts w:hint="eastAsia" w:ascii="仿宋_GB2312" w:hAnsi="仿宋_GB2312" w:eastAsia="仿宋_GB2312" w:cs="仿宋_GB2312"/>
          <w:b w:val="0"/>
          <w:bCs w:val="0"/>
          <w:color w:val="000000"/>
          <w:sz w:val="32"/>
          <w:szCs w:val="32"/>
          <w:lang w:val="en-US" w:eastAsia="zh-CN"/>
        </w:rPr>
        <w:t>12</w:t>
      </w:r>
      <w:r>
        <w:rPr>
          <w:rFonts w:hint="eastAsia" w:ascii="仿宋_GB2312" w:hAnsi="仿宋_GB2312" w:eastAsia="仿宋_GB2312" w:cs="仿宋_GB2312"/>
          <w:b w:val="0"/>
          <w:bCs w:val="0"/>
          <w:color w:val="000000"/>
          <w:sz w:val="32"/>
          <w:szCs w:val="32"/>
        </w:rPr>
        <w:t>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采用</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条。这些建议大多数得到</w:t>
      </w:r>
      <w:r>
        <w:rPr>
          <w:rFonts w:hint="eastAsia" w:ascii="仿宋_GB2312" w:hAnsi="仿宋_GB2312" w:eastAsia="仿宋_GB2312" w:cs="仿宋_GB2312"/>
          <w:b w:val="0"/>
          <w:bCs w:val="0"/>
          <w:color w:val="000000"/>
          <w:sz w:val="32"/>
          <w:szCs w:val="32"/>
          <w:lang w:eastAsia="zh-CN"/>
        </w:rPr>
        <w:t>上级</w:t>
      </w:r>
      <w:r>
        <w:rPr>
          <w:rFonts w:hint="eastAsia" w:ascii="仿宋_GB2312" w:hAnsi="仿宋_GB2312" w:eastAsia="仿宋_GB2312" w:cs="仿宋_GB2312"/>
          <w:b w:val="0"/>
          <w:bCs w:val="0"/>
          <w:color w:val="000000"/>
          <w:sz w:val="32"/>
          <w:szCs w:val="32"/>
        </w:rPr>
        <w:t>主要领导的肯定和批示</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推动解决</w:t>
      </w:r>
      <w:r>
        <w:rPr>
          <w:rFonts w:hint="eastAsia" w:ascii="仿宋_GB2312" w:hAnsi="仿宋_GB2312" w:eastAsia="仿宋_GB2312" w:cs="仿宋_GB2312"/>
          <w:b w:val="0"/>
          <w:bCs w:val="0"/>
          <w:color w:val="000000"/>
          <w:sz w:val="32"/>
          <w:szCs w:val="32"/>
          <w:lang w:eastAsia="zh-CN"/>
        </w:rPr>
        <w:t>了一些与基层</w:t>
      </w:r>
      <w:r>
        <w:rPr>
          <w:rFonts w:hint="eastAsia" w:ascii="仿宋_GB2312" w:hAnsi="仿宋_GB2312" w:eastAsia="仿宋_GB2312" w:cs="仿宋_GB2312"/>
          <w:b w:val="0"/>
          <w:bCs w:val="0"/>
          <w:color w:val="000000"/>
          <w:sz w:val="32"/>
          <w:szCs w:val="32"/>
        </w:rPr>
        <w:t>群众生产生活密切相关的问题。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发挥</w:t>
      </w:r>
      <w:r>
        <w:rPr>
          <w:rFonts w:hint="eastAsia" w:ascii="楷体" w:hAnsi="楷体" w:eastAsia="楷体" w:cs="楷体"/>
          <w:b/>
          <w:bCs/>
          <w:color w:val="000000"/>
          <w:sz w:val="32"/>
          <w:szCs w:val="32"/>
          <w:lang w:eastAsia="zh-CN"/>
        </w:rPr>
        <w:t>政协</w:t>
      </w:r>
      <w:r>
        <w:rPr>
          <w:rFonts w:hint="eastAsia" w:ascii="楷体" w:hAnsi="楷体" w:eastAsia="楷体" w:cs="楷体"/>
          <w:b/>
          <w:bCs/>
          <w:color w:val="000000"/>
          <w:sz w:val="32"/>
          <w:szCs w:val="32"/>
        </w:rPr>
        <w:t>优势</w:t>
      </w:r>
      <w:r>
        <w:rPr>
          <w:rFonts w:hint="eastAsia" w:ascii="楷体" w:hAnsi="楷体" w:eastAsia="楷体" w:cs="楷体"/>
          <w:b/>
          <w:bCs/>
          <w:color w:val="000000"/>
          <w:sz w:val="32"/>
          <w:szCs w:val="32"/>
          <w:lang w:eastAsia="zh-CN"/>
        </w:rPr>
        <w:t>，助力</w:t>
      </w:r>
      <w:r>
        <w:rPr>
          <w:rFonts w:hint="eastAsia" w:ascii="楷体" w:hAnsi="楷体" w:eastAsia="楷体" w:cs="楷体"/>
          <w:b/>
          <w:bCs/>
          <w:color w:val="000000"/>
          <w:sz w:val="32"/>
          <w:szCs w:val="32"/>
        </w:rPr>
        <w:t>民生改善。</w:t>
      </w:r>
      <w:r>
        <w:rPr>
          <w:rFonts w:hint="eastAsia" w:ascii="仿宋_GB2312" w:hAnsi="仿宋_GB2312" w:eastAsia="仿宋_GB2312" w:cs="仿宋_GB2312"/>
          <w:b w:val="0"/>
          <w:bCs w:val="0"/>
          <w:color w:val="000000"/>
          <w:sz w:val="32"/>
          <w:szCs w:val="32"/>
        </w:rPr>
        <w:t>在县政协十</w:t>
      </w:r>
      <w:r>
        <w:rPr>
          <w:rFonts w:hint="eastAsia" w:ascii="仿宋_GB2312" w:hAnsi="仿宋_GB2312" w:eastAsia="仿宋_GB2312" w:cs="仿宋_GB2312"/>
          <w:b w:val="0"/>
          <w:bCs w:val="0"/>
          <w:color w:val="000000"/>
          <w:sz w:val="32"/>
          <w:szCs w:val="32"/>
          <w:lang w:val="en-US" w:eastAsia="zh-CN"/>
        </w:rPr>
        <w:t>三</w:t>
      </w:r>
      <w:r>
        <w:rPr>
          <w:rFonts w:hint="eastAsia" w:ascii="仿宋_GB2312" w:hAnsi="仿宋_GB2312" w:eastAsia="仿宋_GB2312" w:cs="仿宋_GB2312"/>
          <w:b w:val="0"/>
          <w:bCs w:val="0"/>
          <w:color w:val="000000"/>
          <w:sz w:val="32"/>
          <w:szCs w:val="32"/>
        </w:rPr>
        <w:t>届三次会议期间</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涉及民生改善的提案占提案总数的</w:t>
      </w:r>
      <w:r>
        <w:rPr>
          <w:rFonts w:hint="eastAsia" w:ascii="仿宋_GB2312" w:hAnsi="仿宋_GB2312" w:eastAsia="仿宋_GB2312" w:cs="仿宋_GB2312"/>
          <w:b w:val="0"/>
          <w:bCs w:val="0"/>
          <w:color w:val="000000"/>
          <w:sz w:val="32"/>
          <w:szCs w:val="32"/>
          <w:lang w:val="en-US" w:eastAsia="zh-CN"/>
        </w:rPr>
        <w:t>51</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涵盖脱贫攻坚、养老、</w:t>
      </w:r>
      <w:r>
        <w:rPr>
          <w:rFonts w:hint="eastAsia" w:ascii="仿宋_GB2312" w:hAnsi="仿宋_GB2312" w:eastAsia="仿宋_GB2312" w:cs="仿宋_GB2312"/>
          <w:b w:val="0"/>
          <w:bCs w:val="0"/>
          <w:color w:val="000000"/>
          <w:sz w:val="32"/>
          <w:szCs w:val="32"/>
          <w:lang w:eastAsia="zh-CN"/>
        </w:rPr>
        <w:t>教育</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就业、</w:t>
      </w:r>
      <w:r>
        <w:rPr>
          <w:rFonts w:hint="eastAsia" w:ascii="仿宋_GB2312" w:hAnsi="仿宋_GB2312" w:eastAsia="仿宋_GB2312" w:cs="仿宋_GB2312"/>
          <w:b w:val="0"/>
          <w:bCs w:val="0"/>
          <w:color w:val="000000"/>
          <w:sz w:val="32"/>
          <w:szCs w:val="32"/>
        </w:rPr>
        <w:t>社会保障</w:t>
      </w:r>
      <w:r>
        <w:rPr>
          <w:rFonts w:hint="eastAsia" w:ascii="仿宋_GB2312" w:hAnsi="仿宋_GB2312" w:eastAsia="仿宋_GB2312" w:cs="仿宋_GB2312"/>
          <w:b w:val="0"/>
          <w:bCs w:val="0"/>
          <w:color w:val="000000"/>
          <w:sz w:val="32"/>
          <w:szCs w:val="32"/>
          <w:lang w:eastAsia="zh-CN"/>
        </w:rPr>
        <w:t>等，</w:t>
      </w:r>
      <w:r>
        <w:rPr>
          <w:rFonts w:hint="eastAsia" w:ascii="仿宋_GB2312" w:hAnsi="仿宋_GB2312" w:eastAsia="仿宋_GB2312" w:cs="仿宋_GB2312"/>
          <w:b w:val="0"/>
          <w:bCs w:val="0"/>
          <w:color w:val="000000"/>
          <w:sz w:val="32"/>
          <w:szCs w:val="32"/>
        </w:rPr>
        <w:t>充分体现了政协委员强烈的责任感和使命感。对</w:t>
      </w:r>
      <w:r>
        <w:rPr>
          <w:rFonts w:hint="eastAsia" w:ascii="仿宋_GB2312" w:hAnsi="仿宋_GB2312" w:eastAsia="仿宋_GB2312" w:cs="仿宋_GB2312"/>
          <w:b w:val="0"/>
          <w:bCs w:val="0"/>
          <w:color w:val="000000"/>
          <w:sz w:val="32"/>
          <w:szCs w:val="32"/>
          <w:lang w:val="en-US" w:eastAsia="zh-CN"/>
        </w:rPr>
        <w:t>每件</w:t>
      </w:r>
      <w:r>
        <w:rPr>
          <w:rFonts w:hint="eastAsia" w:ascii="仿宋_GB2312" w:hAnsi="仿宋_GB2312" w:eastAsia="仿宋_GB2312" w:cs="仿宋_GB2312"/>
          <w:b w:val="0"/>
          <w:bCs w:val="0"/>
          <w:color w:val="000000"/>
          <w:sz w:val="32"/>
          <w:szCs w:val="32"/>
        </w:rPr>
        <w:t>民生提案</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县政府及相关部门高度重视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并纳入民生工程</w:t>
      </w:r>
      <w:r>
        <w:rPr>
          <w:rFonts w:hint="eastAsia" w:ascii="仿宋_GB2312" w:hAnsi="仿宋_GB2312" w:eastAsia="仿宋_GB2312" w:cs="仿宋_GB2312"/>
          <w:b w:val="0"/>
          <w:bCs w:val="0"/>
          <w:color w:val="000000"/>
          <w:sz w:val="32"/>
          <w:szCs w:val="32"/>
          <w:lang w:eastAsia="zh-CN"/>
        </w:rPr>
        <w:t>实施范围，</w:t>
      </w:r>
      <w:r>
        <w:rPr>
          <w:rFonts w:hint="eastAsia" w:ascii="仿宋_GB2312" w:hAnsi="仿宋_GB2312" w:eastAsia="仿宋_GB2312" w:cs="仿宋_GB2312"/>
          <w:b w:val="0"/>
          <w:bCs w:val="0"/>
          <w:color w:val="000000"/>
          <w:sz w:val="32"/>
          <w:szCs w:val="32"/>
        </w:rPr>
        <w:t>做到件件有落实</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事事有回音</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个个有效果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真正让民生提案惠及民生。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楷体" w:hAnsi="楷体" w:eastAsia="楷体" w:cs="楷体"/>
          <w:b/>
          <w:bCs/>
          <w:color w:val="000000"/>
          <w:sz w:val="32"/>
          <w:szCs w:val="32"/>
          <w:lang w:eastAsia="zh-CN"/>
        </w:rPr>
        <w:t>参与社会治理，维护平安稳定。</w:t>
      </w:r>
      <w:r>
        <w:rPr>
          <w:rFonts w:hint="eastAsia" w:ascii="仿宋_GB2312" w:hAnsi="仿宋_GB2312" w:eastAsia="仿宋_GB2312" w:cs="仿宋_GB2312"/>
          <w:b w:val="0"/>
          <w:bCs w:val="0"/>
          <w:color w:val="000000"/>
          <w:sz w:val="32"/>
          <w:szCs w:val="32"/>
          <w:lang w:eastAsia="zh-CN"/>
        </w:rPr>
        <w:t>深入学习领会中共十九届四中全会精神，利用开展界别、委员视察和调研等活动，组织委员深入基层，积极做好政策法规宣传、促进社会公益事业、帮助困难群体等有助于社会民生的各项工作，协助相关单位解决好涉及群众切身利益的一些热点、难点问题，做好</w:t>
      </w:r>
      <w:r>
        <w:rPr>
          <w:rFonts w:hint="eastAsia" w:ascii="仿宋_GB2312" w:hAnsi="仿宋_GB2312" w:eastAsia="仿宋_GB2312" w:cs="仿宋_GB2312"/>
          <w:b w:val="0"/>
          <w:bCs w:val="0"/>
          <w:color w:val="000000"/>
          <w:sz w:val="32"/>
          <w:szCs w:val="32"/>
        </w:rPr>
        <w:t>一些敏感点、风险点、关切</w:t>
      </w:r>
      <w:r>
        <w:rPr>
          <w:rFonts w:hint="eastAsia" w:ascii="仿宋_GB2312" w:hAnsi="仿宋_GB2312" w:eastAsia="仿宋_GB2312" w:cs="仿宋_GB2312"/>
          <w:b w:val="0"/>
          <w:bCs w:val="0"/>
          <w:color w:val="000000"/>
          <w:sz w:val="32"/>
          <w:szCs w:val="32"/>
          <w:lang w:eastAsia="zh-CN"/>
        </w:rPr>
        <w:t>点上的</w:t>
      </w:r>
      <w:r>
        <w:rPr>
          <w:rFonts w:hint="eastAsia" w:ascii="仿宋_GB2312" w:hAnsi="仿宋_GB2312" w:eastAsia="仿宋_GB2312" w:cs="仿宋_GB2312"/>
          <w:b w:val="0"/>
          <w:bCs w:val="0"/>
          <w:color w:val="000000"/>
          <w:sz w:val="32"/>
          <w:szCs w:val="32"/>
        </w:rPr>
        <w:t>思想政治工作</w:t>
      </w:r>
      <w:r>
        <w:rPr>
          <w:rFonts w:hint="eastAsia" w:ascii="仿宋_GB2312" w:hAnsi="仿宋_GB2312" w:eastAsia="仿宋_GB2312" w:cs="仿宋_GB2312"/>
          <w:b w:val="0"/>
          <w:bCs w:val="0"/>
          <w:color w:val="000000"/>
          <w:sz w:val="32"/>
          <w:szCs w:val="32"/>
          <w:lang w:eastAsia="zh-CN"/>
        </w:rPr>
        <w:t>，并充分发挥政协协商职能，将基层群众的观点想法及时反馈给相关单位。坚持问题导向，认真开展扫黑除恶专项斗争进展情况监督性视察。利用扶贫帮扶对口联系、“两联一进”群众工作等时机，组织机关干部、政协委员深入村寨牧场、寺庙扎康，向群众、僧尼宣传讲解国家大政方针、惠民惠农政策，收集群众愿望诉求、意见建议，协助解决群众生产生活中的困难，在干部和群众之间架起了一座座“连心桥”，切实拉近了党群干群关系，促进了壤塘长治久安、人民安居乐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五、加强自身建设，提高履职能力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人民政协自身建设水平</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关系协商议政质量和履职成效。</w:t>
      </w:r>
      <w:r>
        <w:rPr>
          <w:rFonts w:hint="eastAsia" w:ascii="仿宋_GB2312" w:hAnsi="仿宋_GB2312" w:eastAsia="仿宋_GB2312" w:cs="仿宋_GB2312"/>
          <w:b w:val="0"/>
          <w:bCs w:val="0"/>
          <w:color w:val="000000"/>
          <w:sz w:val="32"/>
          <w:szCs w:val="32"/>
          <w:lang w:eastAsia="zh-CN"/>
        </w:rPr>
        <w:t>按照县委的要求，</w:t>
      </w:r>
      <w:r>
        <w:rPr>
          <w:rFonts w:hint="eastAsia" w:ascii="仿宋_GB2312" w:hAnsi="仿宋_GB2312" w:eastAsia="仿宋_GB2312" w:cs="仿宋_GB2312"/>
          <w:b w:val="0"/>
          <w:bCs w:val="0"/>
          <w:color w:val="000000"/>
          <w:sz w:val="32"/>
          <w:szCs w:val="32"/>
        </w:rPr>
        <w:t>坚持以党的建设带动政协自身建设</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夯实基础、转变作风</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全面增强履职本领。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从严加强政协系统党的建设。</w:t>
      </w:r>
      <w:r>
        <w:rPr>
          <w:rFonts w:hint="eastAsia" w:ascii="仿宋_GB2312" w:hAnsi="仿宋_GB2312" w:eastAsia="仿宋_GB2312" w:cs="仿宋_GB2312"/>
          <w:b w:val="0"/>
          <w:bCs w:val="0"/>
          <w:color w:val="000000"/>
          <w:sz w:val="32"/>
          <w:szCs w:val="32"/>
        </w:rPr>
        <w:t>认真贯彻落实全</w:t>
      </w:r>
      <w:r>
        <w:rPr>
          <w:rFonts w:hint="eastAsia" w:ascii="仿宋_GB2312" w:hAnsi="仿宋_GB2312" w:eastAsia="仿宋_GB2312" w:cs="仿宋_GB2312"/>
          <w:b w:val="0"/>
          <w:bCs w:val="0"/>
          <w:color w:val="000000"/>
          <w:sz w:val="32"/>
          <w:szCs w:val="32"/>
          <w:lang w:eastAsia="zh-CN"/>
        </w:rPr>
        <w:t>州</w:t>
      </w:r>
      <w:r>
        <w:rPr>
          <w:rFonts w:hint="eastAsia" w:ascii="仿宋_GB2312" w:hAnsi="仿宋_GB2312" w:eastAsia="仿宋_GB2312" w:cs="仿宋_GB2312"/>
          <w:b w:val="0"/>
          <w:bCs w:val="0"/>
          <w:color w:val="000000"/>
          <w:sz w:val="32"/>
          <w:szCs w:val="32"/>
        </w:rPr>
        <w:t>政协系统党的建设工作座谈会精神</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严肃党内政治生活</w:t>
      </w:r>
      <w:r>
        <w:rPr>
          <w:rFonts w:hint="eastAsia" w:ascii="仿宋_GB2312" w:hAnsi="仿宋_GB2312" w:eastAsia="仿宋_GB2312" w:cs="仿宋_GB2312"/>
          <w:b w:val="0"/>
          <w:bCs w:val="0"/>
          <w:color w:val="000000"/>
          <w:sz w:val="32"/>
          <w:szCs w:val="32"/>
          <w:lang w:eastAsia="zh-CN"/>
        </w:rPr>
        <w:t>，重温入党誓词、重走长征路，</w:t>
      </w:r>
      <w:r>
        <w:rPr>
          <w:rFonts w:hint="eastAsia" w:ascii="仿宋_GB2312" w:hAnsi="仿宋_GB2312" w:eastAsia="仿宋_GB2312" w:cs="仿宋_GB2312"/>
          <w:b w:val="0"/>
          <w:bCs w:val="0"/>
          <w:color w:val="000000"/>
          <w:sz w:val="32"/>
          <w:szCs w:val="32"/>
        </w:rPr>
        <w:t>锤炼党性修养</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抓好党风廉政建设风险点排查</w:t>
      </w:r>
      <w:r>
        <w:rPr>
          <w:rFonts w:hint="eastAsia" w:ascii="仿宋_GB2312" w:hAnsi="仿宋_GB2312" w:eastAsia="仿宋_GB2312" w:cs="仿宋_GB2312"/>
          <w:b w:val="0"/>
          <w:bCs w:val="0"/>
          <w:color w:val="000000"/>
          <w:sz w:val="32"/>
          <w:szCs w:val="32"/>
          <w:lang w:eastAsia="zh-CN"/>
        </w:rPr>
        <w:t>，配合</w:t>
      </w:r>
      <w:r>
        <w:rPr>
          <w:rFonts w:hint="eastAsia" w:ascii="仿宋_GB2312" w:hAnsi="仿宋_GB2312" w:eastAsia="仿宋_GB2312" w:cs="仿宋_GB2312"/>
          <w:b w:val="0"/>
          <w:bCs w:val="0"/>
          <w:color w:val="000000"/>
          <w:sz w:val="32"/>
          <w:szCs w:val="32"/>
        </w:rPr>
        <w:t>支持</w:t>
      </w:r>
      <w:r>
        <w:rPr>
          <w:rFonts w:hint="eastAsia" w:ascii="仿宋_GB2312" w:hAnsi="仿宋_GB2312" w:eastAsia="仿宋_GB2312" w:cs="仿宋_GB2312"/>
          <w:b w:val="0"/>
          <w:bCs w:val="0"/>
          <w:color w:val="000000"/>
          <w:sz w:val="32"/>
          <w:szCs w:val="32"/>
          <w:lang w:eastAsia="zh-CN"/>
        </w:rPr>
        <w:t>省委巡视和县委第五轮巡察工作，持续深入开展思想作风大体检</w:t>
      </w:r>
      <w:r>
        <w:rPr>
          <w:rFonts w:hint="eastAsia" w:ascii="仿宋_GB2312" w:hAnsi="仿宋_GB2312" w:eastAsia="仿宋_GB2312" w:cs="仿宋_GB2312"/>
          <w:b w:val="0"/>
          <w:bCs w:val="0"/>
          <w:color w:val="000000"/>
          <w:sz w:val="32"/>
          <w:szCs w:val="32"/>
        </w:rPr>
        <w:t>活动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通过上廉政党课、观看警示教育片、</w:t>
      </w:r>
      <w:r>
        <w:rPr>
          <w:rFonts w:hint="eastAsia" w:ascii="仿宋_GB2312" w:hAnsi="仿宋_GB2312" w:eastAsia="仿宋_GB2312" w:cs="仿宋_GB2312"/>
          <w:b w:val="0"/>
          <w:bCs w:val="0"/>
          <w:color w:val="000000"/>
          <w:sz w:val="32"/>
          <w:szCs w:val="32"/>
          <w:lang w:eastAsia="zh-CN"/>
        </w:rPr>
        <w:t>现场教学</w:t>
      </w:r>
      <w:r>
        <w:rPr>
          <w:rFonts w:hint="eastAsia" w:ascii="仿宋_GB2312" w:hAnsi="仿宋_GB2312" w:eastAsia="仿宋_GB2312" w:cs="仿宋_GB2312"/>
          <w:b w:val="0"/>
          <w:bCs w:val="0"/>
          <w:color w:val="000000"/>
          <w:sz w:val="32"/>
          <w:szCs w:val="32"/>
        </w:rPr>
        <w:t>等方式</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开展警示教育活动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教育引导党员干部</w:t>
      </w:r>
      <w:r>
        <w:rPr>
          <w:rFonts w:hint="eastAsia" w:ascii="仿宋_GB2312" w:hAnsi="仿宋_GB2312" w:eastAsia="仿宋_GB2312" w:cs="仿宋_GB2312"/>
          <w:b w:val="0"/>
          <w:bCs w:val="0"/>
          <w:color w:val="000000"/>
          <w:sz w:val="32"/>
          <w:szCs w:val="32"/>
          <w:lang w:eastAsia="zh-CN"/>
        </w:rPr>
        <w:t>和委员</w:t>
      </w:r>
      <w:r>
        <w:rPr>
          <w:rFonts w:hint="eastAsia" w:ascii="仿宋_GB2312" w:hAnsi="仿宋_GB2312" w:eastAsia="仿宋_GB2312" w:cs="仿宋_GB2312"/>
          <w:b w:val="0"/>
          <w:bCs w:val="0"/>
          <w:color w:val="000000"/>
          <w:sz w:val="32"/>
          <w:szCs w:val="32"/>
        </w:rPr>
        <w:t>带头遵守中央八项规定</w:t>
      </w:r>
      <w:r>
        <w:rPr>
          <w:rFonts w:hint="eastAsia" w:ascii="仿宋_GB2312" w:hAnsi="仿宋_GB2312" w:eastAsia="仿宋_GB2312" w:cs="仿宋_GB2312"/>
          <w:b w:val="0"/>
          <w:bCs w:val="0"/>
          <w:color w:val="000000"/>
          <w:sz w:val="32"/>
          <w:szCs w:val="32"/>
          <w:lang w:eastAsia="zh-CN"/>
        </w:rPr>
        <w:t>及省州县相关要求</w:t>
      </w:r>
      <w:r>
        <w:rPr>
          <w:rFonts w:hint="eastAsia" w:ascii="仿宋_GB2312" w:hAnsi="仿宋_GB2312" w:eastAsia="仿宋_GB2312" w:cs="仿宋_GB2312"/>
          <w:b w:val="0"/>
          <w:bCs w:val="0"/>
          <w:color w:val="000000"/>
          <w:sz w:val="32"/>
          <w:szCs w:val="32"/>
        </w:rPr>
        <w:t>精神</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模范执行各项纪律要求</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坚守党员“精神家园”。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持续健全完善制度机制。</w:t>
      </w:r>
      <w:r>
        <w:rPr>
          <w:rFonts w:hint="eastAsia" w:ascii="仿宋_GB2312" w:hAnsi="仿宋_GB2312" w:eastAsia="仿宋_GB2312" w:cs="仿宋_GB2312"/>
          <w:b w:val="0"/>
          <w:bCs w:val="0"/>
          <w:color w:val="000000"/>
          <w:sz w:val="32"/>
          <w:szCs w:val="32"/>
        </w:rPr>
        <w:t>坚持把制度建设摆在重要位置</w:t>
      </w:r>
      <w:r>
        <w:rPr>
          <w:rFonts w:hint="eastAsia" w:ascii="仿宋_GB2312" w:hAnsi="仿宋_GB2312" w:eastAsia="仿宋_GB2312" w:cs="仿宋_GB2312"/>
          <w:b w:val="0"/>
          <w:bCs w:val="0"/>
          <w:color w:val="000000"/>
          <w:sz w:val="32"/>
          <w:szCs w:val="32"/>
          <w:lang w:eastAsia="zh-CN"/>
        </w:rPr>
        <w:t>，根据县委巡察反馈意见，</w:t>
      </w:r>
      <w:r>
        <w:rPr>
          <w:rFonts w:hint="eastAsia" w:ascii="仿宋_GB2312" w:hAnsi="仿宋_GB2312" w:eastAsia="仿宋_GB2312" w:cs="仿宋_GB2312"/>
          <w:b w:val="0"/>
          <w:bCs w:val="0"/>
          <w:color w:val="000000"/>
          <w:sz w:val="32"/>
          <w:szCs w:val="32"/>
        </w:rPr>
        <w:t>修订</w:t>
      </w:r>
      <w:r>
        <w:rPr>
          <w:rFonts w:hint="eastAsia" w:ascii="仿宋_GB2312" w:hAnsi="仿宋_GB2312" w:eastAsia="仿宋_GB2312" w:cs="仿宋_GB2312"/>
          <w:b w:val="0"/>
          <w:bCs w:val="0"/>
          <w:color w:val="000000"/>
          <w:sz w:val="32"/>
          <w:szCs w:val="32"/>
          <w:lang w:eastAsia="zh-CN"/>
        </w:rPr>
        <w:t>了机关</w:t>
      </w:r>
      <w:r>
        <w:rPr>
          <w:rFonts w:hint="eastAsia" w:ascii="仿宋_GB2312" w:hAnsi="仿宋_GB2312" w:eastAsia="仿宋_GB2312" w:cs="仿宋_GB2312"/>
          <w:b w:val="0"/>
          <w:bCs w:val="0"/>
          <w:color w:val="000000"/>
          <w:sz w:val="32"/>
          <w:szCs w:val="32"/>
        </w:rPr>
        <w:t>工作规则</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推进政协工作科学化、制度化、规范化建设。规范委员履职管理</w:t>
      </w:r>
      <w:r>
        <w:rPr>
          <w:rFonts w:hint="eastAsia" w:ascii="仿宋_GB2312" w:hAnsi="仿宋_GB2312" w:eastAsia="仿宋_GB2312" w:cs="仿宋_GB2312"/>
          <w:b w:val="0"/>
          <w:bCs w:val="0"/>
          <w:color w:val="000000"/>
          <w:sz w:val="32"/>
          <w:szCs w:val="32"/>
          <w:lang w:eastAsia="zh-CN"/>
        </w:rPr>
        <w:t>，适时向县委建议增补了</w:t>
      </w: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名政协委员。邀请委员列席常委会议</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增加专题协商会、协商座谈会、调研视察参加委员比例</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不断扩大委员参与面。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大力强化委员队伍建设。</w:t>
      </w:r>
      <w:r>
        <w:rPr>
          <w:rFonts w:hint="eastAsia" w:ascii="仿宋_GB2312" w:hAnsi="仿宋_GB2312" w:eastAsia="仿宋_GB2312" w:cs="仿宋_GB2312"/>
          <w:b w:val="0"/>
          <w:bCs w:val="0"/>
          <w:color w:val="000000"/>
          <w:sz w:val="32"/>
          <w:szCs w:val="32"/>
        </w:rPr>
        <w:t>以</w:t>
      </w:r>
      <w:r>
        <w:rPr>
          <w:rFonts w:hint="eastAsia" w:ascii="仿宋_GB2312" w:hAnsi="仿宋_GB2312" w:eastAsia="仿宋_GB2312" w:cs="仿宋_GB2312"/>
          <w:b w:val="0"/>
          <w:bCs w:val="0"/>
          <w:color w:val="000000"/>
          <w:sz w:val="32"/>
          <w:szCs w:val="32"/>
          <w:lang w:eastAsia="zh-CN"/>
        </w:rPr>
        <w:t>提高委员履职能力</w:t>
      </w:r>
      <w:r>
        <w:rPr>
          <w:rFonts w:hint="eastAsia" w:ascii="仿宋_GB2312" w:hAnsi="仿宋_GB2312" w:eastAsia="仿宋_GB2312" w:cs="仿宋_GB2312"/>
          <w:b w:val="0"/>
          <w:bCs w:val="0"/>
          <w:color w:val="000000"/>
          <w:sz w:val="32"/>
          <w:szCs w:val="32"/>
        </w:rPr>
        <w:t>为目标</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坚持按计划、分批次、有重点抓好委员学习教育</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积极推行“请进来”集中授课、“走出去”参加学习培训</w:t>
      </w:r>
      <w:r>
        <w:rPr>
          <w:rFonts w:hint="eastAsia" w:ascii="仿宋_GB2312" w:hAnsi="仿宋_GB2312" w:eastAsia="仿宋_GB2312" w:cs="仿宋_GB2312"/>
          <w:b w:val="0"/>
          <w:bCs w:val="0"/>
          <w:color w:val="000000"/>
          <w:sz w:val="32"/>
          <w:szCs w:val="32"/>
          <w:lang w:eastAsia="zh-CN"/>
        </w:rPr>
        <w:t>等方式</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丰富学习内容，</w:t>
      </w:r>
      <w:r>
        <w:rPr>
          <w:rFonts w:hint="eastAsia" w:ascii="仿宋_GB2312" w:hAnsi="仿宋_GB2312" w:eastAsia="仿宋_GB2312" w:cs="仿宋_GB2312"/>
          <w:b w:val="0"/>
          <w:bCs w:val="0"/>
          <w:color w:val="000000"/>
          <w:sz w:val="32"/>
          <w:szCs w:val="32"/>
        </w:rPr>
        <w:t>除政协履职、形势教育、人文知识外</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还专门设置一系列专题讲座</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拓宽政协委员学习面</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为高效履职奠定</w:t>
      </w:r>
      <w:r>
        <w:rPr>
          <w:rFonts w:hint="eastAsia" w:ascii="仿宋_GB2312" w:hAnsi="仿宋_GB2312" w:eastAsia="仿宋_GB2312" w:cs="仿宋_GB2312"/>
          <w:b w:val="0"/>
          <w:bCs w:val="0"/>
          <w:color w:val="000000"/>
          <w:sz w:val="32"/>
          <w:szCs w:val="32"/>
          <w:lang w:eastAsia="zh-CN"/>
        </w:rPr>
        <w:t>了</w:t>
      </w:r>
      <w:r>
        <w:rPr>
          <w:rFonts w:hint="eastAsia" w:ascii="仿宋_GB2312" w:hAnsi="仿宋_GB2312" w:eastAsia="仿宋_GB2312" w:cs="仿宋_GB2312"/>
          <w:b w:val="0"/>
          <w:bCs w:val="0"/>
          <w:color w:val="000000"/>
          <w:sz w:val="32"/>
          <w:szCs w:val="32"/>
        </w:rPr>
        <w:t>基础。201</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组织委员参加学习培训</w:t>
      </w:r>
      <w:r>
        <w:rPr>
          <w:rFonts w:hint="eastAsia" w:ascii="仿宋_GB2312" w:hAnsi="仿宋_GB2312" w:eastAsia="仿宋_GB2312" w:cs="仿宋_GB2312"/>
          <w:b w:val="0"/>
          <w:bCs w:val="0"/>
          <w:color w:val="000000"/>
          <w:sz w:val="32"/>
          <w:szCs w:val="32"/>
          <w:lang w:val="en-US" w:eastAsia="zh-CN"/>
        </w:rPr>
        <w:t>152</w:t>
      </w:r>
      <w:r>
        <w:rPr>
          <w:rFonts w:hint="eastAsia" w:ascii="仿宋_GB2312" w:hAnsi="仿宋_GB2312" w:eastAsia="仿宋_GB2312" w:cs="仿宋_GB2312"/>
          <w:b w:val="0"/>
          <w:bCs w:val="0"/>
          <w:color w:val="000000"/>
          <w:sz w:val="32"/>
          <w:szCs w:val="32"/>
        </w:rPr>
        <w:t>人次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持续提升</w:t>
      </w:r>
      <w:r>
        <w:rPr>
          <w:rFonts w:hint="eastAsia" w:ascii="仿宋_GB2312" w:hAnsi="仿宋_GB2312" w:eastAsia="仿宋_GB2312" w:cs="仿宋_GB2312"/>
          <w:b w:val="0"/>
          <w:bCs w:val="0"/>
          <w:color w:val="000000"/>
          <w:sz w:val="32"/>
          <w:szCs w:val="32"/>
          <w:lang w:eastAsia="zh-CN"/>
        </w:rPr>
        <w:t>了</w:t>
      </w:r>
      <w:r>
        <w:rPr>
          <w:rFonts w:hint="eastAsia" w:ascii="仿宋_GB2312" w:hAnsi="仿宋_GB2312" w:eastAsia="仿宋_GB2312" w:cs="仿宋_GB2312"/>
          <w:b w:val="0"/>
          <w:bCs w:val="0"/>
          <w:color w:val="000000"/>
          <w:sz w:val="32"/>
          <w:szCs w:val="32"/>
        </w:rPr>
        <w:t>委员的政治把握能力、调查研究能力、联系群众能力和合作共事能力。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楷体" w:hAnsi="楷体" w:eastAsia="楷体" w:cs="楷体"/>
          <w:b/>
          <w:bCs/>
          <w:color w:val="000000"/>
          <w:sz w:val="32"/>
          <w:szCs w:val="32"/>
        </w:rPr>
        <w:t>密切与各级政协联系合作。</w:t>
      </w:r>
      <w:r>
        <w:rPr>
          <w:rFonts w:hint="eastAsia" w:ascii="仿宋_GB2312" w:hAnsi="仿宋_GB2312" w:eastAsia="仿宋_GB2312" w:cs="仿宋_GB2312"/>
          <w:b w:val="0"/>
          <w:bCs w:val="0"/>
          <w:color w:val="000000"/>
          <w:sz w:val="32"/>
          <w:szCs w:val="32"/>
        </w:rPr>
        <w:t>积极配合省</w:t>
      </w:r>
      <w:r>
        <w:rPr>
          <w:rFonts w:hint="eastAsia" w:ascii="仿宋_GB2312" w:hAnsi="仿宋_GB2312" w:eastAsia="仿宋_GB2312" w:cs="仿宋_GB2312"/>
          <w:b w:val="0"/>
          <w:bCs w:val="0"/>
          <w:color w:val="000000"/>
          <w:sz w:val="32"/>
          <w:szCs w:val="32"/>
          <w:lang w:eastAsia="zh-CN"/>
        </w:rPr>
        <w:t>、州</w:t>
      </w:r>
      <w:r>
        <w:rPr>
          <w:rFonts w:hint="eastAsia" w:ascii="仿宋_GB2312" w:hAnsi="仿宋_GB2312" w:eastAsia="仿宋_GB2312" w:cs="仿宋_GB2312"/>
          <w:b w:val="0"/>
          <w:bCs w:val="0"/>
          <w:color w:val="000000"/>
          <w:sz w:val="32"/>
          <w:szCs w:val="32"/>
        </w:rPr>
        <w:t>政协来</w:t>
      </w:r>
      <w:r>
        <w:rPr>
          <w:rFonts w:hint="eastAsia" w:ascii="仿宋_GB2312" w:hAnsi="仿宋_GB2312" w:eastAsia="仿宋_GB2312" w:cs="仿宋_GB2312"/>
          <w:b w:val="0"/>
          <w:bCs w:val="0"/>
          <w:color w:val="000000"/>
          <w:sz w:val="32"/>
          <w:szCs w:val="32"/>
          <w:lang w:eastAsia="zh-CN"/>
        </w:rPr>
        <w:t>壤塘开展</w:t>
      </w:r>
      <w:r>
        <w:rPr>
          <w:rFonts w:hint="eastAsia" w:ascii="仿宋_GB2312" w:hAnsi="仿宋_GB2312" w:eastAsia="仿宋_GB2312" w:cs="仿宋_GB2312"/>
          <w:b w:val="0"/>
          <w:bCs w:val="0"/>
          <w:color w:val="000000"/>
          <w:sz w:val="32"/>
          <w:szCs w:val="32"/>
        </w:rPr>
        <w:t>重点提案督办、专题</w:t>
      </w:r>
      <w:r>
        <w:rPr>
          <w:rFonts w:hint="eastAsia" w:ascii="仿宋_GB2312" w:hAnsi="仿宋_GB2312" w:eastAsia="仿宋_GB2312" w:cs="仿宋_GB2312"/>
          <w:b w:val="0"/>
          <w:bCs w:val="0"/>
          <w:color w:val="000000"/>
          <w:sz w:val="32"/>
          <w:szCs w:val="32"/>
          <w:lang w:eastAsia="zh-CN"/>
        </w:rPr>
        <w:t>调研和业务培训工作，</w:t>
      </w:r>
      <w:r>
        <w:rPr>
          <w:rFonts w:hint="eastAsia" w:ascii="仿宋_GB2312" w:hAnsi="仿宋_GB2312" w:eastAsia="仿宋_GB2312" w:cs="仿宋_GB2312"/>
          <w:b w:val="0"/>
          <w:bCs w:val="0"/>
          <w:color w:val="000000"/>
          <w:sz w:val="32"/>
          <w:szCs w:val="32"/>
        </w:rPr>
        <w:t>认真做好</w:t>
      </w:r>
      <w:r>
        <w:rPr>
          <w:rFonts w:hint="eastAsia" w:ascii="仿宋_GB2312" w:hAnsi="仿宋_GB2312" w:eastAsia="仿宋_GB2312" w:cs="仿宋_GB2312"/>
          <w:b w:val="0"/>
          <w:bCs w:val="0"/>
          <w:color w:val="000000"/>
          <w:sz w:val="32"/>
          <w:szCs w:val="32"/>
          <w:lang w:eastAsia="zh-CN"/>
        </w:rPr>
        <w:t>甘孜州政协及炉霍、黑水等州、县</w:t>
      </w:r>
      <w:r>
        <w:rPr>
          <w:rFonts w:hint="eastAsia" w:ascii="仿宋_GB2312" w:hAnsi="仿宋_GB2312" w:eastAsia="仿宋_GB2312" w:cs="仿宋_GB2312"/>
          <w:b w:val="0"/>
          <w:bCs w:val="0"/>
          <w:color w:val="000000"/>
          <w:sz w:val="32"/>
          <w:szCs w:val="32"/>
        </w:rPr>
        <w:t>政协来</w:t>
      </w:r>
      <w:r>
        <w:rPr>
          <w:rFonts w:hint="eastAsia" w:ascii="仿宋_GB2312" w:hAnsi="仿宋_GB2312" w:eastAsia="仿宋_GB2312" w:cs="仿宋_GB2312"/>
          <w:b w:val="0"/>
          <w:bCs w:val="0"/>
          <w:color w:val="000000"/>
          <w:sz w:val="32"/>
          <w:szCs w:val="32"/>
          <w:lang w:val="en-US" w:eastAsia="zh-CN"/>
        </w:rPr>
        <w:t>壤塘</w:t>
      </w:r>
      <w:r>
        <w:rPr>
          <w:rFonts w:hint="eastAsia" w:ascii="仿宋_GB2312" w:hAnsi="仿宋_GB2312" w:eastAsia="仿宋_GB2312" w:cs="仿宋_GB2312"/>
          <w:b w:val="0"/>
          <w:bCs w:val="0"/>
          <w:color w:val="000000"/>
          <w:sz w:val="32"/>
          <w:szCs w:val="32"/>
        </w:rPr>
        <w:t>考察</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交流经验</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深入研究共性问题</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形成联动协作的良好局面。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Cs/>
          <w:color w:val="000000"/>
          <w:sz w:val="32"/>
          <w:szCs w:val="32"/>
        </w:rPr>
      </w:pPr>
      <w:r>
        <w:rPr>
          <w:rFonts w:hint="eastAsia" w:ascii="楷体" w:hAnsi="楷体" w:eastAsia="楷体" w:cs="楷体"/>
          <w:b/>
          <w:bCs/>
          <w:color w:val="000000"/>
          <w:sz w:val="32"/>
          <w:szCs w:val="32"/>
        </w:rPr>
        <w:t>不断提升机关服务保障水平。</w:t>
      </w:r>
      <w:r>
        <w:rPr>
          <w:rFonts w:hint="eastAsia" w:ascii="仿宋_GB2312" w:hAnsi="仿宋_GB2312" w:eastAsia="仿宋_GB2312" w:cs="仿宋_GB2312"/>
          <w:b w:val="0"/>
          <w:bCs w:val="0"/>
          <w:color w:val="000000"/>
          <w:sz w:val="32"/>
          <w:szCs w:val="32"/>
          <w:lang w:eastAsia="zh-CN"/>
        </w:rPr>
        <w:t>持续转变作风，</w:t>
      </w:r>
      <w:r>
        <w:rPr>
          <w:rFonts w:hint="eastAsia" w:ascii="仿宋_GB2312" w:hAnsi="仿宋_GB2312" w:eastAsia="仿宋_GB2312" w:cs="仿宋_GB2312"/>
          <w:b w:val="0"/>
          <w:bCs w:val="0"/>
          <w:color w:val="000000"/>
          <w:sz w:val="32"/>
          <w:szCs w:val="32"/>
        </w:rPr>
        <w:t>推动机关整体高效运转。加大年轻干部培养锻炼和选拔任</w:t>
      </w:r>
      <w:r>
        <w:rPr>
          <w:rFonts w:hint="eastAsia" w:ascii="仿宋_GB2312" w:hAnsi="仿宋_GB2312" w:eastAsia="仿宋_GB2312" w:cs="仿宋_GB2312"/>
          <w:b w:val="0"/>
          <w:bCs w:val="0"/>
          <w:color w:val="000000"/>
          <w:sz w:val="32"/>
          <w:szCs w:val="32"/>
          <w:lang w:eastAsia="zh-CN"/>
        </w:rPr>
        <w:t>用推荐</w:t>
      </w:r>
      <w:r>
        <w:rPr>
          <w:rFonts w:hint="eastAsia" w:ascii="仿宋_GB2312" w:hAnsi="仿宋_GB2312" w:eastAsia="仿宋_GB2312" w:cs="仿宋_GB2312"/>
          <w:b w:val="0"/>
          <w:bCs w:val="0"/>
          <w:color w:val="000000"/>
          <w:sz w:val="32"/>
          <w:szCs w:val="32"/>
        </w:rPr>
        <w:t>力度。重视和加强老干部工作</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用心用情完善各项服务保障。</w:t>
      </w:r>
      <w:r>
        <w:rPr>
          <w:rFonts w:hint="eastAsia" w:ascii="仿宋_GB2312" w:hAnsi="仿宋_GB2312" w:eastAsia="仿宋_GB2312" w:cs="仿宋_GB2312"/>
          <w:b w:val="0"/>
          <w:bCs w:val="0"/>
          <w:color w:val="000000"/>
          <w:sz w:val="32"/>
          <w:szCs w:val="32"/>
          <w:lang w:eastAsia="zh-CN"/>
        </w:rPr>
        <w:t>抓好文史资料收集，做好《礼在壤塘》《乐在壤塘》资料收集和编印工作。</w:t>
      </w:r>
      <w:r>
        <w:rPr>
          <w:rFonts w:hint="eastAsia" w:ascii="仿宋_GB2312" w:hAnsi="仿宋_GB2312" w:eastAsia="仿宋_GB2312" w:cs="仿宋_GB2312"/>
          <w:b w:val="0"/>
          <w:bCs w:val="0"/>
          <w:color w:val="000000"/>
          <w:sz w:val="32"/>
          <w:szCs w:val="32"/>
        </w:rPr>
        <w:t>强化政务信息报送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在</w:t>
      </w:r>
      <w:r>
        <w:rPr>
          <w:rFonts w:hint="eastAsia" w:ascii="仿宋_GB2312" w:hAnsi="仿宋_GB2312" w:eastAsia="仿宋_GB2312" w:cs="仿宋_GB2312"/>
          <w:b w:val="0"/>
          <w:bCs w:val="0"/>
          <w:color w:val="000000"/>
          <w:sz w:val="32"/>
          <w:szCs w:val="32"/>
          <w:lang w:eastAsia="zh-CN"/>
        </w:rPr>
        <w:t>《四川新闻网》</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四川</w:t>
      </w:r>
      <w:r>
        <w:rPr>
          <w:rFonts w:hint="eastAsia" w:ascii="仿宋_GB2312" w:hAnsi="仿宋_GB2312" w:eastAsia="仿宋_GB2312" w:cs="仿宋_GB2312"/>
          <w:b w:val="0"/>
          <w:bCs w:val="0"/>
          <w:color w:val="000000"/>
          <w:sz w:val="32"/>
          <w:szCs w:val="32"/>
        </w:rPr>
        <w:t>政协报</w:t>
      </w:r>
      <w:r>
        <w:rPr>
          <w:rFonts w:hint="eastAsia" w:ascii="仿宋_GB2312" w:hAnsi="仿宋_GB2312" w:eastAsia="仿宋_GB2312" w:cs="仿宋_GB2312"/>
          <w:b w:val="0"/>
          <w:bCs w:val="0"/>
          <w:color w:val="000000"/>
          <w:sz w:val="32"/>
          <w:szCs w:val="32"/>
          <w:lang w:eastAsia="zh-CN"/>
        </w:rPr>
        <w:t>（网）</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《阿坝日报》《微壤塘》等报刊、网络</w:t>
      </w:r>
      <w:r>
        <w:rPr>
          <w:rFonts w:hint="eastAsia" w:ascii="仿宋_GB2312" w:hAnsi="仿宋_GB2312" w:eastAsia="仿宋_GB2312" w:cs="仿宋_GB2312"/>
          <w:b w:val="0"/>
          <w:bCs w:val="0"/>
          <w:color w:val="000000"/>
          <w:sz w:val="32"/>
          <w:szCs w:val="32"/>
        </w:rPr>
        <w:t>宣传政协履职成果和重大活动</w:t>
      </w:r>
      <w:r>
        <w:rPr>
          <w:rFonts w:hint="eastAsia" w:ascii="仿宋_GB2312" w:hAnsi="仿宋_GB2312" w:eastAsia="仿宋_GB2312" w:cs="仿宋_GB2312"/>
          <w:b w:val="0"/>
          <w:bCs w:val="0"/>
          <w:color w:val="000000"/>
          <w:sz w:val="32"/>
          <w:szCs w:val="32"/>
          <w:lang w:eastAsia="zh-CN"/>
        </w:rPr>
        <w:t>，在各大新闻媒体上稿</w:t>
      </w:r>
      <w:r>
        <w:rPr>
          <w:rFonts w:hint="eastAsia" w:ascii="仿宋_GB2312" w:hAnsi="仿宋_GB2312" w:eastAsia="仿宋_GB2312" w:cs="仿宋_GB2312"/>
          <w:b w:val="0"/>
          <w:bCs w:val="0"/>
          <w:color w:val="000000"/>
          <w:sz w:val="32"/>
          <w:szCs w:val="32"/>
          <w:lang w:val="en-US" w:eastAsia="zh-CN"/>
        </w:rPr>
        <w:t>56条，</w:t>
      </w:r>
      <w:r>
        <w:rPr>
          <w:rFonts w:hint="eastAsia" w:ascii="仿宋_GB2312" w:hAnsi="仿宋_GB2312" w:eastAsia="仿宋_GB2312" w:cs="仿宋_GB2312"/>
          <w:b w:val="0"/>
          <w:bCs w:val="0"/>
          <w:color w:val="000000"/>
          <w:sz w:val="32"/>
          <w:szCs w:val="32"/>
        </w:rPr>
        <w:t>努力讲好政协故事、发出政协声音。</w:t>
      </w:r>
    </w:p>
    <w:p>
      <w:pPr>
        <w:pStyle w:val="3"/>
        <w:rPr>
          <w:rStyle w:val="25"/>
          <w:b w:val="0"/>
          <w:bCs w:val="0"/>
        </w:rPr>
      </w:pPr>
      <w:bookmarkStart w:id="27" w:name="_Toc6586"/>
      <w:bookmarkStart w:id="28" w:name="_Toc15377200"/>
      <w:bookmarkStart w:id="29"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7"/>
      <w:bookmarkEnd w:id="28"/>
      <w:bookmarkEnd w:id="29"/>
    </w:p>
    <w:p>
      <w:pPr>
        <w:widowControl/>
        <w:spacing w:line="600" w:lineRule="exact"/>
        <w:ind w:left="210" w:leftChars="100"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本部门下属二级预算单位</w:t>
      </w:r>
      <w:r>
        <w:rPr>
          <w:rFonts w:ascii="仿宋" w:hAnsi="仿宋" w:eastAsia="仿宋" w:cs="宋体"/>
          <w:kern w:val="0"/>
          <w:sz w:val="32"/>
          <w:szCs w:val="32"/>
          <w:u w:val="single"/>
        </w:rPr>
        <w:t xml:space="preserve"> 0 </w:t>
      </w:r>
      <w:r>
        <w:rPr>
          <w:rFonts w:hint="eastAsia" w:ascii="仿宋" w:hAnsi="仿宋" w:eastAsia="仿宋" w:cs="宋体"/>
          <w:kern w:val="0"/>
          <w:sz w:val="32"/>
          <w:szCs w:val="32"/>
        </w:rPr>
        <w:t>个，其中内设机构</w:t>
      </w:r>
      <w:r>
        <w:rPr>
          <w:rFonts w:ascii="仿宋" w:hAnsi="仿宋" w:eastAsia="仿宋" w:cs="宋体"/>
          <w:kern w:val="0"/>
          <w:sz w:val="32"/>
          <w:szCs w:val="32"/>
          <w:u w:val="single"/>
        </w:rPr>
        <w:t xml:space="preserve"> 0 </w:t>
      </w:r>
      <w:r>
        <w:rPr>
          <w:rFonts w:hint="eastAsia" w:ascii="仿宋" w:hAnsi="仿宋" w:eastAsia="仿宋" w:cs="宋体"/>
          <w:kern w:val="0"/>
          <w:sz w:val="32"/>
          <w:szCs w:val="32"/>
        </w:rPr>
        <w:t>个</w:t>
      </w:r>
      <w:r>
        <w:rPr>
          <w:rFonts w:hint="eastAsia" w:ascii="仿宋" w:hAnsi="仿宋" w:eastAsia="仿宋" w:cs="宋体"/>
          <w:kern w:val="0"/>
          <w:sz w:val="32"/>
          <w:szCs w:val="32"/>
          <w:lang w:val="en-US" w:eastAsia="zh-CN"/>
        </w:rPr>
        <w:t>,无变动</w:t>
      </w:r>
      <w:r>
        <w:rPr>
          <w:rFonts w:hint="eastAsia" w:ascii="仿宋" w:hAnsi="仿宋" w:eastAsia="仿宋" w:cs="宋体"/>
          <w:kern w:val="0"/>
          <w:sz w:val="32"/>
          <w:szCs w:val="32"/>
        </w:rPr>
        <w:t>。</w:t>
      </w:r>
    </w:p>
    <w:p>
      <w:pPr>
        <w:widowControl/>
        <w:spacing w:line="600" w:lineRule="exact"/>
        <w:ind w:left="210" w:leftChars="100"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机关</w:t>
      </w:r>
      <w:r>
        <w:rPr>
          <w:rFonts w:hint="eastAsia" w:ascii="仿宋" w:hAnsi="仿宋" w:eastAsia="仿宋" w:cs="宋体"/>
          <w:kern w:val="0"/>
          <w:sz w:val="32"/>
          <w:szCs w:val="32"/>
        </w:rPr>
        <w:t>总编制</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lang w:val="en-US" w:eastAsia="zh-CN"/>
        </w:rPr>
        <w:t>27</w:t>
      </w:r>
      <w:r>
        <w:rPr>
          <w:rFonts w:hint="eastAsia" w:ascii="仿宋" w:hAnsi="仿宋" w:eastAsia="仿宋" w:cs="宋体"/>
          <w:kern w:val="0"/>
          <w:sz w:val="32"/>
          <w:szCs w:val="32"/>
        </w:rPr>
        <w:t>名</w:t>
      </w:r>
      <w:r>
        <w:rPr>
          <w:rFonts w:ascii="仿宋" w:hAnsi="仿宋" w:eastAsia="仿宋" w:cs="宋体"/>
          <w:kern w:val="0"/>
          <w:sz w:val="32"/>
          <w:szCs w:val="32"/>
        </w:rPr>
        <w:t>,</w:t>
      </w:r>
      <w:r>
        <w:rPr>
          <w:rFonts w:hint="eastAsia" w:ascii="仿宋" w:hAnsi="仿宋" w:eastAsia="仿宋" w:cs="宋体"/>
          <w:kern w:val="0"/>
          <w:sz w:val="32"/>
          <w:szCs w:val="32"/>
        </w:rPr>
        <w:t>其中</w:t>
      </w:r>
      <w:r>
        <w:rPr>
          <w:rFonts w:ascii="仿宋" w:hAnsi="仿宋" w:eastAsia="仿宋" w:cs="宋体"/>
          <w:kern w:val="0"/>
          <w:sz w:val="32"/>
          <w:szCs w:val="32"/>
        </w:rPr>
        <w:t>:</w:t>
      </w:r>
      <w:r>
        <w:rPr>
          <w:rFonts w:hint="eastAsia" w:ascii="仿宋" w:hAnsi="仿宋" w:eastAsia="仿宋" w:cs="宋体"/>
          <w:kern w:val="0"/>
          <w:sz w:val="32"/>
          <w:szCs w:val="32"/>
        </w:rPr>
        <w:t>行政编制</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rPr>
        <w:t>2</w:t>
      </w:r>
      <w:r>
        <w:rPr>
          <w:rFonts w:hint="eastAsia" w:ascii="仿宋" w:hAnsi="仿宋" w:eastAsia="仿宋" w:cs="宋体"/>
          <w:kern w:val="0"/>
          <w:sz w:val="32"/>
          <w:szCs w:val="32"/>
          <w:u w:val="single"/>
          <w:lang w:val="en-US" w:eastAsia="zh-CN"/>
        </w:rPr>
        <w:t>7</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名。在职人员总数</w:t>
      </w:r>
      <w:r>
        <w:rPr>
          <w:rFonts w:hint="eastAsia" w:ascii="仿宋" w:hAnsi="仿宋" w:eastAsia="仿宋" w:cs="宋体"/>
          <w:kern w:val="0"/>
          <w:sz w:val="32"/>
          <w:szCs w:val="32"/>
          <w:u w:val="single"/>
        </w:rPr>
        <w:t>2</w:t>
      </w:r>
      <w:r>
        <w:rPr>
          <w:rFonts w:hint="eastAsia" w:ascii="仿宋" w:hAnsi="仿宋" w:eastAsia="仿宋" w:cs="宋体"/>
          <w:kern w:val="0"/>
          <w:sz w:val="32"/>
          <w:szCs w:val="32"/>
          <w:u w:val="single"/>
          <w:lang w:val="en-US" w:eastAsia="zh-CN"/>
        </w:rPr>
        <w:t>7</w:t>
      </w:r>
      <w:r>
        <w:rPr>
          <w:rFonts w:hint="eastAsia" w:ascii="仿宋" w:hAnsi="仿宋" w:eastAsia="仿宋" w:cs="宋体"/>
          <w:kern w:val="0"/>
          <w:sz w:val="32"/>
          <w:szCs w:val="32"/>
        </w:rPr>
        <w:t>名，其中：行政人员</w:t>
      </w:r>
      <w:r>
        <w:rPr>
          <w:rFonts w:hint="eastAsia" w:ascii="仿宋" w:hAnsi="仿宋" w:eastAsia="仿宋" w:cs="宋体"/>
          <w:kern w:val="0"/>
          <w:sz w:val="32"/>
          <w:szCs w:val="32"/>
          <w:u w:val="single"/>
        </w:rPr>
        <w:t>2</w:t>
      </w:r>
      <w:r>
        <w:rPr>
          <w:rFonts w:hint="eastAsia" w:ascii="仿宋" w:hAnsi="仿宋" w:eastAsia="仿宋" w:cs="宋体"/>
          <w:kern w:val="0"/>
          <w:sz w:val="32"/>
          <w:szCs w:val="32"/>
          <w:u w:val="single"/>
          <w:lang w:val="en-US" w:eastAsia="zh-CN"/>
        </w:rPr>
        <w:t>7</w:t>
      </w:r>
      <w:r>
        <w:rPr>
          <w:rFonts w:hint="eastAsia" w:ascii="仿宋" w:hAnsi="仿宋" w:eastAsia="仿宋" w:cs="宋体"/>
          <w:kern w:val="0"/>
          <w:sz w:val="32"/>
          <w:szCs w:val="32"/>
        </w:rPr>
        <w:t>名，其他事业人员</w:t>
      </w:r>
      <w:r>
        <w:rPr>
          <w:rFonts w:ascii="仿宋" w:hAnsi="仿宋" w:eastAsia="仿宋" w:cs="宋体"/>
          <w:kern w:val="0"/>
          <w:sz w:val="32"/>
          <w:szCs w:val="32"/>
          <w:u w:val="single"/>
        </w:rPr>
        <w:t xml:space="preserve"> </w:t>
      </w:r>
      <w:r>
        <w:rPr>
          <w:rFonts w:hint="eastAsia" w:ascii="仿宋" w:hAnsi="仿宋" w:eastAsia="仿宋" w:cs="宋体"/>
          <w:kern w:val="0"/>
          <w:sz w:val="32"/>
          <w:szCs w:val="32"/>
          <w:u w:val="single"/>
          <w:lang w:val="en-US" w:eastAsia="zh-CN"/>
        </w:rPr>
        <w:t>0</w:t>
      </w:r>
      <w:r>
        <w:rPr>
          <w:rFonts w:ascii="仿宋" w:hAnsi="仿宋" w:eastAsia="仿宋" w:cs="宋体"/>
          <w:kern w:val="0"/>
          <w:sz w:val="32"/>
          <w:szCs w:val="32"/>
          <w:u w:val="single"/>
        </w:rPr>
        <w:t xml:space="preserve"> </w:t>
      </w:r>
      <w:r>
        <w:rPr>
          <w:rFonts w:hint="eastAsia" w:ascii="仿宋" w:hAnsi="仿宋" w:eastAsia="仿宋" w:cs="宋体"/>
          <w:kern w:val="0"/>
          <w:sz w:val="32"/>
          <w:szCs w:val="32"/>
        </w:rPr>
        <w:t>名；退休人员</w:t>
      </w:r>
      <w:r>
        <w:rPr>
          <w:rFonts w:ascii="仿宋" w:hAnsi="仿宋" w:eastAsia="仿宋" w:cs="宋体"/>
          <w:kern w:val="0"/>
          <w:sz w:val="32"/>
          <w:szCs w:val="32"/>
          <w:u w:val="single"/>
        </w:rPr>
        <w:t xml:space="preserve"> 2</w:t>
      </w:r>
      <w:r>
        <w:rPr>
          <w:rFonts w:hint="eastAsia" w:ascii="仿宋" w:hAnsi="仿宋" w:eastAsia="仿宋" w:cs="宋体"/>
          <w:kern w:val="0"/>
          <w:sz w:val="32"/>
          <w:szCs w:val="32"/>
          <w:u w:val="single"/>
          <w:lang w:val="en-US" w:eastAsia="zh-CN"/>
        </w:rPr>
        <w:t>3</w:t>
      </w:r>
      <w:r>
        <w:rPr>
          <w:rFonts w:hint="eastAsia" w:ascii="仿宋" w:hAnsi="仿宋" w:eastAsia="仿宋" w:cs="宋体"/>
          <w:kern w:val="0"/>
          <w:sz w:val="32"/>
          <w:szCs w:val="32"/>
        </w:rPr>
        <w:t>人已全部交机保机构。</w:t>
      </w:r>
    </w:p>
    <w:p>
      <w:pPr>
        <w:widowControl/>
        <w:spacing w:line="600" w:lineRule="exact"/>
        <w:ind w:left="210" w:leftChars="100" w:firstLine="640" w:firstLineChars="200"/>
        <w:jc w:val="left"/>
        <w:rPr>
          <w:rFonts w:hint="eastAsia" w:ascii="仿宋" w:hAnsi="仿宋" w:eastAsia="仿宋" w:cs="宋体"/>
          <w:kern w:val="0"/>
          <w:sz w:val="32"/>
          <w:szCs w:val="32"/>
        </w:rPr>
      </w:pPr>
      <w:r>
        <w:rPr>
          <w:rFonts w:hint="eastAsia" w:ascii="仿宋" w:hAnsi="仿宋" w:eastAsia="仿宋" w:cs="仿宋"/>
          <w:color w:val="000000"/>
          <w:sz w:val="32"/>
          <w:szCs w:val="32"/>
        </w:rPr>
        <w:t>我办</w:t>
      </w:r>
      <w:r>
        <w:rPr>
          <w:rFonts w:hint="eastAsia" w:ascii="仿宋_GB2312" w:hAnsi="仿宋" w:eastAsia="仿宋_GB2312" w:cs="仿宋"/>
          <w:color w:val="000000"/>
          <w:sz w:val="32"/>
          <w:szCs w:val="32"/>
        </w:rPr>
        <w:t>机构人员指标上下年有变动，原因：</w:t>
      </w:r>
      <w:r>
        <w:rPr>
          <w:rFonts w:ascii="仿宋_GB2312" w:hAnsi="仿宋" w:eastAsia="仿宋_GB2312" w:cs="仿宋"/>
          <w:color w:val="000000"/>
          <w:sz w:val="32"/>
          <w:szCs w:val="32"/>
        </w:rPr>
        <w:t>201</w:t>
      </w:r>
      <w:r>
        <w:rPr>
          <w:rFonts w:hint="eastAsia" w:ascii="仿宋_GB2312" w:hAnsi="仿宋" w:eastAsia="仿宋_GB2312" w:cs="仿宋"/>
          <w:color w:val="000000"/>
          <w:sz w:val="32"/>
          <w:szCs w:val="32"/>
          <w:lang w:val="en-US" w:eastAsia="zh-CN"/>
        </w:rPr>
        <w:t>9</w:t>
      </w:r>
      <w:r>
        <w:rPr>
          <w:rFonts w:hint="eastAsia" w:ascii="仿宋_GB2312" w:hAnsi="仿宋" w:eastAsia="仿宋_GB2312" w:cs="仿宋"/>
          <w:color w:val="000000"/>
          <w:sz w:val="32"/>
          <w:szCs w:val="32"/>
        </w:rPr>
        <w:t>年年内人事变动我办原来在职人员退休</w:t>
      </w: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rPr>
        <w:t>人（</w:t>
      </w:r>
      <w:r>
        <w:rPr>
          <w:rFonts w:hint="eastAsia" w:ascii="仿宋_GB2312" w:hAnsi="仿宋" w:eastAsia="仿宋_GB2312" w:cs="仿宋"/>
          <w:color w:val="000000"/>
          <w:sz w:val="32"/>
          <w:szCs w:val="32"/>
          <w:lang w:eastAsia="zh-CN"/>
        </w:rPr>
        <w:t>张力生、郎穷</w:t>
      </w:r>
      <w:r>
        <w:rPr>
          <w:rFonts w:hint="eastAsia" w:ascii="仿宋_GB2312" w:hAnsi="仿宋" w:eastAsia="仿宋_GB2312" w:cs="仿宋"/>
          <w:color w:val="000000"/>
          <w:sz w:val="32"/>
          <w:szCs w:val="32"/>
        </w:rPr>
        <w:t>），调进</w:t>
      </w:r>
      <w:r>
        <w:rPr>
          <w:rFonts w:ascii="仿宋_GB2312" w:hAnsi="仿宋" w:eastAsia="仿宋_GB2312" w:cs="仿宋"/>
          <w:color w:val="000000"/>
          <w:sz w:val="32"/>
          <w:szCs w:val="32"/>
        </w:rPr>
        <w:t>1</w:t>
      </w:r>
      <w:r>
        <w:rPr>
          <w:rFonts w:hint="eastAsia" w:ascii="仿宋_GB2312" w:hAnsi="仿宋" w:eastAsia="仿宋_GB2312" w:cs="仿宋"/>
          <w:color w:val="000000"/>
          <w:sz w:val="32"/>
          <w:szCs w:val="32"/>
        </w:rPr>
        <w:t>人（</w:t>
      </w:r>
      <w:r>
        <w:rPr>
          <w:rFonts w:hint="eastAsia" w:ascii="仿宋_GB2312" w:hAnsi="仿宋" w:eastAsia="仿宋_GB2312" w:cs="仿宋"/>
          <w:color w:val="000000"/>
          <w:sz w:val="32"/>
          <w:szCs w:val="32"/>
          <w:lang w:eastAsia="zh-CN"/>
        </w:rPr>
        <w:t>胥绿翠</w:t>
      </w:r>
      <w:r>
        <w:rPr>
          <w:rFonts w:hint="eastAsia" w:ascii="仿宋_GB2312" w:hAnsi="仿宋" w:eastAsia="仿宋_GB2312" w:cs="仿宋"/>
          <w:color w:val="000000"/>
          <w:sz w:val="32"/>
          <w:szCs w:val="32"/>
        </w:rPr>
        <w:t>），故我办机构人员指标在职人员比上年度减少了</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人。</w:t>
      </w:r>
    </w:p>
    <w:p>
      <w:pPr>
        <w:pStyle w:val="5"/>
        <w:adjustRightInd w:val="0"/>
        <w:snapToGrid w:val="0"/>
        <w:spacing w:before="93" w:line="600" w:lineRule="exact"/>
        <w:ind w:firstLine="1120" w:firstLineChars="350"/>
        <w:rPr>
          <w:rFonts w:hint="eastAsia"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30" w:name="_Toc15377204"/>
      <w:bookmarkStart w:id="31" w:name="_Toc19792"/>
      <w:bookmarkStart w:id="32"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30"/>
      <w:bookmarkEnd w:id="31"/>
      <w:bookmarkEnd w:id="32"/>
    </w:p>
    <w:p/>
    <w:p>
      <w:pPr>
        <w:pStyle w:val="23"/>
        <w:numPr>
          <w:ilvl w:val="0"/>
          <w:numId w:val="2"/>
        </w:numPr>
        <w:spacing w:line="600" w:lineRule="exact"/>
        <w:ind w:firstLineChars="0"/>
        <w:outlineLvl w:val="1"/>
        <w:rPr>
          <w:rStyle w:val="25"/>
          <w:rFonts w:ascii="黑体" w:hAnsi="黑体" w:eastAsia="黑体"/>
          <w:b w:val="0"/>
        </w:rPr>
      </w:pPr>
      <w:bookmarkStart w:id="33" w:name="_Toc15377205"/>
      <w:bookmarkStart w:id="34" w:name="_Toc4975"/>
      <w:bookmarkStart w:id="3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3"/>
      <w:bookmarkEnd w:id="34"/>
      <w:bookmarkEnd w:id="35"/>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年年度收入决算总额为</w:t>
      </w:r>
      <w:r>
        <w:rPr>
          <w:rFonts w:hint="eastAsia" w:ascii="仿宋" w:hAnsi="仿宋" w:eastAsia="仿宋" w:cs="仿宋"/>
          <w:color w:val="auto"/>
          <w:sz w:val="32"/>
          <w:szCs w:val="32"/>
          <w:lang w:val="en-US" w:eastAsia="zh-CN"/>
        </w:rPr>
        <w:t>844.41万元，</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103.83万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14.02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rPr>
        <w:t>主要变动原因是</w:t>
      </w:r>
      <w:r>
        <w:rPr>
          <w:rFonts w:hint="eastAsia" w:ascii="仿宋_GB2312" w:hAnsi="仿宋" w:eastAsia="仿宋_GB2312"/>
          <w:color w:val="auto"/>
          <w:sz w:val="32"/>
          <w:szCs w:val="32"/>
          <w:lang w:val="en-US" w:eastAsia="zh-CN"/>
        </w:rPr>
        <w:t>人员工资、各项保险标准和目标奖标准上调，业务新增</w:t>
      </w:r>
      <w:r>
        <w:rPr>
          <w:rFonts w:hint="eastAsia" w:ascii="仿宋" w:hAnsi="仿宋" w:eastAsia="仿宋" w:cs="仿宋"/>
          <w:color w:val="000000" w:themeColor="text1"/>
          <w:sz w:val="32"/>
          <w:szCs w:val="32"/>
          <w:lang w:eastAsia="zh-CN"/>
        </w:rPr>
        <w:t>；</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年我办本年支出决算总额</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848.9万</w:t>
      </w:r>
      <w:r>
        <w:rPr>
          <w:rFonts w:hint="eastAsia" w:ascii="仿宋" w:hAnsi="仿宋" w:eastAsia="仿宋" w:cs="仿宋"/>
          <w:color w:val="auto"/>
          <w:sz w:val="32"/>
          <w:szCs w:val="32"/>
        </w:rPr>
        <w:t>元，与201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75.46万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8.16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主要变动原因是</w:t>
      </w:r>
      <w:r>
        <w:rPr>
          <w:rFonts w:hint="eastAsia" w:ascii="仿宋" w:hAnsi="仿宋" w:eastAsia="仿宋" w:cs="仿宋"/>
          <w:color w:val="auto"/>
          <w:sz w:val="32"/>
          <w:szCs w:val="32"/>
          <w:lang w:val="en-US" w:eastAsia="zh-CN"/>
        </w:rPr>
        <w:t>压减支出，支出项目减少。</w:t>
      </w:r>
    </w:p>
    <w:p>
      <w:pPr>
        <w:spacing w:line="60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640" w:firstLineChars="200"/>
        <w:rPr>
          <w:rFonts w:hint="eastAsia" w:ascii="仿宋" w:hAnsi="仿宋" w:eastAsia="仿宋" w:cs="仿宋"/>
          <w:color w:val="auto"/>
          <w:sz w:val="32"/>
          <w:szCs w:val="32"/>
          <w:lang w:val="en-US" w:eastAsia="zh-CN"/>
        </w:rPr>
      </w:pPr>
    </w:p>
    <w:p>
      <w:pPr>
        <w:spacing w:line="600" w:lineRule="exact"/>
        <w:ind w:firstLine="420" w:firstLineChars="200"/>
        <w:rPr>
          <w:rFonts w:ascii="仿宋_GB2312" w:eastAsia="仿宋_GB2312"/>
          <w:color w:val="C00000"/>
          <w:sz w:val="32"/>
          <w:szCs w:val="32"/>
        </w:rPr>
      </w:pPr>
      <w:r>
        <w:drawing>
          <wp:anchor distT="0" distB="0" distL="114300" distR="114300" simplePos="0" relativeHeight="251658240" behindDoc="1" locked="0" layoutInCell="1" allowOverlap="1">
            <wp:simplePos x="0" y="0"/>
            <wp:positionH relativeFrom="column">
              <wp:posOffset>271145</wp:posOffset>
            </wp:positionH>
            <wp:positionV relativeFrom="paragraph">
              <wp:posOffset>-2453005</wp:posOffset>
            </wp:positionV>
            <wp:extent cx="4572000" cy="2743200"/>
            <wp:effectExtent l="4445" t="4445" r="14605" b="14605"/>
            <wp:wrapTight wrapText="bothSides">
              <wp:wrapPolygon>
                <wp:start x="-21" y="-35"/>
                <wp:lineTo x="-21" y="21565"/>
                <wp:lineTo x="21579" y="21565"/>
                <wp:lineTo x="21579" y="-35"/>
                <wp:lineTo x="-21" y="-35"/>
              </wp:wrapPolygon>
            </wp:wrapTight>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2"/>
        </w:numPr>
        <w:spacing w:line="600" w:lineRule="exact"/>
        <w:ind w:firstLineChars="0"/>
        <w:outlineLvl w:val="1"/>
        <w:rPr>
          <w:rStyle w:val="25"/>
          <w:rFonts w:ascii="黑体" w:hAnsi="黑体" w:eastAsia="黑体"/>
          <w:b w:val="0"/>
        </w:rPr>
      </w:pPr>
      <w:bookmarkStart w:id="36" w:name="_Toc15377206"/>
      <w:bookmarkStart w:id="37" w:name="_Toc15396604"/>
      <w:bookmarkStart w:id="38" w:name="_Toc6493"/>
      <w:r>
        <w:rPr>
          <w:rFonts w:hint="eastAsia" w:ascii="黑体" w:hAnsi="黑体" w:eastAsia="黑体"/>
          <w:color w:val="000000"/>
          <w:sz w:val="32"/>
          <w:szCs w:val="32"/>
        </w:rPr>
        <w:t>收</w:t>
      </w:r>
      <w:r>
        <w:rPr>
          <w:rStyle w:val="25"/>
          <w:rFonts w:hint="eastAsia" w:ascii="黑体" w:hAnsi="黑体" w:eastAsia="黑体"/>
          <w:b w:val="0"/>
        </w:rPr>
        <w:t>入决算情况说明</w:t>
      </w:r>
      <w:bookmarkEnd w:id="36"/>
      <w:bookmarkEnd w:id="37"/>
      <w:bookmarkEnd w:id="38"/>
    </w:p>
    <w:p>
      <w:pPr>
        <w:spacing w:line="600" w:lineRule="exact"/>
        <w:ind w:firstLine="640" w:firstLineChars="200"/>
        <w:outlineLvl w:val="1"/>
        <w:rPr>
          <w:rFonts w:hint="eastAsia" w:ascii="仿宋" w:hAnsi="仿宋" w:eastAsia="仿宋"/>
          <w:color w:val="000000"/>
          <w:sz w:val="32"/>
          <w:szCs w:val="32"/>
          <w:lang w:eastAsia="zh-CN"/>
        </w:rPr>
      </w:pPr>
      <w:bookmarkStart w:id="39" w:name="_Toc19940"/>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844.41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844.41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39"/>
    </w:p>
    <w:p>
      <w:pPr>
        <w:spacing w:line="600" w:lineRule="exact"/>
        <w:ind w:firstLine="640" w:firstLineChars="200"/>
        <w:outlineLvl w:val="9"/>
        <w:rPr>
          <w:rFonts w:hint="eastAsia" w:ascii="仿宋" w:hAnsi="仿宋" w:eastAsia="仿宋"/>
          <w:color w:val="000000"/>
          <w:sz w:val="32"/>
          <w:szCs w:val="32"/>
          <w:lang w:eastAsia="zh-CN"/>
        </w:rPr>
      </w:pPr>
    </w:p>
    <w:p>
      <w:pPr>
        <w:spacing w:line="600" w:lineRule="exact"/>
        <w:ind w:firstLine="640" w:firstLineChars="200"/>
        <w:outlineLvl w:val="1"/>
        <w:rPr>
          <w:rFonts w:hint="eastAsia" w:ascii="仿宋" w:hAnsi="仿宋" w:eastAsia="仿宋"/>
          <w:color w:val="000000" w:themeColor="text1"/>
          <w:sz w:val="32"/>
          <w:szCs w:val="32"/>
          <w:lang w:eastAsia="zh-CN"/>
        </w:rPr>
      </w:pPr>
      <w:bookmarkStart w:id="40" w:name="_Toc12234"/>
      <w:r>
        <w:rPr>
          <w:rFonts w:hint="eastAsia" w:ascii="仿宋" w:hAnsi="仿宋" w:eastAsia="仿宋"/>
          <w:color w:val="000000" w:themeColor="text1"/>
          <w:sz w:val="32"/>
          <w:szCs w:val="32"/>
        </w:rPr>
        <w:t>图2：收入决算结构图</w:t>
      </w:r>
      <w:bookmarkEnd w:id="40"/>
    </w:p>
    <w:p>
      <w:pPr>
        <w:spacing w:line="600" w:lineRule="exact"/>
        <w:ind w:firstLine="420" w:firstLineChars="200"/>
        <w:outlineLvl w:val="9"/>
        <w:rPr>
          <w:rFonts w:hint="eastAsia" w:ascii="仿宋" w:hAnsi="仿宋" w:eastAsia="仿宋"/>
          <w:color w:val="000000"/>
          <w:sz w:val="32"/>
          <w:szCs w:val="32"/>
          <w:lang w:eastAsia="zh-CN"/>
        </w:rPr>
      </w:pPr>
      <w:r>
        <w:drawing>
          <wp:anchor distT="0" distB="0" distL="114300" distR="114300" simplePos="0" relativeHeight="251659264" behindDoc="1" locked="0" layoutInCell="1" allowOverlap="1">
            <wp:simplePos x="0" y="0"/>
            <wp:positionH relativeFrom="column">
              <wp:posOffset>308610</wp:posOffset>
            </wp:positionH>
            <wp:positionV relativeFrom="paragraph">
              <wp:posOffset>33655</wp:posOffset>
            </wp:positionV>
            <wp:extent cx="4609465" cy="2971800"/>
            <wp:effectExtent l="4445" t="4445" r="15240" b="14605"/>
            <wp:wrapTight wrapText="bothSides">
              <wp:wrapPolygon>
                <wp:start x="-21" y="-32"/>
                <wp:lineTo x="-21" y="21568"/>
                <wp:lineTo x="21493" y="21568"/>
                <wp:lineTo x="21493" y="-32"/>
                <wp:lineTo x="-21" y="-32"/>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9"/>
        <w:rPr>
          <w:rFonts w:hint="eastAsia" w:ascii="仿宋" w:hAnsi="仿宋" w:eastAsia="仿宋"/>
          <w:color w:val="000000"/>
          <w:sz w:val="32"/>
          <w:szCs w:val="32"/>
          <w:lang w:eastAsia="zh-CN"/>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41" w:name="_Toc15377207"/>
      <w:bookmarkStart w:id="42" w:name="_Toc15396605"/>
      <w:bookmarkStart w:id="43" w:name="_Toc21593"/>
      <w:r>
        <w:rPr>
          <w:rFonts w:hint="eastAsia" w:ascii="黑体" w:hAnsi="黑体" w:eastAsia="黑体"/>
          <w:color w:val="000000"/>
          <w:sz w:val="32"/>
          <w:szCs w:val="32"/>
        </w:rPr>
        <w:t>支</w:t>
      </w:r>
      <w:r>
        <w:rPr>
          <w:rStyle w:val="25"/>
          <w:rFonts w:hint="eastAsia" w:ascii="黑体" w:hAnsi="黑体" w:eastAsia="黑体"/>
          <w:b w:val="0"/>
        </w:rPr>
        <w:t>出决算情况说明</w:t>
      </w:r>
      <w:bookmarkEnd w:id="41"/>
      <w:bookmarkEnd w:id="42"/>
      <w:bookmarkEnd w:id="43"/>
    </w:p>
    <w:p>
      <w:pPr>
        <w:spacing w:line="600" w:lineRule="exact"/>
        <w:ind w:firstLine="640" w:firstLineChars="200"/>
        <w:outlineLvl w:val="1"/>
        <w:rPr>
          <w:rFonts w:ascii="仿宋" w:hAnsi="仿宋" w:eastAsia="仿宋"/>
          <w:color w:val="000000"/>
          <w:sz w:val="32"/>
          <w:szCs w:val="32"/>
        </w:rPr>
      </w:pPr>
      <w:bookmarkStart w:id="44" w:name="_Toc28121"/>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848.9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781.93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92.11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66.97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7.89</w:t>
      </w:r>
      <w:r>
        <w:rPr>
          <w:rFonts w:ascii="仿宋" w:hAnsi="仿宋" w:eastAsia="仿宋"/>
          <w:color w:val="000000"/>
          <w:sz w:val="32"/>
          <w:szCs w:val="32"/>
        </w:rPr>
        <w:t>%</w:t>
      </w:r>
      <w:r>
        <w:rPr>
          <w:rFonts w:hint="eastAsia" w:ascii="仿宋" w:hAnsi="仿宋" w:eastAsia="仿宋"/>
          <w:color w:val="000000"/>
          <w:sz w:val="32"/>
          <w:szCs w:val="32"/>
        </w:rPr>
        <w:t>。</w:t>
      </w:r>
      <w:bookmarkEnd w:id="44"/>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：收入决算结构图</w:t>
      </w: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0288" behindDoc="1" locked="0" layoutInCell="1" allowOverlap="1">
            <wp:simplePos x="0" y="0"/>
            <wp:positionH relativeFrom="column">
              <wp:posOffset>271145</wp:posOffset>
            </wp:positionH>
            <wp:positionV relativeFrom="paragraph">
              <wp:posOffset>-2453005</wp:posOffset>
            </wp:positionV>
            <wp:extent cx="4648200" cy="2762250"/>
            <wp:effectExtent l="4445" t="4445" r="14605" b="14605"/>
            <wp:wrapTight wrapText="bothSides">
              <wp:wrapPolygon>
                <wp:start x="-21" y="-35"/>
                <wp:lineTo x="-21" y="21565"/>
                <wp:lineTo x="21579" y="21565"/>
                <wp:lineTo x="21579" y="-35"/>
                <wp:lineTo x="-21" y="-35"/>
              </wp:wrapPolygon>
            </wp:wrapTight>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numPr>
          <w:ilvl w:val="0"/>
          <w:numId w:val="2"/>
        </w:numPr>
        <w:spacing w:line="600" w:lineRule="exact"/>
        <w:ind w:left="1360" w:leftChars="0" w:hanging="720" w:firstLineChars="0"/>
        <w:outlineLvl w:val="1"/>
        <w:rPr>
          <w:rStyle w:val="25"/>
          <w:rFonts w:hint="eastAsia" w:ascii="黑体" w:hAnsi="黑体" w:eastAsia="黑体"/>
          <w:b w:val="0"/>
        </w:rPr>
      </w:pPr>
      <w:bookmarkStart w:id="45" w:name="_Toc15396606"/>
      <w:bookmarkStart w:id="46" w:name="_Toc15377208"/>
      <w:bookmarkStart w:id="47" w:name="_Toc6657"/>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45"/>
      <w:bookmarkEnd w:id="46"/>
      <w:bookmarkEnd w:id="47"/>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年年度</w:t>
      </w:r>
      <w:r>
        <w:rPr>
          <w:rFonts w:hint="eastAsia" w:ascii="仿宋" w:hAnsi="仿宋" w:eastAsia="仿宋"/>
          <w:color w:val="000000"/>
          <w:sz w:val="32"/>
          <w:szCs w:val="32"/>
        </w:rPr>
        <w:t>财政拨款</w:t>
      </w:r>
      <w:r>
        <w:rPr>
          <w:rFonts w:hint="eastAsia" w:ascii="仿宋" w:hAnsi="仿宋" w:eastAsia="仿宋" w:cs="仿宋"/>
          <w:color w:val="auto"/>
          <w:sz w:val="32"/>
          <w:szCs w:val="32"/>
        </w:rPr>
        <w:t>收入决算总额为</w:t>
      </w:r>
      <w:r>
        <w:rPr>
          <w:rFonts w:hint="eastAsia" w:ascii="仿宋" w:hAnsi="仿宋" w:eastAsia="仿宋" w:cs="仿宋"/>
          <w:color w:val="auto"/>
          <w:sz w:val="32"/>
          <w:szCs w:val="32"/>
          <w:lang w:val="en-US" w:eastAsia="zh-CN"/>
        </w:rPr>
        <w:t>844.41万元，</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103.83万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14.02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rPr>
        <w:t>主要变动原因是</w:t>
      </w:r>
      <w:r>
        <w:rPr>
          <w:rFonts w:hint="eastAsia" w:ascii="仿宋_GB2312" w:hAnsi="仿宋" w:eastAsia="仿宋_GB2312"/>
          <w:color w:val="auto"/>
          <w:sz w:val="32"/>
          <w:szCs w:val="32"/>
          <w:lang w:val="en-US" w:eastAsia="zh-CN"/>
        </w:rPr>
        <w:t>人员工资、各项保险标准和目标奖标准上调，业务新增</w:t>
      </w:r>
      <w:r>
        <w:rPr>
          <w:rFonts w:hint="eastAsia" w:ascii="仿宋" w:hAnsi="仿宋" w:eastAsia="仿宋" w:cs="仿宋"/>
          <w:color w:val="000000" w:themeColor="text1"/>
          <w:sz w:val="32"/>
          <w:szCs w:val="32"/>
          <w:lang w:eastAsia="zh-CN"/>
        </w:rPr>
        <w:t>；</w:t>
      </w: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年我办本年</w:t>
      </w:r>
      <w:r>
        <w:rPr>
          <w:rFonts w:hint="eastAsia" w:ascii="仿宋" w:hAnsi="仿宋" w:eastAsia="仿宋"/>
          <w:color w:val="000000"/>
          <w:sz w:val="32"/>
          <w:szCs w:val="32"/>
        </w:rPr>
        <w:t>财政拨款</w:t>
      </w:r>
      <w:r>
        <w:rPr>
          <w:rFonts w:hint="eastAsia" w:ascii="仿宋" w:hAnsi="仿宋" w:eastAsia="仿宋" w:cs="仿宋"/>
          <w:color w:val="auto"/>
          <w:sz w:val="32"/>
          <w:szCs w:val="32"/>
        </w:rPr>
        <w:t>支出决算总额</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848.9万</w:t>
      </w:r>
      <w:r>
        <w:rPr>
          <w:rFonts w:hint="eastAsia" w:ascii="仿宋" w:hAnsi="仿宋" w:eastAsia="仿宋" w:cs="仿宋"/>
          <w:color w:val="auto"/>
          <w:sz w:val="32"/>
          <w:szCs w:val="32"/>
        </w:rPr>
        <w:t>元，与201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75.44万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8.16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主要变动原因是</w:t>
      </w:r>
      <w:r>
        <w:rPr>
          <w:rFonts w:hint="eastAsia" w:ascii="仿宋" w:hAnsi="仿宋" w:eastAsia="仿宋" w:cs="仿宋"/>
          <w:color w:val="auto"/>
          <w:sz w:val="32"/>
          <w:szCs w:val="32"/>
          <w:lang w:val="en-US" w:eastAsia="zh-CN"/>
        </w:rPr>
        <w:t>压减支出，支出项目减少。</w:t>
      </w:r>
    </w:p>
    <w:p>
      <w:pPr>
        <w:spacing w:line="600" w:lineRule="exact"/>
        <w:ind w:firstLine="420" w:firstLineChars="200"/>
        <w:rPr>
          <w:rFonts w:ascii="仿宋" w:hAnsi="仿宋" w:eastAsia="仿宋"/>
          <w:color w:val="C00000"/>
          <w:sz w:val="32"/>
          <w:szCs w:val="32"/>
        </w:rPr>
      </w:pPr>
      <w:r>
        <w:drawing>
          <wp:anchor distT="0" distB="0" distL="114300" distR="114300" simplePos="0" relativeHeight="251661312" behindDoc="1" locked="0" layoutInCell="1" allowOverlap="1">
            <wp:simplePos x="0" y="0"/>
            <wp:positionH relativeFrom="column">
              <wp:posOffset>137160</wp:posOffset>
            </wp:positionH>
            <wp:positionV relativeFrom="paragraph">
              <wp:posOffset>490220</wp:posOffset>
            </wp:positionV>
            <wp:extent cx="4829175" cy="2626360"/>
            <wp:effectExtent l="4445" t="4445" r="5080" b="17145"/>
            <wp:wrapTight wrapText="bothSides">
              <wp:wrapPolygon>
                <wp:start x="-20" y="-37"/>
                <wp:lineTo x="-20" y="21428"/>
                <wp:lineTo x="21538" y="21428"/>
                <wp:lineTo x="21538" y="-37"/>
                <wp:lineTo x="-20" y="-37"/>
              </wp:wrapPolygon>
            </wp:wrapTight>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rPr>
        <w:t>图4：财政拨款收、支决算总计变动情况</w:t>
      </w:r>
    </w:p>
    <w:p>
      <w:pPr>
        <w:spacing w:line="600" w:lineRule="exact"/>
        <w:ind w:firstLine="640" w:firstLineChars="200"/>
        <w:outlineLvl w:val="9"/>
        <w:rPr>
          <w:rFonts w:hint="eastAsia" w:ascii="黑体" w:hAnsi="黑体" w:eastAsia="黑体"/>
          <w:color w:val="000000"/>
          <w:sz w:val="32"/>
          <w:szCs w:val="32"/>
        </w:rPr>
      </w:pPr>
      <w:bookmarkStart w:id="48" w:name="_Toc15377209"/>
      <w:bookmarkStart w:id="49" w:name="_Toc15396607"/>
    </w:p>
    <w:p>
      <w:pPr>
        <w:spacing w:line="600" w:lineRule="exact"/>
        <w:ind w:firstLine="640" w:firstLineChars="200"/>
        <w:outlineLvl w:val="9"/>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bookmarkStart w:id="50" w:name="_Toc1664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8"/>
      <w:bookmarkEnd w:id="49"/>
      <w:bookmarkEnd w:id="50"/>
    </w:p>
    <w:p>
      <w:pPr>
        <w:spacing w:line="600" w:lineRule="exact"/>
        <w:ind w:firstLine="643" w:firstLineChars="200"/>
        <w:outlineLvl w:val="2"/>
        <w:rPr>
          <w:rFonts w:ascii="仿宋" w:hAnsi="仿宋" w:eastAsia="仿宋"/>
          <w:b/>
          <w:color w:val="000000"/>
          <w:sz w:val="32"/>
          <w:szCs w:val="32"/>
        </w:rPr>
      </w:pPr>
      <w:bookmarkStart w:id="51" w:name="_Toc15377210"/>
      <w:bookmarkStart w:id="52" w:name="_Toc18743"/>
      <w:r>
        <w:rPr>
          <w:rFonts w:hint="eastAsia" w:ascii="仿宋" w:hAnsi="仿宋" w:eastAsia="仿宋"/>
          <w:b/>
          <w:color w:val="000000"/>
          <w:sz w:val="32"/>
          <w:szCs w:val="32"/>
        </w:rPr>
        <w:t>（一）一般公共预算财政拨款支出决算总体情况</w:t>
      </w:r>
      <w:bookmarkEnd w:id="51"/>
      <w:bookmarkEnd w:id="52"/>
    </w:p>
    <w:p>
      <w:pPr>
        <w:spacing w:line="600" w:lineRule="exact"/>
        <w:ind w:firstLine="640" w:firstLineChars="200"/>
        <w:rPr>
          <w:rFonts w:hint="eastAsia" w:ascii="仿宋" w:hAnsi="仿宋" w:eastAsia="仿宋" w:cs="仿宋"/>
          <w:color w:val="auto"/>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848.9</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支出</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75.44万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8.16</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主要变动原因是</w:t>
      </w:r>
      <w:r>
        <w:rPr>
          <w:rFonts w:hint="eastAsia" w:ascii="仿宋" w:hAnsi="仿宋" w:eastAsia="仿宋" w:cs="仿宋"/>
          <w:color w:val="auto"/>
          <w:sz w:val="32"/>
          <w:szCs w:val="32"/>
          <w:lang w:val="en-US" w:eastAsia="zh-CN"/>
        </w:rPr>
        <w:t>压减支出，支出项目减少。</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420" w:firstLineChars="200"/>
        <w:rPr>
          <w:rFonts w:hint="eastAsia" w:ascii="仿宋" w:hAnsi="仿宋" w:eastAsia="仿宋"/>
          <w:color w:val="C00000"/>
          <w:sz w:val="32"/>
          <w:szCs w:val="32"/>
        </w:rPr>
      </w:pPr>
      <w:r>
        <w:drawing>
          <wp:anchor distT="0" distB="0" distL="114300" distR="114300" simplePos="0" relativeHeight="251662336" behindDoc="1" locked="0" layoutInCell="1" allowOverlap="1">
            <wp:simplePos x="0" y="0"/>
            <wp:positionH relativeFrom="column">
              <wp:posOffset>194945</wp:posOffset>
            </wp:positionH>
            <wp:positionV relativeFrom="paragraph">
              <wp:posOffset>223520</wp:posOffset>
            </wp:positionV>
            <wp:extent cx="4801235" cy="2677160"/>
            <wp:effectExtent l="4445" t="4445" r="52070" b="23495"/>
            <wp:wrapTight wrapText="bothSides">
              <wp:wrapPolygon>
                <wp:start x="-20" y="-36"/>
                <wp:lineTo x="-20" y="21482"/>
                <wp:lineTo x="21577" y="21482"/>
                <wp:lineTo x="21577" y="-36"/>
                <wp:lineTo x="-20" y="-36"/>
              </wp:wrapPolygon>
            </wp:wrapTight>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ind w:firstLine="640" w:firstLineChars="200"/>
        <w:rPr>
          <w:rFonts w:hint="eastAsia" w:ascii="仿宋" w:hAnsi="仿宋" w:eastAsia="仿宋"/>
          <w:color w:val="C00000"/>
          <w:sz w:val="32"/>
          <w:szCs w:val="32"/>
        </w:rPr>
      </w:pPr>
    </w:p>
    <w:p>
      <w:pPr>
        <w:spacing w:line="600" w:lineRule="exact"/>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53" w:name="_Toc15377211"/>
      <w:bookmarkStart w:id="54" w:name="_Toc31195"/>
      <w:r>
        <w:rPr>
          <w:rFonts w:hint="eastAsia" w:ascii="仿宋" w:hAnsi="仿宋" w:eastAsia="仿宋"/>
          <w:b/>
          <w:color w:val="000000"/>
          <w:sz w:val="32"/>
          <w:szCs w:val="32"/>
        </w:rPr>
        <w:t>（二）一般公共预算财政拨款支出决算结构情况</w:t>
      </w:r>
      <w:bookmarkEnd w:id="53"/>
      <w:bookmarkEnd w:id="54"/>
    </w:p>
    <w:p>
      <w:pPr>
        <w:numPr>
          <w:ilvl w:val="0"/>
          <w:numId w:val="0"/>
        </w:numPr>
        <w:spacing w:line="600" w:lineRule="exact"/>
        <w:ind w:leftChars="200" w:firstLine="640" w:firstLineChars="200"/>
        <w:rPr>
          <w:rFonts w:hint="eastAsia" w:ascii="仿宋" w:hAnsi="仿宋" w:eastAsia="仿宋"/>
          <w:color w:val="auto"/>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848.9</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auto"/>
          <w:sz w:val="32"/>
          <w:szCs w:val="32"/>
        </w:rPr>
        <w:t>一般公共服务支出</w:t>
      </w:r>
      <w:r>
        <w:rPr>
          <w:rFonts w:hint="eastAsia" w:ascii="仿宋" w:hAnsi="仿宋" w:eastAsia="仿宋"/>
          <w:color w:val="auto"/>
          <w:sz w:val="32"/>
          <w:szCs w:val="32"/>
          <w:lang w:val="en-US" w:eastAsia="zh-CN"/>
        </w:rPr>
        <w:t>686.56万</w:t>
      </w:r>
      <w:r>
        <w:rPr>
          <w:rFonts w:hint="eastAsia" w:ascii="仿宋" w:hAnsi="仿宋" w:eastAsia="仿宋"/>
          <w:color w:val="auto"/>
          <w:sz w:val="32"/>
          <w:szCs w:val="32"/>
        </w:rPr>
        <w:t>元，占</w:t>
      </w:r>
      <w:r>
        <w:rPr>
          <w:rFonts w:hint="eastAsia" w:ascii="仿宋" w:hAnsi="仿宋" w:eastAsia="仿宋"/>
          <w:color w:val="auto"/>
          <w:sz w:val="32"/>
          <w:szCs w:val="32"/>
          <w:lang w:val="en-US" w:eastAsia="zh-CN"/>
        </w:rPr>
        <w:t>80.88</w:t>
      </w:r>
      <w:r>
        <w:rPr>
          <w:rFonts w:ascii="仿宋" w:hAnsi="仿宋" w:eastAsia="仿宋"/>
          <w:color w:val="auto"/>
          <w:sz w:val="32"/>
          <w:szCs w:val="32"/>
        </w:rPr>
        <w:t>%</w:t>
      </w:r>
      <w:r>
        <w:rPr>
          <w:rFonts w:hint="eastAsia" w:ascii="仿宋" w:hAnsi="仿宋" w:eastAsia="仿宋"/>
          <w:color w:val="auto"/>
          <w:sz w:val="32"/>
          <w:szCs w:val="32"/>
        </w:rPr>
        <w:t>；社会保障和就业支出</w:t>
      </w:r>
      <w:r>
        <w:rPr>
          <w:rFonts w:hint="eastAsia" w:ascii="仿宋" w:hAnsi="仿宋" w:eastAsia="仿宋"/>
          <w:color w:val="auto"/>
          <w:sz w:val="32"/>
          <w:szCs w:val="32"/>
          <w:lang w:val="en-US" w:eastAsia="zh-CN"/>
        </w:rPr>
        <w:t>87.82万</w:t>
      </w:r>
      <w:r>
        <w:rPr>
          <w:rFonts w:hint="eastAsia" w:ascii="仿宋" w:hAnsi="仿宋" w:eastAsia="仿宋"/>
          <w:color w:val="auto"/>
          <w:sz w:val="32"/>
          <w:szCs w:val="32"/>
        </w:rPr>
        <w:t>元，占</w:t>
      </w:r>
      <w:r>
        <w:rPr>
          <w:rFonts w:hint="eastAsia" w:ascii="仿宋" w:hAnsi="仿宋" w:eastAsia="仿宋"/>
          <w:color w:val="auto"/>
          <w:sz w:val="32"/>
          <w:szCs w:val="32"/>
          <w:lang w:val="en-US" w:eastAsia="zh-CN"/>
        </w:rPr>
        <w:t>10.34</w:t>
      </w:r>
      <w:r>
        <w:rPr>
          <w:rFonts w:ascii="仿宋" w:hAnsi="仿宋" w:eastAsia="仿宋"/>
          <w:color w:val="auto"/>
          <w:sz w:val="32"/>
          <w:szCs w:val="32"/>
        </w:rPr>
        <w:t>%</w:t>
      </w:r>
      <w:r>
        <w:rPr>
          <w:rFonts w:hint="eastAsia" w:ascii="仿宋" w:hAnsi="仿宋" w:eastAsia="仿宋"/>
          <w:color w:val="auto"/>
          <w:sz w:val="32"/>
          <w:szCs w:val="32"/>
        </w:rPr>
        <w:t>；医疗卫生支出</w:t>
      </w:r>
      <w:r>
        <w:rPr>
          <w:rFonts w:hint="eastAsia" w:ascii="仿宋" w:hAnsi="仿宋" w:eastAsia="仿宋"/>
          <w:color w:val="auto"/>
          <w:sz w:val="32"/>
          <w:szCs w:val="32"/>
          <w:lang w:val="en-US" w:eastAsia="zh-CN"/>
        </w:rPr>
        <w:t>25.04万</w:t>
      </w:r>
      <w:r>
        <w:rPr>
          <w:rFonts w:hint="eastAsia" w:ascii="仿宋" w:hAnsi="仿宋" w:eastAsia="仿宋"/>
          <w:color w:val="auto"/>
          <w:sz w:val="32"/>
          <w:szCs w:val="32"/>
        </w:rPr>
        <w:t>元，占</w:t>
      </w:r>
      <w:r>
        <w:rPr>
          <w:rFonts w:hint="eastAsia" w:ascii="仿宋" w:hAnsi="仿宋" w:eastAsia="仿宋"/>
          <w:color w:val="auto"/>
          <w:sz w:val="32"/>
          <w:szCs w:val="32"/>
          <w:lang w:val="en-US" w:eastAsia="zh-CN"/>
        </w:rPr>
        <w:t>2.95</w:t>
      </w:r>
      <w:r>
        <w:rPr>
          <w:rFonts w:ascii="仿宋" w:hAnsi="仿宋" w:eastAsia="仿宋"/>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49.48万</w:t>
      </w:r>
      <w:r>
        <w:rPr>
          <w:rFonts w:hint="eastAsia" w:ascii="仿宋" w:hAnsi="仿宋" w:eastAsia="仿宋"/>
          <w:color w:val="auto"/>
          <w:sz w:val="32"/>
          <w:szCs w:val="32"/>
        </w:rPr>
        <w:t>元，占</w:t>
      </w:r>
      <w:r>
        <w:rPr>
          <w:rFonts w:hint="eastAsia" w:ascii="仿宋" w:hAnsi="仿宋" w:eastAsia="仿宋"/>
          <w:color w:val="auto"/>
          <w:sz w:val="32"/>
          <w:szCs w:val="32"/>
          <w:lang w:val="en-US" w:eastAsia="zh-CN"/>
        </w:rPr>
        <w:t>5.83</w:t>
      </w:r>
      <w:r>
        <w:rPr>
          <w:rFonts w:ascii="仿宋" w:hAnsi="仿宋" w:eastAsia="仿宋"/>
          <w:color w:val="auto"/>
          <w:sz w:val="32"/>
          <w:szCs w:val="32"/>
        </w:rPr>
        <w:t>%</w:t>
      </w:r>
      <w:r>
        <w:rPr>
          <w:rFonts w:hint="eastAsia" w:ascii="仿宋" w:hAnsi="仿宋" w:eastAsia="仿宋"/>
          <w:color w:val="auto"/>
          <w:sz w:val="32"/>
          <w:szCs w:val="32"/>
        </w:rPr>
        <w:t>。</w:t>
      </w:r>
    </w:p>
    <w:p>
      <w:pPr>
        <w:numPr>
          <w:ilvl w:val="0"/>
          <w:numId w:val="3"/>
        </w:numPr>
        <w:spacing w:line="600" w:lineRule="exact"/>
        <w:ind w:firstLine="640"/>
        <w:rPr>
          <w:rFonts w:hint="eastAsia" w:ascii="仿宋" w:hAnsi="仿宋" w:eastAsia="仿宋"/>
          <w:b w:val="0"/>
          <w:bCs/>
          <w:sz w:val="32"/>
          <w:szCs w:val="32"/>
          <w:lang w:val="en-US" w:eastAsia="zh-CN"/>
        </w:rPr>
      </w:pPr>
      <w:r>
        <w:rPr>
          <w:rFonts w:hint="eastAsia" w:ascii="仿宋" w:hAnsi="仿宋" w:eastAsia="仿宋"/>
          <w:b w:val="0"/>
          <w:bCs/>
          <w:color w:val="000000" w:themeColor="text1"/>
          <w:sz w:val="32"/>
          <w:szCs w:val="32"/>
          <w:lang w:eastAsia="zh-CN"/>
        </w:rPr>
        <w:t>行政运行（</w:t>
      </w:r>
      <w:r>
        <w:rPr>
          <w:rFonts w:hint="eastAsia" w:ascii="仿宋" w:hAnsi="仿宋" w:eastAsia="仿宋"/>
          <w:b w:val="0"/>
          <w:bCs/>
          <w:color w:val="000000" w:themeColor="text1"/>
          <w:sz w:val="32"/>
          <w:szCs w:val="32"/>
          <w:lang w:val="en-US" w:eastAsia="zh-CN"/>
        </w:rPr>
        <w:t>2010201</w:t>
      </w:r>
      <w:r>
        <w:rPr>
          <w:rFonts w:hint="eastAsia" w:ascii="仿宋" w:hAnsi="仿宋" w:eastAsia="仿宋"/>
          <w:b w:val="0"/>
          <w:bCs/>
          <w:color w:val="000000" w:themeColor="text1"/>
          <w:sz w:val="32"/>
          <w:szCs w:val="32"/>
          <w:lang w:eastAsia="zh-CN"/>
        </w:rPr>
        <w:t>）：</w:t>
      </w:r>
      <w:r>
        <w:rPr>
          <w:rFonts w:hint="eastAsia" w:ascii="仿宋" w:hAnsi="仿宋" w:eastAsia="仿宋"/>
          <w:b w:val="0"/>
          <w:bCs/>
          <w:sz w:val="32"/>
          <w:szCs w:val="32"/>
          <w:lang w:val="en-US" w:eastAsia="zh-CN"/>
        </w:rPr>
        <w:t>619.58万元</w:t>
      </w:r>
    </w:p>
    <w:p>
      <w:pPr>
        <w:numPr>
          <w:ilvl w:val="0"/>
          <w:numId w:val="3"/>
        </w:numPr>
        <w:spacing w:line="600" w:lineRule="exact"/>
        <w:ind w:firstLine="640"/>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一般行政管理事务（2010202）13.40万元</w:t>
      </w:r>
    </w:p>
    <w:p>
      <w:pPr>
        <w:spacing w:line="600" w:lineRule="exact"/>
        <w:ind w:firstLine="627" w:firstLineChars="196"/>
        <w:rPr>
          <w:rFonts w:ascii="仿宋" w:hAnsi="仿宋" w:eastAsia="仿宋" w:cs="Times New Roman"/>
          <w:b w:val="0"/>
          <w:bCs/>
          <w:sz w:val="32"/>
          <w:szCs w:val="32"/>
        </w:rPr>
      </w:pPr>
      <w:r>
        <w:rPr>
          <w:rStyle w:val="30"/>
          <w:rFonts w:hint="eastAsia" w:ascii="仿宋" w:hAnsi="仿宋" w:eastAsia="仿宋"/>
          <w:b w:val="0"/>
          <w:bCs/>
          <w:sz w:val="32"/>
          <w:szCs w:val="32"/>
        </w:rPr>
        <w:t>（</w:t>
      </w:r>
      <w:r>
        <w:rPr>
          <w:rStyle w:val="30"/>
          <w:rFonts w:hint="eastAsia" w:ascii="仿宋" w:hAnsi="仿宋" w:eastAsia="仿宋"/>
          <w:b w:val="0"/>
          <w:bCs/>
          <w:sz w:val="32"/>
          <w:szCs w:val="32"/>
          <w:lang w:val="en-US" w:eastAsia="zh-CN"/>
        </w:rPr>
        <w:t>3</w:t>
      </w:r>
      <w:r>
        <w:rPr>
          <w:rStyle w:val="30"/>
          <w:rFonts w:hint="eastAsia" w:ascii="仿宋" w:hAnsi="仿宋" w:eastAsia="仿宋"/>
          <w:b w:val="0"/>
          <w:bCs/>
          <w:sz w:val="32"/>
          <w:szCs w:val="32"/>
        </w:rPr>
        <w:t>）政协会议（</w:t>
      </w:r>
      <w:r>
        <w:rPr>
          <w:rStyle w:val="30"/>
          <w:rFonts w:ascii="仿宋" w:hAnsi="仿宋" w:eastAsia="仿宋"/>
          <w:b w:val="0"/>
          <w:bCs/>
          <w:sz w:val="32"/>
          <w:szCs w:val="32"/>
        </w:rPr>
        <w:t>2010204</w:t>
      </w:r>
      <w:r>
        <w:rPr>
          <w:rStyle w:val="30"/>
          <w:rFonts w:hint="eastAsia" w:ascii="仿宋" w:hAnsi="仿宋" w:eastAsia="仿宋"/>
          <w:b w:val="0"/>
          <w:bCs/>
          <w:sz w:val="32"/>
          <w:szCs w:val="32"/>
        </w:rPr>
        <w:t>）：</w:t>
      </w:r>
      <w:r>
        <w:rPr>
          <w:rFonts w:hint="eastAsia" w:ascii="仿宋" w:hAnsi="仿宋" w:eastAsia="仿宋"/>
          <w:b w:val="0"/>
          <w:bCs/>
          <w:sz w:val="32"/>
          <w:szCs w:val="32"/>
          <w:lang w:val="en-US" w:eastAsia="zh-CN"/>
        </w:rPr>
        <w:t>26.80万</w:t>
      </w:r>
      <w:r>
        <w:rPr>
          <w:rFonts w:hint="eastAsia" w:ascii="仿宋" w:hAnsi="仿宋" w:eastAsia="仿宋"/>
          <w:b w:val="0"/>
          <w:bCs/>
          <w:sz w:val="32"/>
          <w:szCs w:val="32"/>
        </w:rPr>
        <w:t>元</w:t>
      </w:r>
    </w:p>
    <w:p>
      <w:pPr>
        <w:spacing w:line="600" w:lineRule="exact"/>
        <w:ind w:firstLine="640" w:firstLineChars="200"/>
        <w:rPr>
          <w:rFonts w:ascii="仿宋" w:hAnsi="仿宋" w:eastAsia="仿宋"/>
          <w:b w:val="0"/>
          <w:bCs/>
          <w:sz w:val="32"/>
          <w:szCs w:val="32"/>
        </w:rPr>
      </w:pPr>
      <w:r>
        <w:rPr>
          <w:rStyle w:val="30"/>
          <w:rFonts w:hint="eastAsia" w:ascii="仿宋" w:hAnsi="仿宋" w:eastAsia="仿宋"/>
          <w:b w:val="0"/>
          <w:bCs/>
          <w:sz w:val="32"/>
          <w:szCs w:val="32"/>
        </w:rPr>
        <w:t>（</w:t>
      </w:r>
      <w:r>
        <w:rPr>
          <w:rStyle w:val="30"/>
          <w:rFonts w:hint="eastAsia" w:ascii="仿宋" w:hAnsi="仿宋" w:eastAsia="仿宋"/>
          <w:b w:val="0"/>
          <w:bCs/>
          <w:sz w:val="32"/>
          <w:szCs w:val="32"/>
          <w:lang w:val="en-US" w:eastAsia="zh-CN"/>
        </w:rPr>
        <w:t>4</w:t>
      </w:r>
      <w:r>
        <w:rPr>
          <w:rStyle w:val="30"/>
          <w:rFonts w:hint="eastAsia" w:ascii="仿宋" w:hAnsi="仿宋" w:eastAsia="仿宋"/>
          <w:b w:val="0"/>
          <w:bCs/>
          <w:sz w:val="32"/>
          <w:szCs w:val="32"/>
        </w:rPr>
        <w:t>）委员视察（</w:t>
      </w:r>
      <w:r>
        <w:rPr>
          <w:rStyle w:val="30"/>
          <w:rFonts w:ascii="仿宋" w:hAnsi="仿宋" w:eastAsia="仿宋"/>
          <w:b w:val="0"/>
          <w:bCs/>
          <w:sz w:val="32"/>
          <w:szCs w:val="32"/>
        </w:rPr>
        <w:t>2010205</w:t>
      </w:r>
      <w:r>
        <w:rPr>
          <w:rStyle w:val="30"/>
          <w:rFonts w:hint="eastAsia" w:ascii="仿宋" w:hAnsi="仿宋" w:eastAsia="仿宋"/>
          <w:b w:val="0"/>
          <w:bCs/>
          <w:sz w:val="32"/>
          <w:szCs w:val="32"/>
        </w:rPr>
        <w:t>）：</w:t>
      </w:r>
      <w:r>
        <w:rPr>
          <w:rFonts w:hint="eastAsia" w:ascii="仿宋" w:hAnsi="仿宋" w:eastAsia="仿宋"/>
          <w:b w:val="0"/>
          <w:bCs/>
          <w:sz w:val="32"/>
          <w:szCs w:val="32"/>
          <w:lang w:val="en-US" w:eastAsia="zh-CN"/>
        </w:rPr>
        <w:t>16.61万</w:t>
      </w:r>
      <w:r>
        <w:rPr>
          <w:rFonts w:hint="eastAsia" w:ascii="仿宋" w:hAnsi="仿宋" w:eastAsia="仿宋"/>
          <w:b w:val="0"/>
          <w:bCs/>
          <w:sz w:val="32"/>
          <w:szCs w:val="32"/>
        </w:rPr>
        <w:t>元</w:t>
      </w:r>
    </w:p>
    <w:p>
      <w:pPr>
        <w:spacing w:line="600" w:lineRule="exact"/>
        <w:ind w:firstLine="640" w:firstLineChars="200"/>
        <w:rPr>
          <w:rFonts w:hint="eastAsia" w:ascii="仿宋" w:hAnsi="仿宋" w:eastAsia="仿宋"/>
          <w:b w:val="0"/>
          <w:bCs/>
          <w:color w:val="C00000"/>
          <w:sz w:val="32"/>
          <w:szCs w:val="32"/>
          <w:lang w:val="en-US" w:eastAsia="zh-CN"/>
        </w:rPr>
      </w:pPr>
      <w:r>
        <w:rPr>
          <w:rStyle w:val="30"/>
          <w:rFonts w:hint="eastAsia" w:ascii="仿宋" w:hAnsi="仿宋" w:eastAsia="仿宋"/>
          <w:b w:val="0"/>
          <w:bCs/>
          <w:sz w:val="32"/>
          <w:szCs w:val="32"/>
        </w:rPr>
        <w:t>（</w:t>
      </w:r>
      <w:r>
        <w:rPr>
          <w:rStyle w:val="30"/>
          <w:rFonts w:hint="eastAsia" w:ascii="仿宋" w:hAnsi="仿宋" w:eastAsia="仿宋"/>
          <w:b w:val="0"/>
          <w:bCs/>
          <w:sz w:val="32"/>
          <w:szCs w:val="32"/>
          <w:lang w:val="en-US" w:eastAsia="zh-CN"/>
        </w:rPr>
        <w:t>5</w:t>
      </w:r>
      <w:r>
        <w:rPr>
          <w:rStyle w:val="30"/>
          <w:rFonts w:hint="eastAsia" w:ascii="仿宋" w:hAnsi="仿宋" w:eastAsia="仿宋"/>
          <w:b w:val="0"/>
          <w:bCs/>
          <w:sz w:val="32"/>
          <w:szCs w:val="32"/>
        </w:rPr>
        <w:t>）参政议政（</w:t>
      </w:r>
      <w:r>
        <w:rPr>
          <w:rStyle w:val="30"/>
          <w:rFonts w:ascii="仿宋" w:hAnsi="仿宋" w:eastAsia="仿宋"/>
          <w:b w:val="0"/>
          <w:bCs/>
          <w:sz w:val="32"/>
          <w:szCs w:val="32"/>
        </w:rPr>
        <w:t>2010206</w:t>
      </w:r>
      <w:r>
        <w:rPr>
          <w:rStyle w:val="30"/>
          <w:rFonts w:hint="eastAsia" w:ascii="仿宋" w:hAnsi="仿宋" w:eastAsia="仿宋"/>
          <w:b w:val="0"/>
          <w:bCs/>
          <w:sz w:val="32"/>
          <w:szCs w:val="32"/>
        </w:rPr>
        <w:t>）：</w:t>
      </w:r>
      <w:r>
        <w:rPr>
          <w:rFonts w:hint="eastAsia" w:ascii="仿宋" w:hAnsi="仿宋" w:eastAsia="仿宋"/>
          <w:b w:val="0"/>
          <w:bCs/>
          <w:sz w:val="32"/>
          <w:szCs w:val="32"/>
          <w:lang w:val="en-US" w:eastAsia="zh-CN"/>
        </w:rPr>
        <w:t>10.16万</w:t>
      </w:r>
      <w:r>
        <w:rPr>
          <w:rFonts w:hint="eastAsia" w:ascii="仿宋" w:hAnsi="仿宋" w:eastAsia="仿宋"/>
          <w:b w:val="0"/>
          <w:bCs/>
          <w:sz w:val="32"/>
          <w:szCs w:val="32"/>
        </w:rPr>
        <w:t>元</w:t>
      </w:r>
    </w:p>
    <w:p>
      <w:pPr>
        <w:spacing w:line="600" w:lineRule="exact"/>
        <w:ind w:firstLine="640" w:firstLineChars="200"/>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（6）社会保障和就业支出（20805）：87.82万元</w:t>
      </w:r>
    </w:p>
    <w:p>
      <w:pPr>
        <w:spacing w:line="600" w:lineRule="exact"/>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（7）医疗卫生与计划生育支出（21011）：25.04万元</w:t>
      </w:r>
    </w:p>
    <w:p>
      <w:pPr>
        <w:spacing w:line="600" w:lineRule="exact"/>
        <w:ind w:firstLine="640" w:firstLineChars="200"/>
        <w:rPr>
          <w:rFonts w:hint="eastAsia" w:ascii="仿宋" w:hAnsi="仿宋" w:eastAsia="仿宋"/>
          <w:b/>
          <w:color w:val="000000" w:themeColor="text1"/>
          <w:sz w:val="32"/>
          <w:szCs w:val="32"/>
        </w:rPr>
      </w:pPr>
      <w:r>
        <w:rPr>
          <w:rFonts w:hint="eastAsia" w:ascii="仿宋" w:hAnsi="仿宋" w:eastAsia="仿宋"/>
          <w:sz w:val="32"/>
          <w:szCs w:val="32"/>
          <w:lang w:val="en-US" w:eastAsia="zh-CN"/>
        </w:rPr>
        <w:t>（8）</w:t>
      </w:r>
      <w:r>
        <w:rPr>
          <w:rFonts w:hint="default" w:ascii="仿宋" w:hAnsi="仿宋" w:eastAsia="仿宋"/>
          <w:sz w:val="32"/>
          <w:szCs w:val="32"/>
          <w:lang w:val="en-US" w:eastAsia="zh-CN"/>
        </w:rPr>
        <w:t>住房保障支出</w:t>
      </w:r>
      <w:r>
        <w:rPr>
          <w:rFonts w:hint="eastAsia" w:ascii="仿宋" w:hAnsi="仿宋" w:eastAsia="仿宋"/>
          <w:sz w:val="32"/>
          <w:szCs w:val="32"/>
          <w:lang w:val="en-US" w:eastAsia="zh-CN"/>
        </w:rPr>
        <w:t>（221）：49.49万元</w:t>
      </w:r>
    </w:p>
    <w:p>
      <w:pPr>
        <w:spacing w:line="600" w:lineRule="exact"/>
        <w:ind w:firstLine="640"/>
        <w:rPr>
          <w:rFonts w:ascii="仿宋" w:hAnsi="仿宋" w:eastAsia="仿宋"/>
          <w:color w:val="000000" w:themeColor="text1"/>
          <w:sz w:val="32"/>
          <w:szCs w:val="32"/>
        </w:rPr>
      </w:pPr>
    </w:p>
    <w:p>
      <w:pPr>
        <w:spacing w:line="600" w:lineRule="exact"/>
        <w:ind w:firstLine="960" w:firstLineChars="300"/>
        <w:rPr>
          <w:rFonts w:ascii="仿宋" w:hAnsi="仿宋" w:eastAsia="仿宋"/>
          <w:color w:val="000000" w:themeColor="text1"/>
          <w:sz w:val="32"/>
          <w:szCs w:val="32"/>
        </w:rPr>
      </w:pPr>
      <w:r>
        <w:rPr>
          <w:rFonts w:hint="eastAsia" w:ascii="仿宋" w:hAnsi="仿宋" w:eastAsia="仿宋"/>
          <w:color w:val="000000" w:themeColor="text1"/>
          <w:sz w:val="32"/>
          <w:szCs w:val="32"/>
        </w:rPr>
        <w:t>图6：一般公共预算财政拨款支出决算结构</w:t>
      </w:r>
    </w:p>
    <w:p>
      <w:pPr>
        <w:spacing w:line="600" w:lineRule="exact"/>
        <w:ind w:firstLine="420" w:firstLineChars="200"/>
        <w:rPr>
          <w:rFonts w:ascii="仿宋" w:hAnsi="仿宋" w:eastAsia="仿宋"/>
          <w:color w:val="000000"/>
          <w:sz w:val="32"/>
          <w:szCs w:val="32"/>
        </w:rPr>
      </w:pPr>
      <w:r>
        <w:drawing>
          <wp:anchor distT="0" distB="0" distL="114300" distR="114300" simplePos="0" relativeHeight="251663360" behindDoc="1" locked="0" layoutInCell="1" allowOverlap="1">
            <wp:simplePos x="0" y="0"/>
            <wp:positionH relativeFrom="column">
              <wp:posOffset>366395</wp:posOffset>
            </wp:positionH>
            <wp:positionV relativeFrom="paragraph">
              <wp:posOffset>166370</wp:posOffset>
            </wp:positionV>
            <wp:extent cx="4648200" cy="2924810"/>
            <wp:effectExtent l="4445" t="4445" r="14605" b="61595"/>
            <wp:wrapTight wrapText="bothSides">
              <wp:wrapPolygon>
                <wp:start x="-21" y="-33"/>
                <wp:lineTo x="-21" y="21492"/>
                <wp:lineTo x="21579" y="21492"/>
                <wp:lineTo x="21579" y="-33"/>
                <wp:lineTo x="-21" y="-33"/>
              </wp:wrapPolygon>
            </wp:wrapTight>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5" w:name="_Toc2407"/>
      <w:bookmarkStart w:id="56" w:name="_Toc15377212"/>
      <w:r>
        <w:rPr>
          <w:rFonts w:hint="eastAsia" w:ascii="仿宋" w:hAnsi="仿宋" w:eastAsia="仿宋"/>
          <w:b/>
          <w:color w:val="000000"/>
          <w:sz w:val="32"/>
          <w:szCs w:val="32"/>
        </w:rPr>
        <w:t>（三）一般公共预算财政拨款支出决算具体情况</w:t>
      </w:r>
      <w:bookmarkEnd w:id="55"/>
      <w:bookmarkEnd w:id="56"/>
    </w:p>
    <w:p>
      <w:pPr>
        <w:spacing w:line="600" w:lineRule="exact"/>
        <w:ind w:firstLine="640" w:firstLineChars="200"/>
        <w:outlineLvl w:val="2"/>
        <w:rPr>
          <w:rFonts w:ascii="仿宋" w:hAnsi="仿宋" w:eastAsia="仿宋"/>
          <w:b w:val="0"/>
          <w:bCs/>
          <w:color w:val="FF0000"/>
          <w:sz w:val="32"/>
          <w:szCs w:val="32"/>
        </w:rPr>
      </w:pPr>
      <w:bookmarkStart w:id="57" w:name="_Toc16077"/>
      <w:r>
        <w:rPr>
          <w:rFonts w:hint="eastAsia" w:ascii="仿宋" w:hAnsi="仿宋" w:eastAsia="仿宋"/>
          <w:b w:val="0"/>
          <w:bCs/>
          <w:color w:val="000000" w:themeColor="text1"/>
          <w:sz w:val="32"/>
          <w:szCs w:val="32"/>
        </w:rPr>
        <w:t>201</w:t>
      </w:r>
      <w:r>
        <w:rPr>
          <w:rFonts w:hint="eastAsia" w:ascii="仿宋" w:hAnsi="仿宋" w:eastAsia="仿宋"/>
          <w:b w:val="0"/>
          <w:bCs/>
          <w:color w:val="000000" w:themeColor="text1"/>
          <w:sz w:val="32"/>
          <w:szCs w:val="32"/>
          <w:lang w:val="en-US" w:eastAsia="zh-CN"/>
        </w:rPr>
        <w:t>9</w:t>
      </w:r>
      <w:r>
        <w:rPr>
          <w:rFonts w:hint="eastAsia" w:ascii="仿宋" w:hAnsi="仿宋" w:eastAsia="仿宋"/>
          <w:b w:val="0"/>
          <w:bCs/>
          <w:color w:val="000000" w:themeColor="text1"/>
          <w:sz w:val="32"/>
          <w:szCs w:val="32"/>
        </w:rPr>
        <w:t>年</w:t>
      </w:r>
      <w:r>
        <w:rPr>
          <w:rFonts w:hint="eastAsia" w:ascii="仿宋" w:hAnsi="仿宋" w:eastAsia="仿宋"/>
          <w:b w:val="0"/>
          <w:bCs/>
          <w:color w:val="000000" w:themeColor="text1"/>
          <w:sz w:val="32"/>
          <w:szCs w:val="32"/>
          <w:lang w:eastAsia="zh-CN"/>
        </w:rPr>
        <w:t>一</w:t>
      </w:r>
      <w:r>
        <w:rPr>
          <w:rFonts w:hint="eastAsia" w:ascii="仿宋" w:hAnsi="仿宋" w:eastAsia="仿宋"/>
          <w:b w:val="0"/>
          <w:bCs/>
          <w:color w:val="000000" w:themeColor="text1"/>
          <w:sz w:val="32"/>
          <w:szCs w:val="32"/>
        </w:rPr>
        <w:t>般公共预算支出决算数为</w:t>
      </w:r>
      <w:r>
        <w:rPr>
          <w:rFonts w:hint="eastAsia" w:ascii="仿宋" w:hAnsi="仿宋" w:eastAsia="仿宋"/>
          <w:b w:val="0"/>
          <w:bCs/>
          <w:color w:val="000000" w:themeColor="text1"/>
          <w:sz w:val="32"/>
          <w:szCs w:val="32"/>
          <w:lang w:val="en-US" w:eastAsia="zh-CN"/>
        </w:rPr>
        <w:t>848.9万元</w:t>
      </w:r>
      <w:r>
        <w:rPr>
          <w:rFonts w:hint="eastAsia"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完成</w:t>
      </w:r>
      <w:r>
        <w:rPr>
          <w:rStyle w:val="14"/>
          <w:rFonts w:hint="eastAsia" w:ascii="仿宋" w:hAnsi="仿宋" w:eastAsia="仿宋"/>
          <w:b w:val="0"/>
          <w:bCs/>
          <w:color w:val="000000"/>
          <w:sz w:val="32"/>
          <w:szCs w:val="32"/>
        </w:rPr>
        <w:t>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57"/>
    </w:p>
    <w:p>
      <w:pPr>
        <w:spacing w:line="600" w:lineRule="exact"/>
        <w:ind w:firstLine="640" w:firstLineChars="200"/>
        <w:rPr>
          <w:rFonts w:ascii="仿宋" w:hAnsi="仿宋" w:eastAsia="仿宋"/>
          <w:b w:val="0"/>
          <w:bCs/>
          <w:color w:val="000000"/>
          <w:sz w:val="32"/>
          <w:szCs w:val="32"/>
        </w:rPr>
      </w:pPr>
      <w:r>
        <w:rPr>
          <w:rStyle w:val="14"/>
          <w:rFonts w:ascii="仿宋" w:hAnsi="仿宋" w:eastAsia="仿宋"/>
          <w:b w:val="0"/>
          <w:bCs/>
          <w:color w:val="000000"/>
          <w:sz w:val="32"/>
          <w:szCs w:val="32"/>
        </w:rPr>
        <w:t>1.</w:t>
      </w:r>
      <w:r>
        <w:rPr>
          <w:rStyle w:val="14"/>
          <w:rFonts w:hint="eastAsia" w:ascii="仿宋" w:hAnsi="仿宋" w:eastAsia="仿宋"/>
          <w:b w:val="0"/>
          <w:bCs/>
          <w:color w:val="000000"/>
          <w:sz w:val="32"/>
          <w:szCs w:val="32"/>
        </w:rPr>
        <w:t>一般公共服务（类）</w:t>
      </w:r>
      <w:r>
        <w:rPr>
          <w:rStyle w:val="14"/>
          <w:rFonts w:hint="eastAsia" w:ascii="仿宋" w:hAnsi="仿宋" w:eastAsia="仿宋"/>
          <w:b w:val="0"/>
          <w:bCs/>
          <w:color w:val="000000"/>
          <w:sz w:val="32"/>
          <w:szCs w:val="32"/>
          <w:lang w:val="en-US" w:eastAsia="zh-CN"/>
        </w:rPr>
        <w:t>201</w:t>
      </w:r>
      <w:r>
        <w:rPr>
          <w:rStyle w:val="14"/>
          <w:rFonts w:hint="eastAsia" w:ascii="仿宋" w:hAnsi="仿宋" w:eastAsia="仿宋"/>
          <w:b w:val="0"/>
          <w:bCs/>
          <w:color w:val="000000"/>
          <w:sz w:val="32"/>
          <w:szCs w:val="32"/>
        </w:rPr>
        <w:t>（款）</w:t>
      </w:r>
      <w:r>
        <w:rPr>
          <w:rStyle w:val="14"/>
          <w:rFonts w:hint="eastAsia" w:ascii="仿宋" w:hAnsi="仿宋" w:eastAsia="仿宋"/>
          <w:b w:val="0"/>
          <w:bCs/>
          <w:color w:val="000000"/>
          <w:sz w:val="32"/>
          <w:szCs w:val="32"/>
          <w:lang w:val="en-US" w:eastAsia="zh-CN"/>
        </w:rPr>
        <w:t>02</w:t>
      </w:r>
      <w:r>
        <w:rPr>
          <w:rStyle w:val="14"/>
          <w:rFonts w:hint="eastAsia" w:ascii="仿宋" w:hAnsi="仿宋" w:eastAsia="仿宋"/>
          <w:b w:val="0"/>
          <w:bCs/>
          <w:color w:val="000000"/>
          <w:sz w:val="32"/>
          <w:szCs w:val="32"/>
        </w:rPr>
        <w:t>（项）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w:t>
      </w:r>
      <w:r>
        <w:rPr>
          <w:rFonts w:hint="eastAsia" w:ascii="仿宋" w:hAnsi="仿宋" w:eastAsia="仿宋"/>
          <w:b w:val="0"/>
          <w:bCs/>
          <w:color w:val="auto"/>
          <w:sz w:val="32"/>
          <w:szCs w:val="32"/>
          <w:lang w:val="en-US" w:eastAsia="zh-CN"/>
        </w:rPr>
        <w:t>686.56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社会保障和就业（类）</w:t>
      </w:r>
      <w:r>
        <w:rPr>
          <w:rStyle w:val="14"/>
          <w:rFonts w:hint="eastAsia" w:ascii="仿宋" w:hAnsi="仿宋" w:eastAsia="仿宋"/>
          <w:b w:val="0"/>
          <w:bCs/>
          <w:color w:val="000000"/>
          <w:sz w:val="32"/>
          <w:szCs w:val="32"/>
          <w:lang w:val="en-US" w:eastAsia="zh-CN"/>
        </w:rPr>
        <w:t>208</w:t>
      </w:r>
      <w:r>
        <w:rPr>
          <w:rStyle w:val="14"/>
          <w:rFonts w:hint="eastAsia" w:ascii="仿宋" w:hAnsi="仿宋" w:eastAsia="仿宋"/>
          <w:b w:val="0"/>
          <w:bCs/>
          <w:color w:val="000000"/>
          <w:sz w:val="32"/>
          <w:szCs w:val="32"/>
        </w:rPr>
        <w:t>（款）</w:t>
      </w:r>
      <w:r>
        <w:rPr>
          <w:rStyle w:val="14"/>
          <w:rFonts w:hint="eastAsia" w:ascii="仿宋" w:hAnsi="仿宋" w:eastAsia="仿宋"/>
          <w:b w:val="0"/>
          <w:bCs/>
          <w:color w:val="000000"/>
          <w:sz w:val="32"/>
          <w:szCs w:val="32"/>
          <w:lang w:val="en-US" w:eastAsia="zh-CN"/>
        </w:rPr>
        <w:t>05</w:t>
      </w:r>
      <w:r>
        <w:rPr>
          <w:rStyle w:val="14"/>
          <w:rFonts w:hint="eastAsia" w:ascii="仿宋" w:hAnsi="仿宋" w:eastAsia="仿宋"/>
          <w:b w:val="0"/>
          <w:bCs/>
          <w:color w:val="000000"/>
          <w:sz w:val="32"/>
          <w:szCs w:val="32"/>
        </w:rPr>
        <w:t>（项）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87.82</w:t>
      </w:r>
      <w:r>
        <w:rPr>
          <w:rStyle w:val="14"/>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医疗卫生与计划生育（类）</w:t>
      </w:r>
      <w:r>
        <w:rPr>
          <w:rStyle w:val="14"/>
          <w:rFonts w:hint="eastAsia" w:ascii="仿宋" w:hAnsi="仿宋" w:eastAsia="仿宋"/>
          <w:b w:val="0"/>
          <w:bCs/>
          <w:color w:val="000000"/>
          <w:sz w:val="32"/>
          <w:szCs w:val="32"/>
          <w:lang w:val="en-US" w:eastAsia="zh-CN"/>
        </w:rPr>
        <w:t>210</w:t>
      </w:r>
      <w:r>
        <w:rPr>
          <w:rStyle w:val="14"/>
          <w:rFonts w:hint="eastAsia" w:ascii="仿宋" w:hAnsi="仿宋" w:eastAsia="仿宋"/>
          <w:b w:val="0"/>
          <w:bCs/>
          <w:color w:val="000000"/>
          <w:sz w:val="32"/>
          <w:szCs w:val="32"/>
        </w:rPr>
        <w:t>（款）</w:t>
      </w:r>
      <w:r>
        <w:rPr>
          <w:rStyle w:val="14"/>
          <w:rFonts w:hint="eastAsia" w:ascii="仿宋" w:hAnsi="仿宋" w:eastAsia="仿宋"/>
          <w:b w:val="0"/>
          <w:bCs/>
          <w:color w:val="000000"/>
          <w:sz w:val="32"/>
          <w:szCs w:val="32"/>
          <w:lang w:val="en-US" w:eastAsia="zh-CN"/>
        </w:rPr>
        <w:t>11</w:t>
      </w:r>
      <w:r>
        <w:rPr>
          <w:rStyle w:val="14"/>
          <w:rFonts w:hint="eastAsia" w:ascii="仿宋" w:hAnsi="仿宋" w:eastAsia="仿宋"/>
          <w:b w:val="0"/>
          <w:bCs/>
          <w:color w:val="000000"/>
          <w:sz w:val="32"/>
          <w:szCs w:val="32"/>
        </w:rPr>
        <w:t>（项）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25.04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r>
        <w:rPr>
          <w:rFonts w:hint="eastAsia" w:ascii="仿宋" w:hAnsi="仿宋" w:eastAsia="仿宋"/>
          <w:b w:val="0"/>
          <w:bCs/>
          <w:sz w:val="32"/>
          <w:szCs w:val="32"/>
          <w:lang w:val="en-US" w:eastAsia="zh-CN"/>
        </w:rPr>
        <w:t>4.</w:t>
      </w:r>
      <w:r>
        <w:rPr>
          <w:rFonts w:hint="default" w:ascii="仿宋" w:hAnsi="仿宋" w:eastAsia="仿宋"/>
          <w:b w:val="0"/>
          <w:bCs/>
          <w:sz w:val="32"/>
          <w:szCs w:val="32"/>
          <w:lang w:val="en-US" w:eastAsia="zh-CN"/>
        </w:rPr>
        <w:t>住房保障支出</w:t>
      </w:r>
      <w:r>
        <w:rPr>
          <w:rStyle w:val="14"/>
          <w:rFonts w:hint="eastAsia" w:ascii="仿宋" w:hAnsi="仿宋" w:eastAsia="仿宋"/>
          <w:b w:val="0"/>
          <w:bCs/>
          <w:color w:val="000000"/>
          <w:sz w:val="32"/>
          <w:szCs w:val="32"/>
        </w:rPr>
        <w:t>（类）</w:t>
      </w:r>
      <w:r>
        <w:rPr>
          <w:rStyle w:val="14"/>
          <w:rFonts w:hint="eastAsia" w:ascii="仿宋" w:hAnsi="仿宋" w:eastAsia="仿宋"/>
          <w:b w:val="0"/>
          <w:bCs/>
          <w:color w:val="000000"/>
          <w:sz w:val="32"/>
          <w:szCs w:val="32"/>
          <w:lang w:val="en-US" w:eastAsia="zh-CN"/>
        </w:rPr>
        <w:t>221</w:t>
      </w:r>
      <w:r>
        <w:rPr>
          <w:rStyle w:val="14"/>
          <w:rFonts w:hint="eastAsia" w:ascii="仿宋" w:hAnsi="仿宋" w:eastAsia="仿宋"/>
          <w:b w:val="0"/>
          <w:bCs/>
          <w:color w:val="000000"/>
          <w:sz w:val="32"/>
          <w:szCs w:val="32"/>
        </w:rPr>
        <w:t>（款）</w:t>
      </w:r>
      <w:r>
        <w:rPr>
          <w:rStyle w:val="14"/>
          <w:rFonts w:hint="eastAsia" w:ascii="仿宋" w:hAnsi="仿宋" w:eastAsia="仿宋"/>
          <w:b w:val="0"/>
          <w:bCs/>
          <w:color w:val="000000"/>
          <w:sz w:val="32"/>
          <w:szCs w:val="32"/>
          <w:lang w:val="en-US" w:eastAsia="zh-CN"/>
        </w:rPr>
        <w:t>02</w:t>
      </w:r>
      <w:r>
        <w:rPr>
          <w:rStyle w:val="14"/>
          <w:rFonts w:hint="eastAsia" w:ascii="仿宋" w:hAnsi="仿宋" w:eastAsia="仿宋"/>
          <w:b w:val="0"/>
          <w:bCs/>
          <w:color w:val="000000"/>
          <w:sz w:val="32"/>
          <w:szCs w:val="32"/>
        </w:rPr>
        <w:t>（项）</w:t>
      </w:r>
      <w:r>
        <w:rPr>
          <w:rFonts w:hint="eastAsia" w:ascii="仿宋" w:hAnsi="仿宋" w:eastAsia="仿宋"/>
          <w:b w:val="0"/>
          <w:bCs/>
          <w:sz w:val="32"/>
          <w:szCs w:val="32"/>
          <w:lang w:val="en-US"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49.49</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rPr>
      </w:pPr>
    </w:p>
    <w:p>
      <w:pPr>
        <w:spacing w:line="600" w:lineRule="exact"/>
        <w:ind w:firstLine="640" w:firstLineChars="200"/>
        <w:rPr>
          <w:rStyle w:val="14"/>
          <w:rFonts w:hint="eastAsia" w:ascii="仿宋" w:hAnsi="仿宋" w:eastAsia="仿宋"/>
          <w:b w:val="0"/>
          <w:bCs/>
          <w:color w:val="000000"/>
          <w:sz w:val="32"/>
          <w:szCs w:val="32"/>
        </w:rPr>
      </w:pPr>
    </w:p>
    <w:p>
      <w:pPr>
        <w:spacing w:line="600" w:lineRule="exact"/>
        <w:ind w:firstLine="640" w:firstLineChars="200"/>
        <w:rPr>
          <w:rStyle w:val="14"/>
          <w:rFonts w:hint="eastAsia" w:ascii="仿宋" w:hAnsi="仿宋" w:eastAsia="仿宋"/>
          <w:b w:val="0"/>
          <w:bCs/>
          <w:color w:val="000000"/>
          <w:sz w:val="32"/>
          <w:szCs w:val="32"/>
        </w:rPr>
      </w:pPr>
    </w:p>
    <w:tbl>
      <w:tblPr>
        <w:tblStyle w:val="12"/>
        <w:tblW w:w="8148" w:type="dxa"/>
        <w:tblInd w:w="118" w:type="dxa"/>
        <w:shd w:val="clear" w:color="auto" w:fill="auto"/>
        <w:tblLayout w:type="fixed"/>
        <w:tblCellMar>
          <w:top w:w="0" w:type="dxa"/>
          <w:left w:w="0" w:type="dxa"/>
          <w:bottom w:w="0" w:type="dxa"/>
          <w:right w:w="0" w:type="dxa"/>
        </w:tblCellMar>
      </w:tblPr>
      <w:tblGrid>
        <w:gridCol w:w="1691"/>
        <w:gridCol w:w="3927"/>
        <w:gridCol w:w="2530"/>
      </w:tblGrid>
      <w:tr>
        <w:tblPrEx>
          <w:tblCellMar>
            <w:top w:w="0" w:type="dxa"/>
            <w:left w:w="0" w:type="dxa"/>
            <w:bottom w:w="0" w:type="dxa"/>
            <w:right w:w="0" w:type="dxa"/>
          </w:tblCellMar>
        </w:tblPrEx>
        <w:trPr>
          <w:trHeight w:val="285" w:hRule="atLeast"/>
        </w:trPr>
        <w:tc>
          <w:tcPr>
            <w:tcW w:w="8148" w:type="dxa"/>
            <w:gridSpan w:val="3"/>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功能科目明细列表</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一般公共服务支出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848.90</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20102</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政协事务</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686.55</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2010201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行政运行</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619.58</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2010202</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一般行政管理事务</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13.40</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2010204</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政协会议</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26.80</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2010205</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委员视察</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16.61</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2010206</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参政议政</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10.16</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社会保障和就业支出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87.82</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20805</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行政事业单位离退休</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87.82</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2080505</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机关事业单位基本养老保险缴费支出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60.19</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2080506</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机关事业单位职业年金缴费支出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27.63</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医疗卫生与计划生育支出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25.04</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21011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行政事业单位医疗</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25.04</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2101101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行政单位医疗</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25.04</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住房保障支出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49.49</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22102</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住房改革支出</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49.49</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2210201</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住房公积金</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48.27</w:t>
            </w:r>
          </w:p>
        </w:tc>
      </w:tr>
      <w:tr>
        <w:tblPrEx>
          <w:tblCellMar>
            <w:top w:w="0" w:type="dxa"/>
            <w:left w:w="0" w:type="dxa"/>
            <w:bottom w:w="0" w:type="dxa"/>
            <w:right w:w="0" w:type="dxa"/>
          </w:tblCellMar>
        </w:tblPrEx>
        <w:trPr>
          <w:trHeight w:val="285" w:hRule="atLeast"/>
        </w:trPr>
        <w:tc>
          <w:tcPr>
            <w:tcW w:w="16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2210203</w:t>
            </w:r>
          </w:p>
        </w:tc>
        <w:tc>
          <w:tcPr>
            <w:tcW w:w="3927"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购房补贴</w:t>
            </w:r>
          </w:p>
        </w:tc>
        <w:tc>
          <w:tcPr>
            <w:tcW w:w="253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1.22</w:t>
            </w:r>
          </w:p>
        </w:tc>
      </w:tr>
    </w:tbl>
    <w:p>
      <w:pPr>
        <w:spacing w:line="600" w:lineRule="exact"/>
        <w:rPr>
          <w:rStyle w:val="14"/>
          <w:rFonts w:hint="eastAsia" w:ascii="仿宋" w:hAnsi="仿宋" w:eastAsia="仿宋"/>
          <w:b w:val="0"/>
          <w:bCs/>
          <w:color w:val="000000"/>
          <w:sz w:val="32"/>
          <w:szCs w:val="32"/>
        </w:rPr>
      </w:pPr>
    </w:p>
    <w:p>
      <w:pPr>
        <w:tabs>
          <w:tab w:val="right" w:pos="8306"/>
        </w:tabs>
        <w:spacing w:line="600" w:lineRule="exact"/>
        <w:ind w:firstLine="640"/>
        <w:outlineLvl w:val="1"/>
        <w:rPr>
          <w:rStyle w:val="25"/>
        </w:rPr>
      </w:pPr>
      <w:bookmarkStart w:id="58" w:name="_Toc15396608"/>
      <w:bookmarkStart w:id="59" w:name="_Toc15377214"/>
      <w:bookmarkStart w:id="60" w:name="_Toc2282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58"/>
      <w:bookmarkEnd w:id="59"/>
      <w:bookmarkEnd w:id="60"/>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781.93</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648.86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133.07</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tbl>
      <w:tblPr>
        <w:tblStyle w:val="12"/>
        <w:tblW w:w="8100" w:type="dxa"/>
        <w:tblInd w:w="145" w:type="dxa"/>
        <w:shd w:val="clear" w:color="auto" w:fill="auto"/>
        <w:tblLayout w:type="fixed"/>
        <w:tblCellMar>
          <w:top w:w="0" w:type="dxa"/>
          <w:left w:w="0" w:type="dxa"/>
          <w:bottom w:w="0" w:type="dxa"/>
          <w:right w:w="0" w:type="dxa"/>
        </w:tblCellMar>
      </w:tblPr>
      <w:tblGrid>
        <w:gridCol w:w="627"/>
        <w:gridCol w:w="2987"/>
        <w:gridCol w:w="886"/>
        <w:gridCol w:w="736"/>
        <w:gridCol w:w="2059"/>
        <w:gridCol w:w="805"/>
      </w:tblGrid>
      <w:tr>
        <w:tblPrEx>
          <w:shd w:val="clear" w:color="auto" w:fill="auto"/>
          <w:tblCellMar>
            <w:top w:w="0" w:type="dxa"/>
            <w:left w:w="0" w:type="dxa"/>
            <w:bottom w:w="0" w:type="dxa"/>
            <w:right w:w="0" w:type="dxa"/>
          </w:tblCellMar>
        </w:tblPrEx>
        <w:trPr>
          <w:trHeight w:val="825" w:hRule="atLeast"/>
        </w:trPr>
        <w:tc>
          <w:tcPr>
            <w:tcW w:w="8100" w:type="dxa"/>
            <w:gridSpan w:val="6"/>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基本支出经济科目明细列表</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301</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工资福利支出</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641.41</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302</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商品和服务支出</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133.07</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30101</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基本工资</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135.66</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30201</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23.06</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30102</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津贴补贴</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193.15</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30202</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印刷费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4.43</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30103</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奖金</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145.20</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30204</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手续费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0.17</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30108</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机关事业单位基本养老保险费</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sz w:val="22"/>
                <w:szCs w:val="22"/>
                <w:u w:val="none"/>
                <w:lang w:val="en-US" w:eastAsia="zh-CN"/>
              </w:rPr>
              <w:t>60.19</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30205</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水费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0.10</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30109</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职业年金缴费</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sz w:val="22"/>
                <w:szCs w:val="22"/>
                <w:u w:val="none"/>
                <w:lang w:val="en-US" w:eastAsia="zh-CN"/>
              </w:rPr>
              <w:t>27.63</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30206</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4.30</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30110</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职工基本医疗保险缴费</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sz w:val="22"/>
                <w:szCs w:val="22"/>
                <w:u w:val="none"/>
                <w:lang w:val="en-US" w:eastAsia="zh-CN"/>
              </w:rPr>
              <w:t>25.04</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30207</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邮电费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11.78</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30112</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其他社会保障缴费</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sz w:val="22"/>
                <w:szCs w:val="22"/>
                <w:u w:val="none"/>
                <w:lang w:val="en-US" w:eastAsia="zh-CN"/>
              </w:rPr>
              <w:t>6.27</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30208</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取暖费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0.56</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30113</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住房公积金</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sz w:val="22"/>
                <w:szCs w:val="22"/>
                <w:u w:val="none"/>
                <w:lang w:val="en-US" w:eastAsia="zh-CN"/>
              </w:rPr>
              <w:t xml:space="preserve">  48.27</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30209</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物业管理费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1.85</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kern w:val="2"/>
                <w:sz w:val="22"/>
                <w:szCs w:val="22"/>
                <w:u w:val="none"/>
                <w:lang w:val="en-US" w:eastAsia="zh-CN" w:bidi="ar-SA"/>
              </w:rPr>
            </w:pPr>
            <w:r>
              <w:rPr>
                <w:rFonts w:hint="eastAsia" w:ascii="仿宋" w:hAnsi="仿宋" w:eastAsia="仿宋" w:cs="仿宋"/>
                <w:b/>
                <w:i w:val="0"/>
                <w:color w:val="000000"/>
                <w:kern w:val="0"/>
                <w:sz w:val="22"/>
                <w:szCs w:val="22"/>
                <w:u w:val="none"/>
                <w:lang w:val="en-US" w:eastAsia="zh-CN" w:bidi="ar"/>
              </w:rPr>
              <w:t>303</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kern w:val="2"/>
                <w:sz w:val="22"/>
                <w:szCs w:val="22"/>
                <w:u w:val="none"/>
                <w:lang w:val="en-US" w:eastAsia="zh-CN" w:bidi="ar-SA"/>
              </w:rPr>
            </w:pPr>
            <w:r>
              <w:rPr>
                <w:rFonts w:hint="eastAsia" w:ascii="仿宋" w:hAnsi="仿宋" w:eastAsia="仿宋" w:cs="仿宋"/>
                <w:b/>
                <w:i w:val="0"/>
                <w:color w:val="000000"/>
                <w:kern w:val="0"/>
                <w:sz w:val="22"/>
                <w:szCs w:val="22"/>
                <w:u w:val="none"/>
                <w:lang w:val="en-US" w:eastAsia="zh-CN" w:bidi="ar"/>
              </w:rPr>
              <w:t>对个人和家庭的补助</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16.67</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30211</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差旅费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29.24</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30304</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抚恤金</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7.67</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30213</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维修（护）费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2.45</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30305</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生活补助</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6.18</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30226</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劳务费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5.20</w:t>
            </w:r>
          </w:p>
        </w:tc>
      </w:tr>
      <w:tr>
        <w:tblPrEx>
          <w:shd w:val="clear" w:color="auto" w:fill="auto"/>
          <w:tblCellMar>
            <w:top w:w="0" w:type="dxa"/>
            <w:left w:w="0" w:type="dxa"/>
            <w:bottom w:w="0" w:type="dxa"/>
            <w:right w:w="0" w:type="dxa"/>
          </w:tblCellMar>
        </w:tblPrEx>
        <w:trPr>
          <w:trHeight w:val="285" w:hRule="atLeast"/>
        </w:trPr>
        <w:tc>
          <w:tcPr>
            <w:tcW w:w="627" w:type="dxa"/>
            <w:tcBorders>
              <w:top w:val="nil"/>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30307</w:t>
            </w:r>
          </w:p>
        </w:tc>
        <w:tc>
          <w:tcPr>
            <w:tcW w:w="2987"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医疗费补助</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2.82</w:t>
            </w:r>
          </w:p>
        </w:tc>
        <w:tc>
          <w:tcPr>
            <w:tcW w:w="73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30231</w:t>
            </w:r>
          </w:p>
        </w:tc>
        <w:tc>
          <w:tcPr>
            <w:tcW w:w="2059"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公务用车运行维护费</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49.93</w:t>
            </w:r>
          </w:p>
        </w:tc>
      </w:tr>
      <w:tr>
        <w:tblPrEx>
          <w:shd w:val="clear" w:color="auto" w:fill="auto"/>
          <w:tblCellMar>
            <w:top w:w="0" w:type="dxa"/>
            <w:left w:w="0" w:type="dxa"/>
            <w:bottom w:w="0" w:type="dxa"/>
            <w:right w:w="0" w:type="dxa"/>
          </w:tblCellMar>
        </w:tblPrEx>
        <w:trPr>
          <w:trHeight w:val="285" w:hRule="atLeast"/>
        </w:trPr>
        <w:tc>
          <w:tcPr>
            <w:tcW w:w="3614"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人员经费合计</w:t>
            </w:r>
          </w:p>
        </w:tc>
        <w:tc>
          <w:tcPr>
            <w:tcW w:w="886"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648.86</w:t>
            </w:r>
          </w:p>
        </w:tc>
        <w:tc>
          <w:tcPr>
            <w:tcW w:w="2795" w:type="dxa"/>
            <w:gridSpan w:val="2"/>
            <w:tcBorders>
              <w:top w:val="single" w:color="auto" w:sz="4" w:space="0"/>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公用经费合计</w:t>
            </w:r>
          </w:p>
        </w:tc>
        <w:tc>
          <w:tcPr>
            <w:tcW w:w="805" w:type="dxa"/>
            <w:tcBorders>
              <w:top w:val="nil"/>
              <w:left w:val="nil"/>
              <w:bottom w:val="single" w:color="auto"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167.2</w:t>
            </w:r>
          </w:p>
        </w:tc>
      </w:tr>
    </w:tbl>
    <w:p>
      <w:pPr>
        <w:spacing w:line="600" w:lineRule="exact"/>
        <w:rPr>
          <w:rFonts w:hint="eastAsia" w:ascii="仿宋" w:hAnsi="仿宋" w:eastAsia="仿宋"/>
          <w:color w:val="000000"/>
          <w:sz w:val="32"/>
          <w:szCs w:val="32"/>
        </w:rPr>
      </w:pPr>
    </w:p>
    <w:p>
      <w:pPr>
        <w:spacing w:line="600" w:lineRule="exact"/>
        <w:ind w:firstLine="640"/>
        <w:outlineLvl w:val="1"/>
        <w:rPr>
          <w:rStyle w:val="25"/>
          <w:rFonts w:ascii="黑体" w:hAnsi="黑体" w:eastAsia="黑体"/>
          <w:b w:val="0"/>
        </w:rPr>
      </w:pPr>
      <w:bookmarkStart w:id="61" w:name="_Toc15377215"/>
      <w:bookmarkStart w:id="62" w:name="_Toc26186"/>
      <w:bookmarkStart w:id="6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61"/>
      <w:bookmarkEnd w:id="62"/>
      <w:bookmarkEnd w:id="63"/>
    </w:p>
    <w:p>
      <w:pPr>
        <w:spacing w:line="600" w:lineRule="exact"/>
        <w:ind w:firstLine="640"/>
        <w:outlineLvl w:val="2"/>
        <w:rPr>
          <w:rFonts w:ascii="仿宋" w:hAnsi="仿宋" w:eastAsia="仿宋"/>
          <w:b/>
          <w:color w:val="000000"/>
          <w:sz w:val="32"/>
          <w:szCs w:val="32"/>
        </w:rPr>
      </w:pPr>
      <w:bookmarkStart w:id="64" w:name="_Toc15377216"/>
      <w:bookmarkStart w:id="65" w:name="_Toc18035"/>
      <w:r>
        <w:rPr>
          <w:rFonts w:hint="eastAsia" w:ascii="仿宋" w:hAnsi="仿宋" w:eastAsia="仿宋"/>
          <w:b/>
          <w:color w:val="000000"/>
          <w:sz w:val="32"/>
          <w:szCs w:val="32"/>
        </w:rPr>
        <w:t>（一）“三公”经费财政拨款支出决算总体情况说明</w:t>
      </w:r>
      <w:bookmarkEnd w:id="64"/>
      <w:bookmarkEnd w:id="6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49.93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99.86</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严格控制预算资金使用，严禁超预算</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6" w:name="_Toc15377217"/>
      <w:bookmarkStart w:id="67" w:name="_Toc31452"/>
      <w:r>
        <w:rPr>
          <w:rFonts w:hint="eastAsia" w:ascii="仿宋" w:hAnsi="仿宋" w:eastAsia="仿宋"/>
          <w:b/>
          <w:color w:val="000000"/>
          <w:sz w:val="32"/>
          <w:szCs w:val="32"/>
        </w:rPr>
        <w:t>（二）“三公”经费财政拨款支出决算具体情况说明</w:t>
      </w:r>
      <w:bookmarkEnd w:id="66"/>
      <w:bookmarkEnd w:id="6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9年“三公”经费财政拨款支出决算中，公务用车购置及运行维护费支出决算</w:t>
      </w:r>
      <w:r>
        <w:rPr>
          <w:rFonts w:hint="eastAsia" w:ascii="仿宋" w:hAnsi="仿宋" w:eastAsia="仿宋"/>
          <w:color w:val="000000"/>
          <w:sz w:val="32"/>
          <w:szCs w:val="32"/>
          <w:lang w:val="en-US" w:eastAsia="zh-CN"/>
        </w:rPr>
        <w:t>49.93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r>
        <w:rPr>
          <w:rFonts w:hint="eastAsia" w:ascii="仿宋" w:hAnsi="仿宋" w:eastAsia="仿宋"/>
          <w:color w:val="000000" w:themeColor="text1"/>
          <w:sz w:val="32"/>
          <w:szCs w:val="32"/>
        </w:rPr>
        <w:t>图7：“三公”经费财政拨款支出结构</w:t>
      </w: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 w:hAnsi="仿宋" w:eastAsia="仿宋"/>
          <w:color w:val="C00000"/>
          <w:sz w:val="32"/>
          <w:szCs w:val="32"/>
        </w:rPr>
      </w:pPr>
      <w:r>
        <w:drawing>
          <wp:anchor distT="0" distB="0" distL="114300" distR="114300" simplePos="0" relativeHeight="251664384" behindDoc="1" locked="0" layoutInCell="1" allowOverlap="1">
            <wp:simplePos x="0" y="0"/>
            <wp:positionH relativeFrom="column">
              <wp:posOffset>410845</wp:posOffset>
            </wp:positionH>
            <wp:positionV relativeFrom="paragraph">
              <wp:posOffset>-2453005</wp:posOffset>
            </wp:positionV>
            <wp:extent cx="4572000" cy="2743200"/>
            <wp:effectExtent l="4445" t="4445" r="14605" b="14605"/>
            <wp:wrapTight wrapText="bothSides">
              <wp:wrapPolygon>
                <wp:start x="-21" y="-35"/>
                <wp:lineTo x="-21" y="21565"/>
                <wp:lineTo x="21579" y="21565"/>
                <wp:lineTo x="21579" y="-35"/>
                <wp:lineTo x="-21" y="-35"/>
              </wp:wrapPolygon>
            </wp:wrapTight>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hint="eastAsia" w:ascii="仿宋" w:hAnsi="仿宋" w:eastAsia="仿宋"/>
          <w:color w:val="C00000"/>
          <w:sz w:val="32"/>
          <w:szCs w:val="32"/>
        </w:rPr>
      </w:pPr>
    </w:p>
    <w:p>
      <w:pPr>
        <w:spacing w:line="600" w:lineRule="exact"/>
        <w:ind w:firstLine="640"/>
        <w:rPr>
          <w:rFonts w:hint="eastAsia" w:ascii="仿宋_GB2312" w:eastAsia="仿宋_GB2312"/>
          <w:b/>
          <w:color w:val="000000"/>
          <w:sz w:val="32"/>
          <w:szCs w:val="32"/>
          <w:lang w:eastAsia="zh-CN"/>
        </w:rPr>
      </w:pPr>
      <w:r>
        <w:rPr>
          <w:rFonts w:hint="eastAsia" w:ascii="仿宋_GB2312" w:eastAsia="仿宋_GB2312"/>
          <w:b/>
          <w:color w:val="000000"/>
          <w:sz w:val="32"/>
          <w:szCs w:val="32"/>
          <w:lang w:val="en-US" w:eastAsia="zh-CN"/>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49.93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99.86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7.76</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压减支出，严控预算资金。</w:t>
      </w:r>
    </w:p>
    <w:p>
      <w:pPr>
        <w:spacing w:line="600" w:lineRule="exact"/>
        <w:ind w:firstLine="640"/>
        <w:rPr>
          <w:rFonts w:ascii="黑体" w:eastAsia="黑体"/>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49.93</w:t>
      </w:r>
      <w:r>
        <w:rPr>
          <w:rFonts w:hint="eastAsia" w:ascii="仿宋_GB2312" w:eastAsia="仿宋_GB2312"/>
          <w:color w:val="000000"/>
          <w:sz w:val="32"/>
          <w:szCs w:val="32"/>
        </w:rPr>
        <w:t>万元。主要用于</w:t>
      </w:r>
      <w:r>
        <w:rPr>
          <w:rFonts w:hint="eastAsia" w:ascii="仿宋" w:hAnsi="仿宋" w:eastAsia="仿宋" w:cs="仿宋"/>
          <w:color w:val="auto"/>
          <w:sz w:val="32"/>
          <w:szCs w:val="32"/>
          <w:lang w:val="en-US" w:eastAsia="zh-CN"/>
        </w:rPr>
        <w:t>经费</w:t>
      </w:r>
      <w:r>
        <w:rPr>
          <w:rFonts w:hint="eastAsia" w:ascii="仿宋" w:hAnsi="仿宋" w:eastAsia="仿宋" w:cs="仿宋"/>
          <w:color w:val="auto"/>
          <w:sz w:val="32"/>
          <w:szCs w:val="32"/>
        </w:rPr>
        <w:t>主要用于壤塘县政协委员参政议政学习、考察；委员县内视察；机关工作人员出差；机关工作人员下乡等所需的公务用车燃料费、维修费、过路过桥费、保险费等支出。</w:t>
      </w:r>
      <w:bookmarkStart w:id="68" w:name="_Toc15396610"/>
      <w:bookmarkStart w:id="69" w:name="_Toc15377218"/>
    </w:p>
    <w:p>
      <w:pPr>
        <w:spacing w:line="600" w:lineRule="exact"/>
        <w:ind w:firstLine="640"/>
        <w:outlineLvl w:val="1"/>
        <w:rPr>
          <w:rStyle w:val="25"/>
          <w:rFonts w:ascii="黑体" w:hAnsi="黑体" w:eastAsia="黑体"/>
        </w:rPr>
      </w:pPr>
      <w:bookmarkStart w:id="70" w:name="_Toc23716"/>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8"/>
      <w:bookmarkEnd w:id="69"/>
      <w:bookmarkEnd w:id="70"/>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政协壤塘县委员会办公室无</w:t>
      </w:r>
      <w:r>
        <w:rPr>
          <w:rFonts w:hint="eastAsia" w:ascii="仿宋_GB2312" w:eastAsia="仿宋_GB2312"/>
          <w:color w:val="000000"/>
          <w:sz w:val="32"/>
          <w:szCs w:val="32"/>
        </w:rPr>
        <w:t>政府性基金预算拨款支出</w:t>
      </w:r>
      <w:r>
        <w:rPr>
          <w:rFonts w:hint="eastAsia" w:ascii="仿宋_GB2312" w:eastAsia="仿宋_GB2312"/>
          <w:color w:val="000000"/>
          <w:sz w:val="32"/>
          <w:szCs w:val="32"/>
          <w:lang w:eastAsia="zh-CN"/>
        </w:rPr>
        <w:t>。</w:t>
      </w:r>
    </w:p>
    <w:p>
      <w:pPr>
        <w:numPr>
          <w:ilvl w:val="0"/>
          <w:numId w:val="4"/>
        </w:numPr>
        <w:spacing w:line="600" w:lineRule="exact"/>
        <w:ind w:firstLine="640"/>
        <w:outlineLvl w:val="1"/>
        <w:rPr>
          <w:rStyle w:val="25"/>
          <w:rFonts w:ascii="黑体" w:hAnsi="黑体" w:eastAsia="黑体"/>
          <w:b w:val="0"/>
        </w:rPr>
      </w:pPr>
      <w:bookmarkStart w:id="71" w:name="_Toc301"/>
      <w:bookmarkStart w:id="72" w:name="_Toc15396611"/>
      <w:bookmarkStart w:id="73" w:name="_Toc15377219"/>
      <w:r>
        <w:rPr>
          <w:rStyle w:val="25"/>
          <w:rFonts w:hint="eastAsia" w:ascii="黑体" w:hAnsi="黑体" w:eastAsia="黑体"/>
          <w:b w:val="0"/>
        </w:rPr>
        <w:t>国有资本经营预算支出决算情况说明</w:t>
      </w:r>
      <w:bookmarkEnd w:id="71"/>
      <w:bookmarkEnd w:id="72"/>
      <w:bookmarkEnd w:id="7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政协壤塘县委员会办公室无</w:t>
      </w:r>
      <w:r>
        <w:rPr>
          <w:rFonts w:hint="eastAsia" w:ascii="仿宋_GB2312" w:eastAsia="仿宋_GB2312"/>
          <w:color w:val="000000"/>
          <w:sz w:val="32"/>
          <w:szCs w:val="32"/>
        </w:rPr>
        <w:t>国有资本经营预算拨款支出。</w:t>
      </w:r>
    </w:p>
    <w:p>
      <w:pPr>
        <w:spacing w:line="600" w:lineRule="exact"/>
        <w:ind w:firstLine="800" w:firstLineChars="250"/>
        <w:outlineLvl w:val="1"/>
        <w:rPr>
          <w:rStyle w:val="25"/>
          <w:rFonts w:ascii="黑体" w:hAnsi="黑体" w:eastAsia="黑体"/>
        </w:rPr>
      </w:pPr>
      <w:bookmarkStart w:id="74" w:name="_Toc15377221"/>
      <w:bookmarkStart w:id="75" w:name="_Toc15396612"/>
      <w:bookmarkStart w:id="76" w:name="_Toc8479"/>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74"/>
      <w:bookmarkEnd w:id="75"/>
      <w:bookmarkEnd w:id="76"/>
    </w:p>
    <w:p>
      <w:pPr>
        <w:spacing w:line="600" w:lineRule="exact"/>
        <w:ind w:firstLine="643" w:firstLineChars="200"/>
        <w:outlineLvl w:val="2"/>
        <w:rPr>
          <w:rFonts w:ascii="仿宋" w:hAnsi="仿宋" w:eastAsia="仿宋"/>
          <w:color w:val="000000"/>
          <w:sz w:val="32"/>
          <w:szCs w:val="32"/>
        </w:rPr>
      </w:pPr>
      <w:bookmarkStart w:id="77" w:name="_Toc5906"/>
      <w:bookmarkStart w:id="78" w:name="_Toc15377222"/>
      <w:r>
        <w:rPr>
          <w:rFonts w:hint="eastAsia" w:ascii="仿宋" w:hAnsi="仿宋" w:eastAsia="仿宋"/>
          <w:b/>
          <w:color w:val="000000"/>
          <w:sz w:val="32"/>
          <w:szCs w:val="32"/>
        </w:rPr>
        <w:t>（一）机关运行经费支出情况</w:t>
      </w:r>
      <w:bookmarkEnd w:id="77"/>
      <w:bookmarkEnd w:id="78"/>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政协壤塘县委员会办公室</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133.07</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34.13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20.41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 w:hAnsi="仿宋" w:eastAsia="仿宋" w:cs="仿宋"/>
          <w:color w:val="auto"/>
          <w:sz w:val="32"/>
          <w:szCs w:val="32"/>
        </w:rPr>
        <w:t>主要变动原因是</w:t>
      </w:r>
      <w:r>
        <w:rPr>
          <w:rFonts w:hint="eastAsia" w:ascii="仿宋" w:hAnsi="仿宋" w:eastAsia="仿宋" w:cs="仿宋"/>
          <w:color w:val="auto"/>
          <w:sz w:val="32"/>
          <w:szCs w:val="32"/>
          <w:lang w:val="en-US" w:eastAsia="zh-CN"/>
        </w:rPr>
        <w:t>压减支出，支出项目减少。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15377223"/>
      <w:bookmarkStart w:id="80" w:name="_Toc30861"/>
      <w:r>
        <w:rPr>
          <w:rFonts w:hint="eastAsia" w:ascii="仿宋" w:hAnsi="仿宋" w:eastAsia="仿宋"/>
          <w:b/>
          <w:color w:val="000000"/>
          <w:sz w:val="32"/>
          <w:szCs w:val="32"/>
        </w:rPr>
        <w:t>（二）政府采购支出情况</w:t>
      </w:r>
      <w:bookmarkEnd w:id="79"/>
      <w:bookmarkEnd w:id="8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政协壤塘县委员会办公室无</w:t>
      </w:r>
      <w:r>
        <w:rPr>
          <w:rFonts w:hint="eastAsia" w:ascii="仿宋_GB2312" w:eastAsia="仿宋_GB2312"/>
          <w:color w:val="000000"/>
          <w:sz w:val="32"/>
          <w:szCs w:val="32"/>
        </w:rPr>
        <w:t>政府采购支出</w:t>
      </w:r>
      <w:r>
        <w:rPr>
          <w:rFonts w:hint="eastAsia" w:ascii="仿宋_GB2312" w:eastAsia="仿宋_GB2312"/>
          <w:color w:val="000000"/>
          <w:sz w:val="32"/>
          <w:szCs w:val="32"/>
          <w:lang w:eastAsia="zh-CN"/>
        </w:rPr>
        <w:t>。</w:t>
      </w:r>
    </w:p>
    <w:p>
      <w:pPr>
        <w:numPr>
          <w:ilvl w:val="0"/>
          <w:numId w:val="5"/>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bookmarkStart w:id="81" w:name="_Toc15377224"/>
      <w:bookmarkStart w:id="82" w:name="_Toc31761"/>
      <w:r>
        <w:rPr>
          <w:rFonts w:hint="eastAsia" w:ascii="仿宋" w:hAnsi="仿宋" w:eastAsia="仿宋"/>
          <w:b/>
          <w:color w:val="000000"/>
          <w:sz w:val="32"/>
          <w:szCs w:val="32"/>
        </w:rPr>
        <w:t>国有资产占有使用情况</w:t>
      </w:r>
      <w:bookmarkEnd w:id="81"/>
      <w:bookmarkEnd w:id="82"/>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政协壤塘县委员会办公室</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辆，其中：一般公务用车</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6</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p>
    <w:tbl>
      <w:tblPr>
        <w:tblStyle w:val="12"/>
        <w:tblW w:w="8181" w:type="dxa"/>
        <w:tblInd w:w="159" w:type="dxa"/>
        <w:shd w:val="clear" w:color="auto" w:fill="auto"/>
        <w:tblLayout w:type="fixed"/>
        <w:tblCellMar>
          <w:top w:w="0" w:type="dxa"/>
          <w:left w:w="0" w:type="dxa"/>
          <w:bottom w:w="0" w:type="dxa"/>
          <w:right w:w="0" w:type="dxa"/>
        </w:tblCellMar>
      </w:tblPr>
      <w:tblGrid>
        <w:gridCol w:w="409"/>
        <w:gridCol w:w="1186"/>
        <w:gridCol w:w="1323"/>
        <w:gridCol w:w="627"/>
        <w:gridCol w:w="791"/>
        <w:gridCol w:w="1214"/>
        <w:gridCol w:w="954"/>
        <w:gridCol w:w="518"/>
        <w:gridCol w:w="1159"/>
      </w:tblGrid>
      <w:tr>
        <w:tblPrEx>
          <w:shd w:val="clear" w:color="auto" w:fill="auto"/>
          <w:tblCellMar>
            <w:top w:w="0" w:type="dxa"/>
            <w:left w:w="0" w:type="dxa"/>
            <w:bottom w:w="0" w:type="dxa"/>
            <w:right w:w="0" w:type="dxa"/>
          </w:tblCellMar>
        </w:tblPrEx>
        <w:trPr>
          <w:trHeight w:val="1098" w:hRule="atLeast"/>
        </w:trPr>
        <w:tc>
          <w:tcPr>
            <w:tcW w:w="818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车辆情况表</w:t>
            </w:r>
          </w:p>
        </w:tc>
      </w:tr>
      <w:tr>
        <w:tblPrEx>
          <w:shd w:val="clear" w:color="auto" w:fill="auto"/>
          <w:tblCellMar>
            <w:top w:w="0" w:type="dxa"/>
            <w:left w:w="0" w:type="dxa"/>
            <w:bottom w:w="0" w:type="dxa"/>
            <w:right w:w="0" w:type="dxa"/>
          </w:tblCellMar>
        </w:tblPrEx>
        <w:trPr>
          <w:trHeight w:val="968" w:hRule="atLeast"/>
        </w:trPr>
        <w:tc>
          <w:tcPr>
            <w:tcW w:w="409"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资产分类</w:t>
            </w:r>
          </w:p>
        </w:tc>
        <w:tc>
          <w:tcPr>
            <w:tcW w:w="1186"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资产名称</w:t>
            </w:r>
          </w:p>
        </w:tc>
        <w:tc>
          <w:tcPr>
            <w:tcW w:w="1323"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价值</w:t>
            </w:r>
          </w:p>
        </w:tc>
        <w:tc>
          <w:tcPr>
            <w:tcW w:w="627"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价值类型</w:t>
            </w:r>
          </w:p>
        </w:tc>
        <w:tc>
          <w:tcPr>
            <w:tcW w:w="791"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取得方式</w:t>
            </w:r>
          </w:p>
        </w:tc>
        <w:tc>
          <w:tcPr>
            <w:tcW w:w="1214"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取得日期</w:t>
            </w:r>
          </w:p>
        </w:tc>
        <w:tc>
          <w:tcPr>
            <w:tcW w:w="954"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车牌号</w:t>
            </w:r>
          </w:p>
        </w:tc>
        <w:tc>
          <w:tcPr>
            <w:tcW w:w="518"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编制情况</w:t>
            </w:r>
          </w:p>
        </w:tc>
        <w:tc>
          <w:tcPr>
            <w:tcW w:w="1159" w:type="dxa"/>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规格型号</w:t>
            </w:r>
          </w:p>
        </w:tc>
      </w:tr>
      <w:tr>
        <w:tblPrEx>
          <w:shd w:val="clear" w:color="auto" w:fill="auto"/>
          <w:tblCellMar>
            <w:top w:w="0" w:type="dxa"/>
            <w:left w:w="0" w:type="dxa"/>
            <w:bottom w:w="0" w:type="dxa"/>
            <w:right w:w="0" w:type="dxa"/>
          </w:tblCellMar>
        </w:tblPrEx>
        <w:trPr>
          <w:trHeight w:val="426" w:hRule="atLeast"/>
        </w:trPr>
        <w:tc>
          <w:tcPr>
            <w:tcW w:w="409" w:type="dxa"/>
            <w:vMerge w:val="restart"/>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越野车</w:t>
            </w:r>
          </w:p>
        </w:tc>
        <w:tc>
          <w:tcPr>
            <w:tcW w:w="118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丰田普拉多</w:t>
            </w:r>
          </w:p>
        </w:tc>
        <w:tc>
          <w:tcPr>
            <w:tcW w:w="1323"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600,000.00 </w:t>
            </w:r>
          </w:p>
        </w:tc>
        <w:tc>
          <w:tcPr>
            <w:tcW w:w="627"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原值</w:t>
            </w:r>
          </w:p>
        </w:tc>
        <w:tc>
          <w:tcPr>
            <w:tcW w:w="791"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新购</w:t>
            </w:r>
          </w:p>
        </w:tc>
        <w:tc>
          <w:tcPr>
            <w:tcW w:w="121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2017-05-24</w:t>
            </w:r>
          </w:p>
        </w:tc>
        <w:tc>
          <w:tcPr>
            <w:tcW w:w="95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川UD0696</w:t>
            </w:r>
          </w:p>
        </w:tc>
        <w:tc>
          <w:tcPr>
            <w:tcW w:w="518"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在编</w:t>
            </w:r>
          </w:p>
        </w:tc>
        <w:tc>
          <w:tcPr>
            <w:tcW w:w="1159"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SCT6484GR5</w:t>
            </w:r>
          </w:p>
        </w:tc>
      </w:tr>
      <w:tr>
        <w:tblPrEx>
          <w:shd w:val="clear" w:color="auto" w:fill="auto"/>
          <w:tblCellMar>
            <w:top w:w="0" w:type="dxa"/>
            <w:left w:w="0" w:type="dxa"/>
            <w:bottom w:w="0" w:type="dxa"/>
            <w:right w:w="0" w:type="dxa"/>
          </w:tblCellMar>
        </w:tblPrEx>
        <w:trPr>
          <w:trHeight w:val="426" w:hRule="atLeast"/>
        </w:trPr>
        <w:tc>
          <w:tcPr>
            <w:tcW w:w="409" w:type="dxa"/>
            <w:vMerge w:val="continue"/>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8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丰田普拉多</w:t>
            </w:r>
          </w:p>
        </w:tc>
        <w:tc>
          <w:tcPr>
            <w:tcW w:w="1323"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599,000.00 </w:t>
            </w:r>
          </w:p>
        </w:tc>
        <w:tc>
          <w:tcPr>
            <w:tcW w:w="627"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原值</w:t>
            </w:r>
          </w:p>
        </w:tc>
        <w:tc>
          <w:tcPr>
            <w:tcW w:w="791"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新购</w:t>
            </w:r>
          </w:p>
        </w:tc>
        <w:tc>
          <w:tcPr>
            <w:tcW w:w="121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2013-10-21</w:t>
            </w:r>
          </w:p>
        </w:tc>
        <w:tc>
          <w:tcPr>
            <w:tcW w:w="95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川UH9813</w:t>
            </w:r>
          </w:p>
        </w:tc>
        <w:tc>
          <w:tcPr>
            <w:tcW w:w="518"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在编</w:t>
            </w:r>
          </w:p>
        </w:tc>
        <w:tc>
          <w:tcPr>
            <w:tcW w:w="1159"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SCT6493E5</w:t>
            </w:r>
          </w:p>
        </w:tc>
      </w:tr>
      <w:tr>
        <w:tblPrEx>
          <w:shd w:val="clear" w:color="auto" w:fill="auto"/>
          <w:tblCellMar>
            <w:top w:w="0" w:type="dxa"/>
            <w:left w:w="0" w:type="dxa"/>
            <w:bottom w:w="0" w:type="dxa"/>
            <w:right w:w="0" w:type="dxa"/>
          </w:tblCellMar>
        </w:tblPrEx>
        <w:trPr>
          <w:trHeight w:val="426" w:hRule="atLeast"/>
        </w:trPr>
        <w:tc>
          <w:tcPr>
            <w:tcW w:w="409" w:type="dxa"/>
            <w:vMerge w:val="continue"/>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8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丰田普拉多</w:t>
            </w:r>
          </w:p>
        </w:tc>
        <w:tc>
          <w:tcPr>
            <w:tcW w:w="1323"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628,000.00 </w:t>
            </w:r>
          </w:p>
        </w:tc>
        <w:tc>
          <w:tcPr>
            <w:tcW w:w="627"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原值</w:t>
            </w:r>
          </w:p>
        </w:tc>
        <w:tc>
          <w:tcPr>
            <w:tcW w:w="791"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新购</w:t>
            </w:r>
          </w:p>
        </w:tc>
        <w:tc>
          <w:tcPr>
            <w:tcW w:w="121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2013-05-14</w:t>
            </w:r>
          </w:p>
        </w:tc>
        <w:tc>
          <w:tcPr>
            <w:tcW w:w="95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川UT6573</w:t>
            </w:r>
          </w:p>
        </w:tc>
        <w:tc>
          <w:tcPr>
            <w:tcW w:w="518"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在编</w:t>
            </w:r>
          </w:p>
        </w:tc>
        <w:tc>
          <w:tcPr>
            <w:tcW w:w="1159"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SCT6493E5</w:t>
            </w:r>
          </w:p>
        </w:tc>
      </w:tr>
      <w:tr>
        <w:tblPrEx>
          <w:shd w:val="clear" w:color="auto" w:fill="auto"/>
          <w:tblCellMar>
            <w:top w:w="0" w:type="dxa"/>
            <w:left w:w="0" w:type="dxa"/>
            <w:bottom w:w="0" w:type="dxa"/>
            <w:right w:w="0" w:type="dxa"/>
          </w:tblCellMar>
        </w:tblPrEx>
        <w:trPr>
          <w:trHeight w:val="426" w:hRule="atLeast"/>
        </w:trPr>
        <w:tc>
          <w:tcPr>
            <w:tcW w:w="409" w:type="dxa"/>
            <w:vMerge w:val="continue"/>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8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丰田巡洋舰</w:t>
            </w:r>
          </w:p>
        </w:tc>
        <w:tc>
          <w:tcPr>
            <w:tcW w:w="1323"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522,000.00 </w:t>
            </w:r>
          </w:p>
        </w:tc>
        <w:tc>
          <w:tcPr>
            <w:tcW w:w="627"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原值</w:t>
            </w:r>
          </w:p>
        </w:tc>
        <w:tc>
          <w:tcPr>
            <w:tcW w:w="791"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新购</w:t>
            </w:r>
          </w:p>
        </w:tc>
        <w:tc>
          <w:tcPr>
            <w:tcW w:w="121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2009-04-03</w:t>
            </w:r>
          </w:p>
        </w:tc>
        <w:tc>
          <w:tcPr>
            <w:tcW w:w="95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川UD9666</w:t>
            </w:r>
          </w:p>
        </w:tc>
        <w:tc>
          <w:tcPr>
            <w:tcW w:w="518"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在编</w:t>
            </w:r>
          </w:p>
        </w:tc>
        <w:tc>
          <w:tcPr>
            <w:tcW w:w="1159"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SCT6490</w:t>
            </w:r>
          </w:p>
        </w:tc>
      </w:tr>
      <w:tr>
        <w:tblPrEx>
          <w:shd w:val="clear" w:color="auto" w:fill="auto"/>
          <w:tblCellMar>
            <w:top w:w="0" w:type="dxa"/>
            <w:left w:w="0" w:type="dxa"/>
            <w:bottom w:w="0" w:type="dxa"/>
            <w:right w:w="0" w:type="dxa"/>
          </w:tblCellMar>
        </w:tblPrEx>
        <w:trPr>
          <w:trHeight w:val="436" w:hRule="atLeast"/>
        </w:trPr>
        <w:tc>
          <w:tcPr>
            <w:tcW w:w="409" w:type="dxa"/>
            <w:vMerge w:val="continue"/>
            <w:tcBorders>
              <w:top w:val="single" w:color="808080" w:sz="4" w:space="0"/>
              <w:left w:val="single" w:color="808080" w:sz="4" w:space="0"/>
              <w:bottom w:val="single" w:color="808080" w:sz="4" w:space="0"/>
              <w:right w:val="single" w:color="808080"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86"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丰田巡洋舰</w:t>
            </w:r>
          </w:p>
        </w:tc>
        <w:tc>
          <w:tcPr>
            <w:tcW w:w="1323"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righ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569,000.00 </w:t>
            </w:r>
          </w:p>
        </w:tc>
        <w:tc>
          <w:tcPr>
            <w:tcW w:w="627"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原值</w:t>
            </w:r>
          </w:p>
        </w:tc>
        <w:tc>
          <w:tcPr>
            <w:tcW w:w="791"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新购</w:t>
            </w:r>
          </w:p>
        </w:tc>
        <w:tc>
          <w:tcPr>
            <w:tcW w:w="121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2007-06-05</w:t>
            </w:r>
          </w:p>
        </w:tc>
        <w:tc>
          <w:tcPr>
            <w:tcW w:w="954"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川U37033</w:t>
            </w:r>
          </w:p>
        </w:tc>
        <w:tc>
          <w:tcPr>
            <w:tcW w:w="518"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在编</w:t>
            </w:r>
          </w:p>
        </w:tc>
        <w:tc>
          <w:tcPr>
            <w:tcW w:w="1159" w:type="dxa"/>
            <w:tcBorders>
              <w:top w:val="single" w:color="808080" w:sz="4" w:space="0"/>
              <w:left w:val="single" w:color="808080" w:sz="4" w:space="0"/>
              <w:bottom w:val="single" w:color="808080" w:sz="4" w:space="0"/>
              <w:right w:val="single" w:color="808080" w:sz="4" w:space="0"/>
            </w:tcBorders>
            <w:shd w:val="clear" w:color="auto" w:fill="FFFFFF"/>
            <w:noWrap/>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JTEBU25J</w:t>
            </w:r>
          </w:p>
        </w:tc>
      </w:tr>
    </w:tbl>
    <w:p>
      <w:pPr>
        <w:numPr>
          <w:ilvl w:val="0"/>
          <w:numId w:val="0"/>
        </w:numPr>
        <w:autoSpaceDE w:val="0"/>
        <w:autoSpaceDN w:val="0"/>
        <w:adjustRightInd w:val="0"/>
        <w:spacing w:line="600" w:lineRule="exact"/>
        <w:jc w:val="left"/>
        <w:outlineLvl w:val="9"/>
        <w:rPr>
          <w:rFonts w:hint="eastAsia" w:ascii="仿宋" w:hAnsi="仿宋" w:eastAsia="仿宋"/>
          <w:b/>
          <w:color w:val="000000"/>
          <w:sz w:val="32"/>
          <w:szCs w:val="32"/>
        </w:rPr>
      </w:pPr>
    </w:p>
    <w:p>
      <w:pPr>
        <w:numPr>
          <w:ilvl w:val="0"/>
          <w:numId w:val="5"/>
        </w:numPr>
        <w:autoSpaceDE w:val="0"/>
        <w:autoSpaceDN w:val="0"/>
        <w:adjustRightInd w:val="0"/>
        <w:spacing w:line="600" w:lineRule="exact"/>
        <w:ind w:left="0" w:leftChars="0" w:firstLine="643" w:firstLineChars="200"/>
        <w:jc w:val="left"/>
        <w:outlineLvl w:val="2"/>
        <w:rPr>
          <w:rFonts w:hint="eastAsia" w:ascii="仿宋" w:hAnsi="仿宋" w:eastAsia="仿宋"/>
          <w:b/>
          <w:color w:val="000000"/>
          <w:sz w:val="32"/>
          <w:szCs w:val="32"/>
        </w:rPr>
      </w:pPr>
      <w:bookmarkStart w:id="83" w:name="_Toc25559"/>
      <w:r>
        <w:rPr>
          <w:rFonts w:hint="eastAsia" w:ascii="仿宋" w:hAnsi="仿宋" w:eastAsia="仿宋"/>
          <w:b/>
          <w:color w:val="000000"/>
          <w:sz w:val="32"/>
          <w:szCs w:val="32"/>
        </w:rPr>
        <w:t>预算绩效管理情况。</w:t>
      </w:r>
      <w:bookmarkEnd w:id="8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政协壤塘县委员会办公室</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我办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政协会议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委员视察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参政议政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w:t>
      </w:r>
      <w:r>
        <w:rPr>
          <w:rFonts w:hint="eastAsia" w:ascii="仿宋" w:hAnsi="仿宋" w:eastAsia="仿宋" w:cs="仿宋"/>
          <w:sz w:val="32"/>
          <w:szCs w:val="32"/>
          <w:lang w:eastAsia="zh-CN"/>
        </w:rPr>
        <w:t>专项经费</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开展了预算事前绩效评估，编制了“</w:t>
      </w:r>
      <w:r>
        <w:rPr>
          <w:rFonts w:hint="eastAsia" w:ascii="仿宋_GB2312" w:hAnsi="仿宋_GB2312" w:eastAsia="仿宋_GB2312" w:cs="仿宋_GB2312"/>
          <w:sz w:val="32"/>
          <w:szCs w:val="32"/>
          <w:lang w:eastAsia="zh-CN"/>
        </w:rPr>
        <w:t>政协会议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委员视察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参政议政</w:t>
      </w:r>
      <w:r>
        <w:rPr>
          <w:rFonts w:hint="eastAsia" w:ascii="仿宋_GB2312" w:hAnsi="仿宋_GB2312" w:eastAsia="仿宋_GB2312" w:cs="仿宋_GB2312"/>
          <w:sz w:val="32"/>
          <w:szCs w:val="32"/>
        </w:rPr>
        <w:t>”绩效目标，预算执行过程中，开展绩效监控，年终执行完毕后，开展了绩效目标完成情况梳理填报。</w:t>
      </w:r>
    </w:p>
    <w:p>
      <w:pPr>
        <w:bidi w:val="0"/>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本部门按要求对201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本年预算配置控制较好，财政供养人员控制在预算编制以内，实际在职人员数与编制数相同；“三公”经费支出总额较上年减少</w:t>
      </w:r>
      <w:r>
        <w:rPr>
          <w:rFonts w:hint="eastAsia" w:ascii="仿宋" w:hAnsi="仿宋" w:eastAsia="仿宋" w:cs="仿宋"/>
          <w:sz w:val="32"/>
          <w:szCs w:val="32"/>
          <w:lang w:eastAsia="zh-CN"/>
        </w:rPr>
        <w:t>；</w:t>
      </w:r>
      <w:r>
        <w:rPr>
          <w:rFonts w:hint="eastAsia" w:ascii="仿宋" w:hAnsi="仿宋" w:eastAsia="仿宋" w:cs="仿宋"/>
          <w:sz w:val="32"/>
          <w:szCs w:val="32"/>
        </w:rPr>
        <w:t>预算执行方面，支出总额控制在预算总额以内，基本支出中财政政策性工资有所追加，本年部门预算未进行预算相关事项的调整；预算资金按规定管理使用，财政拨款支出总体控制较好</w:t>
      </w:r>
      <w:r>
        <w:rPr>
          <w:rFonts w:hint="eastAsia" w:ascii="仿宋" w:hAnsi="仿宋" w:eastAsia="仿宋" w:cs="仿宋"/>
          <w:sz w:val="32"/>
          <w:szCs w:val="32"/>
          <w:lang w:eastAsia="zh-CN"/>
        </w:rPr>
        <w:t>；</w:t>
      </w:r>
      <w:r>
        <w:rPr>
          <w:rFonts w:hint="eastAsia" w:ascii="仿宋" w:hAnsi="仿宋" w:eastAsia="仿宋" w:cs="仿宋"/>
          <w:sz w:val="32"/>
          <w:szCs w:val="32"/>
        </w:rPr>
        <w:t>预算管理方面，制定了切实有效的内部财务、资产内部管理制度，执行总体较为有效。</w:t>
      </w:r>
    </w:p>
    <w:p>
      <w:pPr>
        <w:numPr>
          <w:ilvl w:val="0"/>
          <w:numId w:val="6"/>
        </w:numPr>
        <w:spacing w:line="580" w:lineRule="exact"/>
        <w:ind w:firstLine="640" w:firstLineChars="20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项目绩效目标完成情况。</w:t>
      </w:r>
    </w:p>
    <w:p>
      <w:pPr>
        <w:bidi w:val="0"/>
        <w:ind w:firstLine="640" w:firstLineChars="200"/>
        <w:rPr>
          <w:rFonts w:hint="eastAsia" w:ascii="仿宋" w:hAnsi="仿宋" w:eastAsia="仿宋" w:cs="仿宋"/>
          <w:color w:val="FF0000"/>
          <w:sz w:val="32"/>
          <w:szCs w:val="32"/>
        </w:rPr>
      </w:pPr>
      <w:r>
        <w:rPr>
          <w:rFonts w:hint="eastAsia" w:ascii="仿宋_GB2312" w:hAnsi="仿宋_GB2312" w:eastAsia="仿宋_GB2312" w:cs="仿宋_GB2312"/>
          <w:sz w:val="32"/>
          <w:szCs w:val="32"/>
          <w:lang w:eastAsia="zh-CN"/>
        </w:rPr>
        <w:t>政协壤塘县委员会办公室</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决算报表中的项目支出均属于县本级运转类专项工作经费，现就</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政协会议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委员视察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参政议政</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w:t>
      </w:r>
      <w:r>
        <w:rPr>
          <w:rFonts w:hint="eastAsia" w:ascii="仿宋" w:hAnsi="仿宋" w:eastAsia="仿宋" w:cs="仿宋"/>
          <w:sz w:val="32"/>
          <w:szCs w:val="32"/>
          <w:lang w:eastAsia="zh-CN"/>
        </w:rPr>
        <w:t>专项经费支出</w:t>
      </w:r>
      <w:r>
        <w:rPr>
          <w:rFonts w:hint="eastAsia" w:ascii="仿宋" w:hAnsi="仿宋" w:eastAsia="仿宋" w:cs="仿宋"/>
          <w:sz w:val="32"/>
          <w:szCs w:val="32"/>
        </w:rPr>
        <w:t>目标实际完成情况</w:t>
      </w:r>
      <w:r>
        <w:rPr>
          <w:rFonts w:hint="eastAsia" w:ascii="仿宋" w:hAnsi="仿宋" w:eastAsia="仿宋" w:cs="仿宋"/>
          <w:sz w:val="32"/>
          <w:szCs w:val="32"/>
          <w:lang w:eastAsia="zh-CN"/>
        </w:rPr>
        <w:t>作简要公开：</w:t>
      </w:r>
    </w:p>
    <w:p>
      <w:pPr>
        <w:numPr>
          <w:ilvl w:val="0"/>
          <w:numId w:val="0"/>
        </w:numPr>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“政协会议”</w:t>
      </w:r>
      <w:r>
        <w:rPr>
          <w:rFonts w:hint="eastAsia" w:ascii="仿宋" w:hAnsi="仿宋" w:eastAsia="仿宋" w:cs="仿宋"/>
          <w:sz w:val="32"/>
          <w:szCs w:val="32"/>
        </w:rPr>
        <w:t>项目绩效目标完成情</w:t>
      </w:r>
      <w:r>
        <w:rPr>
          <w:rFonts w:hint="eastAsia" w:ascii="仿宋" w:hAnsi="仿宋" w:eastAsia="仿宋" w:cs="仿宋"/>
          <w:sz w:val="32"/>
          <w:szCs w:val="32"/>
          <w:lang w:eastAsia="zh-CN"/>
        </w:rPr>
        <w:t>况</w:t>
      </w:r>
      <w:r>
        <w:rPr>
          <w:rFonts w:hint="eastAsia" w:ascii="仿宋" w:hAnsi="仿宋" w:eastAsia="仿宋" w:cs="仿宋"/>
          <w:sz w:val="32"/>
          <w:szCs w:val="32"/>
        </w:rPr>
        <w:t>。</w:t>
      </w:r>
    </w:p>
    <w:p>
      <w:pPr>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27.79</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26.8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96.44</w:t>
      </w:r>
      <w:r>
        <w:rPr>
          <w:rFonts w:hint="eastAsia" w:ascii="仿宋" w:hAnsi="仿宋" w:eastAsia="仿宋" w:cs="仿宋"/>
          <w:sz w:val="32"/>
          <w:szCs w:val="32"/>
        </w:rPr>
        <w:t>%。通过项目实施，保障了</w:t>
      </w:r>
      <w:r>
        <w:rPr>
          <w:rFonts w:hint="eastAsia" w:ascii="仿宋" w:hAnsi="仿宋" w:eastAsia="仿宋" w:cs="仿宋"/>
          <w:sz w:val="32"/>
          <w:szCs w:val="32"/>
          <w:lang w:eastAsia="zh-CN"/>
        </w:rPr>
        <w:t>政协壤塘县委员会第十三届四次全会及</w:t>
      </w:r>
      <w:r>
        <w:rPr>
          <w:rFonts w:hint="eastAsia" w:ascii="仿宋" w:hAnsi="仿宋" w:eastAsia="仿宋" w:cs="仿宋"/>
          <w:sz w:val="32"/>
          <w:szCs w:val="32"/>
          <w:lang w:val="en-US" w:eastAsia="zh-CN"/>
        </w:rPr>
        <w:t>209年内政协常委会的顺利召开</w:t>
      </w:r>
      <w:r>
        <w:rPr>
          <w:rFonts w:hint="eastAsia" w:ascii="仿宋" w:hAnsi="仿宋" w:eastAsia="仿宋" w:cs="仿宋"/>
          <w:sz w:val="32"/>
          <w:szCs w:val="32"/>
        </w:rPr>
        <w:t>，发现的主要问题：</w:t>
      </w:r>
      <w:r>
        <w:rPr>
          <w:rFonts w:hint="eastAsia" w:ascii="仿宋" w:hAnsi="仿宋" w:eastAsia="仿宋" w:cs="仿宋"/>
          <w:sz w:val="32"/>
          <w:szCs w:val="32"/>
          <w:lang w:eastAsia="zh-CN"/>
        </w:rPr>
        <w:t>会议补助支出存在现金支付现象</w:t>
      </w:r>
      <w:r>
        <w:rPr>
          <w:rFonts w:hint="eastAsia" w:ascii="仿宋" w:hAnsi="仿宋" w:eastAsia="仿宋" w:cs="仿宋"/>
          <w:sz w:val="32"/>
          <w:szCs w:val="32"/>
        </w:rPr>
        <w:t>。下一步改进措施：</w:t>
      </w:r>
      <w:r>
        <w:rPr>
          <w:rFonts w:hint="eastAsia" w:ascii="仿宋" w:hAnsi="仿宋" w:eastAsia="仿宋" w:cs="仿宋"/>
          <w:sz w:val="32"/>
          <w:szCs w:val="32"/>
          <w:lang w:eastAsia="zh-CN"/>
        </w:rPr>
        <w:t>进一步规范会议费财务管理。</w:t>
      </w:r>
    </w:p>
    <w:p>
      <w:pPr>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“委员视察”</w:t>
      </w:r>
      <w:r>
        <w:rPr>
          <w:rFonts w:hint="eastAsia" w:ascii="仿宋" w:hAnsi="仿宋" w:eastAsia="仿宋" w:cs="仿宋"/>
          <w:sz w:val="32"/>
          <w:szCs w:val="32"/>
        </w:rPr>
        <w:t>项目绩效目标完成情况。</w:t>
      </w:r>
    </w:p>
    <w:p>
      <w:pPr>
        <w:numPr>
          <w:ilvl w:val="0"/>
          <w:numId w:val="0"/>
        </w:num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16.61</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16.61</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%。通过项目实施，保障了</w:t>
      </w:r>
      <w:r>
        <w:rPr>
          <w:rFonts w:hint="eastAsia" w:ascii="仿宋" w:hAnsi="仿宋" w:eastAsia="仿宋" w:cs="仿宋"/>
          <w:color w:val="000000"/>
          <w:sz w:val="32"/>
          <w:szCs w:val="32"/>
          <w:lang w:eastAsia="zh-CN"/>
        </w:rPr>
        <w:t>政协委员开展各类视察</w:t>
      </w:r>
      <w:r>
        <w:rPr>
          <w:rFonts w:hint="eastAsia" w:ascii="仿宋" w:hAnsi="仿宋" w:eastAsia="仿宋" w:cs="仿宋"/>
          <w:sz w:val="32"/>
          <w:szCs w:val="32"/>
        </w:rPr>
        <w:t>，发现的主要问题：</w:t>
      </w:r>
      <w:r>
        <w:rPr>
          <w:rFonts w:hint="eastAsia" w:ascii="仿宋" w:hAnsi="仿宋" w:eastAsia="仿宋" w:cs="仿宋"/>
          <w:sz w:val="32"/>
          <w:szCs w:val="32"/>
          <w:lang w:eastAsia="zh-CN"/>
        </w:rPr>
        <w:t>委员视察和机关行政工作业务混淆</w:t>
      </w:r>
      <w:r>
        <w:rPr>
          <w:rFonts w:hint="eastAsia" w:ascii="仿宋" w:hAnsi="仿宋" w:eastAsia="仿宋" w:cs="仿宋"/>
          <w:sz w:val="32"/>
          <w:szCs w:val="32"/>
        </w:rPr>
        <w:t>。下一步改进措施：</w:t>
      </w:r>
      <w:r>
        <w:rPr>
          <w:rFonts w:hint="eastAsia" w:ascii="仿宋" w:hAnsi="仿宋" w:eastAsia="仿宋" w:cs="仿宋"/>
          <w:sz w:val="32"/>
          <w:szCs w:val="32"/>
          <w:lang w:eastAsia="zh-CN"/>
        </w:rPr>
        <w:t>细化工作，明确工作性质。</w:t>
      </w:r>
    </w:p>
    <w:p>
      <w:pPr>
        <w:spacing w:line="580" w:lineRule="exact"/>
        <w:ind w:left="630"/>
        <w:rPr>
          <w:rFonts w:ascii="仿宋_GB2312" w:hAnsi="仿宋_GB2312" w:eastAsia="仿宋_GB2312" w:cs="仿宋_GB2312"/>
          <w:color w:val="C00000"/>
          <w:sz w:val="32"/>
          <w:szCs w:val="32"/>
        </w:rPr>
      </w:pPr>
      <w:r>
        <w:rPr>
          <w:rFonts w:hint="eastAsia" w:ascii="仿宋" w:hAnsi="仿宋" w:eastAsia="仿宋" w:cs="仿宋"/>
          <w:sz w:val="32"/>
          <w:szCs w:val="32"/>
          <w:lang w:eastAsia="zh-CN"/>
        </w:rPr>
        <w:t>“参政议政”</w:t>
      </w:r>
      <w:r>
        <w:rPr>
          <w:rFonts w:hint="eastAsia" w:ascii="仿宋" w:hAnsi="仿宋" w:eastAsia="仿宋" w:cs="仿宋"/>
          <w:sz w:val="32"/>
          <w:szCs w:val="32"/>
        </w:rPr>
        <w:t>项目绩效目标完成情况。项目全年预算数</w:t>
      </w:r>
      <w:r>
        <w:rPr>
          <w:rFonts w:hint="eastAsia" w:ascii="仿宋" w:hAnsi="仿宋" w:eastAsia="仿宋" w:cs="仿宋"/>
          <w:sz w:val="32"/>
          <w:szCs w:val="32"/>
          <w:lang w:val="en-US" w:eastAsia="zh-CN"/>
        </w:rPr>
        <w:t>10.16</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10.16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%。通过项目实施，保障了</w:t>
      </w:r>
      <w:r>
        <w:rPr>
          <w:rFonts w:hint="eastAsia" w:ascii="仿宋" w:hAnsi="仿宋" w:eastAsia="仿宋" w:cs="仿宋"/>
          <w:color w:val="000000"/>
          <w:sz w:val="32"/>
          <w:szCs w:val="32"/>
          <w:lang w:eastAsia="zh-CN"/>
        </w:rPr>
        <w:t>政协参政议政进行调研、检查等方面工作的圆满完成</w:t>
      </w:r>
      <w:r>
        <w:rPr>
          <w:rFonts w:hint="eastAsia" w:ascii="仿宋" w:hAnsi="仿宋" w:eastAsia="仿宋" w:cs="仿宋"/>
          <w:sz w:val="32"/>
          <w:szCs w:val="32"/>
        </w:rPr>
        <w:t>，发现的主要问题：</w:t>
      </w:r>
      <w:r>
        <w:rPr>
          <w:rFonts w:hint="eastAsia" w:ascii="仿宋" w:hAnsi="仿宋" w:eastAsia="仿宋" w:cs="仿宋"/>
          <w:sz w:val="32"/>
          <w:szCs w:val="32"/>
          <w:lang w:eastAsia="zh-CN"/>
        </w:rPr>
        <w:t>学习、调研成效有待提高</w:t>
      </w:r>
      <w:r>
        <w:rPr>
          <w:rFonts w:hint="eastAsia" w:ascii="仿宋" w:hAnsi="仿宋" w:eastAsia="仿宋" w:cs="仿宋"/>
          <w:sz w:val="32"/>
          <w:szCs w:val="32"/>
        </w:rPr>
        <w:t>。下一步改进措施：</w:t>
      </w:r>
      <w:r>
        <w:rPr>
          <w:rFonts w:hint="eastAsia" w:ascii="仿宋" w:hAnsi="仿宋" w:eastAsia="仿宋" w:cs="仿宋"/>
          <w:sz w:val="32"/>
          <w:szCs w:val="32"/>
          <w:lang w:eastAsia="zh-CN"/>
        </w:rPr>
        <w:t>建议学习、</w:t>
      </w:r>
      <w:r>
        <w:rPr>
          <w:rFonts w:hint="eastAsia" w:ascii="仿宋" w:hAnsi="仿宋" w:eastAsia="仿宋" w:cs="仿宋"/>
          <w:color w:val="000000"/>
          <w:sz w:val="32"/>
          <w:szCs w:val="32"/>
          <w:lang w:eastAsia="zh-CN"/>
        </w:rPr>
        <w:t>调研后形成高质量调研报告，供参考和推行。</w:t>
      </w:r>
    </w:p>
    <w:p>
      <w:pPr>
        <w:numPr>
          <w:ilvl w:val="0"/>
          <w:numId w:val="6"/>
        </w:numPr>
        <w:spacing w:line="580" w:lineRule="exact"/>
        <w:ind w:left="0" w:leftChars="0" w:firstLine="640" w:firstLineChars="200"/>
        <w:rPr>
          <w:rFonts w:hint="eastAsia"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年部门整体支出绩效评价情况开展自评，《</w:t>
      </w:r>
      <w:r>
        <w:rPr>
          <w:rFonts w:hint="eastAsia" w:ascii="仿宋" w:hAnsi="仿宋" w:eastAsia="仿宋" w:cs="仿宋"/>
          <w:sz w:val="32"/>
          <w:szCs w:val="32"/>
          <w:lang w:eastAsia="zh-CN"/>
        </w:rPr>
        <w:t>政协壤塘县委员会办公室</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年部门整体支出绩效评价报告》见附件。</w:t>
      </w:r>
    </w:p>
    <w:p>
      <w:pPr>
        <w:bidi w:val="0"/>
        <w:ind w:firstLine="640" w:firstLineChars="200"/>
        <w:rPr>
          <w:rFonts w:hint="eastAsia" w:ascii="宋体" w:hAnsi="宋体"/>
          <w:color w:val="C00000"/>
          <w:sz w:val="32"/>
          <w:szCs w:val="32"/>
        </w:rPr>
      </w:pPr>
      <w:r>
        <w:rPr>
          <w:rFonts w:hint="eastAsia" w:ascii="仿宋" w:hAnsi="仿宋" w:eastAsia="仿宋" w:cs="仿宋"/>
          <w:sz w:val="32"/>
          <w:szCs w:val="32"/>
        </w:rPr>
        <w:t>根据考核评分细则，</w:t>
      </w:r>
      <w:r>
        <w:rPr>
          <w:rFonts w:hint="eastAsia" w:ascii="仿宋" w:hAnsi="仿宋" w:eastAsia="仿宋" w:cs="仿宋"/>
          <w:sz w:val="32"/>
          <w:szCs w:val="32"/>
          <w:lang w:eastAsia="zh-CN"/>
        </w:rPr>
        <w:t>我办</w:t>
      </w:r>
      <w:r>
        <w:rPr>
          <w:rFonts w:hint="eastAsia" w:ascii="仿宋" w:hAnsi="仿宋" w:eastAsia="仿宋" w:cs="仿宋"/>
          <w:sz w:val="32"/>
          <w:szCs w:val="32"/>
        </w:rPr>
        <w:t>严格按照国家的相关财务管理制度规定，财务制度健全、会计核算规范，依照计划管理使用。按照部门整体支出绩效评价指标体系对照打分得出结果为</w:t>
      </w:r>
      <w:r>
        <w:rPr>
          <w:rFonts w:hint="eastAsia" w:ascii="仿宋" w:hAnsi="仿宋" w:eastAsia="仿宋" w:cs="仿宋"/>
          <w:sz w:val="32"/>
          <w:szCs w:val="32"/>
          <w:lang w:val="en-US" w:eastAsia="zh-CN"/>
        </w:rPr>
        <w:t>80</w:t>
      </w:r>
      <w:r>
        <w:rPr>
          <w:rFonts w:hint="eastAsia" w:ascii="仿宋" w:hAnsi="仿宋" w:eastAsia="仿宋" w:cs="仿宋"/>
          <w:sz w:val="32"/>
          <w:szCs w:val="32"/>
        </w:rPr>
        <w:t>分，等级为良好。</w:t>
      </w:r>
    </w:p>
    <w:p>
      <w:pPr>
        <w:jc w:val="center"/>
        <w:outlineLvl w:val="1"/>
        <w:rPr>
          <w:rFonts w:hint="eastAsia" w:ascii="宋体" w:hAnsi="宋体"/>
          <w:color w:val="auto"/>
          <w:sz w:val="32"/>
          <w:szCs w:val="32"/>
        </w:rPr>
      </w:pPr>
      <w:bookmarkStart w:id="84" w:name="_Toc22272"/>
      <w:r>
        <w:rPr>
          <w:rFonts w:hint="eastAsia" w:ascii="宋体" w:hAnsi="宋体"/>
          <w:color w:val="auto"/>
          <w:sz w:val="32"/>
          <w:szCs w:val="32"/>
        </w:rPr>
        <w:t>201</w:t>
      </w:r>
      <w:r>
        <w:rPr>
          <w:rFonts w:hint="eastAsia" w:ascii="宋体" w:hAnsi="宋体"/>
          <w:color w:val="auto"/>
          <w:sz w:val="32"/>
          <w:szCs w:val="32"/>
          <w:lang w:val="en-US" w:eastAsia="zh-CN"/>
        </w:rPr>
        <w:t>9</w:t>
      </w:r>
      <w:r>
        <w:rPr>
          <w:rFonts w:hint="eastAsia" w:ascii="宋体" w:hAnsi="宋体"/>
          <w:color w:val="auto"/>
          <w:sz w:val="32"/>
          <w:szCs w:val="32"/>
        </w:rPr>
        <w:t>年部门整体支出绩效评价得分表</w:t>
      </w:r>
      <w:bookmarkEnd w:id="84"/>
    </w:p>
    <w:tbl>
      <w:tblPr>
        <w:tblStyle w:val="12"/>
        <w:tblW w:w="8085" w:type="dxa"/>
        <w:tblInd w:w="191" w:type="dxa"/>
        <w:tblLayout w:type="fixed"/>
        <w:tblCellMar>
          <w:top w:w="0" w:type="dxa"/>
          <w:left w:w="108" w:type="dxa"/>
          <w:bottom w:w="0" w:type="dxa"/>
          <w:right w:w="108" w:type="dxa"/>
        </w:tblCellMar>
      </w:tblPr>
      <w:tblGrid>
        <w:gridCol w:w="1335"/>
        <w:gridCol w:w="2268"/>
        <w:gridCol w:w="3402"/>
        <w:gridCol w:w="1080"/>
      </w:tblGrid>
      <w:tr>
        <w:tblPrEx>
          <w:tblCellMar>
            <w:top w:w="0" w:type="dxa"/>
            <w:left w:w="108" w:type="dxa"/>
            <w:bottom w:w="0" w:type="dxa"/>
            <w:right w:w="108" w:type="dxa"/>
          </w:tblCellMar>
        </w:tblPrEx>
        <w:trPr>
          <w:trHeight w:val="240" w:hRule="atLeast"/>
        </w:trPr>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一级指标</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二级指标</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szCs w:val="24"/>
              </w:rPr>
            </w:pPr>
            <w:r>
              <w:rPr>
                <w:rFonts w:hint="eastAsia" w:ascii="宋体" w:hAnsi="宋体" w:cs="宋体"/>
                <w:b/>
                <w:bCs/>
                <w:color w:val="auto"/>
                <w:kern w:val="0"/>
                <w:sz w:val="24"/>
                <w:szCs w:val="24"/>
              </w:rPr>
              <w:t>三级指标</w:t>
            </w:r>
          </w:p>
        </w:tc>
        <w:tc>
          <w:tcPr>
            <w:tcW w:w="1080"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得分</w:t>
            </w:r>
          </w:p>
        </w:tc>
      </w:tr>
      <w:tr>
        <w:tblPrEx>
          <w:tblCellMar>
            <w:top w:w="0" w:type="dxa"/>
            <w:left w:w="108" w:type="dxa"/>
            <w:bottom w:w="0" w:type="dxa"/>
            <w:right w:w="108" w:type="dxa"/>
          </w:tblCellMar>
        </w:tblPrEx>
        <w:trPr>
          <w:trHeight w:val="520" w:hRule="atLeast"/>
        </w:trPr>
        <w:tc>
          <w:tcPr>
            <w:tcW w:w="1335"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部门决策（25分）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目标任务（15分）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相关性（5分）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5</w:t>
            </w:r>
          </w:p>
        </w:tc>
      </w:tr>
      <w:tr>
        <w:tblPrEx>
          <w:tblCellMar>
            <w:top w:w="0" w:type="dxa"/>
            <w:left w:w="108" w:type="dxa"/>
            <w:bottom w:w="0" w:type="dxa"/>
            <w:right w:w="108" w:type="dxa"/>
          </w:tblCellMar>
        </w:tblPrEx>
        <w:trPr>
          <w:trHeight w:val="413"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明确性（5分）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5</w:t>
            </w:r>
          </w:p>
        </w:tc>
      </w:tr>
      <w:tr>
        <w:tblPrEx>
          <w:tblCellMar>
            <w:top w:w="0" w:type="dxa"/>
            <w:left w:w="108" w:type="dxa"/>
            <w:bottom w:w="0" w:type="dxa"/>
            <w:right w:w="108" w:type="dxa"/>
          </w:tblCellMar>
        </w:tblPrEx>
        <w:trPr>
          <w:trHeight w:val="420"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合理性（5分）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5</w:t>
            </w:r>
          </w:p>
        </w:tc>
      </w:tr>
      <w:tr>
        <w:tblPrEx>
          <w:tblCellMar>
            <w:top w:w="0" w:type="dxa"/>
            <w:left w:w="108" w:type="dxa"/>
            <w:bottom w:w="0" w:type="dxa"/>
            <w:right w:w="108" w:type="dxa"/>
          </w:tblCellMar>
        </w:tblPrEx>
        <w:trPr>
          <w:trHeight w:val="269" w:hRule="atLeast"/>
        </w:trPr>
        <w:tc>
          <w:tcPr>
            <w:tcW w:w="133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预算编制（10分）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测算依据（5分）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5</w:t>
            </w:r>
          </w:p>
        </w:tc>
      </w:tr>
      <w:tr>
        <w:tblPrEx>
          <w:tblCellMar>
            <w:top w:w="0" w:type="dxa"/>
            <w:left w:w="108" w:type="dxa"/>
            <w:bottom w:w="0" w:type="dxa"/>
            <w:right w:w="108" w:type="dxa"/>
          </w:tblCellMar>
        </w:tblPrEx>
        <w:trPr>
          <w:trHeight w:val="231" w:hRule="atLeast"/>
        </w:trPr>
        <w:tc>
          <w:tcPr>
            <w:tcW w:w="13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目标管理（5分）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5</w:t>
            </w:r>
          </w:p>
        </w:tc>
      </w:tr>
      <w:tr>
        <w:tblPrEx>
          <w:tblCellMar>
            <w:top w:w="0" w:type="dxa"/>
            <w:left w:w="108" w:type="dxa"/>
            <w:bottom w:w="0" w:type="dxa"/>
            <w:right w:w="108" w:type="dxa"/>
          </w:tblCellMar>
        </w:tblPrEx>
        <w:trPr>
          <w:trHeight w:val="477" w:hRule="atLeast"/>
        </w:trPr>
        <w:tc>
          <w:tcPr>
            <w:tcW w:w="1335"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综合管理（30分）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专项资金分配时限（2分）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省级财力专项预算分配时限（1分）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413"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中央专款分配合规率（1分）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277"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中期评估（2分）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执行中期评估（2分）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381"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绩效监控（5分）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预算执行进度监控（2分）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73"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绩效目标动态监控（3分）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3</w:t>
            </w:r>
          </w:p>
        </w:tc>
      </w:tr>
      <w:tr>
        <w:tblPrEx>
          <w:tblCellMar>
            <w:top w:w="0" w:type="dxa"/>
            <w:left w:w="108" w:type="dxa"/>
            <w:bottom w:w="0" w:type="dxa"/>
            <w:right w:w="108" w:type="dxa"/>
          </w:tblCellMar>
        </w:tblPrEx>
        <w:trPr>
          <w:trHeight w:val="235"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非税收入执收情况（2分）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非税收入征收情况（1分）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325"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非税收入上缴情况（1分）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287"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资产管理（6分）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资产管理信息化情况（2分）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35"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行政事业单位资产报告情况（2分）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353" w:hRule="atLeast"/>
        </w:trPr>
        <w:tc>
          <w:tcPr>
            <w:tcW w:w="1335"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资产管理与预算管理相结合（2分）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72" w:hRule="atLeast"/>
        </w:trPr>
        <w:tc>
          <w:tcPr>
            <w:tcW w:w="133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内控制度管理（2分）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内部控制度健全完整（2分）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21"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信息公开（6分）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预算公开（2分）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197"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决算公开（2分）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87"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绩效信息公开（2分）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2</w:t>
            </w:r>
          </w:p>
        </w:tc>
      </w:tr>
      <w:tr>
        <w:tblPrEx>
          <w:tblCellMar>
            <w:top w:w="0" w:type="dxa"/>
            <w:left w:w="108" w:type="dxa"/>
            <w:bottom w:w="0" w:type="dxa"/>
            <w:right w:w="108" w:type="dxa"/>
          </w:tblCellMar>
        </w:tblPrEx>
        <w:trPr>
          <w:trHeight w:val="405" w:hRule="atLeast"/>
        </w:trPr>
        <w:tc>
          <w:tcPr>
            <w:tcW w:w="133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绩效评价（5分）</w:t>
            </w: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绩效评价开展（2分）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127" w:hRule="atLeast"/>
        </w:trPr>
        <w:tc>
          <w:tcPr>
            <w:tcW w:w="13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评价结果应用（3分）</w:t>
            </w:r>
          </w:p>
        </w:tc>
        <w:tc>
          <w:tcPr>
            <w:tcW w:w="1080" w:type="dxa"/>
            <w:tcBorders>
              <w:top w:val="nil"/>
              <w:left w:val="nil"/>
              <w:bottom w:val="single" w:color="auto" w:sz="4" w:space="0"/>
              <w:right w:val="single" w:color="auto" w:sz="4" w:space="0"/>
            </w:tcBorders>
            <w:vAlign w:val="top"/>
          </w:tcPr>
          <w:p>
            <w:pPr>
              <w:widowControl/>
              <w:jc w:val="left"/>
              <w:rPr>
                <w:rFonts w:hint="eastAsia" w:ascii="宋体" w:hAnsi="宋体" w:cs="宋体"/>
                <w:color w:val="auto"/>
                <w:kern w:val="0"/>
                <w:sz w:val="24"/>
                <w:szCs w:val="24"/>
              </w:rPr>
            </w:pPr>
            <w:r>
              <w:rPr>
                <w:rFonts w:hint="eastAsia" w:ascii="宋体" w:hAnsi="宋体" w:cs="宋体"/>
                <w:color w:val="auto"/>
                <w:kern w:val="0"/>
                <w:sz w:val="24"/>
                <w:szCs w:val="24"/>
              </w:rPr>
              <w:t>2</w:t>
            </w:r>
          </w:p>
        </w:tc>
      </w:tr>
      <w:tr>
        <w:tblPrEx>
          <w:tblCellMar>
            <w:top w:w="0" w:type="dxa"/>
            <w:left w:w="108" w:type="dxa"/>
            <w:bottom w:w="0" w:type="dxa"/>
            <w:right w:w="108" w:type="dxa"/>
          </w:tblCellMar>
        </w:tblPrEx>
        <w:trPr>
          <w:trHeight w:val="231" w:hRule="atLeast"/>
        </w:trPr>
        <w:tc>
          <w:tcPr>
            <w:tcW w:w="1335"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部门绩效情况（45分）</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履职成效（20分）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部门特性指标</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15</w:t>
            </w:r>
          </w:p>
        </w:tc>
      </w:tr>
      <w:tr>
        <w:tblPrEx>
          <w:tblCellMar>
            <w:top w:w="0" w:type="dxa"/>
            <w:left w:w="108" w:type="dxa"/>
            <w:bottom w:w="0" w:type="dxa"/>
            <w:right w:w="108" w:type="dxa"/>
          </w:tblCellMar>
        </w:tblPrEx>
        <w:trPr>
          <w:trHeight w:val="180"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p>
        </w:tc>
        <w:tc>
          <w:tcPr>
            <w:tcW w:w="1080" w:type="dxa"/>
            <w:tcBorders>
              <w:top w:val="nil"/>
              <w:left w:val="nil"/>
              <w:bottom w:val="single" w:color="auto" w:sz="4" w:space="0"/>
              <w:right w:val="single" w:color="auto" w:sz="4" w:space="0"/>
            </w:tcBorders>
            <w:vAlign w:val="top"/>
          </w:tcPr>
          <w:p>
            <w:pPr>
              <w:widowControl/>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40"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p>
        </w:tc>
        <w:tc>
          <w:tcPr>
            <w:tcW w:w="1080" w:type="dxa"/>
            <w:tcBorders>
              <w:top w:val="nil"/>
              <w:left w:val="nil"/>
              <w:bottom w:val="single" w:color="auto" w:sz="4" w:space="0"/>
              <w:right w:val="single" w:color="auto" w:sz="4" w:space="0"/>
            </w:tcBorders>
            <w:vAlign w:val="top"/>
          </w:tcPr>
          <w:p>
            <w:pPr>
              <w:widowControl/>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240"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p>
        </w:tc>
        <w:tc>
          <w:tcPr>
            <w:tcW w:w="1080" w:type="dxa"/>
            <w:tcBorders>
              <w:top w:val="nil"/>
              <w:left w:val="nil"/>
              <w:bottom w:val="single" w:color="auto" w:sz="4" w:space="0"/>
              <w:right w:val="single" w:color="auto" w:sz="4" w:space="0"/>
            </w:tcBorders>
            <w:vAlign w:val="top"/>
          </w:tcPr>
          <w:p>
            <w:pPr>
              <w:widowControl/>
              <w:jc w:val="center"/>
              <w:rPr>
                <w:rFonts w:ascii="宋体" w:hAnsi="宋体" w:cs="宋体"/>
                <w:color w:val="auto"/>
                <w:kern w:val="0"/>
                <w:sz w:val="24"/>
                <w:szCs w:val="24"/>
              </w:rPr>
            </w:pPr>
          </w:p>
        </w:tc>
      </w:tr>
      <w:tr>
        <w:tblPrEx>
          <w:tblCellMar>
            <w:top w:w="0" w:type="dxa"/>
            <w:left w:w="108" w:type="dxa"/>
            <w:bottom w:w="0" w:type="dxa"/>
            <w:right w:w="108" w:type="dxa"/>
          </w:tblCellMar>
        </w:tblPrEx>
        <w:trPr>
          <w:trHeight w:val="157"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r>
              <w:rPr>
                <w:rFonts w:hint="eastAsia" w:ascii="宋体" w:hAnsi="宋体" w:cs="宋体"/>
                <w:color w:val="auto"/>
                <w:kern w:val="0"/>
                <w:sz w:val="24"/>
                <w:szCs w:val="24"/>
              </w:rPr>
              <w:t>可持续发展能力（15分）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重点改革（重点工作）完成情况（5分）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320"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科技（制度、方法、机制等）创新（5分）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5</w:t>
            </w:r>
          </w:p>
        </w:tc>
      </w:tr>
      <w:tr>
        <w:tblPrEx>
          <w:tblCellMar>
            <w:top w:w="0" w:type="dxa"/>
            <w:left w:w="108" w:type="dxa"/>
            <w:bottom w:w="0" w:type="dxa"/>
            <w:right w:w="108" w:type="dxa"/>
          </w:tblCellMar>
        </w:tblPrEx>
        <w:trPr>
          <w:trHeight w:val="385"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人才培养（5分）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4</w:t>
            </w:r>
          </w:p>
        </w:tc>
      </w:tr>
      <w:tr>
        <w:tblPrEx>
          <w:tblCellMar>
            <w:top w:w="0" w:type="dxa"/>
            <w:left w:w="108" w:type="dxa"/>
            <w:bottom w:w="0" w:type="dxa"/>
            <w:right w:w="108" w:type="dxa"/>
          </w:tblCellMar>
        </w:tblPrEx>
        <w:trPr>
          <w:trHeight w:val="432"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满意度（10分）</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协作部门满意度（3分）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3</w:t>
            </w:r>
          </w:p>
        </w:tc>
      </w:tr>
      <w:tr>
        <w:tblPrEx>
          <w:tblCellMar>
            <w:top w:w="0" w:type="dxa"/>
            <w:left w:w="108" w:type="dxa"/>
            <w:bottom w:w="0" w:type="dxa"/>
            <w:right w:w="108" w:type="dxa"/>
          </w:tblCellMar>
        </w:tblPrEx>
        <w:trPr>
          <w:trHeight w:val="396" w:hRule="atLeast"/>
        </w:trPr>
        <w:tc>
          <w:tcPr>
            <w:tcW w:w="1335"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2268" w:type="dxa"/>
            <w:vMerge w:val="continue"/>
            <w:tcBorders>
              <w:left w:val="single" w:color="auto" w:sz="4" w:space="0"/>
              <w:right w:val="single" w:color="auto" w:sz="4" w:space="0"/>
            </w:tcBorders>
            <w:shd w:val="clear" w:color="auto" w:fill="auto"/>
            <w:vAlign w:val="center"/>
          </w:tcPr>
          <w:p>
            <w:pPr>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管理对象满意度（3分）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3</w:t>
            </w:r>
          </w:p>
        </w:tc>
      </w:tr>
      <w:tr>
        <w:tblPrEx>
          <w:tblCellMar>
            <w:top w:w="0" w:type="dxa"/>
            <w:left w:w="108" w:type="dxa"/>
            <w:bottom w:w="0" w:type="dxa"/>
            <w:right w:w="108" w:type="dxa"/>
          </w:tblCellMar>
        </w:tblPrEx>
        <w:trPr>
          <w:trHeight w:val="411" w:hRule="atLeast"/>
        </w:trPr>
        <w:tc>
          <w:tcPr>
            <w:tcW w:w="133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226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4"/>
                <w:szCs w:val="24"/>
              </w:rPr>
            </w:pPr>
            <w:r>
              <w:rPr>
                <w:rFonts w:hint="eastAsia" w:ascii="宋体" w:hAnsi="宋体" w:cs="宋体"/>
                <w:color w:val="auto"/>
                <w:kern w:val="0"/>
                <w:sz w:val="24"/>
                <w:szCs w:val="24"/>
              </w:rPr>
              <w:t>社会公众满意度（4分）</w:t>
            </w:r>
          </w:p>
        </w:tc>
        <w:tc>
          <w:tcPr>
            <w:tcW w:w="1080" w:type="dxa"/>
            <w:tcBorders>
              <w:top w:val="nil"/>
              <w:left w:val="nil"/>
              <w:bottom w:val="single" w:color="auto" w:sz="4" w:space="0"/>
              <w:right w:val="single" w:color="auto" w:sz="4" w:space="0"/>
            </w:tcBorders>
            <w:vAlign w:val="top"/>
          </w:tcPr>
          <w:p>
            <w:pPr>
              <w:widowControl/>
              <w:jc w:val="center"/>
              <w:rPr>
                <w:rFonts w:hint="eastAsia" w:ascii="宋体" w:hAnsi="宋体" w:cs="宋体"/>
                <w:color w:val="auto"/>
                <w:kern w:val="0"/>
                <w:sz w:val="24"/>
                <w:szCs w:val="24"/>
              </w:rPr>
            </w:pPr>
            <w:r>
              <w:rPr>
                <w:rFonts w:hint="eastAsia" w:ascii="宋体" w:hAnsi="宋体" w:cs="宋体"/>
                <w:color w:val="auto"/>
                <w:kern w:val="0"/>
                <w:sz w:val="24"/>
                <w:szCs w:val="24"/>
              </w:rPr>
              <w:t>3</w:t>
            </w:r>
          </w:p>
        </w:tc>
      </w:tr>
    </w:tbl>
    <w:p>
      <w:pPr>
        <w:spacing w:line="600" w:lineRule="atLeast"/>
        <w:rPr>
          <w:rFonts w:hint="eastAsia" w:ascii="宋体" w:hAnsi="宋体"/>
          <w:color w:val="C00000"/>
          <w:sz w:val="32"/>
          <w:szCs w:val="32"/>
        </w:rPr>
      </w:pPr>
    </w:p>
    <w:p>
      <w:pPr>
        <w:numPr>
          <w:ilvl w:val="0"/>
          <w:numId w:val="0"/>
        </w:numPr>
        <w:spacing w:line="580" w:lineRule="exact"/>
        <w:ind w:leftChars="200"/>
        <w:rPr>
          <w:rFonts w:hint="eastAsia" w:ascii="楷体_GB2312" w:hAnsi="楷体_GB2312" w:eastAsia="楷体_GB2312" w:cs="楷体_GB2312"/>
          <w:color w:val="C00000"/>
          <w:sz w:val="32"/>
          <w:szCs w:val="32"/>
        </w:rPr>
      </w:pPr>
      <w:r>
        <w:rPr>
          <w:rFonts w:hint="eastAsia" w:ascii="宋体" w:hAnsi="宋体"/>
          <w:color w:val="auto"/>
          <w:sz w:val="32"/>
          <w:szCs w:val="32"/>
        </w:rPr>
        <w:t>本部门无下属单位开展整体支出绩效评价</w:t>
      </w:r>
      <w:r>
        <w:rPr>
          <w:rFonts w:hint="eastAsia" w:ascii="宋体" w:hAnsi="宋体"/>
          <w:color w:val="C00000"/>
          <w:sz w:val="32"/>
          <w:szCs w:val="32"/>
        </w:rPr>
        <w:t>。</w:t>
      </w:r>
      <w:r>
        <w:rPr>
          <w:rFonts w:hint="eastAsia" w:ascii="宋体" w:hAnsi="宋体"/>
          <w:color w:val="C00000"/>
          <w:sz w:val="32"/>
          <w:szCs w:val="32"/>
          <w:lang w:val="en-US" w:eastAsia="zh-CN"/>
        </w:rPr>
        <w:t xml:space="preserve"> </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0" w:firstLineChars="150"/>
        <w:jc w:val="center"/>
        <w:outlineLvl w:val="0"/>
        <w:rPr>
          <w:rStyle w:val="24"/>
          <w:rFonts w:ascii="黑体" w:hAnsi="黑体" w:eastAsia="黑体"/>
          <w:b w:val="0"/>
        </w:rPr>
      </w:pPr>
      <w:bookmarkStart w:id="85" w:name="_Toc15396613"/>
      <w:bookmarkStart w:id="86" w:name="_Toc15377225"/>
      <w:bookmarkStart w:id="87" w:name="_Toc14789"/>
      <w:r>
        <w:rPr>
          <w:rFonts w:hint="eastAsia" w:ascii="黑体" w:hAnsi="黑体" w:eastAsia="黑体"/>
          <w:color w:val="000000"/>
          <w:sz w:val="44"/>
          <w:szCs w:val="44"/>
        </w:rPr>
        <w:t>名</w:t>
      </w:r>
      <w:r>
        <w:rPr>
          <w:rStyle w:val="24"/>
          <w:rFonts w:hint="eastAsia" w:ascii="黑体" w:hAnsi="黑体" w:eastAsia="黑体"/>
          <w:b w:val="0"/>
        </w:rPr>
        <w:t>词解释</w:t>
      </w:r>
      <w:bookmarkEnd w:id="85"/>
      <w:bookmarkEnd w:id="86"/>
      <w:bookmarkEnd w:id="87"/>
    </w:p>
    <w:p>
      <w:pPr>
        <w:pStyle w:val="22"/>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22"/>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eastAsia="zh-CN"/>
        </w:rPr>
        <w:t>利息收入</w:t>
      </w:r>
      <w:r>
        <w:rPr>
          <w:rFonts w:hint="eastAsia" w:ascii="仿宋" w:hAnsi="仿宋" w:eastAsia="仿宋" w:cs="仿宋"/>
          <w:sz w:val="32"/>
          <w:szCs w:val="32"/>
        </w:rPr>
        <w:t>。</w:t>
      </w:r>
    </w:p>
    <w:p>
      <w:pPr>
        <w:pStyle w:val="22"/>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.年初结转和结余：指以前年度尚未完成、结转到本年按有关规定继续使用的资金。</w:t>
      </w:r>
    </w:p>
    <w:p>
      <w:pPr>
        <w:pStyle w:val="22"/>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行政运行</w:t>
      </w:r>
      <w:r>
        <w:rPr>
          <w:rFonts w:hint="eastAsia" w:ascii="仿宋" w:hAnsi="仿宋" w:eastAsia="仿宋" w:cs="仿宋"/>
          <w:color w:val="000000"/>
          <w:sz w:val="32"/>
          <w:szCs w:val="32"/>
        </w:rPr>
        <w:t>（类）</w:t>
      </w:r>
      <w:r>
        <w:rPr>
          <w:rFonts w:hint="eastAsia" w:ascii="仿宋" w:hAnsi="仿宋" w:eastAsia="仿宋" w:cs="仿宋"/>
          <w:color w:val="000000"/>
          <w:sz w:val="32"/>
          <w:szCs w:val="32"/>
          <w:lang w:val="en-US" w:eastAsia="zh-CN"/>
        </w:rPr>
        <w:t>201</w:t>
      </w:r>
      <w:r>
        <w:rPr>
          <w:rFonts w:hint="eastAsia" w:ascii="仿宋" w:hAnsi="仿宋" w:eastAsia="仿宋" w:cs="仿宋"/>
          <w:color w:val="000000"/>
          <w:sz w:val="32"/>
          <w:szCs w:val="32"/>
        </w:rPr>
        <w:t>（款）</w:t>
      </w:r>
      <w:r>
        <w:rPr>
          <w:rFonts w:hint="eastAsia" w:ascii="仿宋" w:hAnsi="仿宋" w:eastAsia="仿宋" w:cs="仿宋"/>
          <w:color w:val="000000"/>
          <w:sz w:val="32"/>
          <w:szCs w:val="32"/>
          <w:lang w:val="en-US" w:eastAsia="zh-CN"/>
        </w:rPr>
        <w:t>02</w:t>
      </w:r>
      <w:r>
        <w:rPr>
          <w:rFonts w:hint="eastAsia" w:ascii="仿宋" w:hAnsi="仿宋" w:eastAsia="仿宋" w:cs="仿宋"/>
          <w:color w:val="000000"/>
          <w:sz w:val="32"/>
          <w:szCs w:val="32"/>
        </w:rPr>
        <w:t>（项）</w:t>
      </w:r>
      <w:r>
        <w:rPr>
          <w:rFonts w:hint="eastAsia" w:ascii="仿宋" w:hAnsi="仿宋" w:eastAsia="仿宋" w:cs="仿宋"/>
          <w:color w:val="000000"/>
          <w:sz w:val="32"/>
          <w:szCs w:val="32"/>
          <w:lang w:val="en-US" w:eastAsia="zh-CN"/>
        </w:rPr>
        <w:t>01</w:t>
      </w:r>
      <w:r>
        <w:rPr>
          <w:rFonts w:hint="eastAsia" w:ascii="仿宋" w:hAnsi="仿宋" w:eastAsia="仿宋" w:cs="仿宋"/>
          <w:color w:val="000000"/>
          <w:sz w:val="32"/>
          <w:szCs w:val="32"/>
        </w:rPr>
        <w:t>：指</w:t>
      </w:r>
      <w:r>
        <w:rPr>
          <w:rFonts w:hint="eastAsia" w:ascii="仿宋" w:hAnsi="仿宋" w:eastAsia="仿宋" w:cs="仿宋"/>
          <w:color w:val="000000"/>
          <w:sz w:val="32"/>
          <w:szCs w:val="32"/>
          <w:lang w:eastAsia="zh-CN"/>
        </w:rPr>
        <w:t>反映行政单位（各级政协机关）的基本支出。</w:t>
      </w:r>
    </w:p>
    <w:p>
      <w:pPr>
        <w:ind w:firstLine="640" w:firstLineChars="20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6.一般行政管理事务</w:t>
      </w:r>
      <w:r>
        <w:rPr>
          <w:rFonts w:hint="eastAsia" w:ascii="仿宋" w:hAnsi="仿宋" w:eastAsia="仿宋" w:cs="仿宋"/>
          <w:color w:val="000000"/>
          <w:sz w:val="32"/>
          <w:szCs w:val="32"/>
        </w:rPr>
        <w:t>（类）</w:t>
      </w:r>
      <w:r>
        <w:rPr>
          <w:rFonts w:hint="eastAsia" w:ascii="仿宋" w:hAnsi="仿宋" w:eastAsia="仿宋" w:cs="仿宋"/>
          <w:color w:val="000000"/>
          <w:sz w:val="32"/>
          <w:szCs w:val="32"/>
          <w:lang w:val="en-US" w:eastAsia="zh-CN"/>
        </w:rPr>
        <w:t>201</w:t>
      </w:r>
      <w:r>
        <w:rPr>
          <w:rFonts w:hint="eastAsia" w:ascii="仿宋" w:hAnsi="仿宋" w:eastAsia="仿宋" w:cs="仿宋"/>
          <w:color w:val="000000"/>
          <w:sz w:val="32"/>
          <w:szCs w:val="32"/>
        </w:rPr>
        <w:t>（款）</w:t>
      </w:r>
      <w:r>
        <w:rPr>
          <w:rFonts w:hint="eastAsia" w:ascii="仿宋" w:hAnsi="仿宋" w:eastAsia="仿宋" w:cs="仿宋"/>
          <w:color w:val="000000"/>
          <w:sz w:val="32"/>
          <w:szCs w:val="32"/>
          <w:lang w:val="en-US" w:eastAsia="zh-CN"/>
        </w:rPr>
        <w:t>02</w:t>
      </w:r>
      <w:r>
        <w:rPr>
          <w:rFonts w:hint="eastAsia" w:ascii="仿宋" w:hAnsi="仿宋" w:eastAsia="仿宋" w:cs="仿宋"/>
          <w:color w:val="000000"/>
          <w:sz w:val="32"/>
          <w:szCs w:val="32"/>
        </w:rPr>
        <w:t>（项）</w:t>
      </w:r>
      <w:r>
        <w:rPr>
          <w:rFonts w:hint="eastAsia" w:ascii="仿宋" w:hAnsi="仿宋" w:eastAsia="仿宋" w:cs="仿宋"/>
          <w:color w:val="000000"/>
          <w:sz w:val="32"/>
          <w:szCs w:val="32"/>
          <w:lang w:val="en-US" w:eastAsia="zh-CN"/>
        </w:rPr>
        <w:t>02：支反映行政单位（包括实行公务员管理的事业单位）未单独设置项级科目的其他项目支出。</w:t>
      </w:r>
    </w:p>
    <w:p>
      <w:pPr>
        <w:spacing w:line="600" w:lineRule="exact"/>
        <w:ind w:firstLine="627" w:firstLineChars="196"/>
        <w:rPr>
          <w:rFonts w:hint="eastAsia" w:ascii="仿宋" w:hAnsi="仿宋" w:eastAsia="仿宋" w:cs="仿宋"/>
          <w:b w:val="0"/>
          <w:bCs/>
          <w:sz w:val="32"/>
          <w:szCs w:val="32"/>
        </w:rPr>
      </w:pPr>
      <w:r>
        <w:rPr>
          <w:rStyle w:val="30"/>
          <w:rFonts w:hint="eastAsia" w:ascii="仿宋" w:hAnsi="仿宋" w:eastAsia="仿宋" w:cs="仿宋"/>
          <w:b w:val="0"/>
          <w:bCs/>
          <w:sz w:val="32"/>
          <w:szCs w:val="32"/>
          <w:lang w:val="en-US" w:eastAsia="zh-CN"/>
        </w:rPr>
        <w:t>7.</w:t>
      </w:r>
      <w:r>
        <w:rPr>
          <w:rStyle w:val="30"/>
          <w:rFonts w:hint="eastAsia" w:ascii="仿宋" w:hAnsi="仿宋" w:eastAsia="仿宋" w:cs="仿宋"/>
          <w:b w:val="0"/>
          <w:bCs/>
          <w:sz w:val="32"/>
          <w:szCs w:val="32"/>
        </w:rPr>
        <w:t>政协会议</w:t>
      </w:r>
      <w:r>
        <w:rPr>
          <w:rStyle w:val="30"/>
          <w:rFonts w:hint="eastAsia" w:ascii="仿宋" w:hAnsi="仿宋" w:eastAsia="仿宋" w:cs="仿宋"/>
          <w:b w:val="0"/>
          <w:bCs/>
          <w:sz w:val="32"/>
          <w:szCs w:val="32"/>
          <w:lang w:eastAsia="zh-CN"/>
        </w:rPr>
        <w:t>（</w:t>
      </w:r>
      <w:r>
        <w:rPr>
          <w:rFonts w:hint="eastAsia" w:ascii="仿宋" w:hAnsi="仿宋" w:eastAsia="仿宋" w:cs="仿宋"/>
          <w:color w:val="000000"/>
          <w:sz w:val="32"/>
          <w:szCs w:val="32"/>
        </w:rPr>
        <w:t>类</w:t>
      </w:r>
      <w:r>
        <w:rPr>
          <w:rStyle w:val="30"/>
          <w:rFonts w:hint="eastAsia" w:ascii="仿宋" w:hAnsi="仿宋" w:eastAsia="仿宋" w:cs="仿宋"/>
          <w:b w:val="0"/>
          <w:bCs/>
          <w:sz w:val="32"/>
          <w:szCs w:val="32"/>
          <w:lang w:eastAsia="zh-CN"/>
        </w:rPr>
        <w:t>）</w:t>
      </w:r>
      <w:r>
        <w:rPr>
          <w:rFonts w:hint="eastAsia" w:ascii="仿宋" w:hAnsi="仿宋" w:eastAsia="仿宋" w:cs="仿宋"/>
          <w:color w:val="000000"/>
          <w:sz w:val="32"/>
          <w:szCs w:val="32"/>
          <w:lang w:val="en-US" w:eastAsia="zh-CN"/>
        </w:rPr>
        <w:t>201</w:t>
      </w:r>
      <w:r>
        <w:rPr>
          <w:rFonts w:hint="eastAsia" w:ascii="仿宋" w:hAnsi="仿宋" w:eastAsia="仿宋" w:cs="仿宋"/>
          <w:color w:val="000000"/>
          <w:sz w:val="32"/>
          <w:szCs w:val="32"/>
        </w:rPr>
        <w:t>（款）</w:t>
      </w:r>
      <w:r>
        <w:rPr>
          <w:rFonts w:hint="eastAsia" w:ascii="仿宋" w:hAnsi="仿宋" w:eastAsia="仿宋" w:cs="仿宋"/>
          <w:color w:val="000000"/>
          <w:sz w:val="32"/>
          <w:szCs w:val="32"/>
          <w:lang w:val="en-US" w:eastAsia="zh-CN"/>
        </w:rPr>
        <w:t>02</w:t>
      </w:r>
      <w:r>
        <w:rPr>
          <w:rFonts w:hint="eastAsia" w:ascii="仿宋" w:hAnsi="仿宋" w:eastAsia="仿宋" w:cs="仿宋"/>
          <w:color w:val="000000"/>
          <w:sz w:val="32"/>
          <w:szCs w:val="32"/>
        </w:rPr>
        <w:t>（项）</w:t>
      </w:r>
      <w:r>
        <w:rPr>
          <w:rFonts w:hint="eastAsia" w:ascii="仿宋" w:hAnsi="仿宋" w:eastAsia="仿宋" w:cs="仿宋"/>
          <w:color w:val="000000"/>
          <w:sz w:val="32"/>
          <w:szCs w:val="32"/>
          <w:lang w:val="en-US" w:eastAsia="zh-CN"/>
        </w:rPr>
        <w:t>04</w:t>
      </w:r>
      <w:r>
        <w:rPr>
          <w:rFonts w:hint="eastAsia" w:ascii="仿宋" w:hAnsi="仿宋" w:eastAsia="仿宋" w:cs="仿宋"/>
          <w:color w:val="000000"/>
          <w:sz w:val="32"/>
          <w:szCs w:val="32"/>
        </w:rPr>
        <w:t>：指</w:t>
      </w:r>
      <w:r>
        <w:rPr>
          <w:rFonts w:hint="eastAsia" w:ascii="仿宋" w:hAnsi="仿宋" w:eastAsia="仿宋" w:cs="仿宋"/>
          <w:color w:val="000000"/>
          <w:sz w:val="32"/>
          <w:szCs w:val="32"/>
          <w:lang w:eastAsia="zh-CN"/>
        </w:rPr>
        <w:t>反映各级政协召开政治协商会议等专门会议的支出。</w:t>
      </w:r>
    </w:p>
    <w:p>
      <w:pPr>
        <w:spacing w:line="600" w:lineRule="exact"/>
        <w:ind w:firstLine="640" w:firstLineChars="200"/>
        <w:rPr>
          <w:rFonts w:hint="eastAsia" w:ascii="仿宋_GB2312" w:eastAsia="仿宋_GB2312"/>
          <w:color w:val="000000"/>
          <w:sz w:val="32"/>
          <w:szCs w:val="32"/>
        </w:rPr>
      </w:pPr>
      <w:r>
        <w:rPr>
          <w:rStyle w:val="30"/>
          <w:rFonts w:hint="eastAsia" w:ascii="仿宋" w:hAnsi="仿宋" w:eastAsia="仿宋" w:cs="仿宋"/>
          <w:b w:val="0"/>
          <w:bCs/>
          <w:sz w:val="32"/>
          <w:szCs w:val="32"/>
          <w:lang w:val="en-US" w:eastAsia="zh-CN"/>
        </w:rPr>
        <w:t>8.</w:t>
      </w:r>
      <w:r>
        <w:rPr>
          <w:rStyle w:val="30"/>
          <w:rFonts w:hint="eastAsia" w:ascii="仿宋" w:hAnsi="仿宋" w:eastAsia="仿宋" w:cs="仿宋"/>
          <w:b w:val="0"/>
          <w:bCs/>
          <w:sz w:val="32"/>
          <w:szCs w:val="32"/>
        </w:rPr>
        <w:t>委员视察</w:t>
      </w:r>
      <w:r>
        <w:rPr>
          <w:rStyle w:val="30"/>
          <w:rFonts w:hint="eastAsia" w:ascii="仿宋" w:hAnsi="仿宋" w:eastAsia="仿宋" w:cs="仿宋"/>
          <w:b w:val="0"/>
          <w:bCs/>
          <w:sz w:val="32"/>
          <w:szCs w:val="32"/>
          <w:lang w:eastAsia="zh-CN"/>
        </w:rPr>
        <w:t>（</w:t>
      </w:r>
      <w:r>
        <w:rPr>
          <w:rFonts w:hint="eastAsia" w:ascii="仿宋" w:hAnsi="仿宋" w:eastAsia="仿宋" w:cs="仿宋"/>
          <w:color w:val="000000"/>
          <w:sz w:val="32"/>
          <w:szCs w:val="32"/>
        </w:rPr>
        <w:t>类</w:t>
      </w:r>
      <w:r>
        <w:rPr>
          <w:rStyle w:val="30"/>
          <w:rFonts w:hint="eastAsia" w:ascii="仿宋" w:hAnsi="仿宋" w:eastAsia="仿宋" w:cs="仿宋"/>
          <w:b w:val="0"/>
          <w:bCs/>
          <w:sz w:val="32"/>
          <w:szCs w:val="32"/>
          <w:lang w:eastAsia="zh-CN"/>
        </w:rPr>
        <w:t>）</w:t>
      </w:r>
      <w:r>
        <w:rPr>
          <w:rFonts w:hint="eastAsia" w:ascii="仿宋" w:hAnsi="仿宋" w:eastAsia="仿宋" w:cs="仿宋"/>
          <w:color w:val="000000"/>
          <w:sz w:val="32"/>
          <w:szCs w:val="32"/>
          <w:lang w:val="en-US" w:eastAsia="zh-CN"/>
        </w:rPr>
        <w:t>201</w:t>
      </w:r>
      <w:r>
        <w:rPr>
          <w:rFonts w:hint="eastAsia" w:ascii="仿宋" w:hAnsi="仿宋" w:eastAsia="仿宋" w:cs="仿宋"/>
          <w:color w:val="000000"/>
          <w:sz w:val="32"/>
          <w:szCs w:val="32"/>
        </w:rPr>
        <w:t>（款）</w:t>
      </w:r>
      <w:r>
        <w:rPr>
          <w:rFonts w:hint="eastAsia" w:ascii="仿宋" w:hAnsi="仿宋" w:eastAsia="仿宋" w:cs="仿宋"/>
          <w:color w:val="000000"/>
          <w:sz w:val="32"/>
          <w:szCs w:val="32"/>
          <w:lang w:val="en-US" w:eastAsia="zh-CN"/>
        </w:rPr>
        <w:t>02</w:t>
      </w:r>
      <w:r>
        <w:rPr>
          <w:rFonts w:hint="eastAsia" w:ascii="仿宋" w:hAnsi="仿宋" w:eastAsia="仿宋" w:cs="仿宋"/>
          <w:color w:val="000000"/>
          <w:sz w:val="32"/>
          <w:szCs w:val="32"/>
        </w:rPr>
        <w:t>（项）</w:t>
      </w:r>
      <w:r>
        <w:rPr>
          <w:rFonts w:hint="eastAsia" w:ascii="仿宋" w:hAnsi="仿宋" w:eastAsia="仿宋" w:cs="仿宋"/>
          <w:color w:val="000000"/>
          <w:sz w:val="32"/>
          <w:szCs w:val="32"/>
          <w:lang w:val="en-US" w:eastAsia="zh-CN"/>
        </w:rPr>
        <w:t>05</w:t>
      </w:r>
      <w:r>
        <w:rPr>
          <w:rFonts w:hint="eastAsia" w:ascii="仿宋" w:hAnsi="仿宋" w:eastAsia="仿宋" w:cs="仿宋"/>
          <w:color w:val="000000"/>
          <w:sz w:val="32"/>
          <w:szCs w:val="32"/>
        </w:rPr>
        <w:t>：指</w:t>
      </w:r>
      <w:r>
        <w:rPr>
          <w:rFonts w:hint="eastAsia" w:ascii="仿宋" w:hAnsi="仿宋" w:eastAsia="仿宋" w:cs="仿宋"/>
          <w:color w:val="000000"/>
          <w:sz w:val="32"/>
          <w:szCs w:val="32"/>
          <w:lang w:eastAsia="zh-CN"/>
        </w:rPr>
        <w:t>反映政协</w:t>
      </w:r>
      <w:r>
        <w:rPr>
          <w:rFonts w:hint="eastAsia" w:ascii="仿宋_GB2312" w:eastAsia="仿宋_GB2312"/>
          <w:color w:val="000000"/>
          <w:sz w:val="32"/>
          <w:szCs w:val="32"/>
          <w:lang w:eastAsia="zh-CN"/>
        </w:rPr>
        <w:t>委员开展各类视察的支出。</w:t>
      </w:r>
    </w:p>
    <w:p>
      <w:pPr>
        <w:spacing w:line="600" w:lineRule="exact"/>
        <w:ind w:firstLine="640" w:firstLineChars="200"/>
        <w:rPr>
          <w:rFonts w:hint="eastAsia" w:ascii="仿宋_GB2312" w:eastAsia="仿宋_GB2312"/>
          <w:color w:val="000000"/>
          <w:sz w:val="32"/>
          <w:szCs w:val="32"/>
        </w:rPr>
      </w:pPr>
      <w:r>
        <w:rPr>
          <w:rStyle w:val="30"/>
          <w:rFonts w:hint="eastAsia" w:ascii="仿宋" w:hAnsi="仿宋" w:eastAsia="仿宋"/>
          <w:b w:val="0"/>
          <w:bCs/>
          <w:sz w:val="32"/>
          <w:szCs w:val="32"/>
          <w:lang w:val="en-US" w:eastAsia="zh-CN"/>
        </w:rPr>
        <w:t>9.</w:t>
      </w:r>
      <w:r>
        <w:rPr>
          <w:rStyle w:val="30"/>
          <w:rFonts w:hint="eastAsia" w:ascii="仿宋" w:hAnsi="仿宋" w:eastAsia="仿宋"/>
          <w:b w:val="0"/>
          <w:bCs/>
          <w:sz w:val="32"/>
          <w:szCs w:val="32"/>
        </w:rPr>
        <w:t>参政议政</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rPr>
        <w:t>类</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lang w:val="en-US" w:eastAsia="zh-CN"/>
        </w:rPr>
        <w:t>201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反映政协为参政议政进行调研、检查等方面的支出。</w:t>
      </w:r>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b w:val="0"/>
          <w:bCs/>
          <w:sz w:val="32"/>
          <w:szCs w:val="32"/>
          <w:lang w:val="en-US" w:eastAsia="zh-CN"/>
        </w:rPr>
        <w:t>10.机关事业单位基本养老保险缴费支出</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rPr>
        <w:t>类</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反映机关事业单位实施养老保险制度由单位缴纳的基本养老保险支出。</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lang w:eastAsia="zh-CN"/>
        </w:rPr>
        <w:t>机关事业单位职业年金缴费支出</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rPr>
        <w:t>类</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06</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反映机关事业单位实施养老保险制度由单位缴纳的职业年金支出。</w:t>
      </w:r>
    </w:p>
    <w:p>
      <w:pPr>
        <w:spacing w:line="600" w:lineRule="exact"/>
        <w:ind w:firstLine="640" w:firstLineChars="200"/>
        <w:rPr>
          <w:rFonts w:hint="eastAsia" w:ascii="仿宋_GB2312" w:eastAsia="仿宋_GB2312"/>
          <w:color w:val="000000"/>
          <w:sz w:val="32"/>
          <w:szCs w:val="32"/>
          <w:lang w:eastAsia="zh-CN"/>
        </w:rPr>
      </w:pPr>
      <w:r>
        <w:rPr>
          <w:rFonts w:hint="eastAsia" w:ascii="仿宋" w:hAnsi="仿宋" w:eastAsia="仿宋"/>
          <w:b w:val="0"/>
          <w:bCs/>
          <w:sz w:val="32"/>
          <w:szCs w:val="32"/>
          <w:lang w:val="en-US" w:eastAsia="zh-CN"/>
        </w:rPr>
        <w:t>12.行政单位医疗</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rPr>
        <w:t>类</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反映财政部门集中安排的行政单位基本医疗保险缴费经费，未参加医疗保险的行政单位的公费医疗经费，按国家规定享受离休人员、红军老战士待遇人员的医疗经费。</w:t>
      </w:r>
    </w:p>
    <w:p>
      <w:pPr>
        <w:spacing w:line="600" w:lineRule="exact"/>
        <w:ind w:firstLine="640" w:firstLineChars="200"/>
        <w:rPr>
          <w:rFonts w:hint="eastAsia" w:ascii="仿宋" w:hAnsi="仿宋" w:eastAsia="仿宋"/>
          <w:b/>
          <w:color w:val="000000" w:themeColor="text1"/>
          <w:sz w:val="32"/>
          <w:szCs w:val="32"/>
        </w:rPr>
      </w:pPr>
      <w:r>
        <w:rPr>
          <w:rFonts w:hint="eastAsia" w:ascii="仿宋" w:hAnsi="仿宋" w:eastAsia="仿宋"/>
          <w:sz w:val="32"/>
          <w:szCs w:val="32"/>
          <w:lang w:val="en-US" w:eastAsia="zh-CN"/>
        </w:rPr>
        <w:t>13.</w:t>
      </w:r>
      <w:r>
        <w:rPr>
          <w:rFonts w:hint="default" w:ascii="仿宋" w:hAnsi="仿宋" w:eastAsia="仿宋"/>
          <w:sz w:val="32"/>
          <w:szCs w:val="32"/>
          <w:lang w:val="en-US" w:eastAsia="zh-CN"/>
        </w:rPr>
        <w:t>住房公积金</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rPr>
        <w:t>类</w:t>
      </w:r>
      <w:r>
        <w:rPr>
          <w:rStyle w:val="30"/>
          <w:rFonts w:hint="eastAsia" w:ascii="仿宋" w:hAnsi="仿宋" w:eastAsia="仿宋"/>
          <w:b w:val="0"/>
          <w:bCs/>
          <w:sz w:val="32"/>
          <w:szCs w:val="32"/>
          <w:lang w:eastAsia="zh-CN"/>
        </w:rPr>
        <w:t>）</w:t>
      </w:r>
      <w:r>
        <w:rPr>
          <w:rFonts w:hint="eastAsia" w:ascii="仿宋_GB2312" w:eastAsia="仿宋_GB2312"/>
          <w:color w:val="000000"/>
          <w:sz w:val="32"/>
          <w:szCs w:val="32"/>
          <w:lang w:val="en-US" w:eastAsia="zh-CN"/>
        </w:rPr>
        <w:t>221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购房补贴（类）</w:t>
      </w:r>
      <w:r>
        <w:rPr>
          <w:rFonts w:hint="eastAsia" w:ascii="仿宋_GB2312" w:eastAsia="仿宋_GB2312"/>
          <w:color w:val="000000"/>
          <w:sz w:val="32"/>
          <w:szCs w:val="32"/>
          <w:lang w:val="en-US" w:eastAsia="zh-CN"/>
        </w:rPr>
        <w:t>221</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：指</w:t>
      </w:r>
      <w:r>
        <w:rPr>
          <w:rFonts w:hint="eastAsia" w:ascii="仿宋_GB2312" w:eastAsia="仿宋_GB2312"/>
          <w:color w:val="000000"/>
          <w:sz w:val="32"/>
          <w:szCs w:val="32"/>
          <w:lang w:eastAsia="zh-CN"/>
        </w:rPr>
        <w:t>反映按房改政策规定，行政事业单位向符合条件职工（含离退休人员）、军队（含武警）向转役复原离退休人员发放的用于购买住房的补贴</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31"/>
          <w:rFonts w:ascii="黑体" w:hAnsi="黑体" w:eastAsia="黑体"/>
          <w:b w:val="0"/>
        </w:rPr>
      </w:pPr>
      <w:bookmarkStart w:id="88" w:name="_Toc15377226"/>
      <w:r>
        <w:rPr>
          <w:rFonts w:ascii="宋体"/>
          <w:b/>
          <w:color w:val="000000"/>
          <w:sz w:val="44"/>
          <w:szCs w:val="44"/>
        </w:rPr>
        <w:br w:type="page"/>
      </w:r>
      <w:bookmarkStart w:id="89" w:name="_Toc27051"/>
      <w:r>
        <w:rPr>
          <w:rFonts w:hint="eastAsia" w:ascii="黑体" w:hAnsi="黑体" w:eastAsia="黑体"/>
          <w:color w:val="000000"/>
          <w:sz w:val="44"/>
          <w:szCs w:val="44"/>
        </w:rPr>
        <w:t>第</w:t>
      </w:r>
      <w:r>
        <w:rPr>
          <w:rStyle w:val="31"/>
          <w:rFonts w:hint="eastAsia" w:ascii="黑体" w:hAnsi="黑体" w:eastAsia="黑体"/>
          <w:b w:val="0"/>
        </w:rPr>
        <w:t>四部分 附件</w:t>
      </w:r>
      <w:bookmarkEnd w:id="89"/>
    </w:p>
    <w:p>
      <w:pPr>
        <w:spacing w:line="600" w:lineRule="exact"/>
        <w:jc w:val="center"/>
        <w:outlineLvl w:val="9"/>
        <w:rPr>
          <w:rStyle w:val="31"/>
        </w:rPr>
      </w:pPr>
    </w:p>
    <w:p>
      <w:pPr>
        <w:pStyle w:val="3"/>
        <w:rPr>
          <w:rStyle w:val="31"/>
          <w:rFonts w:ascii="仿宋" w:hAnsi="仿宋" w:eastAsia="仿宋"/>
          <w:b w:val="0"/>
          <w:bCs w:val="0"/>
          <w:sz w:val="32"/>
          <w:szCs w:val="32"/>
        </w:rPr>
      </w:pPr>
      <w:bookmarkStart w:id="90" w:name="_Toc15396615"/>
      <w:bookmarkStart w:id="91" w:name="_Toc27273"/>
      <w:r>
        <w:rPr>
          <w:rStyle w:val="31"/>
          <w:rFonts w:hint="eastAsia" w:ascii="仿宋" w:hAnsi="仿宋" w:eastAsia="仿宋"/>
          <w:b w:val="0"/>
          <w:bCs w:val="0"/>
          <w:sz w:val="32"/>
          <w:szCs w:val="32"/>
        </w:rPr>
        <w:t>附件1</w:t>
      </w:r>
      <w:bookmarkEnd w:id="90"/>
      <w:bookmarkEnd w:id="91"/>
    </w:p>
    <w:p>
      <w:pPr>
        <w:spacing w:line="600" w:lineRule="exact"/>
        <w:jc w:val="center"/>
        <w:outlineLvl w:val="0"/>
        <w:rPr>
          <w:rFonts w:hint="eastAsia" w:ascii="黑体" w:hAnsi="黑体" w:eastAsia="黑体" w:cs="方正小标宋简体"/>
          <w:sz w:val="36"/>
          <w:szCs w:val="36"/>
          <w:lang w:eastAsia="zh-CN"/>
        </w:rPr>
      </w:pPr>
      <w:bookmarkStart w:id="92" w:name="_Toc10921"/>
      <w:bookmarkStart w:id="93" w:name="_Toc15396616"/>
      <w:r>
        <w:rPr>
          <w:rFonts w:hint="eastAsia" w:ascii="黑体" w:hAnsi="黑体" w:eastAsia="黑体" w:cs="方正小标宋简体"/>
          <w:sz w:val="36"/>
          <w:szCs w:val="36"/>
          <w:lang w:eastAsia="zh-CN"/>
        </w:rPr>
        <w:t>政协壤塘县委员会办公室</w:t>
      </w:r>
      <w:bookmarkEnd w:id="92"/>
    </w:p>
    <w:p>
      <w:pPr>
        <w:spacing w:line="600" w:lineRule="exact"/>
        <w:jc w:val="center"/>
        <w:outlineLvl w:val="0"/>
        <w:rPr>
          <w:rFonts w:ascii="黑体" w:hAnsi="黑体" w:eastAsia="黑体" w:cs="方正小标宋简体"/>
          <w:sz w:val="36"/>
          <w:szCs w:val="36"/>
        </w:rPr>
      </w:pPr>
      <w:bookmarkStart w:id="94" w:name="_Toc1230"/>
      <w:r>
        <w:rPr>
          <w:rFonts w:hint="eastAsia" w:ascii="黑体" w:hAnsi="黑体" w:eastAsia="黑体" w:cs="方正小标宋简体"/>
          <w:sz w:val="36"/>
          <w:szCs w:val="36"/>
        </w:rPr>
        <w:t>201</w:t>
      </w:r>
      <w:r>
        <w:rPr>
          <w:rFonts w:hint="eastAsia" w:ascii="黑体" w:hAnsi="黑体" w:eastAsia="黑体" w:cs="方正小标宋简体"/>
          <w:sz w:val="36"/>
          <w:szCs w:val="36"/>
          <w:lang w:val="en-US" w:eastAsia="zh-CN"/>
        </w:rPr>
        <w:t>9</w:t>
      </w:r>
      <w:r>
        <w:rPr>
          <w:rFonts w:hint="eastAsia" w:ascii="黑体" w:hAnsi="黑体" w:eastAsia="黑体" w:cs="方正小标宋简体"/>
          <w:sz w:val="36"/>
          <w:szCs w:val="36"/>
        </w:rPr>
        <w:t>年部门整体支出绩效评价报告</w:t>
      </w:r>
      <w:bookmarkEnd w:id="93"/>
      <w:bookmarkEnd w:id="94"/>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（一）机构组成。</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政协壤塘县委员会由办公室、民族宗教委员会、法制群团和社会工作委员会、经济科技委员会和学习文史提案委员会组成。</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（二）机构职能。</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1．主要职能。</w:t>
      </w:r>
    </w:p>
    <w:p>
      <w:pPr>
        <w:widowControl/>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中华人民共和国宪法规定中国共产党领导的多党合作和政治协商制度将长期存在和发展，其主要职能职责是：政治协商、</w:t>
      </w:r>
      <w:r>
        <w:rPr>
          <w:rFonts w:hint="eastAsia" w:ascii="仿宋" w:hAnsi="仿宋" w:eastAsia="仿宋" w:cs="仿宋"/>
          <w:kern w:val="0"/>
          <w:sz w:val="32"/>
          <w:szCs w:val="32"/>
          <w:lang w:eastAsia="zh-CN"/>
        </w:rPr>
        <w:t>民主</w:t>
      </w:r>
      <w:r>
        <w:rPr>
          <w:rFonts w:hint="eastAsia" w:ascii="仿宋" w:hAnsi="仿宋" w:eastAsia="仿宋" w:cs="仿宋"/>
          <w:kern w:val="0"/>
          <w:sz w:val="32"/>
          <w:szCs w:val="32"/>
        </w:rPr>
        <w:t>监督、参政议政。</w:t>
      </w:r>
    </w:p>
    <w:p>
      <w:pPr>
        <w:widowControl/>
        <w:spacing w:line="600" w:lineRule="exact"/>
        <w:ind w:firstLine="800" w:firstLineChars="250"/>
        <w:jc w:val="left"/>
        <w:rPr>
          <w:rFonts w:hint="eastAsia" w:ascii="仿宋" w:hAnsi="仿宋" w:eastAsia="仿宋" w:cs="仿宋"/>
          <w:sz w:val="32"/>
          <w:szCs w:val="32"/>
        </w:rPr>
      </w:pPr>
      <w:r>
        <w:rPr>
          <w:rFonts w:hint="eastAsia"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年主要工作任务是：全县政治协商、</w:t>
      </w:r>
      <w:r>
        <w:rPr>
          <w:rFonts w:hint="eastAsia" w:ascii="仿宋" w:hAnsi="仿宋" w:eastAsia="仿宋" w:cs="仿宋"/>
          <w:kern w:val="0"/>
          <w:sz w:val="32"/>
          <w:szCs w:val="32"/>
          <w:lang w:eastAsia="zh-CN"/>
        </w:rPr>
        <w:t>民主</w:t>
      </w:r>
      <w:r>
        <w:rPr>
          <w:rFonts w:hint="eastAsia" w:ascii="仿宋" w:hAnsi="仿宋" w:eastAsia="仿宋" w:cs="仿宋"/>
          <w:kern w:val="0"/>
          <w:sz w:val="32"/>
          <w:szCs w:val="32"/>
        </w:rPr>
        <w:t>监督、参政议政。</w:t>
      </w:r>
    </w:p>
    <w:p>
      <w:pPr>
        <w:numPr>
          <w:ilvl w:val="0"/>
          <w:numId w:val="0"/>
        </w:numPr>
        <w:spacing w:line="580" w:lineRule="exact"/>
        <w:ind w:leftChars="200" w:firstLine="320" w:firstLineChars="1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人员概况。</w:t>
      </w:r>
    </w:p>
    <w:p>
      <w:pPr>
        <w:widowControl/>
        <w:spacing w:line="600" w:lineRule="exact"/>
        <w:ind w:left="210" w:leftChars="100" w:firstLine="640" w:firstLineChars="200"/>
        <w:jc w:val="left"/>
        <w:rPr>
          <w:rFonts w:hint="eastAsia" w:ascii="仿宋" w:hAnsi="仿宋" w:eastAsia="仿宋" w:cs="仿宋"/>
          <w:sz w:val="32"/>
          <w:szCs w:val="32"/>
        </w:rPr>
      </w:pPr>
      <w:r>
        <w:rPr>
          <w:rFonts w:hint="eastAsia" w:ascii="仿宋" w:hAnsi="仿宋" w:eastAsia="仿宋" w:cs="仿宋"/>
          <w:kern w:val="0"/>
          <w:sz w:val="32"/>
          <w:szCs w:val="32"/>
        </w:rPr>
        <w:t>总编制</w:t>
      </w:r>
      <w:r>
        <w:rPr>
          <w:rFonts w:hint="eastAsia" w:ascii="仿宋" w:hAnsi="仿宋" w:eastAsia="仿宋" w:cs="仿宋"/>
          <w:kern w:val="0"/>
          <w:sz w:val="32"/>
          <w:szCs w:val="32"/>
          <w:u w:val="single"/>
        </w:rPr>
        <w:t xml:space="preserve"> 2</w:t>
      </w:r>
      <w:r>
        <w:rPr>
          <w:rFonts w:hint="eastAsia" w:ascii="仿宋" w:hAnsi="仿宋" w:eastAsia="仿宋" w:cs="仿宋"/>
          <w:kern w:val="0"/>
          <w:sz w:val="32"/>
          <w:szCs w:val="32"/>
          <w:u w:val="single"/>
          <w:lang w:val="en-US" w:eastAsia="zh-CN"/>
        </w:rPr>
        <w:t>7</w:t>
      </w:r>
      <w:r>
        <w:rPr>
          <w:rFonts w:hint="eastAsia" w:ascii="仿宋" w:hAnsi="仿宋" w:eastAsia="仿宋" w:cs="仿宋"/>
          <w:kern w:val="0"/>
          <w:sz w:val="32"/>
          <w:szCs w:val="32"/>
        </w:rPr>
        <w:t>名,其中:行政编制</w:t>
      </w:r>
      <w:r>
        <w:rPr>
          <w:rFonts w:hint="eastAsia" w:ascii="仿宋" w:hAnsi="仿宋" w:eastAsia="仿宋" w:cs="仿宋"/>
          <w:kern w:val="0"/>
          <w:sz w:val="32"/>
          <w:szCs w:val="32"/>
          <w:u w:val="single"/>
        </w:rPr>
        <w:t xml:space="preserve"> 2</w:t>
      </w:r>
      <w:r>
        <w:rPr>
          <w:rFonts w:hint="eastAsia" w:ascii="仿宋" w:hAnsi="仿宋" w:eastAsia="仿宋" w:cs="仿宋"/>
          <w:kern w:val="0"/>
          <w:sz w:val="32"/>
          <w:szCs w:val="32"/>
          <w:u w:val="single"/>
          <w:lang w:val="en-US" w:eastAsia="zh-CN"/>
        </w:rPr>
        <w:t>7</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名。在职人员总数</w:t>
      </w:r>
      <w:r>
        <w:rPr>
          <w:rFonts w:hint="eastAsia" w:ascii="仿宋" w:hAnsi="仿宋" w:eastAsia="仿宋" w:cs="仿宋"/>
          <w:kern w:val="0"/>
          <w:sz w:val="32"/>
          <w:szCs w:val="32"/>
          <w:u w:val="single"/>
        </w:rPr>
        <w:t>2</w:t>
      </w:r>
      <w:r>
        <w:rPr>
          <w:rFonts w:hint="eastAsia" w:ascii="仿宋" w:hAnsi="仿宋" w:eastAsia="仿宋" w:cs="仿宋"/>
          <w:kern w:val="0"/>
          <w:sz w:val="32"/>
          <w:szCs w:val="32"/>
          <w:u w:val="single"/>
          <w:lang w:val="en-US" w:eastAsia="zh-CN"/>
        </w:rPr>
        <w:t>7</w:t>
      </w:r>
      <w:r>
        <w:rPr>
          <w:rFonts w:hint="eastAsia" w:ascii="仿宋" w:hAnsi="仿宋" w:eastAsia="仿宋" w:cs="仿宋"/>
          <w:kern w:val="0"/>
          <w:sz w:val="32"/>
          <w:szCs w:val="32"/>
        </w:rPr>
        <w:t>名，其中：行政人员</w:t>
      </w:r>
      <w:r>
        <w:rPr>
          <w:rFonts w:hint="eastAsia" w:ascii="仿宋" w:hAnsi="仿宋" w:eastAsia="仿宋" w:cs="仿宋"/>
          <w:kern w:val="0"/>
          <w:sz w:val="32"/>
          <w:szCs w:val="32"/>
          <w:u w:val="single"/>
        </w:rPr>
        <w:t>2</w:t>
      </w:r>
      <w:r>
        <w:rPr>
          <w:rFonts w:hint="eastAsia" w:ascii="仿宋" w:hAnsi="仿宋" w:eastAsia="仿宋" w:cs="仿宋"/>
          <w:kern w:val="0"/>
          <w:sz w:val="32"/>
          <w:szCs w:val="32"/>
          <w:u w:val="single"/>
          <w:lang w:val="en-US" w:eastAsia="zh-CN"/>
        </w:rPr>
        <w:t>7</w:t>
      </w:r>
      <w:r>
        <w:rPr>
          <w:rFonts w:hint="eastAsia" w:ascii="仿宋" w:hAnsi="仿宋" w:eastAsia="仿宋" w:cs="仿宋"/>
          <w:kern w:val="0"/>
          <w:sz w:val="32"/>
          <w:szCs w:val="32"/>
        </w:rPr>
        <w:t>名，其他事业人员</w:t>
      </w:r>
      <w:r>
        <w:rPr>
          <w:rFonts w:hint="eastAsia" w:ascii="仿宋" w:hAnsi="仿宋" w:eastAsia="仿宋" w:cs="仿宋"/>
          <w:kern w:val="0"/>
          <w:sz w:val="32"/>
          <w:szCs w:val="32"/>
          <w:u w:val="single"/>
        </w:rPr>
        <w:t xml:space="preserve"> 0 </w:t>
      </w:r>
      <w:r>
        <w:rPr>
          <w:rFonts w:hint="eastAsia" w:ascii="仿宋" w:hAnsi="仿宋" w:eastAsia="仿宋" w:cs="仿宋"/>
          <w:kern w:val="0"/>
          <w:sz w:val="32"/>
          <w:szCs w:val="32"/>
        </w:rPr>
        <w:t>名；退休人员</w:t>
      </w:r>
      <w:r>
        <w:rPr>
          <w:rFonts w:hint="eastAsia" w:ascii="仿宋" w:hAnsi="仿宋" w:eastAsia="仿宋" w:cs="仿宋"/>
          <w:kern w:val="0"/>
          <w:sz w:val="32"/>
          <w:szCs w:val="32"/>
          <w:u w:val="single"/>
        </w:rPr>
        <w:t xml:space="preserve"> 2</w:t>
      </w:r>
      <w:r>
        <w:rPr>
          <w:rFonts w:hint="eastAsia" w:ascii="仿宋" w:hAnsi="仿宋" w:eastAsia="仿宋" w:cs="仿宋"/>
          <w:kern w:val="0"/>
          <w:sz w:val="32"/>
          <w:szCs w:val="32"/>
          <w:u w:val="single"/>
          <w:lang w:val="en-US" w:eastAsia="zh-CN"/>
        </w:rPr>
        <w:t>3</w:t>
      </w:r>
      <w:r>
        <w:rPr>
          <w:rFonts w:hint="eastAsia" w:ascii="仿宋" w:hAnsi="仿宋" w:eastAsia="仿宋" w:cs="仿宋"/>
          <w:kern w:val="0"/>
          <w:sz w:val="32"/>
          <w:szCs w:val="32"/>
        </w:rPr>
        <w:t>人已全部交机保机构。</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（一）部门财政资金收入情况。</w:t>
      </w:r>
    </w:p>
    <w:p>
      <w:pPr>
        <w:spacing w:line="600" w:lineRule="exact"/>
        <w:ind w:firstLine="640" w:firstLineChars="200"/>
        <w:outlineLvl w:val="1"/>
        <w:rPr>
          <w:rFonts w:hint="eastAsia" w:ascii="仿宋" w:hAnsi="仿宋" w:eastAsia="仿宋" w:cs="仿宋"/>
          <w:sz w:val="32"/>
          <w:szCs w:val="32"/>
        </w:rPr>
      </w:pPr>
      <w:bookmarkStart w:id="95" w:name="_Toc16063"/>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年本年收入合计</w:t>
      </w:r>
      <w:r>
        <w:rPr>
          <w:rFonts w:hint="eastAsia" w:ascii="仿宋" w:hAnsi="仿宋" w:eastAsia="仿宋" w:cs="仿宋"/>
          <w:color w:val="auto"/>
          <w:sz w:val="32"/>
          <w:szCs w:val="32"/>
          <w:lang w:val="en-US" w:eastAsia="zh-CN"/>
        </w:rPr>
        <w:t>844.41</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844.41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bookmarkEnd w:id="95"/>
    </w:p>
    <w:p>
      <w:pPr>
        <w:numPr>
          <w:ilvl w:val="0"/>
          <w:numId w:val="8"/>
        </w:num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部门财政资金支出情况。</w:t>
      </w:r>
    </w:p>
    <w:p>
      <w:pPr>
        <w:numPr>
          <w:ilvl w:val="0"/>
          <w:numId w:val="0"/>
        </w:numPr>
        <w:spacing w:line="580" w:lineRule="exact"/>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年我办本年支出合计</w:t>
      </w:r>
      <w:r>
        <w:rPr>
          <w:rFonts w:hint="eastAsia" w:ascii="仿宋" w:hAnsi="仿宋" w:eastAsia="仿宋" w:cs="仿宋"/>
          <w:color w:val="auto"/>
          <w:sz w:val="32"/>
          <w:szCs w:val="32"/>
          <w:lang w:val="en-US" w:eastAsia="zh-CN"/>
        </w:rPr>
        <w:t>848.9万</w:t>
      </w:r>
      <w:r>
        <w:rPr>
          <w:rFonts w:hint="eastAsia" w:ascii="仿宋" w:hAnsi="仿宋" w:eastAsia="仿宋" w:cs="仿宋"/>
          <w:color w:val="auto"/>
          <w:sz w:val="32"/>
          <w:szCs w:val="32"/>
        </w:rPr>
        <w:t>元，其中：基本支出</w:t>
      </w:r>
      <w:r>
        <w:rPr>
          <w:rFonts w:hint="eastAsia" w:ascii="仿宋" w:hAnsi="仿宋" w:eastAsia="仿宋" w:cs="仿宋"/>
          <w:color w:val="auto"/>
          <w:sz w:val="32"/>
          <w:szCs w:val="32"/>
          <w:lang w:val="en-US" w:eastAsia="zh-CN"/>
        </w:rPr>
        <w:t>781.93万</w:t>
      </w:r>
      <w:r>
        <w:rPr>
          <w:rFonts w:hint="eastAsia" w:ascii="仿宋" w:hAnsi="仿宋" w:eastAsia="仿宋" w:cs="仿宋"/>
          <w:color w:val="auto"/>
          <w:sz w:val="32"/>
          <w:szCs w:val="32"/>
        </w:rPr>
        <w:t>元，占</w:t>
      </w:r>
      <w:r>
        <w:rPr>
          <w:rFonts w:hint="eastAsia" w:ascii="仿宋" w:hAnsi="仿宋" w:eastAsia="仿宋" w:cs="仿宋"/>
          <w:color w:val="auto"/>
          <w:sz w:val="32"/>
          <w:szCs w:val="32"/>
          <w:lang w:val="en-US" w:eastAsia="zh-CN"/>
        </w:rPr>
        <w:t>92.11</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66.97万</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7.89</w:t>
      </w:r>
      <w:r>
        <w:rPr>
          <w:rFonts w:hint="eastAsia" w:ascii="仿宋" w:hAnsi="仿宋" w:eastAsia="仿宋" w:cs="仿宋"/>
          <w:color w:val="auto"/>
          <w:sz w:val="32"/>
          <w:szCs w:val="32"/>
        </w:rPr>
        <w:t>%；与201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75.44万</w:t>
      </w:r>
      <w:r>
        <w:rPr>
          <w:rFonts w:hint="eastAsia" w:ascii="仿宋" w:hAnsi="仿宋" w:eastAsia="仿宋" w:cs="仿宋"/>
          <w:color w:val="auto"/>
          <w:sz w:val="32"/>
          <w:szCs w:val="32"/>
        </w:rPr>
        <w:t>元，同比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8.16</w:t>
      </w:r>
      <w:r>
        <w:rPr>
          <w:rFonts w:hint="eastAsia" w:ascii="仿宋" w:hAnsi="仿宋" w:eastAsia="仿宋" w:cs="仿宋"/>
          <w:color w:val="auto"/>
          <w:sz w:val="32"/>
          <w:szCs w:val="32"/>
        </w:rPr>
        <w:t>%。</w:t>
      </w:r>
    </w:p>
    <w:p>
      <w:pPr>
        <w:numPr>
          <w:ilvl w:val="0"/>
          <w:numId w:val="0"/>
        </w:numPr>
        <w:spacing w:line="580" w:lineRule="exact"/>
        <w:ind w:left="640" w:leftChars="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部门整体预算绩效管理情况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（一）部门预算管理。</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2.财务管理上，按照国家相关法律法规，制定了机关财务、公物购置使用、接待、会务、差旅等管理制度，并严格按照制度管理和执行，防范风险，保证财政资金的安全和高效运行。</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（二）专项预算管理。</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1.严格</w:t>
      </w:r>
      <w:r>
        <w:rPr>
          <w:rFonts w:hint="eastAsia" w:ascii="仿宋" w:hAnsi="仿宋" w:eastAsia="仿宋" w:cs="仿宋"/>
          <w:sz w:val="32"/>
          <w:szCs w:val="32"/>
          <w:lang w:eastAsia="zh-CN"/>
        </w:rPr>
        <w:t>专项</w:t>
      </w:r>
      <w:r>
        <w:rPr>
          <w:rFonts w:hint="eastAsia" w:ascii="仿宋" w:hAnsi="仿宋" w:eastAsia="仿宋" w:cs="仿宋"/>
          <w:sz w:val="32"/>
          <w:szCs w:val="32"/>
        </w:rPr>
        <w:t>预算支出管理</w:t>
      </w:r>
      <w:r>
        <w:rPr>
          <w:rFonts w:hint="eastAsia" w:ascii="仿宋" w:hAnsi="仿宋" w:eastAsia="仿宋" w:cs="仿宋"/>
          <w:sz w:val="32"/>
          <w:szCs w:val="32"/>
          <w:lang w:eastAsia="zh-CN"/>
        </w:rPr>
        <w:t>，专款专用，</w:t>
      </w:r>
      <w:r>
        <w:rPr>
          <w:rFonts w:hint="eastAsia" w:ascii="仿宋" w:hAnsi="仿宋" w:eastAsia="仿宋" w:cs="仿宋"/>
          <w:sz w:val="32"/>
          <w:szCs w:val="32"/>
        </w:rPr>
        <w:t>按照预算科目和项目资金的规定使用财政资金，保障</w:t>
      </w:r>
      <w:r>
        <w:rPr>
          <w:rFonts w:hint="eastAsia" w:ascii="仿宋" w:hAnsi="仿宋" w:eastAsia="仿宋" w:cs="仿宋"/>
          <w:sz w:val="32"/>
          <w:szCs w:val="32"/>
          <w:lang w:eastAsia="zh-CN"/>
        </w:rPr>
        <w:t>专项</w:t>
      </w:r>
      <w:r>
        <w:rPr>
          <w:rFonts w:hint="eastAsia" w:ascii="仿宋" w:hAnsi="仿宋" w:eastAsia="仿宋" w:cs="仿宋"/>
          <w:sz w:val="32"/>
          <w:szCs w:val="32"/>
        </w:rPr>
        <w:t>支出的规范化、制度化。</w:t>
      </w:r>
    </w:p>
    <w:p>
      <w:pPr>
        <w:bidi w:val="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2.财务管理上，按照国家相关法律法规，制定了机关财务</w:t>
      </w:r>
      <w:r>
        <w:rPr>
          <w:rFonts w:hint="eastAsia" w:ascii="仿宋" w:hAnsi="仿宋" w:eastAsia="仿宋" w:cs="仿宋"/>
          <w:sz w:val="32"/>
          <w:szCs w:val="32"/>
          <w:lang w:eastAsia="zh-CN"/>
        </w:rPr>
        <w:t>专项会议费</w:t>
      </w:r>
      <w:r>
        <w:rPr>
          <w:rFonts w:hint="eastAsia" w:ascii="仿宋" w:hAnsi="仿宋" w:eastAsia="仿宋" w:cs="仿宋"/>
          <w:sz w:val="32"/>
          <w:szCs w:val="32"/>
        </w:rPr>
        <w:t>、差旅</w:t>
      </w:r>
      <w:r>
        <w:rPr>
          <w:rFonts w:hint="eastAsia" w:ascii="仿宋" w:hAnsi="仿宋" w:eastAsia="仿宋" w:cs="仿宋"/>
          <w:sz w:val="32"/>
          <w:szCs w:val="32"/>
          <w:lang w:eastAsia="zh-CN"/>
        </w:rPr>
        <w:t>费</w:t>
      </w:r>
      <w:r>
        <w:rPr>
          <w:rFonts w:hint="eastAsia" w:ascii="仿宋" w:hAnsi="仿宋" w:eastAsia="仿宋" w:cs="仿宋"/>
          <w:sz w:val="32"/>
          <w:szCs w:val="32"/>
        </w:rPr>
        <w:t>等管理制度，并严格按照制度管理和执行，防范风险，保证财政资金的安全和高效运行。</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（三）结果应用情况。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.本年预算配置控制较好，财政供养人员控制在预算编制以内，实际在职人员数与编制数相同；“三公”经费支出总额较上年减少。</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.预算执行方面，支出总额控制在预算总额以内，基本支出中财政政策性工资有所追加，本年部门预算未进行预算相关事项的调整；预算资金按规定管理使用，财政拨款支出总体控制较好。</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.预算管理方面，制定了切实有效的内部财务、资产内部管理制度，执行总体较为有效。</w:t>
      </w:r>
    </w:p>
    <w:p>
      <w:pPr>
        <w:bidi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四、评价结论及建议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（一）评价结论。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根据考核评分细则，</w:t>
      </w:r>
      <w:r>
        <w:rPr>
          <w:rFonts w:hint="eastAsia" w:ascii="仿宋" w:hAnsi="仿宋" w:eastAsia="仿宋" w:cs="仿宋"/>
          <w:sz w:val="32"/>
          <w:szCs w:val="32"/>
          <w:lang w:eastAsia="zh-CN"/>
        </w:rPr>
        <w:t>我办</w:t>
      </w:r>
      <w:r>
        <w:rPr>
          <w:rFonts w:hint="eastAsia" w:ascii="仿宋" w:hAnsi="仿宋" w:eastAsia="仿宋" w:cs="仿宋"/>
          <w:sz w:val="32"/>
          <w:szCs w:val="32"/>
        </w:rPr>
        <w:t>严格按照国家的相关财务管理制度规定，财务制度健全、会计核算规范，依照计划管理使用。按照部门整体支出绩效评价指标体系对照打分得出结果为</w:t>
      </w:r>
      <w:r>
        <w:rPr>
          <w:rFonts w:hint="eastAsia" w:ascii="仿宋" w:hAnsi="仿宋" w:eastAsia="仿宋" w:cs="仿宋"/>
          <w:sz w:val="32"/>
          <w:szCs w:val="32"/>
          <w:lang w:val="en-US" w:eastAsia="zh-CN"/>
        </w:rPr>
        <w:t>80</w:t>
      </w:r>
      <w:r>
        <w:rPr>
          <w:rFonts w:hint="eastAsia" w:ascii="仿宋" w:hAnsi="仿宋" w:eastAsia="仿宋" w:cs="仿宋"/>
          <w:sz w:val="32"/>
          <w:szCs w:val="32"/>
        </w:rPr>
        <w:t>分，等级为良好。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存在问题。</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是预算编制有待更严格执行</w:t>
      </w:r>
      <w:r>
        <w:rPr>
          <w:rFonts w:hint="eastAsia" w:ascii="仿宋" w:hAnsi="仿宋" w:eastAsia="仿宋" w:cs="仿宋"/>
          <w:sz w:val="32"/>
          <w:szCs w:val="32"/>
          <w:lang w:eastAsia="zh-CN"/>
        </w:rPr>
        <w:t>，</w:t>
      </w:r>
      <w:r>
        <w:rPr>
          <w:rFonts w:hint="eastAsia" w:ascii="仿宋" w:hAnsi="仿宋" w:eastAsia="仿宋" w:cs="仿宋"/>
          <w:sz w:val="32"/>
          <w:szCs w:val="32"/>
        </w:rPr>
        <w:t>预算编制与实际支出项目有的存在差异。</w:t>
      </w:r>
    </w:p>
    <w:p>
      <w:pPr>
        <w:bidi w:val="0"/>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是制度执行力</w:t>
      </w:r>
      <w:r>
        <w:rPr>
          <w:rFonts w:hint="eastAsia" w:ascii="仿宋" w:hAnsi="仿宋" w:eastAsia="仿宋" w:cs="仿宋"/>
          <w:sz w:val="32"/>
          <w:szCs w:val="32"/>
          <w:lang w:eastAsia="zh-CN"/>
        </w:rPr>
        <w:t>度有待加强。</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（三）改进建议。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rPr>
        <w:t>是按照预算规定的项目和用途严格财务审核，经费支出严格按预算规定项目的财务支出内容进行财务核算，在预算金额内严格控制费用的支出。</w:t>
      </w:r>
    </w:p>
    <w:p>
      <w:pPr>
        <w:bidi w:val="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是预算财务分析常态化，定期做好预算支出财务分析，做好部门整体支出预算评价工作</w:t>
      </w:r>
      <w:r>
        <w:rPr>
          <w:rFonts w:hint="eastAsia" w:ascii="仿宋" w:hAnsi="仿宋" w:eastAsia="仿宋" w:cs="仿宋"/>
          <w:sz w:val="32"/>
          <w:szCs w:val="32"/>
          <w:lang w:eastAsia="zh-CN"/>
        </w:rPr>
        <w:t>，</w:t>
      </w:r>
      <w:r>
        <w:rPr>
          <w:rFonts w:hint="eastAsia" w:ascii="仿宋" w:hAnsi="仿宋" w:eastAsia="仿宋" w:cs="仿宋"/>
          <w:sz w:val="32"/>
          <w:szCs w:val="32"/>
        </w:rPr>
        <w:t>完善各项适度，提升执行力。</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9"/>
        <w:rPr>
          <w:rStyle w:val="24"/>
          <w:rFonts w:ascii="黑体" w:hAnsi="黑体" w:eastAsia="黑体"/>
          <w:b w:val="0"/>
        </w:rPr>
      </w:pPr>
    </w:p>
    <w:p>
      <w:pPr>
        <w:spacing w:line="600" w:lineRule="exact"/>
        <w:jc w:val="center"/>
        <w:outlineLvl w:val="0"/>
        <w:rPr>
          <w:rStyle w:val="24"/>
          <w:rFonts w:ascii="黑体" w:hAnsi="黑体" w:eastAsia="黑体"/>
          <w:b w:val="0"/>
        </w:rPr>
      </w:pPr>
      <w:bookmarkStart w:id="96" w:name="_Toc15396618"/>
      <w:bookmarkStart w:id="97" w:name="_Toc12284"/>
      <w:r>
        <w:rPr>
          <w:rFonts w:hint="eastAsia" w:ascii="黑体" w:hAnsi="黑体" w:eastAsia="黑体"/>
          <w:color w:val="000000"/>
          <w:sz w:val="44"/>
          <w:szCs w:val="44"/>
        </w:rPr>
        <w:t>第</w:t>
      </w:r>
      <w:r>
        <w:rPr>
          <w:rStyle w:val="24"/>
          <w:rFonts w:hint="eastAsia" w:ascii="黑体" w:hAnsi="黑体" w:eastAsia="黑体"/>
          <w:b w:val="0"/>
        </w:rPr>
        <w:t>五部分 附表</w:t>
      </w:r>
      <w:bookmarkEnd w:id="88"/>
      <w:bookmarkEnd w:id="96"/>
      <w:bookmarkEnd w:id="97"/>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98" w:name="_Toc15396619"/>
      <w:bookmarkStart w:id="99" w:name="_Toc22153"/>
      <w:r>
        <w:rPr>
          <w:rFonts w:hint="eastAsia" w:ascii="仿宋" w:hAnsi="仿宋" w:eastAsia="仿宋"/>
          <w:b w:val="0"/>
          <w:color w:val="000000"/>
        </w:rPr>
        <w:t>一、收</w:t>
      </w:r>
      <w:r>
        <w:rPr>
          <w:rStyle w:val="25"/>
          <w:rFonts w:hint="eastAsia" w:ascii="仿宋" w:hAnsi="仿宋" w:eastAsia="仿宋"/>
          <w:b w:val="0"/>
          <w:bCs w:val="0"/>
        </w:rPr>
        <w:t>入支出决算总表</w:t>
      </w:r>
      <w:bookmarkEnd w:id="98"/>
      <w:bookmarkEnd w:id="99"/>
    </w:p>
    <w:p>
      <w:pPr>
        <w:pStyle w:val="3"/>
        <w:rPr>
          <w:rFonts w:ascii="仿宋" w:hAnsi="仿宋" w:eastAsia="仿宋"/>
          <w:color w:val="000000"/>
        </w:rPr>
      </w:pPr>
      <w:bookmarkStart w:id="100" w:name="_Toc15396620"/>
      <w:bookmarkStart w:id="101" w:name="_Toc11721"/>
      <w:r>
        <w:rPr>
          <w:rFonts w:hint="eastAsia" w:ascii="仿宋" w:hAnsi="仿宋" w:eastAsia="仿宋"/>
          <w:b w:val="0"/>
          <w:color w:val="000000"/>
        </w:rPr>
        <w:t>二、收</w:t>
      </w:r>
      <w:r>
        <w:rPr>
          <w:rStyle w:val="25"/>
          <w:rFonts w:hint="eastAsia" w:ascii="仿宋" w:hAnsi="仿宋" w:eastAsia="仿宋"/>
          <w:b w:val="0"/>
          <w:bCs w:val="0"/>
        </w:rPr>
        <w:t>入决算表</w:t>
      </w:r>
      <w:bookmarkEnd w:id="100"/>
      <w:bookmarkEnd w:id="101"/>
    </w:p>
    <w:p>
      <w:pPr>
        <w:pStyle w:val="3"/>
        <w:rPr>
          <w:rFonts w:ascii="仿宋" w:hAnsi="仿宋" w:eastAsia="仿宋"/>
          <w:color w:val="000000"/>
        </w:rPr>
      </w:pPr>
      <w:bookmarkStart w:id="102" w:name="_Toc15396621"/>
      <w:bookmarkStart w:id="103" w:name="_Toc23105"/>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102"/>
      <w:bookmarkEnd w:id="103"/>
    </w:p>
    <w:p>
      <w:pPr>
        <w:pStyle w:val="3"/>
        <w:rPr>
          <w:rFonts w:ascii="仿宋" w:hAnsi="仿宋" w:eastAsia="仿宋"/>
          <w:b w:val="0"/>
          <w:color w:val="000000"/>
        </w:rPr>
      </w:pPr>
      <w:bookmarkStart w:id="104" w:name="_Toc17762"/>
      <w:bookmarkStart w:id="105"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04"/>
      <w:bookmarkEnd w:id="105"/>
    </w:p>
    <w:p>
      <w:pPr>
        <w:pStyle w:val="3"/>
        <w:rPr>
          <w:rStyle w:val="25"/>
          <w:rFonts w:ascii="仿宋" w:hAnsi="仿宋" w:eastAsia="仿宋"/>
          <w:b w:val="0"/>
          <w:bCs w:val="0"/>
        </w:rPr>
      </w:pPr>
      <w:bookmarkStart w:id="106" w:name="_Toc15396623"/>
      <w:bookmarkStart w:id="107" w:name="_Toc23766"/>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06"/>
      <w:bookmarkEnd w:id="107"/>
      <w:bookmarkStart w:id="108" w:name="_Toc15396624"/>
    </w:p>
    <w:p>
      <w:pPr>
        <w:pStyle w:val="3"/>
        <w:rPr>
          <w:rFonts w:ascii="仿宋" w:hAnsi="仿宋" w:eastAsia="仿宋"/>
          <w:color w:val="000000"/>
        </w:rPr>
      </w:pPr>
      <w:bookmarkStart w:id="109" w:name="_Toc19618"/>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08"/>
      <w:bookmarkEnd w:id="109"/>
    </w:p>
    <w:p>
      <w:pPr>
        <w:pStyle w:val="3"/>
        <w:rPr>
          <w:rFonts w:ascii="仿宋" w:hAnsi="仿宋" w:eastAsia="仿宋"/>
          <w:color w:val="000000"/>
        </w:rPr>
      </w:pPr>
      <w:bookmarkStart w:id="110" w:name="_Toc22713"/>
      <w:bookmarkStart w:id="111"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10"/>
      <w:bookmarkEnd w:id="111"/>
    </w:p>
    <w:p>
      <w:pPr>
        <w:pStyle w:val="3"/>
        <w:rPr>
          <w:rFonts w:ascii="仿宋" w:hAnsi="仿宋" w:eastAsia="仿宋"/>
          <w:color w:val="000000"/>
        </w:rPr>
      </w:pPr>
      <w:bookmarkStart w:id="112" w:name="_Toc26672"/>
      <w:bookmarkStart w:id="113"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12"/>
      <w:bookmarkEnd w:id="113"/>
    </w:p>
    <w:p>
      <w:pPr>
        <w:pStyle w:val="3"/>
        <w:rPr>
          <w:rFonts w:ascii="仿宋" w:hAnsi="仿宋" w:eastAsia="仿宋"/>
          <w:color w:val="000000"/>
        </w:rPr>
      </w:pPr>
      <w:bookmarkStart w:id="114" w:name="_Toc15396627"/>
      <w:bookmarkStart w:id="115" w:name="_Toc307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14"/>
      <w:bookmarkEnd w:id="115"/>
    </w:p>
    <w:p>
      <w:pPr>
        <w:pStyle w:val="3"/>
        <w:rPr>
          <w:rFonts w:ascii="仿宋" w:hAnsi="仿宋" w:eastAsia="仿宋"/>
          <w:color w:val="000000"/>
        </w:rPr>
      </w:pPr>
      <w:bookmarkStart w:id="116" w:name="_Toc15396628"/>
      <w:bookmarkStart w:id="117" w:name="_Toc8584"/>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16"/>
      <w:bookmarkEnd w:id="117"/>
    </w:p>
    <w:p>
      <w:pPr>
        <w:pStyle w:val="3"/>
        <w:rPr>
          <w:rFonts w:ascii="仿宋" w:hAnsi="仿宋" w:eastAsia="仿宋"/>
          <w:color w:val="000000"/>
        </w:rPr>
      </w:pPr>
      <w:bookmarkStart w:id="118" w:name="_Toc15396629"/>
      <w:bookmarkStart w:id="119" w:name="_Toc14060"/>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18"/>
      <w:bookmarkEnd w:id="119"/>
    </w:p>
    <w:p>
      <w:pPr>
        <w:pStyle w:val="3"/>
        <w:rPr>
          <w:rFonts w:ascii="仿宋" w:hAnsi="仿宋" w:eastAsia="仿宋"/>
          <w:color w:val="000000"/>
        </w:rPr>
      </w:pPr>
      <w:bookmarkStart w:id="120" w:name="_Toc10797"/>
      <w:bookmarkStart w:id="12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20"/>
      <w:bookmarkEnd w:id="121"/>
    </w:p>
    <w:p>
      <w:pPr>
        <w:pStyle w:val="3"/>
        <w:rPr>
          <w:rFonts w:ascii="仿宋" w:hAnsi="仿宋" w:eastAsia="仿宋"/>
          <w:color w:val="000000" w:themeColor="text1"/>
        </w:rPr>
      </w:pPr>
      <w:bookmarkStart w:id="122" w:name="_Toc22160"/>
      <w:bookmarkStart w:id="123"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22"/>
      <w:bookmarkEnd w:id="123"/>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5CE233"/>
    <w:multiLevelType w:val="singleLevel"/>
    <w:tmpl w:val="A75CE233"/>
    <w:lvl w:ilvl="0" w:tentative="0">
      <w:start w:val="1"/>
      <w:numFmt w:val="decimal"/>
      <w:suff w:val="nothing"/>
      <w:lvlText w:val="（%1）"/>
      <w:lvlJc w:val="left"/>
    </w:lvl>
  </w:abstractNum>
  <w:abstractNum w:abstractNumId="1">
    <w:nsid w:val="B824BE66"/>
    <w:multiLevelType w:val="singleLevel"/>
    <w:tmpl w:val="B824BE66"/>
    <w:lvl w:ilvl="0" w:tentative="0">
      <w:start w:val="3"/>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1084B73"/>
    <w:multiLevelType w:val="singleLevel"/>
    <w:tmpl w:val="F1084B73"/>
    <w:lvl w:ilvl="0" w:tentative="0">
      <w:start w:val="1"/>
      <w:numFmt w:val="chineseCounting"/>
      <w:suff w:val="nothing"/>
      <w:lvlText w:val="%1、"/>
      <w:lvlJc w:val="left"/>
      <w:rPr>
        <w:rFonts w:hint="eastAsia"/>
      </w:rPr>
    </w:lvl>
  </w:abstractNum>
  <w:abstractNum w:abstractNumId="5">
    <w:nsid w:val="096CB52B"/>
    <w:multiLevelType w:val="singleLevel"/>
    <w:tmpl w:val="096CB52B"/>
    <w:lvl w:ilvl="0" w:tentative="0">
      <w:start w:val="1"/>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FEF8975"/>
    <w:multiLevelType w:val="singleLevel"/>
    <w:tmpl w:val="1FEF8975"/>
    <w:lvl w:ilvl="0" w:tentative="0">
      <w:start w:val="2"/>
      <w:numFmt w:val="chineseCounting"/>
      <w:suff w:val="nothing"/>
      <w:lvlText w:val="（%1）"/>
      <w:lvlJc w:val="left"/>
      <w:rPr>
        <w:rFonts w:hint="eastAsia"/>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85527F"/>
    <w:rsid w:val="03B23F85"/>
    <w:rsid w:val="055B3D48"/>
    <w:rsid w:val="05B15A33"/>
    <w:rsid w:val="094342F6"/>
    <w:rsid w:val="09783895"/>
    <w:rsid w:val="09FA2D36"/>
    <w:rsid w:val="0BB90D7D"/>
    <w:rsid w:val="0D052D3C"/>
    <w:rsid w:val="0E396E51"/>
    <w:rsid w:val="10C055FF"/>
    <w:rsid w:val="11552894"/>
    <w:rsid w:val="12AE60FA"/>
    <w:rsid w:val="141232C5"/>
    <w:rsid w:val="14324515"/>
    <w:rsid w:val="16BB723D"/>
    <w:rsid w:val="17C306C7"/>
    <w:rsid w:val="17F439CE"/>
    <w:rsid w:val="18A40236"/>
    <w:rsid w:val="18A61E7E"/>
    <w:rsid w:val="196E041D"/>
    <w:rsid w:val="19EE09E7"/>
    <w:rsid w:val="1AD85B56"/>
    <w:rsid w:val="1B3B0D5F"/>
    <w:rsid w:val="1BB03C2B"/>
    <w:rsid w:val="1D713CB9"/>
    <w:rsid w:val="1ECC1D42"/>
    <w:rsid w:val="1FC63415"/>
    <w:rsid w:val="210C44A6"/>
    <w:rsid w:val="216876E5"/>
    <w:rsid w:val="240371BF"/>
    <w:rsid w:val="241B6AA8"/>
    <w:rsid w:val="24CD5D35"/>
    <w:rsid w:val="2510580D"/>
    <w:rsid w:val="264B6AD0"/>
    <w:rsid w:val="26A20187"/>
    <w:rsid w:val="28396A8F"/>
    <w:rsid w:val="28471AE3"/>
    <w:rsid w:val="284D60ED"/>
    <w:rsid w:val="28D24BAF"/>
    <w:rsid w:val="292955A4"/>
    <w:rsid w:val="29CC22E8"/>
    <w:rsid w:val="29FD04D3"/>
    <w:rsid w:val="2A47570A"/>
    <w:rsid w:val="2AB71F78"/>
    <w:rsid w:val="2E3920F2"/>
    <w:rsid w:val="315E5386"/>
    <w:rsid w:val="319F7F4E"/>
    <w:rsid w:val="31E33909"/>
    <w:rsid w:val="31E80581"/>
    <w:rsid w:val="323517F7"/>
    <w:rsid w:val="337C557F"/>
    <w:rsid w:val="33B91012"/>
    <w:rsid w:val="342056B6"/>
    <w:rsid w:val="35B33FC7"/>
    <w:rsid w:val="36CE09FF"/>
    <w:rsid w:val="3796105B"/>
    <w:rsid w:val="3B2E1443"/>
    <w:rsid w:val="3FC43FF7"/>
    <w:rsid w:val="40E302F4"/>
    <w:rsid w:val="417C2890"/>
    <w:rsid w:val="422865DD"/>
    <w:rsid w:val="4300067C"/>
    <w:rsid w:val="440F75E8"/>
    <w:rsid w:val="456C5B55"/>
    <w:rsid w:val="48435DA9"/>
    <w:rsid w:val="48AE5ED0"/>
    <w:rsid w:val="48BD40CC"/>
    <w:rsid w:val="4B53121B"/>
    <w:rsid w:val="4C72404A"/>
    <w:rsid w:val="4D4B7F96"/>
    <w:rsid w:val="4EB74301"/>
    <w:rsid w:val="4ECE2238"/>
    <w:rsid w:val="4ED009C2"/>
    <w:rsid w:val="4FB612A3"/>
    <w:rsid w:val="523A352F"/>
    <w:rsid w:val="526A64F5"/>
    <w:rsid w:val="53D83374"/>
    <w:rsid w:val="545F426B"/>
    <w:rsid w:val="547600A2"/>
    <w:rsid w:val="55D6740F"/>
    <w:rsid w:val="5631010D"/>
    <w:rsid w:val="58C87628"/>
    <w:rsid w:val="59117533"/>
    <w:rsid w:val="5A305BDD"/>
    <w:rsid w:val="5B344D51"/>
    <w:rsid w:val="5C7840AF"/>
    <w:rsid w:val="5C8728D2"/>
    <w:rsid w:val="5C886872"/>
    <w:rsid w:val="5CC45676"/>
    <w:rsid w:val="5D520CB0"/>
    <w:rsid w:val="5F0449FB"/>
    <w:rsid w:val="5F112DD2"/>
    <w:rsid w:val="5F663956"/>
    <w:rsid w:val="60AB5F0E"/>
    <w:rsid w:val="617A4B7A"/>
    <w:rsid w:val="61801265"/>
    <w:rsid w:val="61AF1CA8"/>
    <w:rsid w:val="63A73F5B"/>
    <w:rsid w:val="648432A7"/>
    <w:rsid w:val="650E6BA5"/>
    <w:rsid w:val="652034AC"/>
    <w:rsid w:val="65E74CE4"/>
    <w:rsid w:val="66A55FFA"/>
    <w:rsid w:val="6915113A"/>
    <w:rsid w:val="691A28FF"/>
    <w:rsid w:val="695901A1"/>
    <w:rsid w:val="6A2178AE"/>
    <w:rsid w:val="6AF40692"/>
    <w:rsid w:val="6C4D34E9"/>
    <w:rsid w:val="6C7700B4"/>
    <w:rsid w:val="6D941B1B"/>
    <w:rsid w:val="6F672998"/>
    <w:rsid w:val="70E0042C"/>
    <w:rsid w:val="717270AC"/>
    <w:rsid w:val="72045772"/>
    <w:rsid w:val="72734D90"/>
    <w:rsid w:val="72BA1C0F"/>
    <w:rsid w:val="768D3140"/>
    <w:rsid w:val="77304A80"/>
    <w:rsid w:val="77454CB9"/>
    <w:rsid w:val="774B1B22"/>
    <w:rsid w:val="7810341F"/>
    <w:rsid w:val="79F3058E"/>
    <w:rsid w:val="7A0E063B"/>
    <w:rsid w:val="7C434A70"/>
    <w:rsid w:val="7D087088"/>
    <w:rsid w:val="7D0C1B81"/>
    <w:rsid w:val="7E722927"/>
    <w:rsid w:val="7EAD2E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15"/>
    <w:basedOn w:val="13"/>
    <w:qFormat/>
    <w:uiPriority w:val="99"/>
    <w:rPr>
      <w:rFonts w:ascii="Times New Roman" w:hAnsi="Times New Roman" w:cs="Times New Roman"/>
      <w:b/>
      <w:bCs/>
    </w:rPr>
  </w:style>
  <w:style w:type="character" w:customStyle="1" w:styleId="31">
    <w:name w:val="标题 1 Char"/>
    <w:basedOn w:val="13"/>
    <w:link w:val="2"/>
    <w:qFormat/>
    <w:uiPriority w:val="9"/>
    <w:rPr>
      <w:rFonts w:ascii="Times New Roman" w:hAnsi="Times New Roman"/>
      <w:b/>
      <w:bCs/>
      <w:kern w:val="44"/>
      <w:sz w:val="44"/>
      <w:szCs w:val="44"/>
    </w:rPr>
  </w:style>
  <w:style w:type="paragraph" w:customStyle="1" w:styleId="32">
    <w:name w:val="WPSOffice手动目录 1"/>
    <w:uiPriority w:val="0"/>
    <w:pPr>
      <w:ind w:leftChars="0"/>
    </w:pPr>
    <w:rPr>
      <w:rFonts w:ascii="Times New Roman" w:hAnsi="Times New Roman" w:eastAsia="宋体" w:cs="Times New Roman"/>
      <w:sz w:val="20"/>
      <w:szCs w:val="20"/>
    </w:rPr>
  </w:style>
  <w:style w:type="paragraph" w:customStyle="1" w:styleId="33">
    <w:name w:val="WPSOffice手动目录 2"/>
    <w:uiPriority w:val="0"/>
    <w:pPr>
      <w:ind w:leftChars="200"/>
    </w:pPr>
    <w:rPr>
      <w:rFonts w:ascii="Times New Roman" w:hAnsi="Times New Roman" w:eastAsia="宋体" w:cs="Times New Roman"/>
      <w:sz w:val="20"/>
      <w:szCs w:val="20"/>
    </w:rPr>
  </w:style>
  <w:style w:type="paragraph" w:customStyle="1" w:styleId="34">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'[新建 XLS 工作表.xls]Sheet1'!$B$3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收入决算总额</c:v>
                </c:pt>
                <c:pt idx="1">
                  <c:v>支出决算总额</c:v>
                </c:pt>
              </c:strCache>
            </c:strRef>
          </c:cat>
          <c:val>
            <c:numRef>
              <c:f>'[新建 XLS 工作表.xls]Sheet1'!$C$3:$D$3</c:f>
              <c:numCache>
                <c:formatCode>General</c:formatCode>
                <c:ptCount val="2"/>
                <c:pt idx="0">
                  <c:v>740.58</c:v>
                </c:pt>
                <c:pt idx="1">
                  <c:v>924.36</c:v>
                </c:pt>
              </c:numCache>
            </c:numRef>
          </c:val>
        </c:ser>
        <c:ser>
          <c:idx val="1"/>
          <c:order val="1"/>
          <c:tx>
            <c:strRef>
              <c:f>'[新建 XLS 工作表.xls]Sheet1'!$B$4</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收入决算总额</c:v>
                </c:pt>
                <c:pt idx="1">
                  <c:v>支出决算总额</c:v>
                </c:pt>
              </c:strCache>
            </c:strRef>
          </c:cat>
          <c:val>
            <c:numRef>
              <c:f>'[新建 XLS 工作表.xls]Sheet1'!$C$4:$D$4</c:f>
              <c:numCache>
                <c:formatCode>General</c:formatCode>
                <c:ptCount val="2"/>
                <c:pt idx="0">
                  <c:v>844.41</c:v>
                </c:pt>
                <c:pt idx="1">
                  <c:v>848.9</c:v>
                </c:pt>
              </c:numCache>
            </c:numRef>
          </c:val>
        </c:ser>
        <c:dLbls>
          <c:showLegendKey val="0"/>
          <c:showVal val="1"/>
          <c:showCatName val="0"/>
          <c:showSerName val="0"/>
          <c:showPercent val="0"/>
          <c:showBubbleSize val="0"/>
        </c:dLbls>
        <c:gapWidth val="219"/>
        <c:overlap val="-27"/>
        <c:axId val="853572561"/>
        <c:axId val="862104072"/>
      </c:barChart>
      <c:catAx>
        <c:axId val="8535725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104072"/>
        <c:crosses val="autoZero"/>
        <c:auto val="1"/>
        <c:lblAlgn val="ctr"/>
        <c:lblOffset val="100"/>
        <c:noMultiLvlLbl val="0"/>
      </c:catAx>
      <c:valAx>
        <c:axId val="862104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5725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2019年决算收入结构图</a:t>
            </a:r>
          </a:p>
        </c:rich>
      </c:tx>
      <c:layout/>
      <c:overlay val="0"/>
      <c:spPr>
        <a:noFill/>
        <a:ln>
          <a:noFill/>
        </a:ln>
        <a:effectLst/>
      </c:spPr>
    </c:title>
    <c:autoTitleDeleted val="0"/>
    <c:plotArea>
      <c:layout>
        <c:manualLayout>
          <c:layoutTarget val="inner"/>
          <c:xMode val="edge"/>
          <c:yMode val="edge"/>
          <c:x val="0.314338899534629"/>
          <c:y val="0.207901503595555"/>
          <c:w val="0.379534629071996"/>
          <c:h val="0.604244933536718"/>
        </c:manualLayout>
      </c:layout>
      <c:pieChart>
        <c:varyColors val="1"/>
        <c:ser>
          <c:idx val="0"/>
          <c:order val="0"/>
          <c:tx>
            <c:strRef>
              <c:f>'[新建 XLS 工作表.xls]Sheet1'!$B$3</c:f>
              <c:strCache>
                <c:ptCount val="1"/>
                <c:pt idx="0">
                  <c:v>2019年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财政拨款收入</c:v>
                </c:pt>
                <c:pt idx="1">
                  <c:v>其他收入</c:v>
                </c:pt>
              </c:strCache>
            </c:strRef>
          </c:cat>
          <c:val>
            <c:numRef>
              <c:f>'[新建 XLS 工作表.xls]Sheet1'!$C$3:$D$3</c:f>
              <c:numCache>
                <c:formatCode>General</c:formatCode>
                <c:ptCount val="2"/>
                <c:pt idx="0">
                  <c:v>844.41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年决算支出结构图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基本支出</c:v>
                </c:pt>
                <c:pt idx="1">
                  <c:v>项目支出</c:v>
                </c:pt>
              </c:strCache>
            </c:strRef>
          </c:cat>
          <c:val>
            <c:numRef>
              <c:f>'[新建 XLS 工作表.xls]Sheet1'!$C$3:$D$3</c:f>
              <c:numCache>
                <c:formatCode>General</c:formatCode>
                <c:ptCount val="2"/>
                <c:pt idx="0">
                  <c:v>781.93</c:v>
                </c:pt>
                <c:pt idx="1">
                  <c:v>66.97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年财政拨款收、支决算总计变动情况</a:t>
            </a:r>
            <a:endParaRPr altLang="en-US"/>
          </a:p>
        </c:rich>
      </c:tx>
      <c:layout/>
      <c:overlay val="0"/>
      <c:spPr>
        <a:noFill/>
        <a:ln>
          <a:noFill/>
        </a:ln>
        <a:effectLst/>
      </c:spPr>
    </c:title>
    <c:autoTitleDeleted val="0"/>
    <c:plotArea>
      <c:layout/>
      <c:barChart>
        <c:barDir val="col"/>
        <c:grouping val="clustered"/>
        <c:varyColors val="0"/>
        <c:ser>
          <c:idx val="0"/>
          <c:order val="0"/>
          <c:tx>
            <c:strRef>
              <c:f>'[新建 XLS 工作表.xls]Sheet1'!$B$3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财政拨款收入</c:v>
                </c:pt>
                <c:pt idx="1">
                  <c:v>财政拨款支出</c:v>
                </c:pt>
              </c:strCache>
            </c:strRef>
          </c:cat>
          <c:val>
            <c:numRef>
              <c:f>'[新建 XLS 工作表.xls]Sheet1'!$C$3:$D$3</c:f>
              <c:numCache>
                <c:formatCode>General</c:formatCode>
                <c:ptCount val="2"/>
                <c:pt idx="0">
                  <c:v>740.56</c:v>
                </c:pt>
                <c:pt idx="1">
                  <c:v>924.34</c:v>
                </c:pt>
              </c:numCache>
            </c:numRef>
          </c:val>
        </c:ser>
        <c:ser>
          <c:idx val="1"/>
          <c:order val="1"/>
          <c:tx>
            <c:strRef>
              <c:f>'[新建 XLS 工作表.xls]Sheet1'!$B$4</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财政拨款收入</c:v>
                </c:pt>
                <c:pt idx="1">
                  <c:v>财政拨款支出</c:v>
                </c:pt>
              </c:strCache>
            </c:strRef>
          </c:cat>
          <c:val>
            <c:numRef>
              <c:f>'[新建 XLS 工作表.xls]Sheet1'!$C$4:$D$4</c:f>
              <c:numCache>
                <c:formatCode>General</c:formatCode>
                <c:ptCount val="2"/>
                <c:pt idx="0">
                  <c:v>844.41</c:v>
                </c:pt>
                <c:pt idx="1">
                  <c:v>848.9</c:v>
                </c:pt>
              </c:numCache>
            </c:numRef>
          </c:val>
        </c:ser>
        <c:dLbls>
          <c:showLegendKey val="0"/>
          <c:showVal val="1"/>
          <c:showCatName val="0"/>
          <c:showSerName val="0"/>
          <c:showPercent val="0"/>
          <c:showBubbleSize val="0"/>
        </c:dLbls>
        <c:gapWidth val="219"/>
        <c:overlap val="-27"/>
        <c:axId val="258608144"/>
        <c:axId val="801328295"/>
      </c:barChart>
      <c:catAx>
        <c:axId val="2586081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1328295"/>
        <c:crosses val="autoZero"/>
        <c:auto val="1"/>
        <c:lblAlgn val="ctr"/>
        <c:lblOffset val="100"/>
        <c:noMultiLvlLbl val="0"/>
      </c:catAx>
      <c:valAx>
        <c:axId val="801328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608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一般公共预算财政拨款支出决算变动情况表</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工作表.xls]Sheet1'!$G$2:$G$3</c:f>
              <c:strCache>
                <c:ptCount val="2"/>
                <c:pt idx="0">
                  <c:v>2018年</c:v>
                </c:pt>
                <c:pt idx="1">
                  <c:v>2019年</c:v>
                </c:pt>
              </c:strCache>
            </c:strRef>
          </c:cat>
          <c:val>
            <c:numRef>
              <c:f>'[新建 XLS 工作表.xls]Sheet1'!$H$2:$H$3</c:f>
              <c:numCache>
                <c:formatCode>General</c:formatCode>
                <c:ptCount val="2"/>
                <c:pt idx="0">
                  <c:v>924.34</c:v>
                </c:pt>
                <c:pt idx="1">
                  <c:v>848.9</c:v>
                </c:pt>
              </c:numCache>
            </c:numRef>
          </c:val>
        </c:ser>
        <c:dLbls>
          <c:showLegendKey val="0"/>
          <c:showVal val="1"/>
          <c:showCatName val="0"/>
          <c:showSerName val="0"/>
          <c:showPercent val="0"/>
          <c:showBubbleSize val="0"/>
        </c:dLbls>
        <c:gapWidth val="219"/>
        <c:overlap val="-27"/>
        <c:axId val="754808216"/>
        <c:axId val="302369065"/>
      </c:barChart>
      <c:catAx>
        <c:axId val="754808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2369065"/>
        <c:crosses val="autoZero"/>
        <c:auto val="1"/>
        <c:lblAlgn val="ctr"/>
        <c:lblOffset val="100"/>
        <c:noMultiLvlLbl val="0"/>
      </c:catAx>
      <c:valAx>
        <c:axId val="30236906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808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年一般公共预算财政拨款支出结构图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工作表.xls]Sheet1'!$C$2:$F$2</c:f>
              <c:strCache>
                <c:ptCount val="4"/>
                <c:pt idx="0">
                  <c:v>一般公共服务支出</c:v>
                </c:pt>
                <c:pt idx="1">
                  <c:v>社会保障和就业支出</c:v>
                </c:pt>
                <c:pt idx="2">
                  <c:v>医疗卫生支出</c:v>
                </c:pt>
                <c:pt idx="3">
                  <c:v>住房保障支出</c:v>
                </c:pt>
              </c:strCache>
            </c:strRef>
          </c:cat>
          <c:val>
            <c:numRef>
              <c:f>'[新建 XLS 工作表.xls]Sheet1'!$C$3:$F$3</c:f>
              <c:numCache>
                <c:formatCode>General</c:formatCode>
                <c:ptCount val="4"/>
                <c:pt idx="0">
                  <c:v>686.56</c:v>
                </c:pt>
                <c:pt idx="1">
                  <c:v>87.82</c:v>
                </c:pt>
                <c:pt idx="2">
                  <c:v>25.04</c:v>
                </c:pt>
                <c:pt idx="3">
                  <c:v>49.48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a:t>
            </a:r>
            <a:r>
              <a:rPr lang="en-US" altLang="zh-CN"/>
              <a:t>“</a:t>
            </a:r>
            <a:r>
              <a:rPr altLang="en-US"/>
              <a:t>三公</a:t>
            </a:r>
            <a:r>
              <a:rPr lang="en-US" altLang="zh-CN"/>
              <a:t>”</a:t>
            </a:r>
            <a:r>
              <a:rPr altLang="en-US"/>
              <a:t>经费财政拨款支出结构图</a:t>
            </a:r>
            <a:endParaRPr lang="en-US" altLang="zh-CN"/>
          </a:p>
        </c:rich>
      </c:tx>
      <c:layout>
        <c:manualLayout>
          <c:xMode val="edge"/>
          <c:yMode val="edge"/>
          <c:x val="0.166388888888889"/>
          <c:y val="0.027777777777777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工作表.xls]Sheet1'!$C$2:$D$2</c:f>
              <c:strCache>
                <c:ptCount val="2"/>
                <c:pt idx="0">
                  <c:v>公务用车购置及运行维护费</c:v>
                </c:pt>
                <c:pt idx="1">
                  <c:v>公务接待费</c:v>
                </c:pt>
              </c:strCache>
            </c:strRef>
          </c:cat>
          <c:val>
            <c:numRef>
              <c:f>'[新建 XLS 工作表.xls]Sheet1'!$C$3:$D$3</c:f>
              <c:numCache>
                <c:formatCode>General</c:formatCode>
                <c:ptCount val="2"/>
                <c:pt idx="0">
                  <c:v>49.93</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4</TotalTime>
  <ScaleCrop>false</ScaleCrop>
  <LinksUpToDate>false</LinksUpToDate>
  <CharactersWithSpaces>8587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2020-07-23T02:58:00Z</cp:lastPrinted>
  <dcterms:modified xsi:type="dcterms:W3CDTF">2021-02-27T08:25:48Z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