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简体" w:hAnsi="方正小标宋简体" w:eastAsia="方正小标宋简体" w:cs="方正小标宋简体"/>
          <w:sz w:val="72"/>
          <w:szCs w:val="72"/>
        </w:rPr>
      </w:pPr>
      <w:bookmarkStart w:id="1" w:name="_Toc15377193"/>
      <w:bookmarkStart w:id="2" w:name="_Toc15377425"/>
      <w:bookmarkStart w:id="3" w:name="_Toc15396597"/>
      <w:bookmarkStart w:id="4" w:name="_Toc15396475"/>
      <w:bookmarkStart w:id="5"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77194"/>
      <w:bookmarkStart w:id="8" w:name="_Toc15396476"/>
      <w:bookmarkStart w:id="9" w:name="_Toc15396598"/>
      <w:bookmarkStart w:id="10" w:name="_Toc15378442"/>
      <w:r>
        <w:rPr>
          <w:rFonts w:hint="eastAsia" w:ascii="方正小标宋简体" w:eastAsia="方正小标宋简体"/>
          <w:sz w:val="72"/>
          <w:szCs w:val="72"/>
        </w:rPr>
        <w:t>阿坝州壤塘县</w:t>
      </w:r>
      <w:bookmarkEnd w:id="0"/>
      <w:bookmarkStart w:id="11" w:name="_Toc15306268"/>
      <w:r>
        <w:rPr>
          <w:rFonts w:hint="eastAsia" w:ascii="方正小标宋简体" w:eastAsia="方正小标宋简体"/>
          <w:sz w:val="72"/>
          <w:szCs w:val="72"/>
          <w:lang w:eastAsia="zh-CN"/>
        </w:rPr>
        <w:t>人民政府办公室</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7"/>
        <w:jc w:val="center"/>
        <w:rPr>
          <w:rFonts w:hAnsiTheme="minorHAnsi"/>
          <w:b w:val="0"/>
          <w:bCs w:val="0"/>
          <w:sz w:val="24"/>
          <w:szCs w:val="24"/>
        </w:rPr>
      </w:pPr>
      <w:r>
        <w:rPr>
          <w:rFonts w:hint="eastAsia" w:hAnsiTheme="minorHAnsi"/>
          <w:b w:val="0"/>
          <w:bCs w:val="0"/>
          <w:sz w:val="24"/>
          <w:szCs w:val="24"/>
        </w:rPr>
        <w:t>公开时间：2022年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19</w:t>
      </w:r>
      <w:r>
        <w:rPr>
          <w:rFonts w:hint="eastAsia" w:hAnsiTheme="minorHAnsi"/>
          <w:b w:val="0"/>
          <w:bCs w:val="0"/>
          <w:sz w:val="24"/>
          <w:szCs w:val="24"/>
        </w:rPr>
        <w:t>日</w:t>
      </w:r>
    </w:p>
    <w:p>
      <w:pPr>
        <w:pStyle w:val="17"/>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20"/>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12"/>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12"/>
        <w:tabs>
          <w:tab w:val="right" w:leader="dot" w:pos="8296"/>
        </w:tabs>
        <w:rPr>
          <w:rFonts w:hint="eastAsia" w:hAnsiTheme="minorHAnsi" w:eastAsiaTheme="minorHAnsi" w:cstheme="minorBidi"/>
          <w:i w:val="0"/>
          <w:iCs w:val="0"/>
          <w:sz w:val="21"/>
          <w:szCs w:val="22"/>
          <w:lang w:eastAsia="zh-CN"/>
        </w:rPr>
      </w:pPr>
      <w:r>
        <w:rPr>
          <w:rFonts w:ascii="仿宋" w:hAnsi="仿宋" w:eastAsia="仿宋"/>
          <w:bCs/>
          <w:color w:val="000000"/>
        </w:rPr>
        <w:t>（二）202</w:t>
      </w:r>
      <w:r>
        <w:rPr>
          <w:rFonts w:hint="eastAsia" w:ascii="仿宋" w:hAnsi="仿宋" w:eastAsia="仿宋"/>
          <w:bCs/>
          <w:color w:val="000000"/>
        </w:rPr>
        <w:t>1</w:t>
      </w:r>
      <w:r>
        <w:rPr>
          <w:rFonts w:ascii="仿宋" w:hAnsi="仿宋" w:eastAsia="仿宋"/>
          <w:bCs/>
          <w:color w:val="000000"/>
        </w:rPr>
        <w:t>年重点工作完成情况。</w:t>
      </w:r>
      <w:r>
        <w:tab/>
      </w:r>
      <w:r>
        <w:rPr>
          <w:rFonts w:hint="eastAsia"/>
          <w:lang w:val="en-US" w:eastAsia="zh-CN"/>
        </w:rPr>
        <w:t>5</w:t>
      </w:r>
    </w:p>
    <w:p>
      <w:pPr>
        <w:pStyle w:val="20"/>
        <w:tabs>
          <w:tab w:val="right" w:leader="dot" w:pos="8296"/>
        </w:tabs>
        <w:rPr>
          <w:rFonts w:hAnsiTheme="minorHAnsi" w:eastAsiaTheme="minorEastAsia" w:cstheme="minorBidi"/>
          <w:i w:val="0"/>
          <w:iC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8</w:t>
      </w:r>
    </w:p>
    <w:p>
      <w:pPr>
        <w:pStyle w:val="17"/>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rPr>
        <w:t>1</w:t>
      </w:r>
      <w:r>
        <w:rPr>
          <w:rFonts w:ascii="黑体" w:hAnsi="黑体" w:eastAsia="黑体"/>
          <w:b w:val="0"/>
          <w:bCs w:val="0"/>
        </w:rPr>
        <w:t>年度部门决算情况说明</w:t>
      </w:r>
      <w:r>
        <w:tab/>
      </w:r>
      <w:r>
        <w:rPr>
          <w:rFonts w:hint="eastAsia"/>
          <w:lang w:val="en-US" w:eastAsia="zh-CN"/>
        </w:rPr>
        <w:t>9</w:t>
      </w:r>
    </w:p>
    <w:p>
      <w:pPr>
        <w:pStyle w:val="20"/>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9</w:t>
      </w:r>
    </w:p>
    <w:p>
      <w:pPr>
        <w:pStyle w:val="20"/>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9</w:t>
      </w:r>
    </w:p>
    <w:p>
      <w:pPr>
        <w:pStyle w:val="20"/>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10</w:t>
      </w:r>
    </w:p>
    <w:p>
      <w:pPr>
        <w:pStyle w:val="20"/>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10</w:t>
      </w:r>
    </w:p>
    <w:p>
      <w:pPr>
        <w:pStyle w:val="20"/>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11</w:t>
      </w:r>
    </w:p>
    <w:p>
      <w:pPr>
        <w:pStyle w:val="12"/>
        <w:tabs>
          <w:tab w:val="right" w:leader="dot" w:pos="8296"/>
        </w:tabs>
        <w:rPr>
          <w:rFonts w:hint="eastAsia"/>
          <w:lang w:val="en-US" w:eastAsia="zh-CN"/>
        </w:rPr>
      </w:pPr>
      <w:r>
        <w:rPr>
          <w:rFonts w:ascii="仿宋" w:hAnsi="仿宋" w:eastAsia="仿宋"/>
          <w:b/>
          <w:color w:val="000000"/>
        </w:rPr>
        <w:t>（一）一般公共预算财政拨款支出决算总体情况</w:t>
      </w:r>
      <w:r>
        <w:tab/>
      </w:r>
      <w:r>
        <w:rPr>
          <w:rFonts w:hint="eastAsia"/>
          <w:lang w:val="en-US" w:eastAsia="zh-CN"/>
        </w:rPr>
        <w:t>11</w:t>
      </w:r>
    </w:p>
    <w:p>
      <w:pPr>
        <w:pStyle w:val="12"/>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（二）一般公共预算财政拨款支出决算结构情况</w:t>
      </w:r>
      <w:r>
        <w:tab/>
      </w:r>
      <w:r>
        <w:rPr>
          <w:rFonts w:hint="eastAsia"/>
          <w:lang w:val="en-US" w:eastAsia="zh-CN"/>
        </w:rPr>
        <w:t>12</w:t>
      </w:r>
    </w:p>
    <w:p>
      <w:pPr>
        <w:pStyle w:val="12"/>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13</w:t>
      </w:r>
    </w:p>
    <w:p>
      <w:pPr>
        <w:pStyle w:val="20"/>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14</w:t>
      </w:r>
    </w:p>
    <w:p>
      <w:pPr>
        <w:pStyle w:val="20"/>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15</w:t>
      </w:r>
    </w:p>
    <w:p>
      <w:pPr>
        <w:pStyle w:val="12"/>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（一）“三公”经费财政拨款支出决算总体情况说明</w:t>
      </w:r>
      <w:r>
        <w:tab/>
      </w:r>
      <w:r>
        <w:rPr>
          <w:rFonts w:hint="eastAsia"/>
          <w:lang w:val="en-US" w:eastAsia="zh-CN"/>
        </w:rPr>
        <w:t>15</w:t>
      </w:r>
    </w:p>
    <w:p>
      <w:pPr>
        <w:pStyle w:val="12"/>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15</w:t>
      </w:r>
    </w:p>
    <w:p>
      <w:pPr>
        <w:pStyle w:val="20"/>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17</w:t>
      </w:r>
    </w:p>
    <w:p>
      <w:pPr>
        <w:pStyle w:val="20"/>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17</w:t>
      </w:r>
    </w:p>
    <w:p>
      <w:pPr>
        <w:pStyle w:val="20"/>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17</w:t>
      </w:r>
    </w:p>
    <w:p>
      <w:pPr>
        <w:pStyle w:val="12"/>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17</w:t>
      </w:r>
    </w:p>
    <w:p>
      <w:pPr>
        <w:pStyle w:val="12"/>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rPr>
          <w:rFonts w:hint="eastAsia"/>
          <w:lang w:val="en-US" w:eastAsia="zh-CN"/>
        </w:rPr>
        <w:t>17</w:t>
      </w:r>
      <w:r>
        <w:fldChar w:fldCharType="end"/>
      </w:r>
    </w:p>
    <w:p>
      <w:pPr>
        <w:pStyle w:val="12"/>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（三）国有资产占有使用情况</w:t>
      </w:r>
      <w:r>
        <w:tab/>
      </w:r>
      <w:r>
        <w:rPr>
          <w:rFonts w:hint="eastAsia"/>
          <w:lang w:val="en-US" w:eastAsia="zh-CN"/>
        </w:rPr>
        <w:t>18</w:t>
      </w:r>
    </w:p>
    <w:p>
      <w:pPr>
        <w:pStyle w:val="12"/>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18</w:t>
      </w:r>
    </w:p>
    <w:p>
      <w:pPr>
        <w:pStyle w:val="17"/>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18</w:t>
      </w:r>
    </w:p>
    <w:p>
      <w:pPr>
        <w:pStyle w:val="17"/>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21</w:t>
      </w:r>
    </w:p>
    <w:p>
      <w:pPr>
        <w:pStyle w:val="17"/>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附件1</w:t>
      </w:r>
      <w:r>
        <w:tab/>
      </w:r>
      <w:r>
        <w:rPr>
          <w:rFonts w:hint="eastAsia"/>
          <w:lang w:val="en-US" w:eastAsia="zh-CN"/>
        </w:rPr>
        <w:t>21</w:t>
      </w:r>
    </w:p>
    <w:p>
      <w:pPr>
        <w:pStyle w:val="17"/>
        <w:tabs>
          <w:tab w:val="right" w:leader="dot" w:pos="8296"/>
        </w:tabs>
        <w:rPr>
          <w:rFonts w:hint="default" w:hAnsiTheme="minorHAnsi" w:eastAsiaTheme="minorHAnsi" w:cstheme="minorBidi"/>
          <w:b w:val="0"/>
          <w:bCs w:val="0"/>
          <w:caps w:val="0"/>
          <w:sz w:val="21"/>
          <w:szCs w:val="22"/>
          <w:lang w:val="en-US" w:eastAsia="zh-CN"/>
        </w:rPr>
      </w:pPr>
      <w:r>
        <w:rPr>
          <w:rFonts w:hint="eastAsia" w:ascii="方正小标宋简体" w:hAnsi="黑体" w:eastAsia="方正小标宋简体" w:cs="黑体"/>
          <w:lang w:eastAsia="zh-CN"/>
        </w:rPr>
        <w:t>壤塘县人民政府办公室</w:t>
      </w:r>
      <w:r>
        <w:rPr>
          <w:rFonts w:ascii="方正小标宋简体" w:hAnsi="黑体" w:eastAsia="方正小标宋简体" w:cs="黑体"/>
        </w:rPr>
        <w:t>部门202</w:t>
      </w:r>
      <w:r>
        <w:rPr>
          <w:rFonts w:hint="eastAsia" w:ascii="方正小标宋简体" w:hAnsi="黑体" w:eastAsia="方正小标宋简体" w:cs="黑体"/>
        </w:rPr>
        <w:t>1</w:t>
      </w:r>
      <w:r>
        <w:rPr>
          <w:rFonts w:ascii="方正小标宋简体" w:hAnsi="黑体" w:eastAsia="方正小标宋简体" w:cs="黑体"/>
        </w:rPr>
        <w:t>年部门整体支出绩效评价报告</w:t>
      </w:r>
      <w:r>
        <w:tab/>
      </w:r>
      <w:r>
        <w:rPr>
          <w:rFonts w:hint="eastAsia"/>
          <w:lang w:val="en-US" w:eastAsia="zh-CN"/>
        </w:rPr>
        <w:t>21</w:t>
      </w:r>
    </w:p>
    <w:p>
      <w:pPr>
        <w:pStyle w:val="17"/>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附件2</w:t>
      </w:r>
      <w:r>
        <w:tab/>
      </w:r>
      <w:r>
        <w:rPr>
          <w:rFonts w:hint="eastAsia"/>
          <w:lang w:val="en-US" w:eastAsia="zh-CN"/>
        </w:rPr>
        <w:t>25</w:t>
      </w:r>
    </w:p>
    <w:p>
      <w:pPr>
        <w:pStyle w:val="17"/>
        <w:tabs>
          <w:tab w:val="right" w:leader="dot" w:pos="8296"/>
        </w:tabs>
        <w:rPr>
          <w:rFonts w:hint="default" w:hAnsiTheme="minorHAnsi" w:eastAsiaTheme="minorHAnsi" w:cstheme="minorBidi"/>
          <w:b w:val="0"/>
          <w:bCs w:val="0"/>
          <w:caps w:val="0"/>
          <w:sz w:val="21"/>
          <w:szCs w:val="22"/>
          <w:lang w:val="en-US" w:eastAsia="zh-CN"/>
        </w:rPr>
      </w:pPr>
      <w:r>
        <w:rPr>
          <w:rFonts w:hint="eastAsia" w:ascii="方正小标宋简体" w:hAnsi="黑体" w:eastAsia="方正小标宋简体" w:cs="黑体"/>
          <w:lang w:eastAsia="zh-CN"/>
        </w:rPr>
        <w:t>壤塘县人民政府办公室</w:t>
      </w:r>
      <w:r>
        <w:rPr>
          <w:rFonts w:ascii="方正小标宋简体" w:hAnsi="黑体" w:eastAsia="方正小标宋简体" w:cs="黑体"/>
        </w:rPr>
        <w:t>项目202</w:t>
      </w:r>
      <w:r>
        <w:rPr>
          <w:rFonts w:hint="eastAsia" w:ascii="方正小标宋简体" w:hAnsi="黑体" w:eastAsia="方正小标宋简体" w:cs="黑体"/>
        </w:rPr>
        <w:t>1</w:t>
      </w:r>
      <w:r>
        <w:rPr>
          <w:rFonts w:ascii="方正小标宋简体" w:hAnsi="黑体" w:eastAsia="方正小标宋简体" w:cs="黑体"/>
        </w:rPr>
        <w:t>年绩效评价报告</w:t>
      </w:r>
      <w:r>
        <w:tab/>
      </w:r>
      <w:r>
        <w:rPr>
          <w:rFonts w:hint="eastAsia"/>
          <w:lang w:val="en-US" w:eastAsia="zh-CN"/>
        </w:rPr>
        <w:t>25</w:t>
      </w:r>
    </w:p>
    <w:p>
      <w:pPr>
        <w:pStyle w:val="17"/>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rPr>
          <w:rFonts w:hint="eastAsia"/>
          <w:lang w:val="en-US" w:eastAsia="zh-CN"/>
        </w:rPr>
        <w:t>28</w:t>
      </w:r>
    </w:p>
    <w:p>
      <w:pPr>
        <w:pStyle w:val="20"/>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28</w:t>
      </w:r>
    </w:p>
    <w:p>
      <w:r>
        <w:rPr>
          <w:rFonts w:asciiTheme="minorHAnsi" w:eastAsiaTheme="minorHAnsi"/>
          <w:b/>
          <w:bCs/>
          <w:caps/>
          <w:sz w:val="20"/>
          <w:szCs w:val="20"/>
        </w:rPr>
        <w:fldChar w:fldCharType="end"/>
      </w:r>
    </w:p>
    <w:p>
      <w:pPr>
        <w:pStyle w:val="4"/>
        <w:ind w:firstLine="440" w:firstLineChars="100"/>
        <w:jc w:val="both"/>
        <w:rPr>
          <w:rFonts w:hint="eastAsia" w:ascii="黑体" w:hAnsi="黑体" w:eastAsia="黑体"/>
          <w:b w:val="0"/>
        </w:rPr>
      </w:pPr>
      <w:bookmarkStart w:id="12" w:name="_Toc15396600"/>
      <w:bookmarkStart w:id="13" w:name="_Toc79163852"/>
      <w:bookmarkStart w:id="14" w:name="_Toc79163602"/>
      <w:bookmarkStart w:id="15" w:name="_Toc15377197"/>
    </w:p>
    <w:p>
      <w:pPr>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4"/>
        <w:ind w:firstLine="2200" w:firstLineChars="500"/>
        <w:jc w:val="both"/>
        <w:rPr>
          <w:rFonts w:hint="eastAsia" w:ascii="黑体" w:hAnsi="黑体" w:eastAsia="黑体"/>
          <w:b w:val="0"/>
        </w:rPr>
      </w:pPr>
    </w:p>
    <w:p>
      <w:pPr>
        <w:pStyle w:val="4"/>
        <w:ind w:firstLine="2200" w:firstLineChars="500"/>
        <w:jc w:val="both"/>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p>
    <w:p>
      <w:pPr>
        <w:pStyle w:val="5"/>
        <w:rPr>
          <w:rStyle w:val="28"/>
          <w:rFonts w:ascii="仿宋" w:hAnsi="仿宋" w:eastAsia="仿宋"/>
          <w:b w:val="0"/>
          <w:bCs w:val="0"/>
        </w:rPr>
      </w:pPr>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2"/>
      <w:bookmarkEnd w:id="13"/>
      <w:bookmarkEnd w:id="14"/>
      <w:bookmarkEnd w:id="15"/>
    </w:p>
    <w:p>
      <w:pPr>
        <w:pStyle w:val="9"/>
        <w:adjustRightInd w:val="0"/>
        <w:snapToGrid w:val="0"/>
        <w:spacing w:before="93" w:line="600" w:lineRule="exact"/>
        <w:ind w:firstLine="672" w:firstLineChars="210"/>
        <w:outlineLvl w:val="2"/>
        <w:rPr>
          <w:rFonts w:hint="eastAsia" w:ascii="仿宋_GB2312" w:hAnsi="仿宋_GB2312" w:eastAsia="仿宋_GB2312" w:cs="仿宋_GB2312"/>
          <w:i w:val="0"/>
          <w:iCs w:val="0"/>
          <w:caps w:val="0"/>
          <w:color w:val="000000" w:themeColor="text1"/>
          <w:spacing w:val="0"/>
          <w:sz w:val="32"/>
          <w:szCs w:val="32"/>
        </w:rPr>
      </w:pPr>
      <w:bookmarkStart w:id="16" w:name="_Toc79163853"/>
      <w:bookmarkStart w:id="17" w:name="_Toc79163603"/>
      <w:bookmarkStart w:id="18" w:name="_Toc15378445"/>
      <w:bookmarkStart w:id="19" w:name="_Toc15377198"/>
      <w:r>
        <w:rPr>
          <w:rFonts w:hint="eastAsia" w:ascii="仿宋_GB2312" w:hAnsi="仿宋_GB2312" w:eastAsia="仿宋_GB2312" w:cs="仿宋_GB2312"/>
          <w:bCs/>
          <w:color w:val="000000"/>
          <w:sz w:val="32"/>
          <w:szCs w:val="32"/>
        </w:rPr>
        <w:t>（一）主要职能。</w:t>
      </w:r>
      <w:bookmarkEnd w:id="16"/>
      <w:bookmarkEnd w:id="17"/>
      <w:bookmarkEnd w:id="18"/>
      <w:bookmarkEnd w:id="19"/>
      <w:r>
        <w:rPr>
          <w:rFonts w:hint="eastAsia" w:ascii="仿宋_GB2312" w:hAnsi="仿宋_GB2312" w:eastAsia="仿宋_GB2312" w:cs="仿宋_GB2312"/>
          <w:i w:val="0"/>
          <w:iCs w:val="0"/>
          <w:caps w:val="0"/>
          <w:color w:val="000000" w:themeColor="text1"/>
          <w:spacing w:val="0"/>
          <w:sz w:val="32"/>
          <w:szCs w:val="32"/>
          <w:shd w:val="clear" w:fill="FFFFFF"/>
        </w:rPr>
        <w:t>负责组织起草或审核以县政府、县政府办公室名义发布的公文。办理州政府、州政府办公室及各委、局发送县政府的文电。指导全县行政机关公文处理工作。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shd w:val="clear" w:fill="FFFFFF"/>
        </w:rPr>
        <w:t>研究县政府部门和各乡镇人民政府请示县政府的事项，提出审核意见，报县政府审批。负责县政府会议的准备工作，协助县政府组织实施会议决定事项。根据县政府领导指示，对县政府部门间争议问题提出处理意见和建议，报县政府决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shd w:val="clear" w:fill="FFFFFF"/>
        </w:rPr>
        <w:t>督促检查县政府各部门和各乡镇人民政府对县政府决定事项及县政府领导指示的贯彻落实情况，及时向县政府报告</w:t>
      </w:r>
      <w:r>
        <w:rPr>
          <w:rFonts w:hint="eastAsia" w:ascii="仿宋_GB2312" w:hAnsi="仿宋_GB2312" w:eastAsia="仿宋_GB2312" w:cs="仿宋_GB2312"/>
          <w:i w:val="0"/>
          <w:iCs w:val="0"/>
          <w:caps w:val="0"/>
          <w:color w:val="000000" w:themeColor="text1"/>
          <w:spacing w:val="0"/>
          <w:sz w:val="32"/>
          <w:szCs w:val="32"/>
          <w:shd w:val="clear" w:fill="FFFFFF"/>
          <w:lang w:eastAsia="zh-CN"/>
        </w:rPr>
        <w:t>。</w:t>
      </w:r>
      <w:r>
        <w:rPr>
          <w:rFonts w:hint="eastAsia" w:ascii="仿宋_GB2312" w:hAnsi="仿宋_GB2312" w:eastAsia="仿宋_GB2312" w:cs="仿宋_GB2312"/>
          <w:i w:val="0"/>
          <w:iCs w:val="0"/>
          <w:caps w:val="0"/>
          <w:color w:val="000000" w:themeColor="text1"/>
          <w:spacing w:val="0"/>
          <w:sz w:val="32"/>
          <w:szCs w:val="32"/>
          <w:shd w:val="clear" w:fill="FFFFFF"/>
        </w:rPr>
        <w:t>负责县政府值班工作，及时向县政府报告重要情况，协助处理县政府各部门和各乡镇政府向县政府反映的重要问题。指导全县应急管理工作，协助县政府组织处理突发事件和重大事故</w:t>
      </w:r>
      <w:r>
        <w:rPr>
          <w:rFonts w:hint="eastAsia" w:ascii="仿宋_GB2312" w:hAnsi="仿宋_GB2312" w:eastAsia="仿宋_GB2312" w:cs="仿宋_GB2312"/>
          <w:i w:val="0"/>
          <w:iCs w:val="0"/>
          <w:caps w:val="0"/>
          <w:color w:val="000000" w:themeColor="text1"/>
          <w:spacing w:val="0"/>
          <w:sz w:val="32"/>
          <w:szCs w:val="32"/>
          <w:shd w:val="clear" w:fill="FFFFFF"/>
          <w:lang w:eastAsia="zh-CN"/>
        </w:rPr>
        <w:t>。</w:t>
      </w:r>
      <w:r>
        <w:rPr>
          <w:rFonts w:hint="eastAsia" w:ascii="仿宋_GB2312" w:hAnsi="仿宋_GB2312" w:eastAsia="仿宋_GB2312" w:cs="仿宋_GB2312"/>
          <w:i w:val="0"/>
          <w:iCs w:val="0"/>
          <w:caps w:val="0"/>
          <w:color w:val="000000" w:themeColor="text1"/>
          <w:spacing w:val="0"/>
          <w:sz w:val="32"/>
          <w:szCs w:val="32"/>
          <w:shd w:val="clear" w:fill="FFFFFF"/>
        </w:rPr>
        <w:t>负责政务服务中心“两集中、两到位”的协调管理工作。受理公民、法人或其他组织向未在服务中心设立窗口的部门就行政审批事项递交的申请，并转交有关部门依法办理。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围绕县政府中心工作，组织专题调查研究，及时反映情况</w:t>
      </w:r>
      <w:r>
        <w:rPr>
          <w:rFonts w:hint="eastAsia" w:ascii="仿宋_GB2312" w:hAnsi="仿宋_GB2312" w:eastAsia="仿宋_GB2312" w:cs="仿宋_GB2312"/>
          <w:i w:val="0"/>
          <w:iCs w:val="0"/>
          <w:caps w:val="0"/>
          <w:color w:val="000000" w:themeColor="text1"/>
          <w:spacing w:val="0"/>
          <w:sz w:val="32"/>
          <w:szCs w:val="32"/>
          <w:shd w:val="clear" w:fill="FFFFFF"/>
          <w:lang w:eastAsia="zh-CN"/>
        </w:rPr>
        <w:t>，</w:t>
      </w:r>
      <w:r>
        <w:rPr>
          <w:rFonts w:hint="eastAsia" w:ascii="仿宋_GB2312" w:hAnsi="仿宋_GB2312" w:eastAsia="仿宋_GB2312" w:cs="仿宋_GB2312"/>
          <w:i w:val="0"/>
          <w:iCs w:val="0"/>
          <w:caps w:val="0"/>
          <w:color w:val="000000" w:themeColor="text1"/>
          <w:spacing w:val="0"/>
          <w:sz w:val="32"/>
          <w:szCs w:val="32"/>
          <w:shd w:val="clear" w:fill="FFFFFF"/>
        </w:rPr>
        <w:t>提出建议。做好行政事务工作，为县政府领导作好服务。组织办理人大代表建议和政协委员提案工作。配合搞好人大代表、政协委员的考察调研工作。指导和协调县政府信息公开和政务公开工作，制定全县信息化发展规划，推进信息化应用工作，制定全县信息资源开发利用规则，对全县信息资源进行整合；指导、监督全县政府系统电子政务工作和政府网站建设；负责全县政府系统办公自动化建设的规划及业务指导工作。组织实施政府法制工作。制定和实施人民防空建设与城市建设相结合规划，指导全县人民防空和民防工作。制订和规范采购制度，严格按采购程序办理各项采购事务，认真受理各采购单位的采购事项。负责外事侨务工作。负责机关行政效能建设工作，履行应急职守、信息汇总和综合协调职责，发挥运转枢纽作用。负责全县机关事业单位公务用车管理工作。承担县政府公布的行政审批事项。承办县政府交办的其他事项。</w:t>
      </w:r>
      <w:bookmarkStart w:id="20" w:name="_Toc15378446"/>
      <w:bookmarkStart w:id="21" w:name="_Toc79163604"/>
      <w:bookmarkStart w:id="22" w:name="_Toc15377199"/>
      <w:bookmarkStart w:id="23" w:name="_Toc79163854"/>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（二）2021年重点工作完成情况。</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20" w:lineRule="exact"/>
        <w:ind w:left="0" w:right="23" w:firstLine="640" w:firstLineChars="200"/>
        <w:jc w:val="both"/>
        <w:textAlignment w:val="auto"/>
        <w:rPr>
          <w:rFonts w:hint="eastAsia" w:ascii="Times New Roman" w:hAnsi="Times New Roman" w:eastAsia="仿宋_GB2312" w:cs="Times New Roman"/>
          <w:bCs/>
          <w:color w:val="auto"/>
          <w:sz w:val="32"/>
          <w:szCs w:val="32"/>
          <w:shd w:val="clear" w:color="auto" w:fill="FFFFFF"/>
          <w:lang w:eastAsia="zh-CN" w:bidi="ar-SA"/>
        </w:rPr>
      </w:pPr>
      <w:r>
        <w:rPr>
          <w:rFonts w:hint="eastAsia" w:ascii="黑体" w:eastAsia="黑体" w:cs="黑体"/>
          <w:color w:val="auto"/>
          <w:sz w:val="32"/>
          <w:szCs w:val="32"/>
          <w:lang w:val="en-US" w:eastAsia="zh-CN" w:bidi="ar-SA"/>
        </w:rPr>
        <w:t>1、</w:t>
      </w:r>
      <w:r>
        <w:rPr>
          <w:rFonts w:hint="eastAsia" w:ascii="黑体" w:eastAsia="黑体" w:cs="黑体"/>
          <w:color w:val="auto"/>
          <w:sz w:val="32"/>
          <w:szCs w:val="32"/>
          <w:lang w:eastAsia="zh-CN" w:bidi="ar-SA"/>
        </w:rPr>
        <w:t>坚定政治方向，党建引领开新局。</w:t>
      </w:r>
      <w:r>
        <w:rPr>
          <w:rFonts w:ascii="Times New Roman" w:hAnsi="Times New Roman" w:eastAsia="楷体_GB2312" w:cs="Times New Roman"/>
          <w:b/>
          <w:bCs/>
          <w:color w:val="auto"/>
          <w:sz w:val="32"/>
          <w:szCs w:val="32"/>
          <w:lang w:bidi="ar-SA"/>
        </w:rPr>
        <w:t>一是</w:t>
      </w:r>
      <w:r>
        <w:rPr>
          <w:rFonts w:hint="eastAsia" w:ascii="Times New Roman" w:hAnsi="Times New Roman" w:eastAsia="楷体_GB2312" w:cs="Times New Roman"/>
          <w:b/>
          <w:bCs/>
          <w:color w:val="auto"/>
          <w:sz w:val="32"/>
          <w:szCs w:val="32"/>
          <w:lang w:eastAsia="zh-CN" w:bidi="ar-SA"/>
        </w:rPr>
        <w:t>突出政治</w:t>
      </w:r>
      <w:r>
        <w:rPr>
          <w:rFonts w:ascii="Times New Roman" w:hAnsi="Times New Roman" w:eastAsia="楷体_GB2312" w:cs="Times New Roman"/>
          <w:b/>
          <w:bCs/>
          <w:color w:val="auto"/>
          <w:sz w:val="32"/>
          <w:szCs w:val="32"/>
          <w:lang w:bidi="ar-SA"/>
        </w:rPr>
        <w:t>站位，</w:t>
      </w:r>
      <w:r>
        <w:rPr>
          <w:rFonts w:hint="eastAsia" w:ascii="Times New Roman" w:hAnsi="Times New Roman" w:eastAsia="楷体_GB2312" w:cs="Times New Roman"/>
          <w:b/>
          <w:bCs/>
          <w:color w:val="auto"/>
          <w:sz w:val="32"/>
          <w:szCs w:val="32"/>
          <w:lang w:eastAsia="zh-CN" w:bidi="ar-SA"/>
        </w:rPr>
        <w:t>旗帜鲜明讲政治</w:t>
      </w:r>
      <w:r>
        <w:rPr>
          <w:rFonts w:ascii="Times New Roman" w:hAnsi="Times New Roman" w:eastAsia="楷体_GB2312" w:cs="Times New Roman"/>
          <w:b/>
          <w:bCs/>
          <w:color w:val="auto"/>
          <w:sz w:val="32"/>
          <w:szCs w:val="32"/>
          <w:lang w:bidi="ar-SA"/>
        </w:rPr>
        <w:t>。</w:t>
      </w:r>
      <w:r>
        <w:rPr>
          <w:rFonts w:ascii="Times New Roman" w:hAnsi="Times New Roman" w:eastAsia="仿宋_GB2312" w:cs="Times New Roman"/>
          <w:color w:val="auto"/>
          <w:sz w:val="32"/>
          <w:szCs w:val="32"/>
          <w:lang w:bidi="ar-SA"/>
        </w:rPr>
        <w:t>严格执行党的政治路线，教育引导</w:t>
      </w:r>
      <w:r>
        <w:rPr>
          <w:rFonts w:hint="eastAsia" w:ascii="Times New Roman" w:hAnsi="Times New Roman" w:eastAsia="仿宋_GB2312" w:cs="Times New Roman"/>
          <w:color w:val="auto"/>
          <w:sz w:val="32"/>
          <w:szCs w:val="32"/>
          <w:lang w:eastAsia="zh-CN" w:bidi="ar-SA"/>
        </w:rPr>
        <w:t>全体干部职工深入</w:t>
      </w:r>
      <w:r>
        <w:rPr>
          <w:rFonts w:hint="eastAsia" w:ascii="Times New Roman" w:hAnsi="Times New Roman" w:eastAsia="仿宋_GB2312" w:cs="Times New Roman"/>
          <w:color w:val="auto"/>
          <w:sz w:val="32"/>
          <w:szCs w:val="32"/>
          <w:lang w:bidi="ar-SA"/>
        </w:rPr>
        <w:t>学习习近平新时代中国特色社会主义思想，</w:t>
      </w:r>
      <w:r>
        <w:rPr>
          <w:rFonts w:hint="eastAsia" w:ascii="Times New Roman" w:hAnsi="Times New Roman" w:eastAsia="仿宋_GB2312" w:cs="Times New Roman"/>
          <w:color w:val="auto"/>
          <w:sz w:val="32"/>
          <w:szCs w:val="32"/>
          <w:lang w:eastAsia="zh-CN" w:bidi="ar-SA"/>
        </w:rPr>
        <w:t>全面</w:t>
      </w:r>
      <w:r>
        <w:rPr>
          <w:rFonts w:hint="eastAsia" w:ascii="Times New Roman" w:hAnsi="Times New Roman" w:eastAsia="仿宋_GB2312" w:cs="Times New Roman"/>
          <w:color w:val="auto"/>
          <w:sz w:val="32"/>
          <w:szCs w:val="32"/>
          <w:lang w:bidi="ar-SA"/>
        </w:rPr>
        <w:t>贯彻</w:t>
      </w:r>
      <w:r>
        <w:rPr>
          <w:rFonts w:hint="eastAsia" w:ascii="Times New Roman" w:hAnsi="Times New Roman" w:eastAsia="仿宋_GB2312" w:cs="Times New Roman"/>
          <w:color w:val="auto"/>
          <w:sz w:val="32"/>
          <w:szCs w:val="32"/>
          <w:lang w:eastAsia="zh-CN" w:bidi="ar-SA"/>
        </w:rPr>
        <w:t>党的</w:t>
      </w:r>
      <w:r>
        <w:rPr>
          <w:rFonts w:hint="eastAsia" w:ascii="Times New Roman" w:hAnsi="Times New Roman" w:eastAsia="仿宋_GB2312" w:cs="Times New Roman"/>
          <w:color w:val="auto"/>
          <w:sz w:val="32"/>
          <w:szCs w:val="32"/>
          <w:lang w:bidi="ar-SA"/>
        </w:rPr>
        <w:t>十九大和十九届二中、三中、四中、五中</w:t>
      </w:r>
      <w:r>
        <w:rPr>
          <w:rFonts w:hint="eastAsia" w:ascii="Times New Roman" w:hAnsi="Times New Roman" w:eastAsia="仿宋_GB2312" w:cs="Times New Roman"/>
          <w:color w:val="auto"/>
          <w:sz w:val="32"/>
          <w:szCs w:val="32"/>
          <w:lang w:eastAsia="zh-CN" w:bidi="ar-SA"/>
        </w:rPr>
        <w:t>、六中</w:t>
      </w:r>
      <w:r>
        <w:rPr>
          <w:rFonts w:hint="eastAsia" w:ascii="Times New Roman" w:hAnsi="Times New Roman" w:eastAsia="仿宋_GB2312" w:cs="Times New Roman"/>
          <w:color w:val="auto"/>
          <w:sz w:val="32"/>
          <w:szCs w:val="32"/>
          <w:lang w:bidi="ar-SA"/>
        </w:rPr>
        <w:t>全会</w:t>
      </w:r>
      <w:r>
        <w:rPr>
          <w:rFonts w:hint="eastAsia" w:ascii="Times New Roman" w:hAnsi="Times New Roman" w:eastAsia="仿宋_GB2312" w:cs="Times New Roman"/>
          <w:color w:val="auto"/>
          <w:sz w:val="32"/>
          <w:szCs w:val="32"/>
          <w:lang w:eastAsia="zh-CN" w:bidi="ar-SA"/>
        </w:rPr>
        <w:t>以及县委党代会</w:t>
      </w:r>
      <w:r>
        <w:rPr>
          <w:rFonts w:hint="eastAsia" w:ascii="Times New Roman" w:hAnsi="Times New Roman" w:eastAsia="仿宋_GB2312" w:cs="Times New Roman"/>
          <w:color w:val="auto"/>
          <w:sz w:val="32"/>
          <w:szCs w:val="32"/>
          <w:lang w:bidi="ar-SA"/>
        </w:rPr>
        <w:t>精神，不断增强“四个意识”、坚定“四个自信”、做到“两个维护”，</w:t>
      </w:r>
      <w:r>
        <w:rPr>
          <w:rFonts w:hint="eastAsia" w:ascii="Times New Roman" w:hAnsi="Times New Roman" w:eastAsia="仿宋_GB2312" w:cs="Times New Roman"/>
          <w:color w:val="auto"/>
          <w:sz w:val="32"/>
          <w:szCs w:val="32"/>
          <w:lang w:eastAsia="zh-CN" w:bidi="ar-SA"/>
        </w:rPr>
        <w:t>切实提升</w:t>
      </w:r>
      <w:r>
        <w:rPr>
          <w:rFonts w:hint="eastAsia" w:ascii="Times New Roman" w:hAnsi="Times New Roman" w:eastAsia="仿宋_GB2312" w:cs="Times New Roman"/>
          <w:color w:val="auto"/>
          <w:sz w:val="32"/>
          <w:szCs w:val="32"/>
          <w:lang w:bidi="ar-SA"/>
        </w:rPr>
        <w:t>政治判断力、政治领悟力、政治执行力，始终</w:t>
      </w:r>
      <w:r>
        <w:rPr>
          <w:rFonts w:hint="eastAsia" w:ascii="Times New Roman" w:hAnsi="Times New Roman" w:eastAsia="仿宋_GB2312" w:cs="Times New Roman"/>
          <w:color w:val="auto"/>
          <w:sz w:val="32"/>
          <w:szCs w:val="32"/>
          <w:lang w:eastAsia="zh-CN" w:bidi="ar-SA"/>
        </w:rPr>
        <w:t>在思想上、政治上、行动上</w:t>
      </w:r>
      <w:r>
        <w:rPr>
          <w:rFonts w:hint="eastAsia" w:ascii="Times New Roman" w:hAnsi="Times New Roman" w:eastAsia="仿宋_GB2312" w:cs="Times New Roman"/>
          <w:color w:val="auto"/>
          <w:sz w:val="32"/>
          <w:szCs w:val="32"/>
          <w:lang w:bidi="ar-SA"/>
        </w:rPr>
        <w:t>同以习近平同志为核心的</w:t>
      </w:r>
      <w:r>
        <w:rPr>
          <w:rFonts w:hint="eastAsia" w:ascii="Times New Roman" w:hAnsi="Times New Roman" w:eastAsia="仿宋_GB2312" w:cs="Times New Roman"/>
          <w:color w:val="auto"/>
          <w:sz w:val="32"/>
          <w:szCs w:val="32"/>
          <w:lang w:eastAsia="zh-CN" w:bidi="ar-SA"/>
        </w:rPr>
        <w:t>党</w:t>
      </w:r>
      <w:r>
        <w:rPr>
          <w:rFonts w:hint="eastAsia" w:ascii="Times New Roman" w:hAnsi="Times New Roman" w:eastAsia="仿宋_GB2312" w:cs="Times New Roman"/>
          <w:color w:val="auto"/>
          <w:sz w:val="32"/>
          <w:szCs w:val="32"/>
          <w:lang w:bidi="ar-SA"/>
        </w:rPr>
        <w:t>中央</w:t>
      </w:r>
      <w:r>
        <w:rPr>
          <w:rFonts w:hint="eastAsia" w:ascii="Times New Roman" w:hAnsi="Times New Roman" w:eastAsia="仿宋_GB2312" w:cs="Times New Roman"/>
          <w:color w:val="auto"/>
          <w:sz w:val="32"/>
          <w:szCs w:val="32"/>
          <w:lang w:eastAsia="zh-CN" w:bidi="ar-SA"/>
        </w:rPr>
        <w:t>、省、州、县委</w:t>
      </w:r>
      <w:r>
        <w:rPr>
          <w:rFonts w:hint="eastAsia" w:ascii="Times New Roman" w:hAnsi="Times New Roman" w:eastAsia="仿宋_GB2312" w:cs="Times New Roman"/>
          <w:color w:val="auto"/>
          <w:sz w:val="32"/>
          <w:szCs w:val="32"/>
          <w:lang w:bidi="ar-SA"/>
        </w:rPr>
        <w:t>保持高度一致</w:t>
      </w:r>
      <w:r>
        <w:rPr>
          <w:rFonts w:hint="eastAsia" w:ascii="Times New Roman" w:hAnsi="Times New Roman" w:eastAsia="仿宋_GB2312" w:cs="Times New Roman"/>
          <w:color w:val="auto"/>
          <w:sz w:val="32"/>
          <w:szCs w:val="32"/>
          <w:lang w:eastAsia="zh-CN" w:bidi="ar-SA"/>
        </w:rPr>
        <w:t>。</w:t>
      </w:r>
      <w:r>
        <w:rPr>
          <w:rFonts w:hint="eastAsia" w:ascii="楷体_GB2312" w:eastAsia="楷体_GB2312" w:cs="楷体_GB2312"/>
          <w:b/>
          <w:bCs/>
          <w:color w:val="auto"/>
          <w:sz w:val="32"/>
          <w:szCs w:val="32"/>
          <w:lang w:eastAsia="zh-CN" w:bidi="ar-SA"/>
        </w:rPr>
        <w:t>二</w:t>
      </w:r>
      <w:r>
        <w:rPr>
          <w:rFonts w:hint="eastAsia" w:ascii="楷体_GB2312" w:eastAsia="楷体_GB2312" w:cs="楷体_GB2312"/>
          <w:b/>
          <w:bCs/>
          <w:color w:val="auto"/>
          <w:sz w:val="32"/>
          <w:szCs w:val="32"/>
          <w:lang w:bidi="ar-SA"/>
        </w:rPr>
        <w:t>是</w:t>
      </w:r>
      <w:r>
        <w:rPr>
          <w:rFonts w:hint="eastAsia" w:ascii="楷体_GB2312" w:eastAsia="楷体_GB2312" w:cs="楷体_GB2312"/>
          <w:b/>
          <w:bCs/>
          <w:color w:val="auto"/>
          <w:sz w:val="32"/>
          <w:szCs w:val="32"/>
          <w:lang w:eastAsia="zh-CN" w:bidi="ar-SA"/>
        </w:rPr>
        <w:t>突出</w:t>
      </w:r>
      <w:r>
        <w:rPr>
          <w:rFonts w:hint="eastAsia" w:ascii="楷体_GB2312" w:eastAsia="楷体_GB2312" w:cs="楷体_GB2312"/>
          <w:b/>
          <w:bCs/>
          <w:color w:val="auto"/>
          <w:sz w:val="32"/>
          <w:szCs w:val="36"/>
          <w:lang w:bidi="ar-SA"/>
        </w:rPr>
        <w:t>固本强基，夯实</w:t>
      </w:r>
      <w:r>
        <w:rPr>
          <w:rFonts w:hint="eastAsia" w:ascii="楷体_GB2312" w:eastAsia="楷体_GB2312" w:cs="楷体_GB2312"/>
          <w:b/>
          <w:bCs/>
          <w:color w:val="auto"/>
          <w:sz w:val="32"/>
          <w:szCs w:val="36"/>
          <w:lang w:eastAsia="zh-CN" w:bidi="ar-SA"/>
        </w:rPr>
        <w:t>堡垒讲纪律</w:t>
      </w:r>
      <w:r>
        <w:rPr>
          <w:rFonts w:hint="eastAsia" w:ascii="楷体_GB2312" w:eastAsia="楷体_GB2312" w:cs="楷体_GB2312"/>
          <w:b/>
          <w:bCs/>
          <w:color w:val="auto"/>
          <w:sz w:val="32"/>
          <w:szCs w:val="36"/>
          <w:lang w:bidi="ar-SA"/>
        </w:rPr>
        <w:t>。</w:t>
      </w:r>
      <w:r>
        <w:rPr>
          <w:rFonts w:hint="default" w:ascii="Times New Roman" w:hAnsi="Times New Roman" w:eastAsia="仿宋_GB2312" w:cs="Times New Roman"/>
          <w:color w:val="auto"/>
          <w:spacing w:val="0"/>
          <w:sz w:val="32"/>
          <w:szCs w:val="32"/>
          <w:shd w:val="clear" w:color="auto" w:fill="FFFFFF"/>
          <w:lang w:bidi="ar-SA"/>
        </w:rPr>
        <w:t>大力实施</w:t>
      </w:r>
      <w:r>
        <w:rPr>
          <w:rFonts w:hint="default" w:ascii="Times New Roman" w:hAnsi="Times New Roman" w:eastAsia="仿宋_GB2312" w:cs="Times New Roman"/>
          <w:color w:val="auto"/>
          <w:spacing w:val="0"/>
          <w:sz w:val="32"/>
          <w:szCs w:val="32"/>
          <w:shd w:val="clear" w:color="auto" w:fill="FFFFFF"/>
          <w:lang w:eastAsia="zh-CN" w:bidi="ar-SA"/>
        </w:rPr>
        <w:t>党组织</w:t>
      </w:r>
      <w:r>
        <w:rPr>
          <w:rFonts w:hint="default" w:ascii="Times New Roman" w:hAnsi="Times New Roman" w:eastAsia="仿宋_GB2312" w:cs="Times New Roman"/>
          <w:color w:val="auto"/>
          <w:spacing w:val="0"/>
          <w:sz w:val="32"/>
          <w:szCs w:val="32"/>
          <w:shd w:val="clear" w:color="auto" w:fill="FFFFFF"/>
          <w:lang w:bidi="ar-SA"/>
        </w:rPr>
        <w:t>“固本强基”工程，</w:t>
      </w:r>
      <w:r>
        <w:rPr>
          <w:rFonts w:hint="eastAsia" w:ascii="Times New Roman" w:hAnsi="Times New Roman" w:eastAsia="仿宋_GB2312" w:cs="Times New Roman"/>
          <w:color w:val="auto"/>
          <w:spacing w:val="0"/>
          <w:sz w:val="32"/>
          <w:szCs w:val="32"/>
          <w:shd w:val="clear" w:color="auto" w:fill="FFFFFF"/>
          <w:lang w:eastAsia="zh-CN" w:bidi="ar-SA"/>
        </w:rPr>
        <w:t>全面</w:t>
      </w:r>
      <w:r>
        <w:rPr>
          <w:rFonts w:hint="default" w:ascii="Times New Roman" w:hAnsi="Times New Roman" w:eastAsia="仿宋_GB2312" w:cs="Times New Roman"/>
          <w:color w:val="auto"/>
          <w:sz w:val="32"/>
          <w:szCs w:val="32"/>
          <w:lang w:bidi="ar-SA"/>
        </w:rPr>
        <w:t>落实“三会一课”主题党日活动等制度，</w:t>
      </w:r>
      <w:r>
        <w:rPr>
          <w:rFonts w:hint="default" w:ascii="Times New Roman" w:hAnsi="Times New Roman" w:eastAsia="仿宋_GB2312" w:cs="Times New Roman"/>
          <w:color w:val="auto"/>
          <w:sz w:val="32"/>
          <w:szCs w:val="32"/>
          <w:lang w:eastAsia="zh-CN" w:bidi="ar-SA"/>
        </w:rPr>
        <w:t>以</w:t>
      </w:r>
      <w:r>
        <w:rPr>
          <w:rFonts w:hint="default" w:ascii="Times New Roman" w:hAnsi="Times New Roman" w:eastAsia="仿宋_GB2312" w:cs="Times New Roman"/>
          <w:color w:val="auto"/>
          <w:sz w:val="32"/>
          <w:szCs w:val="32"/>
          <w:lang w:bidi="ar-SA"/>
        </w:rPr>
        <w:t>周五集中学、周三交流学</w:t>
      </w:r>
      <w:r>
        <w:rPr>
          <w:rFonts w:hint="default" w:ascii="Times New Roman" w:hAnsi="Times New Roman" w:eastAsia="仿宋_GB2312" w:cs="Times New Roman"/>
          <w:color w:val="auto"/>
          <w:sz w:val="32"/>
          <w:szCs w:val="32"/>
          <w:lang w:eastAsia="zh-CN" w:bidi="ar-SA"/>
        </w:rPr>
        <w:t>和</w:t>
      </w:r>
      <w:r>
        <w:rPr>
          <w:rFonts w:hint="default" w:ascii="Times New Roman" w:hAnsi="Times New Roman" w:eastAsia="仿宋_GB2312" w:cs="Times New Roman"/>
          <w:color w:val="auto"/>
          <w:sz w:val="32"/>
          <w:szCs w:val="32"/>
          <w:lang w:bidi="ar-SA"/>
        </w:rPr>
        <w:t>个人</w:t>
      </w:r>
      <w:r>
        <w:rPr>
          <w:rFonts w:hint="default" w:ascii="Times New Roman" w:hAnsi="Times New Roman" w:eastAsia="仿宋_GB2312" w:cs="Times New Roman"/>
          <w:color w:val="auto"/>
          <w:sz w:val="32"/>
          <w:szCs w:val="32"/>
          <w:lang w:eastAsia="zh-CN" w:bidi="ar-SA"/>
        </w:rPr>
        <w:t>自行学方式</w:t>
      </w:r>
      <w:r>
        <w:rPr>
          <w:rFonts w:hint="default" w:ascii="Times New Roman" w:hAnsi="Times New Roman" w:eastAsia="仿宋_GB2312" w:cs="Times New Roman"/>
          <w:color w:val="auto"/>
          <w:sz w:val="32"/>
          <w:szCs w:val="32"/>
          <w:lang w:bidi="ar-SA"/>
        </w:rPr>
        <w:t>，</w:t>
      </w:r>
      <w:r>
        <w:rPr>
          <w:rFonts w:hint="default" w:ascii="Times New Roman" w:hAnsi="Times New Roman" w:eastAsia="仿宋_GB2312" w:cs="Times New Roman"/>
          <w:color w:val="auto"/>
          <w:spacing w:val="0"/>
          <w:sz w:val="32"/>
          <w:szCs w:val="32"/>
          <w:shd w:val="clear" w:color="auto" w:fill="FFFFFF"/>
          <w:lang w:bidi="ar-SA"/>
        </w:rPr>
        <w:t>有效提高了党员干部的整体能力和素质</w:t>
      </w:r>
      <w:r>
        <w:rPr>
          <w:rFonts w:hint="default" w:ascii="Times New Roman" w:hAnsi="Times New Roman" w:eastAsia="仿宋_GB2312" w:cs="Times New Roman"/>
          <w:color w:val="auto"/>
          <w:spacing w:val="0"/>
          <w:sz w:val="32"/>
          <w:szCs w:val="32"/>
          <w:shd w:val="clear" w:color="auto" w:fill="FFFFFF"/>
          <w:lang w:eastAsia="zh-CN" w:bidi="ar-SA"/>
        </w:rPr>
        <w:t>。同时严把组织纪律关，从严培养</w:t>
      </w:r>
      <w:r>
        <w:rPr>
          <w:rFonts w:hint="default" w:ascii="Times New Roman" w:hAnsi="Times New Roman" w:eastAsia="仿宋_GB2312" w:cs="Times New Roman"/>
          <w:color w:val="auto"/>
          <w:spacing w:val="0"/>
          <w:sz w:val="32"/>
          <w:szCs w:val="32"/>
          <w:shd w:val="clear" w:color="auto" w:fill="FFFFFF"/>
          <w:lang w:bidi="ar-SA"/>
        </w:rPr>
        <w:t>社会主义建设者和接班人</w:t>
      </w:r>
      <w:r>
        <w:rPr>
          <w:rFonts w:hint="default" w:ascii="Times New Roman" w:hAnsi="Times New Roman" w:eastAsia="仿宋_GB2312" w:cs="Times New Roman"/>
          <w:color w:val="auto"/>
          <w:spacing w:val="0"/>
          <w:sz w:val="32"/>
          <w:szCs w:val="32"/>
          <w:shd w:val="clear" w:color="auto" w:fill="FFFFFF"/>
          <w:lang w:eastAsia="zh-CN" w:bidi="ar-SA"/>
        </w:rPr>
        <w:t>，</w:t>
      </w:r>
      <w:r>
        <w:rPr>
          <w:rFonts w:hint="eastAsia" w:ascii="Times New Roman" w:hAnsi="Times New Roman" w:eastAsia="仿宋_GB2312" w:cs="Times New Roman"/>
          <w:color w:val="auto"/>
          <w:spacing w:val="0"/>
          <w:sz w:val="32"/>
          <w:szCs w:val="32"/>
          <w:shd w:val="clear" w:color="auto" w:fill="FFFFFF"/>
          <w:lang w:eastAsia="zh-CN" w:bidi="ar-SA"/>
        </w:rPr>
        <w:t>培养</w:t>
      </w:r>
      <w:r>
        <w:rPr>
          <w:rFonts w:hint="default" w:ascii="Times New Roman" w:hAnsi="Times New Roman" w:eastAsia="仿宋_GB2312" w:cs="Times New Roman"/>
          <w:color w:val="auto"/>
          <w:spacing w:val="0"/>
          <w:sz w:val="32"/>
          <w:szCs w:val="32"/>
          <w:shd w:val="clear" w:color="auto" w:fill="FFFFFF"/>
          <w:lang w:eastAsia="zh-CN" w:bidi="ar-SA"/>
        </w:rPr>
        <w:t>入党积极分子</w:t>
      </w:r>
      <w:r>
        <w:rPr>
          <w:rFonts w:hint="default" w:ascii="Times New Roman" w:hAnsi="Times New Roman" w:eastAsia="仿宋_GB2312" w:cs="Times New Roman"/>
          <w:color w:val="auto"/>
          <w:spacing w:val="0"/>
          <w:sz w:val="32"/>
          <w:szCs w:val="32"/>
          <w:shd w:val="clear" w:color="auto" w:fill="FFFFFF"/>
          <w:lang w:val="en-US" w:eastAsia="zh-CN" w:bidi="ar-SA"/>
        </w:rPr>
        <w:t>1名，</w:t>
      </w:r>
      <w:r>
        <w:rPr>
          <w:rFonts w:hint="default" w:ascii="Times New Roman" w:hAnsi="Times New Roman" w:eastAsia="仿宋_GB2312" w:cs="Times New Roman"/>
          <w:color w:val="auto"/>
          <w:sz w:val="32"/>
          <w:szCs w:val="32"/>
          <w:lang w:bidi="ar-SA"/>
        </w:rPr>
        <w:t>如期转正预备党员</w:t>
      </w:r>
      <w:r>
        <w:rPr>
          <w:rFonts w:hint="default" w:ascii="Times New Roman" w:hAnsi="Times New Roman" w:eastAsia="仿宋_GB2312" w:cs="Times New Roman"/>
          <w:color w:val="auto"/>
          <w:sz w:val="32"/>
          <w:szCs w:val="32"/>
          <w:lang w:val="en-US" w:eastAsia="zh-CN" w:bidi="ar-SA"/>
        </w:rPr>
        <w:t>3</w:t>
      </w:r>
      <w:r>
        <w:rPr>
          <w:rFonts w:hint="default" w:ascii="Times New Roman" w:hAnsi="Times New Roman" w:eastAsia="仿宋_GB2312" w:cs="Times New Roman"/>
          <w:color w:val="auto"/>
          <w:sz w:val="32"/>
          <w:szCs w:val="32"/>
          <w:lang w:bidi="ar-SA"/>
        </w:rPr>
        <w:t>名</w:t>
      </w:r>
      <w:r>
        <w:rPr>
          <w:rFonts w:hint="default" w:ascii="Times New Roman" w:hAnsi="Times New Roman" w:eastAsia="仿宋_GB2312" w:cs="Times New Roman"/>
          <w:color w:val="auto"/>
          <w:sz w:val="32"/>
          <w:szCs w:val="32"/>
          <w:lang w:eastAsia="zh-CN" w:bidi="ar-SA"/>
        </w:rPr>
        <w:t>，</w:t>
      </w:r>
      <w:r>
        <w:rPr>
          <w:rFonts w:hint="default" w:ascii="Times New Roman" w:hAnsi="Times New Roman" w:eastAsia="仿宋_GB2312" w:cs="Times New Roman"/>
          <w:color w:val="auto"/>
          <w:spacing w:val="0"/>
          <w:sz w:val="32"/>
          <w:szCs w:val="32"/>
          <w:shd w:val="clear" w:color="auto" w:fill="FFFFFF"/>
          <w:lang w:bidi="ar-SA"/>
        </w:rPr>
        <w:t>始终做到“听党话、跟党走”。</w:t>
      </w:r>
      <w:r>
        <w:rPr>
          <w:rFonts w:hint="eastAsia" w:ascii="Times New Roman" w:hAnsi="Times New Roman" w:eastAsia="楷体_GB2312" w:cs="Times New Roman"/>
          <w:b/>
          <w:bCs/>
          <w:color w:val="auto"/>
          <w:sz w:val="32"/>
          <w:szCs w:val="32"/>
          <w:lang w:eastAsia="zh-CN" w:bidi="ar-SA"/>
        </w:rPr>
        <w:t>三</w:t>
      </w:r>
      <w:r>
        <w:rPr>
          <w:rFonts w:ascii="Times New Roman" w:hAnsi="Times New Roman" w:eastAsia="楷体_GB2312" w:cs="Times New Roman"/>
          <w:b/>
          <w:bCs/>
          <w:color w:val="auto"/>
          <w:sz w:val="32"/>
          <w:szCs w:val="32"/>
          <w:lang w:bidi="ar-SA"/>
        </w:rPr>
        <w:t>是突出党史教育，领悟初心</w:t>
      </w:r>
      <w:r>
        <w:rPr>
          <w:rFonts w:hint="eastAsia" w:ascii="Times New Roman" w:hAnsi="Times New Roman" w:eastAsia="楷体_GB2312" w:cs="Times New Roman"/>
          <w:b/>
          <w:bCs/>
          <w:color w:val="auto"/>
          <w:sz w:val="32"/>
          <w:szCs w:val="32"/>
          <w:lang w:eastAsia="zh-CN" w:bidi="ar-SA"/>
        </w:rPr>
        <w:t>讲</w:t>
      </w:r>
      <w:r>
        <w:rPr>
          <w:rFonts w:ascii="Times New Roman" w:hAnsi="Times New Roman" w:eastAsia="楷体_GB2312" w:cs="Times New Roman"/>
          <w:b/>
          <w:bCs/>
          <w:color w:val="auto"/>
          <w:sz w:val="32"/>
          <w:szCs w:val="32"/>
          <w:lang w:bidi="ar-SA"/>
        </w:rPr>
        <w:t>使命。</w:t>
      </w:r>
      <w:r>
        <w:rPr>
          <w:rFonts w:ascii="Times New Roman" w:hAnsi="Times New Roman" w:eastAsia="仿宋_GB2312" w:cs="Times New Roman"/>
          <w:color w:val="auto"/>
          <w:sz w:val="32"/>
          <w:szCs w:val="32"/>
          <w:lang w:bidi="ar-SA"/>
        </w:rPr>
        <w:t>以“三会一课”、主题党日活动为载体，有序推进党史学习教育，</w:t>
      </w:r>
      <w:r>
        <w:rPr>
          <w:rFonts w:hint="eastAsia" w:ascii="仿宋_GB2312" w:eastAsia="仿宋_GB2312" w:cs="仿宋_GB2312"/>
          <w:color w:val="auto"/>
          <w:spacing w:val="0"/>
          <w:sz w:val="32"/>
          <w:szCs w:val="32"/>
          <w:shd w:val="clear" w:color="auto" w:fill="FFFFFF"/>
          <w:lang w:bidi="ar-SA"/>
        </w:rPr>
        <w:t>在读原著、学原文、悟原理上下功夫，</w:t>
      </w:r>
      <w:r>
        <w:rPr>
          <w:rFonts w:hint="eastAsia" w:ascii="仿宋_GB2312" w:eastAsia="仿宋_GB2312" w:cs="仿宋_GB2312"/>
          <w:color w:val="auto"/>
          <w:spacing w:val="0"/>
          <w:sz w:val="32"/>
          <w:szCs w:val="32"/>
          <w:shd w:val="clear" w:color="auto" w:fill="FFFFFF"/>
          <w:lang w:eastAsia="zh-CN" w:bidi="ar-SA"/>
        </w:rPr>
        <w:t>专题</w:t>
      </w:r>
      <w:r>
        <w:rPr>
          <w:rFonts w:ascii="Times New Roman" w:hAnsi="Times New Roman" w:eastAsia="仿宋_GB2312" w:cs="Times New Roman"/>
          <w:color w:val="auto"/>
          <w:sz w:val="32"/>
          <w:szCs w:val="32"/>
          <w:lang w:bidi="ar-SA"/>
        </w:rPr>
        <w:t>召开学习会</w:t>
      </w:r>
      <w:r>
        <w:rPr>
          <w:rFonts w:hint="eastAsia" w:ascii="Times New Roman" w:hAnsi="Times New Roman" w:eastAsia="仿宋_GB2312" w:cs="Times New Roman"/>
          <w:color w:val="auto"/>
          <w:sz w:val="32"/>
          <w:szCs w:val="32"/>
          <w:lang w:val="en-US" w:eastAsia="zh-CN" w:bidi="ar-SA"/>
        </w:rPr>
        <w:t>30余</w:t>
      </w:r>
      <w:r>
        <w:rPr>
          <w:rFonts w:ascii="Times New Roman" w:hAnsi="Times New Roman" w:eastAsia="仿宋_GB2312" w:cs="Times New Roman"/>
          <w:color w:val="auto"/>
          <w:sz w:val="32"/>
          <w:szCs w:val="32"/>
          <w:lang w:bidi="ar-SA"/>
        </w:rPr>
        <w:t>次，为群众办实事</w:t>
      </w:r>
      <w:r>
        <w:rPr>
          <w:rFonts w:hint="eastAsia" w:ascii="Times New Roman" w:hAnsi="Times New Roman" w:eastAsia="仿宋_GB2312" w:cs="Times New Roman"/>
          <w:color w:val="auto"/>
          <w:sz w:val="32"/>
          <w:szCs w:val="32"/>
          <w:lang w:val="en-US" w:eastAsia="zh-CN" w:bidi="ar-SA"/>
        </w:rPr>
        <w:t>50</w:t>
      </w:r>
      <w:r>
        <w:rPr>
          <w:rFonts w:ascii="Times New Roman" w:hAnsi="Times New Roman" w:eastAsia="仿宋_GB2312" w:cs="Times New Roman"/>
          <w:color w:val="auto"/>
          <w:sz w:val="32"/>
          <w:szCs w:val="32"/>
          <w:lang w:bidi="ar-SA"/>
        </w:rPr>
        <w:t>余件，撰写心得体会</w:t>
      </w:r>
      <w:r>
        <w:rPr>
          <w:rFonts w:hint="eastAsia" w:ascii="Times New Roman" w:hAnsi="Times New Roman" w:eastAsia="仿宋_GB2312" w:cs="Times New Roman"/>
          <w:color w:val="auto"/>
          <w:sz w:val="32"/>
          <w:szCs w:val="32"/>
          <w:lang w:val="en-US" w:eastAsia="zh-CN" w:bidi="ar-SA"/>
        </w:rPr>
        <w:t>100</w:t>
      </w:r>
      <w:r>
        <w:rPr>
          <w:rFonts w:ascii="Times New Roman" w:hAnsi="Times New Roman" w:eastAsia="仿宋_GB2312" w:cs="Times New Roman"/>
          <w:color w:val="auto"/>
          <w:sz w:val="32"/>
          <w:szCs w:val="32"/>
          <w:lang w:bidi="ar-SA"/>
        </w:rPr>
        <w:t>余篇，</w:t>
      </w:r>
      <w:r>
        <w:rPr>
          <w:rFonts w:hint="eastAsia" w:ascii="仿宋_GB2312" w:eastAsia="仿宋_GB2312" w:cs="仿宋_GB2312"/>
          <w:color w:val="auto"/>
          <w:spacing w:val="0"/>
          <w:sz w:val="32"/>
          <w:szCs w:val="32"/>
          <w:shd w:val="clear" w:color="auto" w:fill="FFFFFF"/>
          <w:lang w:bidi="ar-SA"/>
        </w:rPr>
        <w:t>不断领悟</w:t>
      </w:r>
      <w:r>
        <w:rPr>
          <w:rFonts w:hint="eastAsia" w:ascii="仿宋_GB2312" w:eastAsia="仿宋_GB2312" w:cs="仿宋_GB2312"/>
          <w:color w:val="auto"/>
          <w:spacing w:val="0"/>
          <w:sz w:val="32"/>
          <w:szCs w:val="32"/>
          <w:shd w:val="clear" w:color="auto" w:fill="FFFFFF"/>
          <w:lang w:eastAsia="zh-CN" w:bidi="ar-SA"/>
        </w:rPr>
        <w:t>初心</w:t>
      </w:r>
      <w:r>
        <w:rPr>
          <w:rFonts w:hint="eastAsia" w:ascii="仿宋_GB2312" w:eastAsia="仿宋_GB2312" w:cs="仿宋_GB2312"/>
          <w:color w:val="auto"/>
          <w:spacing w:val="0"/>
          <w:sz w:val="32"/>
          <w:szCs w:val="32"/>
          <w:shd w:val="clear" w:color="auto" w:fill="FFFFFF"/>
          <w:lang w:bidi="ar-SA"/>
        </w:rPr>
        <w:t>、担当使命，做到学以致用、身体力行</w:t>
      </w:r>
      <w:r>
        <w:rPr>
          <w:rFonts w:hint="eastAsia" w:ascii="仿宋_GB2312" w:eastAsia="仿宋_GB2312" w:cs="仿宋_GB2312"/>
          <w:color w:val="auto"/>
          <w:spacing w:val="0"/>
          <w:sz w:val="32"/>
          <w:szCs w:val="32"/>
          <w:shd w:val="clear" w:color="auto" w:fill="FFFFFF"/>
          <w:lang w:eastAsia="zh-CN" w:bidi="ar-SA"/>
        </w:rPr>
        <w:t>、</w:t>
      </w:r>
      <w:r>
        <w:rPr>
          <w:rFonts w:hint="eastAsia" w:ascii="仿宋_GB2312" w:eastAsia="仿宋_GB2312" w:cs="仿宋_GB2312"/>
          <w:color w:val="auto"/>
          <w:spacing w:val="0"/>
          <w:sz w:val="32"/>
          <w:szCs w:val="32"/>
          <w:shd w:val="clear" w:color="auto" w:fill="FFFFFF"/>
          <w:lang w:bidi="ar-SA"/>
        </w:rPr>
        <w:t>指导实践、推动工作</w:t>
      </w:r>
      <w:r>
        <w:rPr>
          <w:rFonts w:hint="eastAsia" w:ascii="仿宋_GB2312" w:eastAsia="仿宋_GB2312" w:cs="仿宋_GB2312"/>
          <w:color w:val="auto"/>
          <w:spacing w:val="0"/>
          <w:sz w:val="32"/>
          <w:szCs w:val="32"/>
          <w:shd w:val="clear" w:color="auto" w:fill="FFFFFF"/>
          <w:lang w:eastAsia="zh-CN" w:bidi="ar-SA"/>
        </w:rPr>
        <w:t>。</w:t>
      </w:r>
      <w:r>
        <w:rPr>
          <w:rFonts w:ascii="Times New Roman" w:hAnsi="Times New Roman" w:eastAsia="楷体_GB2312" w:cs="Times New Roman"/>
          <w:b/>
          <w:bCs/>
          <w:color w:val="auto"/>
          <w:sz w:val="32"/>
          <w:szCs w:val="32"/>
          <w:lang w:bidi="ar-SA"/>
        </w:rPr>
        <w:t>四是</w:t>
      </w:r>
      <w:r>
        <w:rPr>
          <w:rFonts w:hint="eastAsia" w:ascii="Times New Roman" w:hAnsi="Times New Roman" w:eastAsia="楷体_GB2312" w:cs="Times New Roman"/>
          <w:b/>
          <w:bCs/>
          <w:color w:val="auto"/>
          <w:sz w:val="32"/>
          <w:szCs w:val="32"/>
          <w:lang w:eastAsia="zh-CN" w:bidi="ar-SA"/>
        </w:rPr>
        <w:t>突出</w:t>
      </w:r>
      <w:r>
        <w:rPr>
          <w:rFonts w:ascii="Times New Roman" w:hAnsi="Times New Roman" w:eastAsia="楷体_GB2312" w:cs="Times New Roman"/>
          <w:b/>
          <w:bCs/>
          <w:color w:val="auto"/>
          <w:sz w:val="32"/>
          <w:szCs w:val="32"/>
          <w:lang w:bidi="ar-SA"/>
        </w:rPr>
        <w:t>廉政建设，</w:t>
      </w:r>
      <w:r>
        <w:rPr>
          <w:rFonts w:hint="eastAsia" w:ascii="Times New Roman" w:hAnsi="Times New Roman" w:eastAsia="楷体_GB2312" w:cs="Times New Roman"/>
          <w:b/>
          <w:bCs/>
          <w:color w:val="auto"/>
          <w:sz w:val="32"/>
          <w:szCs w:val="32"/>
          <w:lang w:eastAsia="zh-CN" w:bidi="ar-SA"/>
        </w:rPr>
        <w:t>拒腐防变讲正气</w:t>
      </w:r>
      <w:r>
        <w:rPr>
          <w:rFonts w:ascii="Times New Roman" w:hAnsi="Times New Roman" w:eastAsia="楷体_GB2312" w:cs="Times New Roman"/>
          <w:b/>
          <w:bCs/>
          <w:color w:val="auto"/>
          <w:sz w:val="32"/>
          <w:szCs w:val="32"/>
          <w:lang w:bidi="ar-SA"/>
        </w:rPr>
        <w:t>。</w:t>
      </w:r>
      <w:r>
        <w:rPr>
          <w:rFonts w:ascii="Times New Roman" w:hAnsi="Times New Roman" w:eastAsia="仿宋_GB2312" w:cs="Times New Roman"/>
          <w:color w:val="auto"/>
          <w:sz w:val="32"/>
          <w:szCs w:val="32"/>
          <w:shd w:val="clear" w:color="auto" w:fill="FFFFFF"/>
          <w:lang w:bidi="ar-SA"/>
        </w:rPr>
        <w:t>把党风廉政建设作为重大政治任务放在更加突出位置，督促</w:t>
      </w:r>
      <w:r>
        <w:rPr>
          <w:rFonts w:hint="eastAsia" w:ascii="Times New Roman" w:hAnsi="Times New Roman" w:eastAsia="仿宋_GB2312" w:cs="Times New Roman"/>
          <w:color w:val="auto"/>
          <w:sz w:val="32"/>
          <w:szCs w:val="32"/>
          <w:shd w:val="clear" w:color="auto" w:fill="FFFFFF"/>
          <w:lang w:eastAsia="zh-CN" w:bidi="ar-SA"/>
        </w:rPr>
        <w:t>全体干部职工</w:t>
      </w:r>
      <w:r>
        <w:rPr>
          <w:rFonts w:ascii="Times New Roman" w:hAnsi="Times New Roman" w:eastAsia="仿宋_GB2312" w:cs="Times New Roman"/>
          <w:color w:val="auto"/>
          <w:sz w:val="32"/>
          <w:szCs w:val="32"/>
          <w:shd w:val="clear" w:color="auto" w:fill="FFFFFF"/>
          <w:lang w:bidi="ar-SA"/>
        </w:rPr>
        <w:t>加强党风廉政建设，</w:t>
      </w:r>
      <w:r>
        <w:rPr>
          <w:rFonts w:ascii="Times New Roman" w:hAnsi="Times New Roman" w:eastAsia="仿宋_GB2312" w:cs="Times New Roman"/>
          <w:bCs/>
          <w:color w:val="auto"/>
          <w:sz w:val="32"/>
          <w:szCs w:val="32"/>
          <w:shd w:val="clear" w:color="auto" w:fill="FFFFFF"/>
          <w:lang w:bidi="ar-SA"/>
        </w:rPr>
        <w:t>严守纪律规矩</w:t>
      </w:r>
      <w:r>
        <w:rPr>
          <w:rFonts w:hint="eastAsia" w:ascii="Times New Roman" w:hAnsi="Times New Roman" w:eastAsia="仿宋_GB2312" w:cs="Times New Roman"/>
          <w:bCs/>
          <w:color w:val="auto"/>
          <w:sz w:val="32"/>
          <w:szCs w:val="32"/>
          <w:shd w:val="clear" w:color="auto" w:fill="FFFFFF"/>
          <w:lang w:bidi="ar-SA"/>
        </w:rPr>
        <w:t>，</w:t>
      </w:r>
      <w:r>
        <w:rPr>
          <w:rFonts w:ascii="Times New Roman" w:hAnsi="Times New Roman" w:eastAsia="仿宋_GB2312" w:cs="Times New Roman"/>
          <w:bCs/>
          <w:color w:val="auto"/>
          <w:sz w:val="32"/>
          <w:szCs w:val="32"/>
          <w:shd w:val="clear" w:color="auto" w:fill="FFFFFF"/>
          <w:lang w:bidi="ar-SA"/>
        </w:rPr>
        <w:t>严肃党内监督</w:t>
      </w:r>
      <w:r>
        <w:rPr>
          <w:rFonts w:hint="eastAsia" w:ascii="Times New Roman" w:hAnsi="Times New Roman" w:eastAsia="仿宋_GB2312" w:cs="Times New Roman"/>
          <w:bCs/>
          <w:color w:val="auto"/>
          <w:sz w:val="32"/>
          <w:szCs w:val="32"/>
          <w:shd w:val="clear" w:color="auto" w:fill="FFFFFF"/>
          <w:lang w:bidi="ar-SA"/>
        </w:rPr>
        <w:t>、</w:t>
      </w:r>
      <w:r>
        <w:rPr>
          <w:rFonts w:ascii="Times New Roman" w:hAnsi="Times New Roman" w:eastAsia="仿宋_GB2312" w:cs="Times New Roman"/>
          <w:bCs/>
          <w:color w:val="auto"/>
          <w:sz w:val="32"/>
          <w:szCs w:val="32"/>
          <w:shd w:val="clear" w:color="auto" w:fill="FFFFFF"/>
          <w:lang w:bidi="ar-SA"/>
        </w:rPr>
        <w:t>严抓问题整改</w:t>
      </w:r>
      <w:r>
        <w:rPr>
          <w:rFonts w:hint="eastAsia" w:ascii="Times New Roman" w:hAnsi="Times New Roman" w:eastAsia="仿宋_GB2312" w:cs="Times New Roman"/>
          <w:bCs/>
          <w:color w:val="auto"/>
          <w:sz w:val="32"/>
          <w:szCs w:val="32"/>
          <w:shd w:val="clear" w:color="auto" w:fill="FFFFFF"/>
          <w:lang w:bidi="ar-SA"/>
        </w:rPr>
        <w:t>，</w:t>
      </w:r>
      <w:r>
        <w:rPr>
          <w:rFonts w:hint="eastAsia" w:ascii="Times New Roman" w:hAnsi="Times New Roman" w:eastAsia="仿宋_GB2312" w:cs="Times New Roman"/>
          <w:color w:val="auto"/>
          <w:sz w:val="32"/>
          <w:szCs w:val="32"/>
          <w:shd w:val="clear" w:color="auto" w:fill="FFFFFF"/>
          <w:lang w:eastAsia="zh-CN" w:bidi="ar-SA"/>
        </w:rPr>
        <w:t>树立正确的世界观、人生观、价值观，</w:t>
      </w:r>
      <w:r>
        <w:rPr>
          <w:rFonts w:hint="eastAsia" w:ascii="Times New Roman" w:hAnsi="Times New Roman" w:eastAsia="仿宋_GB2312" w:cs="Times New Roman"/>
          <w:bCs/>
          <w:color w:val="auto"/>
          <w:sz w:val="32"/>
          <w:szCs w:val="32"/>
          <w:shd w:val="clear" w:color="auto" w:fill="FFFFFF"/>
          <w:lang w:eastAsia="zh-CN" w:bidi="ar-SA"/>
        </w:rPr>
        <w:t>做到知敬畏、存戒惧、守底线，时刻</w:t>
      </w:r>
      <w:r>
        <w:rPr>
          <w:rFonts w:hint="eastAsia" w:ascii="Times New Roman" w:hAnsi="Times New Roman" w:eastAsia="仿宋_GB2312" w:cs="Times New Roman"/>
          <w:bCs/>
          <w:color w:val="auto"/>
          <w:sz w:val="32"/>
          <w:szCs w:val="32"/>
          <w:shd w:val="clear" w:color="auto" w:fill="FFFFFF"/>
          <w:lang w:bidi="ar-SA"/>
        </w:rPr>
        <w:t>规范</w:t>
      </w:r>
      <w:r>
        <w:rPr>
          <w:rFonts w:hint="eastAsia" w:ascii="Times New Roman" w:hAnsi="Times New Roman" w:eastAsia="仿宋_GB2312" w:cs="Times New Roman"/>
          <w:bCs/>
          <w:color w:val="auto"/>
          <w:sz w:val="32"/>
          <w:szCs w:val="32"/>
          <w:shd w:val="clear" w:color="auto" w:fill="FFFFFF"/>
          <w:lang w:eastAsia="zh-CN" w:bidi="ar-SA"/>
        </w:rPr>
        <w:t>个人</w:t>
      </w:r>
      <w:r>
        <w:rPr>
          <w:rFonts w:hint="eastAsia" w:ascii="Times New Roman" w:hAnsi="Times New Roman" w:eastAsia="仿宋_GB2312" w:cs="Times New Roman"/>
          <w:bCs/>
          <w:color w:val="auto"/>
          <w:sz w:val="32"/>
          <w:szCs w:val="32"/>
          <w:shd w:val="clear" w:color="auto" w:fill="FFFFFF"/>
          <w:lang w:bidi="ar-SA"/>
        </w:rPr>
        <w:t>行为，努力做到防微杜渐，</w:t>
      </w:r>
      <w:r>
        <w:rPr>
          <w:rFonts w:hint="eastAsia" w:ascii="Times New Roman" w:hAnsi="Times New Roman" w:eastAsia="仿宋_GB2312" w:cs="Times New Roman"/>
          <w:bCs/>
          <w:color w:val="auto"/>
          <w:sz w:val="32"/>
          <w:szCs w:val="32"/>
          <w:shd w:val="clear" w:color="auto" w:fill="FFFFFF"/>
          <w:lang w:eastAsia="zh-CN" w:bidi="ar-SA"/>
        </w:rPr>
        <w:t>全面唱响了“我是政府办党员：我承诺、我担当、我骄傲！请党放心，强县有我</w:t>
      </w:r>
      <w:r>
        <w:rPr>
          <w:rFonts w:hint="eastAsia" w:ascii="Times New Roman" w:hAnsi="Times New Roman" w:eastAsia="仿宋_GB2312" w:cs="Times New Roman"/>
          <w:bCs/>
          <w:color w:val="auto"/>
          <w:sz w:val="32"/>
          <w:szCs w:val="32"/>
          <w:shd w:val="clear" w:color="auto" w:fill="FFFFFF"/>
          <w:lang w:val="en-US" w:eastAsia="zh-CN" w:bidi="ar-SA"/>
        </w:rPr>
        <w:t>!</w:t>
      </w:r>
      <w:r>
        <w:rPr>
          <w:rFonts w:hint="eastAsia" w:ascii="Times New Roman" w:hAnsi="Times New Roman" w:eastAsia="仿宋_GB2312" w:cs="Times New Roman"/>
          <w:bCs/>
          <w:color w:val="auto"/>
          <w:sz w:val="32"/>
          <w:szCs w:val="32"/>
          <w:shd w:val="clear" w:color="auto" w:fill="FFFFFF"/>
          <w:lang w:eastAsia="zh-CN" w:bidi="ar-SA"/>
        </w:rPr>
        <w:t>”的主旋律。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olor w:val="auto"/>
          <w:sz w:val="32"/>
          <w:szCs w:val="32"/>
          <w:lang w:eastAsia="zh-CN"/>
        </w:rPr>
      </w:pPr>
      <w:r>
        <w:rPr>
          <w:rFonts w:hint="eastAsia" w:eastAsia="黑体"/>
          <w:bCs/>
          <w:color w:val="auto"/>
          <w:sz w:val="32"/>
          <w:szCs w:val="32"/>
          <w:lang w:val="en-US" w:eastAsia="zh-CN"/>
        </w:rPr>
        <w:t>2、</w:t>
      </w:r>
      <w:r>
        <w:rPr>
          <w:rFonts w:eastAsia="黑体"/>
          <w:bCs/>
          <w:color w:val="auto"/>
          <w:sz w:val="32"/>
          <w:szCs w:val="32"/>
        </w:rPr>
        <w:t>坚持勤参善谋</w:t>
      </w:r>
      <w:r>
        <w:rPr>
          <w:rFonts w:hint="eastAsia" w:ascii="黑体" w:eastAsia="黑体" w:cs="黑体"/>
          <w:color w:val="auto"/>
          <w:sz w:val="32"/>
          <w:szCs w:val="32"/>
          <w:lang w:eastAsia="zh-CN" w:bidi="ar-SA"/>
        </w:rPr>
        <w:t>，以文辅政谱新篇。</w:t>
      </w:r>
      <w:r>
        <w:rPr>
          <w:rFonts w:eastAsia="楷体_GB2312"/>
          <w:b/>
          <w:bCs/>
          <w:color w:val="auto"/>
          <w:sz w:val="32"/>
          <w:szCs w:val="32"/>
        </w:rPr>
        <w:t>一是</w:t>
      </w:r>
      <w:r>
        <w:rPr>
          <w:rFonts w:hint="eastAsia" w:eastAsia="楷体_GB2312"/>
          <w:b/>
          <w:bCs/>
          <w:color w:val="auto"/>
          <w:sz w:val="32"/>
          <w:szCs w:val="32"/>
          <w:lang w:eastAsia="zh-CN"/>
        </w:rPr>
        <w:t>聚焦</w:t>
      </w:r>
      <w:r>
        <w:rPr>
          <w:rFonts w:eastAsia="楷体_GB2312"/>
          <w:b/>
          <w:bCs/>
          <w:color w:val="auto"/>
          <w:sz w:val="32"/>
          <w:szCs w:val="32"/>
        </w:rPr>
        <w:t>文风转变，文稿质量</w:t>
      </w:r>
      <w:r>
        <w:rPr>
          <w:rFonts w:hint="eastAsia" w:eastAsia="楷体_GB2312"/>
          <w:b/>
          <w:bCs/>
          <w:color w:val="auto"/>
          <w:sz w:val="32"/>
          <w:szCs w:val="32"/>
          <w:lang w:eastAsia="zh-CN"/>
        </w:rPr>
        <w:t>再</w:t>
      </w:r>
      <w:r>
        <w:rPr>
          <w:rFonts w:eastAsia="楷体_GB2312"/>
          <w:b/>
          <w:bCs/>
          <w:color w:val="auto"/>
          <w:sz w:val="32"/>
          <w:szCs w:val="32"/>
        </w:rPr>
        <w:t>提升。</w:t>
      </w:r>
      <w:r>
        <w:rPr>
          <w:rFonts w:eastAsia="仿宋_GB2312"/>
          <w:color w:val="auto"/>
          <w:sz w:val="32"/>
          <w:szCs w:val="32"/>
          <w:shd w:val="clear" w:color="auto" w:fill="FFFFFF"/>
        </w:rPr>
        <w:t>始终按照“贴得紧、跟得上，重创新、有突破”要求，精益求精，优质高效做好各类综合性文稿起草工作。上半年完成工作报告、发言材料等综合性文稿</w:t>
      </w:r>
      <w:r>
        <w:rPr>
          <w:rFonts w:hint="eastAsia" w:eastAsia="仿宋_GB2312"/>
          <w:color w:val="auto"/>
          <w:sz w:val="32"/>
          <w:szCs w:val="32"/>
          <w:shd w:val="clear" w:color="auto" w:fill="FFFFFF"/>
          <w:lang w:val="en-US" w:eastAsia="zh-CN"/>
        </w:rPr>
        <w:t>512</w:t>
      </w:r>
      <w:r>
        <w:rPr>
          <w:rFonts w:eastAsia="仿宋_GB2312"/>
          <w:color w:val="auto"/>
          <w:sz w:val="32"/>
          <w:szCs w:val="32"/>
          <w:shd w:val="clear" w:color="auto" w:fill="FFFFFF"/>
        </w:rPr>
        <w:t>篇, 各类会议纪要</w:t>
      </w:r>
      <w:r>
        <w:rPr>
          <w:rFonts w:hint="eastAsia" w:eastAsia="仿宋_GB2312"/>
          <w:color w:val="auto"/>
          <w:sz w:val="32"/>
          <w:szCs w:val="32"/>
          <w:shd w:val="clear" w:color="auto" w:fill="FFFFFF"/>
          <w:lang w:val="en-US" w:eastAsia="zh-CN"/>
        </w:rPr>
        <w:t>1329</w:t>
      </w:r>
      <w:r>
        <w:rPr>
          <w:rFonts w:eastAsia="仿宋_GB2312"/>
          <w:color w:val="auto"/>
          <w:sz w:val="32"/>
          <w:szCs w:val="32"/>
          <w:shd w:val="clear" w:color="auto" w:fill="FFFFFF"/>
        </w:rPr>
        <w:t>篇</w:t>
      </w:r>
      <w:r>
        <w:rPr>
          <w:rFonts w:hint="eastAsia" w:eastAsia="仿宋_GB2312"/>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eastAsia="zh-CN" w:bidi="ar-SA"/>
        </w:rPr>
        <w:t>为县政府依法行政提供重要支撑</w:t>
      </w:r>
      <w:r>
        <w:rPr>
          <w:rFonts w:hint="eastAsia" w:ascii="Times New Roman" w:hAnsi="Times New Roman" w:eastAsia="仿宋_GB2312" w:cs="Times New Roman"/>
          <w:color w:val="auto"/>
          <w:sz w:val="32"/>
          <w:szCs w:val="32"/>
          <w:shd w:val="clear" w:color="auto" w:fill="FFFFFF"/>
          <w:lang w:bidi="ar-SA"/>
        </w:rPr>
        <w:t>。</w:t>
      </w:r>
      <w:r>
        <w:rPr>
          <w:rFonts w:eastAsia="楷体_GB2312"/>
          <w:b/>
          <w:bCs/>
          <w:color w:val="auto"/>
          <w:sz w:val="32"/>
          <w:szCs w:val="32"/>
        </w:rPr>
        <w:t>二是</w:t>
      </w:r>
      <w:r>
        <w:rPr>
          <w:rFonts w:hint="eastAsia" w:eastAsia="楷体_GB2312"/>
          <w:b/>
          <w:bCs/>
          <w:color w:val="auto"/>
          <w:sz w:val="32"/>
          <w:szCs w:val="32"/>
          <w:lang w:eastAsia="zh-CN"/>
        </w:rPr>
        <w:t>聚焦</w:t>
      </w:r>
      <w:r>
        <w:rPr>
          <w:rFonts w:eastAsia="楷体_GB2312"/>
          <w:b/>
          <w:bCs/>
          <w:color w:val="auto"/>
          <w:sz w:val="32"/>
          <w:szCs w:val="32"/>
        </w:rPr>
        <w:t>调查研究，参谋作用</w:t>
      </w:r>
      <w:r>
        <w:rPr>
          <w:rFonts w:hint="eastAsia" w:eastAsia="楷体_GB2312"/>
          <w:b/>
          <w:bCs/>
          <w:color w:val="auto"/>
          <w:sz w:val="32"/>
          <w:szCs w:val="32"/>
          <w:lang w:eastAsia="zh-CN"/>
        </w:rPr>
        <w:t>再</w:t>
      </w:r>
      <w:r>
        <w:rPr>
          <w:rFonts w:eastAsia="楷体_GB2312"/>
          <w:b/>
          <w:bCs/>
          <w:color w:val="auto"/>
          <w:sz w:val="32"/>
          <w:szCs w:val="32"/>
        </w:rPr>
        <w:t>发挥。</w:t>
      </w:r>
      <w:r>
        <w:rPr>
          <w:rFonts w:eastAsia="仿宋_GB2312"/>
          <w:color w:val="auto"/>
          <w:sz w:val="32"/>
          <w:szCs w:val="32"/>
          <w:shd w:val="clear" w:color="auto" w:fill="FFFFFF"/>
        </w:rPr>
        <w:t>始终把调研工作的着力点放在为领导决策服务上，从产业、生态等经济社会发展重点领域拟定1个课题，明确调研活动安排和调研成果运用等，形成了3份调研成果，编印《信息参阅》</w:t>
      </w:r>
      <w:r>
        <w:rPr>
          <w:rFonts w:hint="eastAsia" w:eastAsia="仿宋_GB2312"/>
          <w:color w:val="auto"/>
          <w:sz w:val="32"/>
          <w:szCs w:val="32"/>
          <w:shd w:val="clear" w:color="auto" w:fill="FFFFFF"/>
          <w:lang w:val="en-US" w:eastAsia="zh-CN"/>
        </w:rPr>
        <w:t>11</w:t>
      </w:r>
      <w:r>
        <w:rPr>
          <w:rFonts w:eastAsia="仿宋_GB2312"/>
          <w:color w:val="auto"/>
          <w:sz w:val="32"/>
          <w:szCs w:val="32"/>
          <w:shd w:val="clear" w:color="auto" w:fill="FFFFFF"/>
        </w:rPr>
        <w:t>期</w:t>
      </w:r>
      <w:r>
        <w:rPr>
          <w:rFonts w:hint="eastAsia" w:eastAsia="仿宋_GB2312"/>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bidi="ar-SA"/>
        </w:rPr>
        <w:t>为领导决策提供参考依据</w:t>
      </w:r>
      <w:r>
        <w:rPr>
          <w:rFonts w:hint="eastAsia" w:ascii="Times New Roman" w:hAnsi="Times New Roman" w:eastAsia="仿宋_GB2312" w:cs="Times New Roman"/>
          <w:color w:val="auto"/>
          <w:sz w:val="32"/>
          <w:szCs w:val="32"/>
          <w:shd w:val="clear" w:color="auto" w:fill="FFFFFF"/>
          <w:lang w:eastAsia="zh-CN" w:bidi="ar-SA"/>
        </w:rPr>
        <w:t>。</w:t>
      </w:r>
      <w:r>
        <w:rPr>
          <w:rFonts w:eastAsia="楷体_GB2312"/>
          <w:b/>
          <w:bCs/>
          <w:color w:val="auto"/>
          <w:sz w:val="32"/>
          <w:szCs w:val="32"/>
        </w:rPr>
        <w:t>三是</w:t>
      </w:r>
      <w:r>
        <w:rPr>
          <w:rFonts w:hint="eastAsia" w:eastAsia="楷体_GB2312"/>
          <w:b/>
          <w:bCs/>
          <w:color w:val="auto"/>
          <w:sz w:val="32"/>
          <w:szCs w:val="32"/>
          <w:lang w:eastAsia="zh-CN"/>
        </w:rPr>
        <w:t>聚焦政务公开，</w:t>
      </w:r>
      <w:r>
        <w:rPr>
          <w:rFonts w:eastAsia="楷体_GB2312"/>
          <w:b/>
          <w:bCs/>
          <w:color w:val="auto"/>
          <w:sz w:val="32"/>
          <w:szCs w:val="32"/>
        </w:rPr>
        <w:t>政务</w:t>
      </w:r>
      <w:r>
        <w:rPr>
          <w:rFonts w:hint="eastAsia" w:eastAsia="楷体_GB2312"/>
          <w:b/>
          <w:bCs/>
          <w:color w:val="auto"/>
          <w:sz w:val="32"/>
          <w:szCs w:val="32"/>
          <w:lang w:eastAsia="zh-CN"/>
        </w:rPr>
        <w:t>信息再提质</w:t>
      </w:r>
      <w:r>
        <w:rPr>
          <w:rFonts w:eastAsia="楷体_GB2312"/>
          <w:b/>
          <w:bCs/>
          <w:color w:val="auto"/>
          <w:sz w:val="32"/>
          <w:szCs w:val="32"/>
        </w:rPr>
        <w:t>。</w:t>
      </w:r>
      <w:r>
        <w:rPr>
          <w:rFonts w:eastAsia="仿宋_GB2312"/>
          <w:color w:val="auto"/>
          <w:sz w:val="32"/>
          <w:szCs w:val="32"/>
          <w:shd w:val="clear" w:color="auto" w:fill="FFFFFF"/>
        </w:rPr>
        <w:t>紧紧围绕县委、县政府中心</w:t>
      </w:r>
      <w:r>
        <w:rPr>
          <w:rFonts w:ascii="Times New Roman" w:hAnsi="Times New Roman" w:eastAsia="仿宋_GB2312" w:cs="Times New Roman"/>
          <w:color w:val="auto"/>
          <w:sz w:val="32"/>
          <w:szCs w:val="32"/>
          <w:shd w:val="clear" w:color="auto" w:fill="FFFFFF"/>
          <w:lang w:bidi="ar-SA"/>
        </w:rPr>
        <w:t>工作</w:t>
      </w:r>
      <w:r>
        <w:rPr>
          <w:rFonts w:eastAsia="仿宋_GB2312"/>
          <w:color w:val="auto"/>
          <w:sz w:val="32"/>
          <w:szCs w:val="32"/>
          <w:shd w:val="clear" w:color="auto" w:fill="FFFFFF"/>
        </w:rPr>
        <w:t>，</w:t>
      </w:r>
      <w:r>
        <w:rPr>
          <w:rFonts w:eastAsia="仿宋_GB2312"/>
          <w:color w:val="auto"/>
          <w:sz w:val="32"/>
          <w:szCs w:val="32"/>
        </w:rPr>
        <w:t>制发了《2021年政务信息、门户网站信息报送和目录管理系统填报发布目标任务》。采编信息</w:t>
      </w:r>
      <w:r>
        <w:rPr>
          <w:rFonts w:hint="eastAsia" w:eastAsia="仿宋_GB2312"/>
          <w:color w:val="auto"/>
          <w:sz w:val="32"/>
          <w:szCs w:val="32"/>
          <w:lang w:val="en-US" w:eastAsia="zh-CN"/>
        </w:rPr>
        <w:t>1153</w:t>
      </w:r>
      <w:r>
        <w:rPr>
          <w:rFonts w:eastAsia="仿宋_GB2312"/>
          <w:color w:val="auto"/>
          <w:sz w:val="32"/>
          <w:szCs w:val="32"/>
        </w:rPr>
        <w:t>条，公开信息</w:t>
      </w:r>
      <w:r>
        <w:rPr>
          <w:rFonts w:hint="eastAsia" w:eastAsia="仿宋_GB2312"/>
          <w:color w:val="auto"/>
          <w:sz w:val="32"/>
          <w:szCs w:val="32"/>
          <w:lang w:val="en-US" w:eastAsia="zh-CN"/>
        </w:rPr>
        <w:t>4441</w:t>
      </w:r>
      <w:r>
        <w:rPr>
          <w:rFonts w:eastAsia="仿宋_GB2312"/>
          <w:color w:val="auto"/>
          <w:sz w:val="32"/>
          <w:szCs w:val="32"/>
        </w:rPr>
        <w:t>条，上报信息</w:t>
      </w:r>
      <w:r>
        <w:rPr>
          <w:rFonts w:hint="eastAsia" w:eastAsia="仿宋_GB2312"/>
          <w:color w:val="auto"/>
          <w:sz w:val="32"/>
          <w:szCs w:val="32"/>
          <w:lang w:val="en-US" w:eastAsia="zh-CN"/>
        </w:rPr>
        <w:t>334</w:t>
      </w:r>
      <w:r>
        <w:rPr>
          <w:rFonts w:eastAsia="仿宋_GB2312"/>
          <w:color w:val="auto"/>
          <w:sz w:val="32"/>
          <w:szCs w:val="32"/>
        </w:rPr>
        <w:t>条，州级采用</w:t>
      </w:r>
      <w:r>
        <w:rPr>
          <w:rFonts w:hint="eastAsia" w:eastAsia="仿宋_GB2312"/>
          <w:color w:val="auto"/>
          <w:sz w:val="32"/>
          <w:szCs w:val="32"/>
          <w:lang w:val="en-US" w:eastAsia="zh-CN"/>
        </w:rPr>
        <w:t>44</w:t>
      </w:r>
      <w:r>
        <w:rPr>
          <w:rFonts w:eastAsia="仿宋_GB2312"/>
          <w:color w:val="auto"/>
          <w:sz w:val="32"/>
          <w:szCs w:val="32"/>
        </w:rPr>
        <w:t>条；办理政务信箱</w:t>
      </w:r>
      <w:r>
        <w:rPr>
          <w:rFonts w:hint="eastAsia" w:eastAsia="仿宋_GB2312"/>
          <w:color w:val="auto"/>
          <w:sz w:val="32"/>
          <w:szCs w:val="32"/>
          <w:lang w:val="en-US" w:eastAsia="zh-CN"/>
        </w:rPr>
        <w:t>23</w:t>
      </w:r>
      <w:r>
        <w:rPr>
          <w:rFonts w:eastAsia="仿宋_GB2312"/>
          <w:color w:val="auto"/>
          <w:sz w:val="32"/>
          <w:szCs w:val="32"/>
        </w:rPr>
        <w:t>件，</w:t>
      </w:r>
      <w:r>
        <w:rPr>
          <w:rFonts w:hint="eastAsia" w:eastAsia="仿宋_GB2312"/>
          <w:color w:val="auto"/>
          <w:sz w:val="32"/>
          <w:szCs w:val="32"/>
          <w:lang w:eastAsia="zh-CN"/>
        </w:rPr>
        <w:t>发布意见征集、公告</w:t>
      </w:r>
      <w:r>
        <w:rPr>
          <w:rFonts w:hint="eastAsia" w:eastAsia="仿宋_GB2312"/>
          <w:color w:val="auto"/>
          <w:sz w:val="32"/>
          <w:szCs w:val="32"/>
          <w:lang w:val="en-US" w:eastAsia="zh-CN"/>
        </w:rPr>
        <w:t>173条，</w:t>
      </w:r>
      <w:r>
        <w:rPr>
          <w:rFonts w:eastAsia="仿宋_GB2312"/>
          <w:color w:val="auto"/>
          <w:sz w:val="32"/>
          <w:szCs w:val="32"/>
        </w:rPr>
        <w:t>审核公开部门预算</w:t>
      </w:r>
      <w:r>
        <w:rPr>
          <w:rFonts w:hint="eastAsia" w:eastAsia="仿宋_GB2312"/>
          <w:color w:val="auto"/>
          <w:sz w:val="32"/>
          <w:szCs w:val="32"/>
          <w:lang w:val="en-US" w:eastAsia="zh-CN"/>
        </w:rPr>
        <w:t>158</w:t>
      </w:r>
      <w:r>
        <w:rPr>
          <w:rFonts w:eastAsia="仿宋_GB2312"/>
          <w:color w:val="auto"/>
          <w:sz w:val="32"/>
          <w:szCs w:val="32"/>
        </w:rPr>
        <w:t>件，开设森林草原防灭火工作专栏，清理无用目录管理账号4个</w:t>
      </w:r>
      <w:r>
        <w:rPr>
          <w:rFonts w:hint="eastAsia" w:eastAsia="仿宋_GB2312"/>
          <w:color w:val="auto"/>
          <w:sz w:val="32"/>
          <w:szCs w:val="32"/>
          <w:lang w:eastAsia="zh-CN"/>
        </w:rPr>
        <w:t>，</w:t>
      </w:r>
      <w:r>
        <w:rPr>
          <w:rFonts w:hint="eastAsia" w:ascii="Times New Roman" w:hAnsi="Times New Roman" w:eastAsia="仿宋_GB2312" w:cs="Times New Roman"/>
          <w:color w:val="auto"/>
          <w:sz w:val="32"/>
          <w:szCs w:val="32"/>
          <w:shd w:val="clear" w:color="auto" w:fill="FFFFFF"/>
          <w:lang w:bidi="ar-SA"/>
        </w:rPr>
        <w:t>全面提升政务服务工作水平。</w:t>
      </w:r>
    </w:p>
    <w:p>
      <w:pPr>
        <w:pStyle w:val="8"/>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eastAsia="仿宋_GB2312"/>
          <w:color w:val="auto"/>
          <w:sz w:val="32"/>
          <w:szCs w:val="32"/>
          <w:shd w:val="clear" w:color="auto" w:fill="FFFFFF"/>
        </w:rPr>
      </w:pPr>
      <w:r>
        <w:rPr>
          <w:rFonts w:hint="eastAsia" w:ascii="黑体" w:eastAsia="黑体" w:cs="黑体"/>
          <w:color w:val="auto"/>
          <w:sz w:val="32"/>
          <w:szCs w:val="32"/>
          <w:lang w:val="en-US" w:eastAsia="zh-CN" w:bidi="ar-SA"/>
        </w:rPr>
        <w:t>3、</w:t>
      </w:r>
      <w:r>
        <w:rPr>
          <w:rFonts w:hint="eastAsia" w:ascii="黑体" w:eastAsia="黑体" w:cs="黑体"/>
          <w:color w:val="auto"/>
          <w:sz w:val="32"/>
          <w:szCs w:val="32"/>
          <w:lang w:eastAsia="zh-CN" w:bidi="ar-SA"/>
        </w:rPr>
        <w:t>坚守</w:t>
      </w:r>
      <w:r>
        <w:rPr>
          <w:rFonts w:hint="eastAsia" w:eastAsia="黑体"/>
          <w:bCs/>
          <w:color w:val="auto"/>
          <w:sz w:val="32"/>
          <w:szCs w:val="32"/>
          <w:lang w:eastAsia="zh-CN"/>
        </w:rPr>
        <w:t>中枢职责</w:t>
      </w:r>
      <w:r>
        <w:rPr>
          <w:rFonts w:eastAsia="黑体"/>
          <w:bCs/>
          <w:color w:val="auto"/>
          <w:sz w:val="32"/>
          <w:szCs w:val="32"/>
        </w:rPr>
        <w:t>，</w:t>
      </w:r>
      <w:r>
        <w:rPr>
          <w:rFonts w:hint="eastAsia" w:eastAsia="黑体"/>
          <w:bCs/>
          <w:color w:val="auto"/>
          <w:sz w:val="32"/>
          <w:szCs w:val="32"/>
          <w:lang w:eastAsia="zh-CN"/>
        </w:rPr>
        <w:t>事务管理创佳绩</w:t>
      </w:r>
      <w:r>
        <w:rPr>
          <w:rFonts w:eastAsia="黑体"/>
          <w:bCs/>
          <w:color w:val="auto"/>
          <w:sz w:val="32"/>
          <w:szCs w:val="32"/>
        </w:rPr>
        <w:t>。</w:t>
      </w:r>
      <w:r>
        <w:rPr>
          <w:rFonts w:eastAsia="楷体_GB2312"/>
          <w:b/>
          <w:bCs/>
          <w:color w:val="auto"/>
          <w:sz w:val="32"/>
          <w:szCs w:val="32"/>
        </w:rPr>
        <w:t>一是</w:t>
      </w:r>
      <w:r>
        <w:rPr>
          <w:rFonts w:hint="eastAsia" w:eastAsia="楷体_GB2312"/>
          <w:b/>
          <w:bCs/>
          <w:color w:val="auto"/>
          <w:sz w:val="32"/>
          <w:szCs w:val="32"/>
          <w:lang w:eastAsia="zh-CN"/>
        </w:rPr>
        <w:t>坚持精心</w:t>
      </w:r>
      <w:r>
        <w:rPr>
          <w:rFonts w:eastAsia="楷体_GB2312"/>
          <w:b/>
          <w:bCs/>
          <w:color w:val="auto"/>
          <w:sz w:val="32"/>
          <w:szCs w:val="32"/>
        </w:rPr>
        <w:t>办文，文件</w:t>
      </w:r>
      <w:r>
        <w:rPr>
          <w:rFonts w:hint="eastAsia" w:eastAsia="楷体_GB2312"/>
          <w:b/>
          <w:bCs/>
          <w:color w:val="auto"/>
          <w:sz w:val="32"/>
          <w:szCs w:val="32"/>
          <w:lang w:eastAsia="zh-CN"/>
        </w:rPr>
        <w:t>流转提质效</w:t>
      </w:r>
      <w:r>
        <w:rPr>
          <w:rFonts w:eastAsia="楷体_GB2312"/>
          <w:b/>
          <w:bCs/>
          <w:color w:val="auto"/>
          <w:sz w:val="32"/>
          <w:szCs w:val="32"/>
        </w:rPr>
        <w:t>。</w:t>
      </w:r>
      <w:r>
        <w:rPr>
          <w:rFonts w:hint="eastAsia" w:eastAsia="仿宋_GB2312"/>
          <w:color w:val="auto"/>
          <w:sz w:val="32"/>
          <w:szCs w:val="32"/>
          <w:shd w:val="clear" w:color="auto" w:fill="FFFFFF"/>
          <w:lang w:eastAsia="zh-CN"/>
        </w:rPr>
        <w:t>立足</w:t>
      </w:r>
      <w:r>
        <w:rPr>
          <w:rFonts w:eastAsia="仿宋_GB2312"/>
          <w:color w:val="auto"/>
          <w:sz w:val="32"/>
          <w:szCs w:val="32"/>
          <w:shd w:val="clear" w:color="auto" w:fill="FFFFFF"/>
        </w:rPr>
        <w:t>“即收即转、即来即办”的原则办理各类文件。上半年登记、运转上级各类公</w:t>
      </w:r>
      <w:r>
        <w:rPr>
          <w:rFonts w:hint="eastAsia" w:eastAsia="仿宋_GB2312"/>
          <w:color w:val="auto"/>
          <w:sz w:val="32"/>
          <w:szCs w:val="32"/>
          <w:shd w:val="clear" w:color="auto" w:fill="FFFFFF"/>
          <w:lang w:val="en-US" w:eastAsia="zh-CN"/>
        </w:rPr>
        <w:t>7168</w:t>
      </w:r>
      <w:r>
        <w:rPr>
          <w:rFonts w:eastAsia="仿宋_GB2312"/>
          <w:color w:val="auto"/>
          <w:sz w:val="32"/>
          <w:szCs w:val="32"/>
          <w:shd w:val="clear" w:color="auto" w:fill="FFFFFF"/>
        </w:rPr>
        <w:t>件（省州来文</w:t>
      </w:r>
      <w:r>
        <w:rPr>
          <w:rFonts w:hint="eastAsia" w:eastAsia="仿宋_GB2312"/>
          <w:color w:val="auto"/>
          <w:sz w:val="32"/>
          <w:szCs w:val="32"/>
          <w:shd w:val="clear" w:color="auto" w:fill="FFFFFF"/>
          <w:lang w:val="en-US" w:eastAsia="zh-CN"/>
        </w:rPr>
        <w:t>3356</w:t>
      </w:r>
      <w:r>
        <w:rPr>
          <w:rFonts w:eastAsia="仿宋_GB2312"/>
          <w:color w:val="auto"/>
          <w:sz w:val="32"/>
          <w:szCs w:val="32"/>
          <w:shd w:val="clear" w:color="auto" w:fill="FFFFFF"/>
        </w:rPr>
        <w:t>件，县内来文</w:t>
      </w:r>
      <w:r>
        <w:rPr>
          <w:rFonts w:hint="eastAsia" w:eastAsia="仿宋_GB2312"/>
          <w:color w:val="auto"/>
          <w:sz w:val="32"/>
          <w:szCs w:val="32"/>
          <w:shd w:val="clear" w:color="auto" w:fill="FFFFFF"/>
          <w:lang w:val="en-US" w:eastAsia="zh-CN"/>
        </w:rPr>
        <w:t>3812</w:t>
      </w:r>
      <w:r>
        <w:rPr>
          <w:rFonts w:eastAsia="仿宋_GB2312"/>
          <w:color w:val="auto"/>
          <w:sz w:val="32"/>
          <w:szCs w:val="32"/>
          <w:shd w:val="clear" w:color="auto" w:fill="FFFFFF"/>
        </w:rPr>
        <w:t>件），复核登记、排版印发文件</w:t>
      </w:r>
      <w:r>
        <w:rPr>
          <w:rFonts w:hint="eastAsia" w:eastAsia="仿宋_GB2312"/>
          <w:color w:val="auto"/>
          <w:sz w:val="32"/>
          <w:szCs w:val="32"/>
          <w:shd w:val="clear" w:color="auto" w:fill="FFFFFF"/>
          <w:lang w:val="en-US" w:eastAsia="zh-CN"/>
        </w:rPr>
        <w:t>1657</w:t>
      </w:r>
      <w:r>
        <w:rPr>
          <w:rFonts w:eastAsia="仿宋_GB2312"/>
          <w:color w:val="auto"/>
          <w:sz w:val="32"/>
          <w:szCs w:val="32"/>
          <w:shd w:val="clear" w:color="auto" w:fill="FFFFFF"/>
        </w:rPr>
        <w:t>份，</w:t>
      </w:r>
      <w:r>
        <w:rPr>
          <w:rFonts w:hint="eastAsia" w:eastAsia="仿宋_GB2312"/>
          <w:color w:val="auto"/>
          <w:sz w:val="32"/>
          <w:szCs w:val="32"/>
          <w:shd w:val="clear" w:color="auto" w:fill="FFFFFF"/>
          <w:lang w:eastAsia="zh-CN"/>
        </w:rPr>
        <w:t>精减文件同比下降</w:t>
      </w:r>
      <w:r>
        <w:rPr>
          <w:rFonts w:hint="eastAsia" w:eastAsia="仿宋_GB2312"/>
          <w:color w:val="auto"/>
          <w:sz w:val="32"/>
          <w:szCs w:val="32"/>
          <w:shd w:val="clear" w:color="auto" w:fill="FFFFFF"/>
          <w:lang w:val="en-US" w:eastAsia="zh-CN"/>
        </w:rPr>
        <w:t>6.2%，</w:t>
      </w:r>
      <w:r>
        <w:rPr>
          <w:rFonts w:eastAsia="仿宋_GB2312"/>
          <w:color w:val="auto"/>
          <w:sz w:val="32"/>
          <w:szCs w:val="32"/>
          <w:shd w:val="clear" w:color="auto" w:fill="FFFFFF"/>
        </w:rPr>
        <w:t>办理下级请示报告类文件</w:t>
      </w:r>
      <w:r>
        <w:rPr>
          <w:rFonts w:hint="eastAsia" w:eastAsia="仿宋_GB2312"/>
          <w:color w:val="auto"/>
          <w:sz w:val="32"/>
          <w:szCs w:val="32"/>
          <w:shd w:val="clear" w:color="auto" w:fill="FFFFFF"/>
          <w:lang w:val="en-US" w:eastAsia="zh-CN"/>
        </w:rPr>
        <w:t>3125</w:t>
      </w:r>
      <w:r>
        <w:rPr>
          <w:rFonts w:eastAsia="仿宋_GB2312"/>
          <w:color w:val="auto"/>
          <w:sz w:val="32"/>
          <w:szCs w:val="32"/>
          <w:shd w:val="clear" w:color="auto" w:fill="FFFFFF"/>
        </w:rPr>
        <w:t>件，期间无误事等问题发生。</w:t>
      </w:r>
      <w:r>
        <w:rPr>
          <w:rFonts w:hint="eastAsia" w:ascii="楷体_GB2312" w:eastAsia="楷体_GB2312" w:cs="楷体_GB2312"/>
          <w:b/>
          <w:bCs/>
          <w:color w:val="auto"/>
          <w:sz w:val="32"/>
          <w:szCs w:val="32"/>
          <w:lang w:bidi="ar-SA"/>
        </w:rPr>
        <w:t>二是</w:t>
      </w:r>
      <w:r>
        <w:rPr>
          <w:rFonts w:hint="eastAsia" w:ascii="楷体_GB2312" w:eastAsia="楷体_GB2312" w:cs="楷体_GB2312"/>
          <w:b/>
          <w:bCs/>
          <w:color w:val="auto"/>
          <w:sz w:val="32"/>
          <w:szCs w:val="32"/>
          <w:lang w:eastAsia="zh-CN" w:bidi="ar-SA"/>
        </w:rPr>
        <w:t>坚持</w:t>
      </w:r>
      <w:r>
        <w:rPr>
          <w:rFonts w:hint="eastAsia" w:ascii="楷体_GB2312" w:eastAsia="楷体_GB2312" w:cs="楷体_GB2312"/>
          <w:b/>
          <w:bCs/>
          <w:color w:val="auto"/>
          <w:sz w:val="32"/>
          <w:szCs w:val="32"/>
          <w:lang w:bidi="ar-SA"/>
        </w:rPr>
        <w:t>周密办会，</w:t>
      </w:r>
      <w:r>
        <w:rPr>
          <w:rFonts w:hint="eastAsia" w:eastAsia="楷体_GB2312"/>
          <w:b/>
          <w:bCs/>
          <w:color w:val="auto"/>
          <w:sz w:val="32"/>
          <w:szCs w:val="32"/>
          <w:lang w:eastAsia="zh-CN"/>
        </w:rPr>
        <w:t>会务办理提水平</w:t>
      </w:r>
      <w:r>
        <w:rPr>
          <w:rFonts w:eastAsia="楷体_GB2312"/>
          <w:b/>
          <w:bCs/>
          <w:color w:val="auto"/>
          <w:sz w:val="32"/>
          <w:szCs w:val="32"/>
        </w:rPr>
        <w:t>。</w:t>
      </w:r>
      <w:r>
        <w:rPr>
          <w:rFonts w:eastAsia="仿宋_GB2312"/>
          <w:color w:val="auto"/>
          <w:sz w:val="32"/>
          <w:szCs w:val="32"/>
          <w:shd w:val="clear" w:color="auto" w:fill="FFFFFF"/>
        </w:rPr>
        <w:t>牵头办理县政府常务会</w:t>
      </w:r>
      <w:r>
        <w:rPr>
          <w:rFonts w:hint="eastAsia" w:eastAsia="仿宋_GB2312"/>
          <w:color w:val="auto"/>
          <w:sz w:val="32"/>
          <w:szCs w:val="32"/>
          <w:shd w:val="clear" w:color="auto" w:fill="FFFFFF"/>
          <w:lang w:val="en-US" w:eastAsia="zh-CN"/>
        </w:rPr>
        <w:t>8</w:t>
      </w:r>
      <w:r>
        <w:rPr>
          <w:rFonts w:eastAsia="仿宋_GB2312"/>
          <w:color w:val="auto"/>
          <w:sz w:val="32"/>
          <w:szCs w:val="32"/>
          <w:shd w:val="clear" w:color="auto" w:fill="FFFFFF"/>
        </w:rPr>
        <w:t>次、审核议题</w:t>
      </w:r>
      <w:r>
        <w:rPr>
          <w:rFonts w:hint="eastAsia" w:eastAsia="仿宋_GB2312"/>
          <w:color w:val="auto"/>
          <w:sz w:val="32"/>
          <w:szCs w:val="32"/>
          <w:shd w:val="clear" w:color="auto" w:fill="FFFFFF"/>
          <w:lang w:val="en-US" w:eastAsia="zh-CN"/>
        </w:rPr>
        <w:t>200</w:t>
      </w:r>
      <w:r>
        <w:rPr>
          <w:rFonts w:eastAsia="仿宋_GB2312"/>
          <w:color w:val="auto"/>
          <w:sz w:val="32"/>
          <w:szCs w:val="32"/>
          <w:shd w:val="clear" w:color="auto" w:fill="FFFFFF"/>
        </w:rPr>
        <w:t>余件，县政府党组会</w:t>
      </w:r>
      <w:r>
        <w:rPr>
          <w:rFonts w:hint="eastAsia" w:eastAsia="仿宋_GB2312"/>
          <w:color w:val="auto"/>
          <w:sz w:val="32"/>
          <w:szCs w:val="32"/>
          <w:shd w:val="clear" w:color="auto" w:fill="FFFFFF"/>
          <w:lang w:val="en-US" w:eastAsia="zh-CN"/>
        </w:rPr>
        <w:t>13</w:t>
      </w:r>
      <w:r>
        <w:rPr>
          <w:rFonts w:eastAsia="仿宋_GB2312"/>
          <w:color w:val="auto"/>
          <w:sz w:val="32"/>
          <w:szCs w:val="32"/>
          <w:shd w:val="clear" w:color="auto" w:fill="FFFFFF"/>
        </w:rPr>
        <w:t>次，汇编学习文件</w:t>
      </w:r>
      <w:r>
        <w:rPr>
          <w:rFonts w:hint="eastAsia" w:eastAsia="仿宋_GB2312"/>
          <w:color w:val="auto"/>
          <w:sz w:val="32"/>
          <w:szCs w:val="32"/>
          <w:shd w:val="clear" w:color="auto" w:fill="FFFFFF"/>
          <w:lang w:val="en-US" w:eastAsia="zh-CN"/>
        </w:rPr>
        <w:t>10余</w:t>
      </w:r>
      <w:r>
        <w:rPr>
          <w:rFonts w:eastAsia="仿宋_GB2312"/>
          <w:color w:val="auto"/>
          <w:sz w:val="32"/>
          <w:szCs w:val="32"/>
          <w:shd w:val="clear" w:color="auto" w:fill="FFFFFF"/>
        </w:rPr>
        <w:t>期。同时，</w:t>
      </w:r>
      <w:r>
        <w:rPr>
          <w:rFonts w:eastAsia="仿宋_GB2312"/>
          <w:color w:val="auto"/>
          <w:sz w:val="32"/>
          <w:szCs w:val="32"/>
        </w:rPr>
        <w:t>严格视频会务管理，</w:t>
      </w:r>
      <w:r>
        <w:rPr>
          <w:rFonts w:eastAsia="仿宋_GB2312"/>
          <w:color w:val="auto"/>
          <w:spacing w:val="-6"/>
          <w:kern w:val="0"/>
          <w:sz w:val="32"/>
          <w:szCs w:val="32"/>
        </w:rPr>
        <w:t>制发了《关于进一步严肃会议纪律的通知》</w:t>
      </w:r>
      <w:r>
        <w:rPr>
          <w:rFonts w:eastAsia="仿宋_GB2312"/>
          <w:color w:val="auto"/>
          <w:spacing w:val="-6"/>
          <w:sz w:val="32"/>
          <w:szCs w:val="32"/>
        </w:rPr>
        <w:t>，</w:t>
      </w:r>
      <w:r>
        <w:rPr>
          <w:rFonts w:hint="eastAsia" w:eastAsia="仿宋_GB2312"/>
          <w:color w:val="auto"/>
          <w:spacing w:val="-6"/>
          <w:sz w:val="32"/>
          <w:szCs w:val="32"/>
          <w:lang w:eastAsia="zh-CN"/>
        </w:rPr>
        <w:t>指导</w:t>
      </w:r>
      <w:r>
        <w:rPr>
          <w:rFonts w:eastAsia="仿宋_GB2312"/>
          <w:color w:val="auto"/>
          <w:sz w:val="32"/>
          <w:szCs w:val="32"/>
          <w:shd w:val="clear" w:color="auto" w:fill="FFFFFF"/>
        </w:rPr>
        <w:t>办理各类视频会议</w:t>
      </w:r>
      <w:r>
        <w:rPr>
          <w:rFonts w:hint="eastAsia" w:eastAsia="仿宋_GB2312"/>
          <w:color w:val="auto"/>
          <w:sz w:val="32"/>
          <w:szCs w:val="32"/>
          <w:shd w:val="clear" w:color="auto" w:fill="FFFFFF"/>
          <w:lang w:val="en-US" w:eastAsia="zh-CN"/>
        </w:rPr>
        <w:t>150</w:t>
      </w:r>
      <w:r>
        <w:rPr>
          <w:rFonts w:eastAsia="仿宋_GB2312"/>
          <w:color w:val="auto"/>
          <w:sz w:val="32"/>
          <w:szCs w:val="32"/>
          <w:shd w:val="clear" w:color="auto" w:fill="FFFFFF"/>
        </w:rPr>
        <w:t>余次，</w:t>
      </w:r>
      <w:r>
        <w:rPr>
          <w:rFonts w:hint="eastAsia" w:eastAsia="仿宋_GB2312"/>
          <w:color w:val="auto"/>
          <w:sz w:val="32"/>
          <w:szCs w:val="32"/>
          <w:shd w:val="clear" w:color="auto" w:fill="FFFFFF"/>
          <w:lang w:eastAsia="zh-CN"/>
        </w:rPr>
        <w:t>精减会议同比下降</w:t>
      </w:r>
      <w:r>
        <w:rPr>
          <w:rFonts w:hint="eastAsia" w:eastAsia="仿宋_GB2312"/>
          <w:color w:val="auto"/>
          <w:sz w:val="32"/>
          <w:szCs w:val="32"/>
          <w:shd w:val="clear" w:color="auto" w:fill="FFFFFF"/>
          <w:lang w:val="en-US" w:eastAsia="zh-CN"/>
        </w:rPr>
        <w:t>3.2%，</w:t>
      </w:r>
      <w:r>
        <w:rPr>
          <w:rFonts w:eastAsia="仿宋_GB2312"/>
          <w:color w:val="auto"/>
          <w:kern w:val="0"/>
          <w:sz w:val="32"/>
          <w:szCs w:val="32"/>
        </w:rPr>
        <w:t>确保了会议高质量召开。</w:t>
      </w:r>
      <w:r>
        <w:rPr>
          <w:rFonts w:eastAsia="楷体_GB2312"/>
          <w:b/>
          <w:bCs/>
          <w:color w:val="auto"/>
          <w:sz w:val="32"/>
          <w:szCs w:val="32"/>
        </w:rPr>
        <w:t>三是</w:t>
      </w:r>
      <w:r>
        <w:rPr>
          <w:rFonts w:hint="eastAsia" w:eastAsia="楷体_GB2312"/>
          <w:b/>
          <w:bCs/>
          <w:color w:val="auto"/>
          <w:sz w:val="32"/>
          <w:szCs w:val="32"/>
          <w:lang w:eastAsia="zh-CN"/>
        </w:rPr>
        <w:t>坚持统筹兼顾</w:t>
      </w:r>
      <w:r>
        <w:rPr>
          <w:rFonts w:eastAsia="楷体_GB2312"/>
          <w:b/>
          <w:bCs/>
          <w:color w:val="auto"/>
          <w:sz w:val="32"/>
          <w:szCs w:val="32"/>
        </w:rPr>
        <w:t>，重大活动</w:t>
      </w:r>
      <w:r>
        <w:rPr>
          <w:rFonts w:hint="eastAsia" w:eastAsia="楷体_GB2312"/>
          <w:b/>
          <w:bCs/>
          <w:color w:val="auto"/>
          <w:sz w:val="32"/>
          <w:szCs w:val="32"/>
          <w:lang w:eastAsia="zh-CN"/>
        </w:rPr>
        <w:t>提形象</w:t>
      </w:r>
      <w:r>
        <w:rPr>
          <w:rFonts w:eastAsia="楷体_GB2312"/>
          <w:b/>
          <w:bCs/>
          <w:color w:val="auto"/>
          <w:sz w:val="32"/>
          <w:szCs w:val="32"/>
        </w:rPr>
        <w:t>。</w:t>
      </w:r>
      <w:r>
        <w:rPr>
          <w:rFonts w:hint="eastAsia" w:eastAsia="仿宋_GB2312"/>
          <w:color w:val="auto"/>
          <w:sz w:val="32"/>
          <w:szCs w:val="32"/>
          <w:shd w:val="clear" w:color="auto" w:fill="FFFFFF"/>
          <w:lang w:eastAsia="zh-CN"/>
        </w:rPr>
        <w:t>协助</w:t>
      </w:r>
      <w:r>
        <w:rPr>
          <w:rFonts w:eastAsia="仿宋_GB2312"/>
          <w:color w:val="auto"/>
          <w:sz w:val="32"/>
          <w:szCs w:val="32"/>
          <w:shd w:val="clear" w:color="auto" w:fill="FFFFFF"/>
        </w:rPr>
        <w:t>抓好了省委彭清华书记，州委刘坪书记，州政府罗振华州长等上级领导来壤调研工作。牵头组织好了全州四好农村公路现场会活动，省、州森林草原防灭火工作专项督导检查验收等工作，并顺利通过省、州验收，赢得上级部门一致好评。</w:t>
      </w:r>
      <w:r>
        <w:rPr>
          <w:rFonts w:hint="eastAsia" w:eastAsia="楷体_GB2312"/>
          <w:b/>
          <w:bCs/>
          <w:color w:val="auto"/>
          <w:sz w:val="32"/>
          <w:szCs w:val="32"/>
          <w:lang w:eastAsia="zh-CN"/>
        </w:rPr>
        <w:t>四</w:t>
      </w:r>
      <w:r>
        <w:rPr>
          <w:rFonts w:eastAsia="楷体_GB2312"/>
          <w:b/>
          <w:bCs/>
          <w:color w:val="auto"/>
          <w:sz w:val="32"/>
          <w:szCs w:val="32"/>
        </w:rPr>
        <w:t>是</w:t>
      </w:r>
      <w:r>
        <w:rPr>
          <w:rFonts w:hint="eastAsia" w:eastAsia="楷体_GB2312"/>
          <w:b/>
          <w:bCs/>
          <w:color w:val="auto"/>
          <w:sz w:val="32"/>
          <w:szCs w:val="32"/>
          <w:lang w:eastAsia="zh-CN"/>
        </w:rPr>
        <w:t>坚持</w:t>
      </w:r>
      <w:r>
        <w:rPr>
          <w:rFonts w:eastAsia="楷体_GB2312"/>
          <w:b/>
          <w:bCs/>
          <w:color w:val="auto"/>
          <w:sz w:val="32"/>
          <w:szCs w:val="32"/>
        </w:rPr>
        <w:t>作风</w:t>
      </w:r>
      <w:r>
        <w:rPr>
          <w:rFonts w:hint="eastAsia" w:eastAsia="楷体_GB2312"/>
          <w:b/>
          <w:bCs/>
          <w:color w:val="auto"/>
          <w:sz w:val="32"/>
          <w:szCs w:val="32"/>
          <w:lang w:eastAsia="zh-CN"/>
        </w:rPr>
        <w:t>建设，效能督导提成效</w:t>
      </w:r>
      <w:r>
        <w:rPr>
          <w:rFonts w:eastAsia="楷体_GB2312"/>
          <w:b/>
          <w:bCs/>
          <w:color w:val="auto"/>
          <w:sz w:val="32"/>
          <w:szCs w:val="32"/>
        </w:rPr>
        <w:t>。</w:t>
      </w:r>
      <w:r>
        <w:rPr>
          <w:rFonts w:eastAsia="仿宋_GB2312"/>
          <w:color w:val="auto"/>
          <w:sz w:val="32"/>
          <w:szCs w:val="32"/>
          <w:shd w:val="clear" w:color="auto" w:fill="FFFFFF"/>
        </w:rPr>
        <w:t>严格实行“钉钉”打卡考勤制度，按月统计通报，对个别迟到或早退人员谈话提醒，强化结果运用。同时，坚持高效用水用电用纸用车，打造节约型机关。同时，严把报销审核关，强化费用支出和痕迹管理，各项费用稳中有降。</w:t>
      </w:r>
      <w:r>
        <w:rPr>
          <w:rFonts w:hint="eastAsia" w:ascii="楷体_GB2312" w:eastAsia="楷体_GB2312" w:cs="楷体_GB2312"/>
          <w:b/>
          <w:bCs/>
          <w:color w:val="auto"/>
          <w:sz w:val="32"/>
          <w:szCs w:val="32"/>
          <w:shd w:val="clear" w:color="auto" w:fill="FFFFFF"/>
          <w:lang w:eastAsia="zh-CN" w:bidi="ar-SA"/>
        </w:rPr>
        <w:t>五是坚持</w:t>
      </w:r>
      <w:r>
        <w:rPr>
          <w:rFonts w:hint="eastAsia" w:ascii="楷体_GB2312" w:eastAsia="楷体_GB2312" w:cs="楷体_GB2312"/>
          <w:b/>
          <w:bCs/>
          <w:color w:val="auto"/>
          <w:sz w:val="32"/>
          <w:szCs w:val="32"/>
          <w:lang w:eastAsia="zh-CN" w:bidi="ar-SA"/>
        </w:rPr>
        <w:t>值班</w:t>
      </w:r>
      <w:r>
        <w:rPr>
          <w:rFonts w:hint="eastAsia" w:ascii="楷体_GB2312" w:eastAsia="楷体_GB2312" w:cs="楷体_GB2312"/>
          <w:b/>
          <w:bCs/>
          <w:color w:val="auto"/>
          <w:sz w:val="32"/>
          <w:szCs w:val="32"/>
          <w:lang w:bidi="ar-SA"/>
        </w:rPr>
        <w:t>值守，</w:t>
      </w:r>
      <w:r>
        <w:rPr>
          <w:rFonts w:hint="eastAsia" w:eastAsia="楷体_GB2312"/>
          <w:b/>
          <w:bCs/>
          <w:color w:val="auto"/>
          <w:sz w:val="32"/>
          <w:szCs w:val="32"/>
          <w:lang w:eastAsia="zh-CN"/>
        </w:rPr>
        <w:t>应急处置提效率</w:t>
      </w:r>
      <w:r>
        <w:rPr>
          <w:rFonts w:eastAsia="楷体_GB2312"/>
          <w:b/>
          <w:bCs/>
          <w:color w:val="auto"/>
          <w:sz w:val="32"/>
          <w:szCs w:val="32"/>
        </w:rPr>
        <w:t>。</w:t>
      </w:r>
      <w:r>
        <w:rPr>
          <w:rFonts w:eastAsia="仿宋_GB2312"/>
          <w:color w:val="auto"/>
          <w:sz w:val="32"/>
          <w:szCs w:val="32"/>
          <w:shd w:val="clear" w:color="auto" w:fill="FFFFFF"/>
        </w:rPr>
        <w:t>严格执行24小时值班和领导带班制度，规范设置县政府总值班室，</w:t>
      </w:r>
      <w:r>
        <w:rPr>
          <w:rFonts w:eastAsia="仿宋_GB2312"/>
          <w:color w:val="auto"/>
          <w:sz w:val="32"/>
          <w:szCs w:val="32"/>
        </w:rPr>
        <w:t>细致做好了省、州、县来文及三月群众工作月等特殊时期维稳工作，</w:t>
      </w:r>
      <w:r>
        <w:rPr>
          <w:rFonts w:hint="eastAsia" w:eastAsia="仿宋_GB2312"/>
          <w:color w:val="auto"/>
          <w:sz w:val="32"/>
          <w:szCs w:val="32"/>
          <w:lang w:eastAsia="zh-CN"/>
        </w:rPr>
        <w:t>快速</w:t>
      </w:r>
      <w:r>
        <w:rPr>
          <w:rFonts w:eastAsia="仿宋_GB2312"/>
          <w:color w:val="auto"/>
          <w:sz w:val="32"/>
          <w:szCs w:val="32"/>
          <w:shd w:val="clear" w:color="auto" w:fill="FFFFFF"/>
        </w:rPr>
        <w:t>高效处置县内突发事件</w:t>
      </w:r>
      <w:r>
        <w:rPr>
          <w:rFonts w:hint="eastAsia" w:eastAsia="仿宋_GB2312"/>
          <w:color w:val="auto"/>
          <w:sz w:val="32"/>
          <w:szCs w:val="32"/>
          <w:shd w:val="clear" w:color="auto" w:fill="FFFFFF"/>
          <w:lang w:val="en-US" w:eastAsia="zh-CN"/>
        </w:rPr>
        <w:t>10余</w:t>
      </w:r>
      <w:r>
        <w:rPr>
          <w:rFonts w:eastAsia="仿宋_GB2312"/>
          <w:color w:val="auto"/>
          <w:sz w:val="32"/>
          <w:szCs w:val="32"/>
          <w:shd w:val="clear" w:color="auto" w:fill="FFFFFF"/>
        </w:rPr>
        <w:t>件，</w:t>
      </w:r>
      <w:r>
        <w:rPr>
          <w:rFonts w:eastAsia="仿宋_GB2312"/>
          <w:color w:val="auto"/>
          <w:sz w:val="32"/>
          <w:szCs w:val="32"/>
        </w:rPr>
        <w:t>着力维护了社会大局和谐稳定</w:t>
      </w:r>
      <w:r>
        <w:rPr>
          <w:rFonts w:eastAsia="仿宋_GB2312"/>
          <w:color w:val="auto"/>
          <w:sz w:val="32"/>
          <w:szCs w:val="32"/>
          <w:shd w:val="clear" w:color="auto" w:fill="FFFFFF"/>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40" w:firstLineChars="200"/>
        <w:rPr>
          <w:rFonts w:hint="eastAsia" w:ascii="仿宋" w:hAnsi="仿宋" w:eastAsia="仿宋"/>
          <w:bCs/>
          <w:color w:val="000000"/>
          <w:sz w:val="32"/>
          <w:szCs w:val="32"/>
        </w:rPr>
      </w:pPr>
      <w:r>
        <w:rPr>
          <w:rFonts w:hint="eastAsia" w:ascii="黑体" w:eastAsia="黑体" w:cs="黑体"/>
          <w:color w:val="auto"/>
          <w:sz w:val="32"/>
          <w:szCs w:val="32"/>
          <w:lang w:val="en-US" w:eastAsia="zh-CN" w:bidi="ar-SA"/>
        </w:rPr>
        <w:t>4、</w:t>
      </w:r>
      <w:r>
        <w:rPr>
          <w:rFonts w:hint="eastAsia" w:ascii="黑体" w:eastAsia="黑体" w:cs="黑体"/>
          <w:color w:val="auto"/>
          <w:sz w:val="32"/>
          <w:szCs w:val="32"/>
          <w:lang w:eastAsia="zh-CN" w:bidi="ar-SA"/>
        </w:rPr>
        <w:t>坚决为民服务，勤督严查树形象。</w:t>
      </w:r>
      <w:r>
        <w:rPr>
          <w:rFonts w:eastAsia="楷体_GB2312"/>
          <w:b/>
          <w:bCs/>
          <w:color w:val="auto"/>
          <w:sz w:val="32"/>
          <w:szCs w:val="32"/>
        </w:rPr>
        <w:t>一是</w:t>
      </w:r>
      <w:r>
        <w:rPr>
          <w:rFonts w:hint="eastAsia" w:eastAsia="楷体_GB2312"/>
          <w:b/>
          <w:bCs/>
          <w:color w:val="auto"/>
          <w:sz w:val="32"/>
          <w:szCs w:val="32"/>
          <w:lang w:eastAsia="zh-CN"/>
        </w:rPr>
        <w:t>严格</w:t>
      </w:r>
      <w:r>
        <w:rPr>
          <w:rFonts w:eastAsia="楷体_GB2312"/>
          <w:b/>
          <w:bCs/>
          <w:color w:val="auto"/>
          <w:sz w:val="32"/>
          <w:szCs w:val="32"/>
        </w:rPr>
        <w:t>督查督办</w:t>
      </w:r>
      <w:r>
        <w:rPr>
          <w:rFonts w:hint="eastAsia" w:eastAsia="楷体_GB2312"/>
          <w:b/>
          <w:bCs/>
          <w:color w:val="auto"/>
          <w:sz w:val="32"/>
          <w:szCs w:val="32"/>
          <w:lang w:eastAsia="zh-CN"/>
        </w:rPr>
        <w:t>，分项督查解民困</w:t>
      </w:r>
      <w:r>
        <w:rPr>
          <w:rFonts w:eastAsia="楷体_GB2312"/>
          <w:b/>
          <w:bCs/>
          <w:color w:val="auto"/>
          <w:sz w:val="32"/>
          <w:szCs w:val="32"/>
        </w:rPr>
        <w:t>。</w:t>
      </w:r>
      <w:r>
        <w:rPr>
          <w:rFonts w:eastAsia="仿宋_GB2312"/>
          <w:color w:val="auto"/>
          <w:sz w:val="32"/>
          <w:szCs w:val="32"/>
          <w:shd w:val="clear" w:color="auto" w:fill="FFFFFF"/>
        </w:rPr>
        <w:t>专项开展</w:t>
      </w:r>
      <w:r>
        <w:rPr>
          <w:rFonts w:hint="eastAsia" w:eastAsia="仿宋_GB2312"/>
          <w:color w:val="auto"/>
          <w:sz w:val="32"/>
          <w:szCs w:val="32"/>
          <w:shd w:val="clear" w:color="auto" w:fill="FFFFFF"/>
          <w:lang w:eastAsia="zh-CN"/>
        </w:rPr>
        <w:t>民生、项目、防疫等领域</w:t>
      </w:r>
      <w:r>
        <w:rPr>
          <w:rFonts w:eastAsia="仿宋_GB2312"/>
          <w:color w:val="auto"/>
          <w:sz w:val="32"/>
          <w:szCs w:val="32"/>
          <w:shd w:val="clear" w:color="auto" w:fill="FFFFFF"/>
        </w:rPr>
        <w:t>督促检查</w:t>
      </w:r>
      <w:r>
        <w:rPr>
          <w:rFonts w:hint="eastAsia" w:eastAsia="仿宋_GB2312"/>
          <w:color w:val="auto"/>
          <w:sz w:val="32"/>
          <w:szCs w:val="32"/>
          <w:shd w:val="clear" w:color="auto" w:fill="FFFFFF"/>
          <w:lang w:val="en-US" w:eastAsia="zh-CN"/>
        </w:rPr>
        <w:t>60</w:t>
      </w:r>
      <w:r>
        <w:rPr>
          <w:rFonts w:eastAsia="仿宋_GB2312"/>
          <w:color w:val="auto"/>
          <w:sz w:val="32"/>
          <w:szCs w:val="32"/>
          <w:shd w:val="clear" w:color="auto" w:fill="FFFFFF"/>
        </w:rPr>
        <w:t>余次，实地督查</w:t>
      </w:r>
      <w:r>
        <w:rPr>
          <w:rFonts w:hint="eastAsia" w:eastAsia="仿宋_GB2312"/>
          <w:color w:val="auto"/>
          <w:sz w:val="32"/>
          <w:szCs w:val="32"/>
          <w:shd w:val="clear" w:color="auto" w:fill="FFFFFF"/>
          <w:lang w:val="en-US" w:eastAsia="zh-CN"/>
        </w:rPr>
        <w:t>20</w:t>
      </w:r>
      <w:r>
        <w:rPr>
          <w:rFonts w:eastAsia="仿宋_GB2312"/>
          <w:color w:val="auto"/>
          <w:sz w:val="32"/>
          <w:szCs w:val="32"/>
          <w:shd w:val="clear" w:color="auto" w:fill="FFFFFF"/>
        </w:rPr>
        <w:t>余次，印发各类专通报</w:t>
      </w:r>
      <w:r>
        <w:rPr>
          <w:rFonts w:hint="eastAsia" w:eastAsia="仿宋_GB2312"/>
          <w:color w:val="auto"/>
          <w:sz w:val="32"/>
          <w:szCs w:val="32"/>
          <w:shd w:val="clear" w:color="auto" w:fill="FFFFFF"/>
          <w:lang w:val="en-US" w:eastAsia="zh-CN"/>
        </w:rPr>
        <w:t>9</w:t>
      </w:r>
      <w:r>
        <w:rPr>
          <w:rFonts w:eastAsia="仿宋_GB2312"/>
          <w:color w:val="auto"/>
          <w:sz w:val="32"/>
          <w:szCs w:val="32"/>
          <w:shd w:val="clear" w:color="auto" w:fill="FFFFFF"/>
        </w:rPr>
        <w:t>期（文会事</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rPr>
        <w:t>期，内部考勤5期）；办理县政府领导批示件、交办事项</w:t>
      </w:r>
      <w:r>
        <w:rPr>
          <w:rFonts w:hint="eastAsia" w:eastAsia="仿宋_GB2312"/>
          <w:color w:val="auto"/>
          <w:sz w:val="32"/>
          <w:szCs w:val="32"/>
          <w:shd w:val="clear" w:color="auto" w:fill="FFFFFF"/>
          <w:lang w:val="en-US" w:eastAsia="zh-CN"/>
        </w:rPr>
        <w:t>25</w:t>
      </w:r>
      <w:r>
        <w:rPr>
          <w:rFonts w:eastAsia="仿宋_GB2312"/>
          <w:color w:val="auto"/>
          <w:sz w:val="32"/>
          <w:szCs w:val="32"/>
          <w:shd w:val="clear" w:color="auto" w:fill="FFFFFF"/>
        </w:rPr>
        <w:t>余件</w:t>
      </w:r>
      <w:r>
        <w:rPr>
          <w:rFonts w:hint="eastAsia" w:eastAsia="仿宋_GB2312"/>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bidi="ar-SA"/>
        </w:rPr>
        <w:t>确保县委、县政府政令畅通，各项决策部署落实落地。</w:t>
      </w:r>
      <w:r>
        <w:rPr>
          <w:rFonts w:eastAsia="楷体_GB2312"/>
          <w:b/>
          <w:bCs/>
          <w:color w:val="auto"/>
          <w:sz w:val="32"/>
          <w:szCs w:val="32"/>
        </w:rPr>
        <w:t>二是</w:t>
      </w:r>
      <w:r>
        <w:rPr>
          <w:rFonts w:hint="eastAsia" w:eastAsia="楷体_GB2312"/>
          <w:b/>
          <w:bCs/>
          <w:color w:val="auto"/>
          <w:sz w:val="32"/>
          <w:szCs w:val="32"/>
          <w:lang w:eastAsia="zh-CN"/>
        </w:rPr>
        <w:t>严格案件办理，为民服务解民忧。</w:t>
      </w:r>
      <w:r>
        <w:rPr>
          <w:rFonts w:eastAsia="仿宋_GB2312"/>
          <w:color w:val="auto"/>
          <w:sz w:val="32"/>
          <w:szCs w:val="32"/>
          <w:shd w:val="clear" w:color="auto" w:fill="FFFFFF"/>
        </w:rPr>
        <w:t>努力把代表委员意见建议融入到政府决策中、体现在工作落实中，</w:t>
      </w:r>
      <w:r>
        <w:rPr>
          <w:rFonts w:hint="eastAsia" w:eastAsia="仿宋_GB2312"/>
          <w:color w:val="auto"/>
          <w:sz w:val="32"/>
          <w:szCs w:val="32"/>
          <w:shd w:val="clear" w:color="auto" w:fill="FFFFFF"/>
          <w:lang w:eastAsia="zh-CN"/>
        </w:rPr>
        <w:t>全年</w:t>
      </w:r>
      <w:r>
        <w:rPr>
          <w:rFonts w:eastAsia="仿宋_GB2312"/>
          <w:color w:val="auto"/>
          <w:sz w:val="32"/>
          <w:szCs w:val="32"/>
          <w:shd w:val="clear" w:color="auto" w:fill="FFFFFF"/>
        </w:rPr>
        <w:t>交办人大代表议案建议和政协提案148件</w:t>
      </w:r>
      <w:r>
        <w:rPr>
          <w:rFonts w:hint="eastAsia" w:eastAsia="仿宋_GB2312"/>
          <w:color w:val="auto"/>
          <w:sz w:val="32"/>
          <w:szCs w:val="32"/>
          <w:shd w:val="clear" w:color="auto" w:fill="FFFFFF"/>
          <w:lang w:eastAsia="zh-CN"/>
        </w:rPr>
        <w:t>（</w:t>
      </w:r>
      <w:r>
        <w:rPr>
          <w:rFonts w:eastAsia="仿宋_GB2312"/>
          <w:color w:val="auto"/>
          <w:sz w:val="32"/>
          <w:szCs w:val="32"/>
          <w:shd w:val="clear" w:color="auto" w:fill="FFFFFF"/>
        </w:rPr>
        <w:t>人大代表议案建议94件，政协委员提案54件</w:t>
      </w:r>
      <w:r>
        <w:rPr>
          <w:rFonts w:hint="eastAsia" w:eastAsia="仿宋_GB2312"/>
          <w:color w:val="auto"/>
          <w:sz w:val="32"/>
          <w:szCs w:val="32"/>
          <w:shd w:val="clear" w:color="auto" w:fill="FFFFFF"/>
          <w:lang w:eastAsia="zh-CN"/>
        </w:rPr>
        <w:t>）</w:t>
      </w:r>
      <w:r>
        <w:rPr>
          <w:rFonts w:eastAsia="仿宋_GB2312"/>
          <w:color w:val="auto"/>
          <w:sz w:val="32"/>
          <w:szCs w:val="32"/>
          <w:shd w:val="clear" w:color="auto" w:fill="FFFFFF"/>
        </w:rPr>
        <w:t>，推动提案办理成果转化落地。</w:t>
      </w:r>
      <w:r>
        <w:rPr>
          <w:rFonts w:hint="eastAsia" w:eastAsia="楷体_GB2312"/>
          <w:b/>
          <w:bCs/>
          <w:color w:val="auto"/>
          <w:sz w:val="32"/>
          <w:szCs w:val="32"/>
          <w:lang w:eastAsia="zh-CN"/>
        </w:rPr>
        <w:t>三</w:t>
      </w:r>
      <w:r>
        <w:rPr>
          <w:rFonts w:eastAsia="楷体_GB2312"/>
          <w:b/>
          <w:bCs/>
          <w:color w:val="auto"/>
          <w:sz w:val="32"/>
          <w:szCs w:val="32"/>
        </w:rPr>
        <w:t>是</w:t>
      </w:r>
      <w:r>
        <w:rPr>
          <w:rFonts w:hint="eastAsia" w:eastAsia="楷体_GB2312"/>
          <w:b/>
          <w:bCs/>
          <w:color w:val="auto"/>
          <w:sz w:val="32"/>
          <w:szCs w:val="32"/>
          <w:lang w:eastAsia="zh-CN"/>
        </w:rPr>
        <w:t>严格结对帮扶，深入基层解难题</w:t>
      </w:r>
      <w:r>
        <w:rPr>
          <w:rFonts w:eastAsia="楷体_GB2312"/>
          <w:b/>
          <w:bCs/>
          <w:color w:val="auto"/>
          <w:sz w:val="32"/>
          <w:szCs w:val="32"/>
        </w:rPr>
        <w:t>。</w:t>
      </w:r>
      <w:r>
        <w:rPr>
          <w:rFonts w:eastAsia="仿宋_GB2312"/>
          <w:color w:val="auto"/>
          <w:sz w:val="32"/>
          <w:szCs w:val="32"/>
          <w:shd w:val="clear" w:color="auto" w:fill="FFFFFF"/>
        </w:rPr>
        <w:t>持续抓好与吾伊乡西西村的结对帮扶工作，提亮脱贫成色。按月督促帮扶责任人走访</w:t>
      </w:r>
      <w:r>
        <w:rPr>
          <w:rFonts w:hint="eastAsia" w:eastAsia="仿宋_GB2312"/>
          <w:color w:val="auto"/>
          <w:sz w:val="32"/>
          <w:szCs w:val="32"/>
          <w:shd w:val="clear" w:color="auto" w:fill="FFFFFF"/>
        </w:rPr>
        <w:t>入</w:t>
      </w:r>
      <w:r>
        <w:rPr>
          <w:rFonts w:eastAsia="仿宋_GB2312"/>
          <w:color w:val="auto"/>
          <w:sz w:val="32"/>
          <w:szCs w:val="32"/>
          <w:shd w:val="clear" w:color="auto" w:fill="FFFFFF"/>
        </w:rPr>
        <w:t>户，切实帮助联系户解决实际困难。同时，结合三月群众工作月、党员主题党日、三八妇女节、六一儿童节、重走长征路活动，引导体干部职工以及党员干部深入基层、社区开展志愿服务，确保成效不减、标准不降。</w:t>
      </w:r>
    </w:p>
    <w:p>
      <w:pPr>
        <w:pStyle w:val="5"/>
        <w:rPr>
          <w:rStyle w:val="28"/>
          <w:b w:val="0"/>
          <w:bCs w:val="0"/>
        </w:rPr>
      </w:pPr>
      <w:bookmarkStart w:id="24" w:name="_Toc15377200"/>
      <w:bookmarkStart w:id="25" w:name="_Toc15396601"/>
      <w:bookmarkStart w:id="26" w:name="_Toc79163855"/>
      <w:bookmarkStart w:id="27" w:name="_Toc79163605"/>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4"/>
      <w:bookmarkEnd w:id="25"/>
      <w:bookmarkEnd w:id="26"/>
      <w:bookmarkEnd w:id="27"/>
    </w:p>
    <w:p>
      <w:pPr>
        <w:ind w:firstLine="640" w:firstLineChars="200"/>
        <w:rPr>
          <w:rFonts w:ascii="仿宋_GB2312" w:eastAsia="仿宋_GB2312" w:cs="仿宋_GB2312"/>
          <w:sz w:val="32"/>
          <w:szCs w:val="32"/>
        </w:rPr>
      </w:pPr>
      <w:r>
        <w:rPr>
          <w:rFonts w:hint="eastAsia" w:ascii="仿宋_GB2312" w:eastAsia="仿宋_GB2312" w:cs="仿宋_GB2312"/>
          <w:sz w:val="32"/>
          <w:szCs w:val="32"/>
        </w:rPr>
        <w:t>壤塘县人民政府办公室为一级行政单位。我办20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年纳入部门决算编报范围的为本级财政预算管理范围的行政单位。</w:t>
      </w:r>
    </w:p>
    <w:p>
      <w:pPr>
        <w:widowControl/>
        <w:ind w:firstLine="880" w:firstLineChars="200"/>
        <w:jc w:val="left"/>
        <w:rPr>
          <w:rStyle w:val="27"/>
          <w:rFonts w:ascii="黑体" w:hAnsi="黑体" w:eastAsia="黑体"/>
          <w:b w:val="0"/>
          <w:bCs w:val="0"/>
        </w:rPr>
      </w:pPr>
      <w:bookmarkStart w:id="28" w:name="_Toc15396602"/>
      <w:bookmarkStart w:id="29" w:name="_Toc79163609"/>
      <w:bookmarkStart w:id="30" w:name="_Toc15377204"/>
      <w:bookmarkStart w:id="31" w:name="_Toc79163859"/>
      <w:r>
        <w:rPr>
          <w:rFonts w:hint="eastAsia" w:ascii="黑体" w:hAnsi="黑体" w:eastAsia="黑体"/>
          <w:b w:val="0"/>
          <w:color w:val="000000"/>
          <w:sz w:val="44"/>
          <w:szCs w:val="44"/>
        </w:rPr>
        <w:t>第二部分</w:t>
      </w:r>
      <w:r>
        <w:rPr>
          <w:rFonts w:ascii="黑体" w:hAnsi="黑体" w:eastAsia="黑体"/>
          <w:color w:val="000000"/>
          <w:sz w:val="44"/>
          <w:szCs w:val="44"/>
        </w:rPr>
        <w:t xml:space="preserve"> </w:t>
      </w:r>
      <w:r>
        <w:rPr>
          <w:rStyle w:val="27"/>
          <w:rFonts w:ascii="黑体" w:hAnsi="黑体" w:eastAsia="黑体"/>
          <w:b w:val="0"/>
          <w:bCs w:val="0"/>
        </w:rPr>
        <w:t>202</w:t>
      </w:r>
      <w:r>
        <w:rPr>
          <w:rStyle w:val="27"/>
          <w:rFonts w:hint="eastAsia" w:ascii="黑体" w:hAnsi="黑体" w:eastAsia="黑体"/>
          <w:b w:val="0"/>
          <w:bCs w:val="0"/>
        </w:rPr>
        <w:t>1年度部门决算情况说明</w:t>
      </w:r>
      <w:bookmarkEnd w:id="28"/>
      <w:bookmarkEnd w:id="29"/>
      <w:bookmarkEnd w:id="30"/>
      <w:bookmarkEnd w:id="31"/>
    </w:p>
    <w:p/>
    <w:p>
      <w:pPr>
        <w:pStyle w:val="38"/>
        <w:numPr>
          <w:ilvl w:val="0"/>
          <w:numId w:val="1"/>
        </w:numPr>
        <w:spacing w:line="600" w:lineRule="exact"/>
        <w:ind w:firstLineChars="0"/>
        <w:outlineLvl w:val="1"/>
        <w:rPr>
          <w:rStyle w:val="28"/>
          <w:rFonts w:ascii="黑体" w:hAnsi="黑体" w:eastAsia="黑体"/>
          <w:b w:val="0"/>
        </w:rPr>
      </w:pPr>
      <w:bookmarkStart w:id="32" w:name="_Toc79163860"/>
      <w:bookmarkStart w:id="33" w:name="_Toc79163610"/>
      <w:bookmarkStart w:id="34" w:name="_Toc15396603"/>
      <w:bookmarkStart w:id="35"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2"/>
      <w:bookmarkEnd w:id="33"/>
      <w:bookmarkEnd w:id="34"/>
      <w:bookmarkEnd w:id="35"/>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2021年度收、支总计</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lang w:val="en-US" w:eastAsia="zh-CN"/>
        </w:rPr>
        <w:t>1626.93</w:t>
      </w:r>
      <w:r>
        <w:rPr>
          <w:rFonts w:hint="eastAsia" w:ascii="仿宋_GB2312" w:hAnsi="仿宋_GB2312" w:eastAsia="仿宋_GB2312" w:cs="仿宋_GB2312"/>
          <w:color w:val="000000"/>
          <w:sz w:val="32"/>
          <w:szCs w:val="32"/>
        </w:rPr>
        <w:t>万元。与2020年相比，收、支总计各增加</w:t>
      </w:r>
      <w:r>
        <w:rPr>
          <w:rFonts w:hint="eastAsia" w:ascii="仿宋_GB2312" w:hAnsi="仿宋_GB2312" w:eastAsia="仿宋_GB2312" w:cs="仿宋_GB2312"/>
          <w:color w:val="000000"/>
          <w:sz w:val="32"/>
          <w:szCs w:val="32"/>
          <w:lang w:val="en-US" w:eastAsia="zh-CN"/>
        </w:rPr>
        <w:t>379.82</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30.46</w:t>
      </w:r>
      <w:r>
        <w:rPr>
          <w:rFonts w:hint="eastAsia" w:ascii="仿宋_GB2312" w:hAnsi="仿宋_GB2312" w:eastAsia="仿宋_GB2312" w:cs="仿宋_GB2312"/>
          <w:color w:val="000000"/>
          <w:sz w:val="32"/>
          <w:szCs w:val="32"/>
        </w:rPr>
        <w:t>%。主要变动原因是主要变动原因是</w:t>
      </w:r>
      <w:r>
        <w:rPr>
          <w:rFonts w:hint="eastAsia" w:ascii="仿宋_GB2312" w:hAnsi="仿宋_GB2312" w:eastAsia="仿宋_GB2312" w:cs="仿宋_GB2312"/>
          <w:color w:val="000000"/>
          <w:sz w:val="32"/>
          <w:szCs w:val="32"/>
          <w:lang w:eastAsia="zh-CN"/>
        </w:rPr>
        <w:t>增加了一般公共服务中的基本支出。</w:t>
      </w:r>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（图1：收、支决算总计变动情况图）</w:t>
      </w:r>
      <w:r>
        <w:rPr>
          <w:rFonts w:hint="eastAsia" w:ascii="仿宋_GB2312" w:hAnsi="仿宋_GB2312" w:eastAsia="仿宋_GB2312" w:cs="仿宋_GB2312"/>
          <w:color w:val="000000"/>
          <w:sz w:val="32"/>
          <w:szCs w:val="32"/>
          <w:lang w:eastAsia="zh-CN"/>
        </w:rPr>
        <w:t>单位：万元</w:t>
      </w:r>
    </w:p>
    <w:p>
      <w:pPr>
        <w:pStyle w:val="2"/>
        <w:rPr>
          <w:rFonts w:hint="eastAsia" w:ascii="仿宋_GB2312" w:hAnsi="仿宋_GB2312" w:eastAsia="仿宋_GB2312" w:cs="仿宋_GB2312"/>
          <w:color w:val="000000"/>
          <w:sz w:val="32"/>
          <w:szCs w:val="32"/>
        </w:rPr>
      </w:pPr>
      <w:r>
        <w:drawing>
          <wp:inline distT="0" distB="0" distL="114300" distR="114300">
            <wp:extent cx="4562475" cy="2752725"/>
            <wp:effectExtent l="6350" t="6350" r="22225" b="2222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8"/>
        <w:numPr>
          <w:ilvl w:val="0"/>
          <w:numId w:val="0"/>
        </w:numPr>
        <w:spacing w:line="600" w:lineRule="exact"/>
        <w:ind w:firstLine="640" w:firstLineChars="200"/>
        <w:outlineLvl w:val="1"/>
        <w:rPr>
          <w:rStyle w:val="28"/>
          <w:rFonts w:ascii="黑体" w:hAnsi="黑体" w:eastAsia="黑体"/>
          <w:b w:val="0"/>
        </w:rPr>
      </w:pPr>
      <w:bookmarkStart w:id="36" w:name="_Toc15377206"/>
      <w:bookmarkStart w:id="37" w:name="_Toc15396604"/>
      <w:bookmarkStart w:id="38" w:name="_Toc79163861"/>
      <w:bookmarkStart w:id="39" w:name="_Toc79163611"/>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8"/>
          <w:rFonts w:hint="eastAsia" w:ascii="黑体" w:hAnsi="黑体" w:eastAsia="黑体"/>
          <w:b w:val="0"/>
        </w:rPr>
        <w:t>入决算情况说明</w:t>
      </w:r>
      <w:bookmarkEnd w:id="36"/>
      <w:bookmarkEnd w:id="37"/>
      <w:bookmarkEnd w:id="38"/>
      <w:bookmarkEnd w:id="39"/>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2021年本年收入合计</w:t>
      </w:r>
      <w:r>
        <w:rPr>
          <w:rFonts w:hint="eastAsia" w:ascii="仿宋_GB2312" w:hAnsi="仿宋_GB2312" w:eastAsia="仿宋_GB2312" w:cs="仿宋_GB2312"/>
          <w:color w:val="000000"/>
          <w:sz w:val="32"/>
          <w:szCs w:val="32"/>
          <w:lang w:val="en-US" w:eastAsia="zh-CN"/>
        </w:rPr>
        <w:t>1474.85</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1474.85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%；上级补助收入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spacing w:line="600" w:lineRule="exact"/>
        <w:ind w:firstLine="1280" w:firstLineChars="4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（图2：收入决算结构图）</w:t>
      </w:r>
      <w:r>
        <w:rPr>
          <w:rFonts w:hint="eastAsia" w:ascii="仿宋_GB2312" w:hAnsi="仿宋_GB2312" w:eastAsia="仿宋_GB2312" w:cs="仿宋_GB2312"/>
          <w:color w:val="000000"/>
          <w:sz w:val="32"/>
          <w:szCs w:val="32"/>
          <w:lang w:eastAsia="zh-CN"/>
        </w:rPr>
        <w:t>单位：万元</w:t>
      </w:r>
    </w:p>
    <w:p>
      <w:pPr>
        <w:pStyle w:val="2"/>
        <w:rPr>
          <w:rFonts w:hint="eastAsia"/>
          <w:lang w:eastAsia="zh-CN"/>
        </w:rPr>
      </w:pPr>
      <w:r>
        <w:drawing>
          <wp:inline distT="0" distB="0" distL="114300" distR="114300">
            <wp:extent cx="4048125" cy="2733675"/>
            <wp:effectExtent l="4445" t="4445" r="5080" b="508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8"/>
        <w:numPr>
          <w:ilvl w:val="0"/>
          <w:numId w:val="0"/>
        </w:numPr>
        <w:spacing w:line="600" w:lineRule="exact"/>
        <w:ind w:firstLine="640" w:firstLineChars="200"/>
        <w:outlineLvl w:val="1"/>
        <w:rPr>
          <w:rStyle w:val="28"/>
          <w:rFonts w:ascii="黑体" w:hAnsi="黑体" w:eastAsia="黑体"/>
          <w:b w:val="0"/>
        </w:rPr>
      </w:pPr>
      <w:bookmarkStart w:id="40" w:name="_Toc79163612"/>
      <w:bookmarkStart w:id="41" w:name="_Toc15396605"/>
      <w:bookmarkStart w:id="42" w:name="_Toc79163862"/>
      <w:bookmarkStart w:id="43"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8"/>
          <w:rFonts w:hint="eastAsia" w:ascii="黑体" w:hAnsi="黑体" w:eastAsia="黑体"/>
          <w:b w:val="0"/>
        </w:rPr>
        <w:t>出决算情况说明</w:t>
      </w:r>
      <w:bookmarkEnd w:id="40"/>
      <w:bookmarkEnd w:id="41"/>
      <w:bookmarkEnd w:id="42"/>
      <w:bookmarkEnd w:id="43"/>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1626.93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1399.40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86.01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227.53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13.99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1600" w:firstLineChars="5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（图3：支出决算结构图）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单位：万元</w:t>
      </w:r>
    </w:p>
    <w:p>
      <w:pPr>
        <w:pStyle w:val="2"/>
        <w:rPr>
          <w:rFonts w:hint="eastAsia"/>
        </w:rPr>
      </w:pPr>
      <w:r>
        <w:drawing>
          <wp:inline distT="0" distB="0" distL="114300" distR="114300">
            <wp:extent cx="4714875" cy="2695575"/>
            <wp:effectExtent l="0" t="0" r="9525" b="9525"/>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8"/>
          <w:rFonts w:ascii="黑体" w:hAnsi="黑体" w:eastAsia="黑体"/>
          <w:b w:val="0"/>
        </w:rPr>
      </w:pPr>
      <w:bookmarkStart w:id="44" w:name="_Toc79163613"/>
      <w:bookmarkStart w:id="45" w:name="_Toc15377208"/>
      <w:bookmarkStart w:id="46" w:name="_Toc79163863"/>
      <w:bookmarkStart w:id="47"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4"/>
      <w:bookmarkEnd w:id="45"/>
      <w:bookmarkEnd w:id="46"/>
      <w:bookmarkEnd w:id="4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2021年财政拨款收、支总计</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lang w:val="en-US" w:eastAsia="zh-CN"/>
        </w:rPr>
        <w:t>1626.93</w:t>
      </w:r>
      <w:r>
        <w:rPr>
          <w:rFonts w:hint="eastAsia" w:ascii="仿宋_GB2312" w:hAnsi="仿宋_GB2312" w:eastAsia="仿宋_GB2312" w:cs="仿宋_GB2312"/>
          <w:color w:val="000000"/>
          <w:sz w:val="32"/>
          <w:szCs w:val="32"/>
        </w:rPr>
        <w:t>万元。与2020年相比，财政拨款收、支总计各增加</w:t>
      </w:r>
      <w:r>
        <w:rPr>
          <w:rFonts w:hint="eastAsia" w:ascii="仿宋_GB2312" w:hAnsi="仿宋_GB2312" w:eastAsia="仿宋_GB2312" w:cs="仿宋_GB2312"/>
          <w:color w:val="000000"/>
          <w:sz w:val="32"/>
          <w:szCs w:val="32"/>
          <w:lang w:val="en-US" w:eastAsia="zh-CN"/>
        </w:rPr>
        <w:t>379.82</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30.46</w:t>
      </w:r>
      <w:r>
        <w:rPr>
          <w:rFonts w:hint="eastAsia" w:ascii="仿宋_GB2312" w:hAnsi="仿宋_GB2312" w:eastAsia="仿宋_GB2312" w:cs="仿宋_GB2312"/>
          <w:color w:val="000000"/>
          <w:sz w:val="32"/>
          <w:szCs w:val="32"/>
        </w:rPr>
        <w:t>%。主要变动原因是主要变动原因是</w:t>
      </w:r>
      <w:r>
        <w:rPr>
          <w:rFonts w:hint="eastAsia" w:ascii="仿宋_GB2312" w:hAnsi="仿宋_GB2312" w:eastAsia="仿宋_GB2312" w:cs="仿宋_GB2312"/>
          <w:color w:val="000000"/>
          <w:sz w:val="32"/>
          <w:szCs w:val="32"/>
          <w:lang w:eastAsia="zh-CN"/>
        </w:rPr>
        <w:t>增加了一般公共服务中的基本支出。</w:t>
      </w:r>
    </w:p>
    <w:p>
      <w:pPr>
        <w:spacing w:line="60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（图4：财政拨款收、支决算总计变动情况）</w:t>
      </w:r>
      <w:r>
        <w:rPr>
          <w:rFonts w:hint="eastAsia" w:ascii="仿宋_GB2312" w:hAnsi="仿宋_GB2312" w:eastAsia="仿宋_GB2312" w:cs="仿宋_GB2312"/>
          <w:color w:val="000000"/>
          <w:sz w:val="32"/>
          <w:szCs w:val="32"/>
          <w:lang w:eastAsia="zh-CN"/>
        </w:rPr>
        <w:t>单位：万元</w:t>
      </w:r>
    </w:p>
    <w:p>
      <w:pPr>
        <w:pStyle w:val="2"/>
        <w:rPr>
          <w:rFonts w:hint="eastAsia"/>
          <w:lang w:eastAsia="zh-CN"/>
        </w:rPr>
      </w:pPr>
      <w:r>
        <w:drawing>
          <wp:inline distT="0" distB="0" distL="114300" distR="114300">
            <wp:extent cx="4562475" cy="2752725"/>
            <wp:effectExtent l="6350" t="6350" r="22225" b="2222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hint="eastAsia"/>
          <w:lang w:eastAsia="zh-CN"/>
        </w:rPr>
      </w:pPr>
    </w:p>
    <w:p>
      <w:pPr>
        <w:spacing w:line="600" w:lineRule="exact"/>
        <w:ind w:firstLine="960" w:firstLineChars="300"/>
        <w:outlineLvl w:val="1"/>
        <w:rPr>
          <w:rStyle w:val="28"/>
          <w:rFonts w:ascii="黑体" w:hAnsi="黑体" w:eastAsia="黑体"/>
          <w:b w:val="0"/>
        </w:rPr>
      </w:pPr>
      <w:bookmarkStart w:id="48" w:name="_Toc15396607"/>
      <w:bookmarkStart w:id="49" w:name="_Toc79163864"/>
      <w:bookmarkStart w:id="50" w:name="_Toc15377209"/>
      <w:bookmarkStart w:id="51"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hAnsi="仿宋" w:eastAsia="仿宋"/>
          <w:b/>
          <w:color w:val="000000"/>
          <w:sz w:val="32"/>
          <w:szCs w:val="32"/>
        </w:rPr>
      </w:pPr>
      <w:bookmarkStart w:id="52" w:name="_Toc15377210"/>
      <w:bookmarkStart w:id="53" w:name="_Toc79163615"/>
      <w:bookmarkStart w:id="54" w:name="_Toc79163865"/>
      <w:r>
        <w:rPr>
          <w:rFonts w:hint="eastAsia" w:ascii="仿宋" w:hAnsi="仿宋" w:eastAsia="仿宋"/>
          <w:b/>
          <w:color w:val="000000"/>
          <w:sz w:val="32"/>
          <w:szCs w:val="32"/>
        </w:rPr>
        <w:t>（一）一般公共预算财政拨款支出决算总体情况</w:t>
      </w:r>
      <w:bookmarkEnd w:id="52"/>
      <w:bookmarkEnd w:id="53"/>
      <w:bookmarkEnd w:id="54"/>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2021年一般公共预算财政拨款支出</w:t>
      </w:r>
      <w:r>
        <w:rPr>
          <w:rFonts w:hint="eastAsia" w:ascii="仿宋_GB2312" w:hAnsi="仿宋_GB2312" w:eastAsia="仿宋_GB2312" w:cs="仿宋_GB2312"/>
          <w:color w:val="000000"/>
          <w:sz w:val="32"/>
          <w:szCs w:val="32"/>
          <w:lang w:val="en-US" w:eastAsia="zh-CN"/>
        </w:rPr>
        <w:t>1626.93</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%。与2020年相比，一般公共预算财政拨款增加</w:t>
      </w:r>
      <w:r>
        <w:rPr>
          <w:rFonts w:hint="eastAsia" w:ascii="仿宋_GB2312" w:hAnsi="仿宋_GB2312" w:eastAsia="仿宋_GB2312" w:cs="仿宋_GB2312"/>
          <w:color w:val="000000"/>
          <w:sz w:val="32"/>
          <w:szCs w:val="32"/>
          <w:lang w:val="en-US" w:eastAsia="zh-CN"/>
        </w:rPr>
        <w:t>379.82</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30.46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增加了一般公共服务中的基本支出。</w:t>
      </w:r>
    </w:p>
    <w:p>
      <w:pPr>
        <w:spacing w:line="600" w:lineRule="exact"/>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（图5：一般公共预算财政拨款支出决算变动情况）</w:t>
      </w:r>
      <w:r>
        <w:rPr>
          <w:rFonts w:hint="eastAsia" w:ascii="仿宋_GB2312" w:hAnsi="仿宋_GB2312" w:eastAsia="仿宋_GB2312" w:cs="仿宋_GB2312"/>
          <w:color w:val="000000" w:themeColor="text1"/>
          <w:sz w:val="32"/>
          <w:szCs w:val="32"/>
          <w:lang w:eastAsia="zh-CN"/>
        </w:rPr>
        <w:t>单位</w:t>
      </w:r>
    </w:p>
    <w:p>
      <w:pPr>
        <w:pStyle w:val="2"/>
        <w:rPr>
          <w:rFonts w:hint="eastAsia"/>
          <w:lang w:eastAsia="zh-CN"/>
        </w:rPr>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321" w:firstLineChars="100"/>
        <w:outlineLvl w:val="2"/>
        <w:rPr>
          <w:rFonts w:ascii="仿宋" w:hAnsi="仿宋" w:eastAsia="仿宋"/>
          <w:b/>
          <w:color w:val="000000"/>
          <w:sz w:val="32"/>
          <w:szCs w:val="32"/>
        </w:rPr>
      </w:pPr>
      <w:bookmarkStart w:id="55" w:name="_Toc79163616"/>
      <w:bookmarkStart w:id="56" w:name="_Toc15377211"/>
      <w:bookmarkStart w:id="57" w:name="_Toc79163866"/>
      <w:r>
        <w:rPr>
          <w:rFonts w:hint="eastAsia" w:ascii="仿宋" w:hAnsi="仿宋" w:eastAsia="仿宋"/>
          <w:b/>
          <w:color w:val="000000"/>
          <w:sz w:val="32"/>
          <w:szCs w:val="32"/>
        </w:rPr>
        <w:t>（二）一般公共预算财政拨款支出决算结构情况</w:t>
      </w:r>
      <w:bookmarkEnd w:id="55"/>
      <w:bookmarkEnd w:id="56"/>
      <w:bookmarkEnd w:id="57"/>
    </w:p>
    <w:p>
      <w:pPr>
        <w:spacing w:line="60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2021年一般公共预算财政拨款支出</w:t>
      </w:r>
      <w:r>
        <w:rPr>
          <w:rFonts w:hint="eastAsia" w:ascii="仿宋_GB2312" w:hAnsi="仿宋_GB2312" w:eastAsia="仿宋_GB2312" w:cs="仿宋_GB2312"/>
          <w:color w:val="000000"/>
          <w:sz w:val="32"/>
          <w:szCs w:val="32"/>
          <w:lang w:val="en-US" w:eastAsia="zh-CN"/>
        </w:rPr>
        <w:t>1626.93</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b/>
          <w:color w:val="000000"/>
          <w:sz w:val="32"/>
          <w:szCs w:val="32"/>
        </w:rPr>
        <w:t>一般公共服务（类）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1372.76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84.38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国防（类）支出</w:t>
      </w:r>
      <w:r>
        <w:rPr>
          <w:rFonts w:hint="eastAsia" w:ascii="仿宋_GB2312" w:hAnsi="仿宋_GB2312" w:eastAsia="仿宋_GB2312" w:cs="仿宋_GB2312"/>
          <w:color w:val="000000"/>
          <w:sz w:val="32"/>
          <w:szCs w:val="32"/>
          <w:lang w:val="en-US" w:eastAsia="zh-CN"/>
        </w:rPr>
        <w:t>2.80万元，占0.17%；公共安全（类）支出44.45万元，占2.73%</w:t>
      </w:r>
      <w:r>
        <w:rPr>
          <w:rFonts w:hint="eastAsia" w:ascii="仿宋_GB2312" w:hAnsi="仿宋_GB2312" w:eastAsia="仿宋_GB2312" w:cs="仿宋_GB2312"/>
          <w:b/>
          <w:color w:val="000000"/>
          <w:sz w:val="32"/>
          <w:szCs w:val="32"/>
        </w:rPr>
        <w:t>教育支出（类）</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科学技术（类）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文化旅游体育与传媒（类）支出</w:t>
      </w:r>
      <w:r>
        <w:rPr>
          <w:rFonts w:hint="eastAsia" w:ascii="仿宋_GB2312" w:hAnsi="仿宋_GB2312" w:eastAsia="仿宋_GB2312" w:cs="仿宋_GB2312"/>
          <w:b/>
          <w:bCs/>
          <w:color w:val="000000"/>
          <w:sz w:val="32"/>
          <w:szCs w:val="32"/>
          <w:lang w:val="en-US" w:eastAsia="zh-CN"/>
        </w:rPr>
        <w:t>0</w:t>
      </w:r>
      <w:r>
        <w:rPr>
          <w:rFonts w:hint="eastAsia" w:ascii="仿宋_GB2312" w:hAnsi="仿宋_GB2312" w:eastAsia="仿宋_GB2312" w:cs="仿宋_GB2312"/>
          <w:b/>
          <w:bCs/>
          <w:color w:val="000000"/>
          <w:sz w:val="32"/>
          <w:szCs w:val="32"/>
        </w:rPr>
        <w:t>万元，占</w:t>
      </w:r>
      <w:r>
        <w:rPr>
          <w:rFonts w:hint="eastAsia" w:ascii="仿宋_GB2312" w:hAnsi="仿宋_GB2312" w:eastAsia="仿宋_GB2312" w:cs="仿宋_GB2312"/>
          <w:b/>
          <w:bCs/>
          <w:color w:val="000000"/>
          <w:sz w:val="32"/>
          <w:szCs w:val="32"/>
          <w:lang w:val="en-US" w:eastAsia="zh-CN"/>
        </w:rPr>
        <w:t>0</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社会保障和就业（类）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99.51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6.12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卫生健康支出</w:t>
      </w:r>
      <w:r>
        <w:rPr>
          <w:rFonts w:hint="eastAsia" w:ascii="仿宋_GB2312" w:hAnsi="仿宋_GB2312" w:eastAsia="仿宋_GB2312" w:cs="仿宋_GB2312"/>
          <w:color w:val="000000"/>
          <w:sz w:val="32"/>
          <w:szCs w:val="32"/>
          <w:lang w:val="en-US" w:eastAsia="zh-CN"/>
        </w:rPr>
        <w:t>40.01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2.46</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65.48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4.02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灾害防治及应急管理（类）支出</w:t>
      </w:r>
      <w:r>
        <w:rPr>
          <w:rFonts w:hint="eastAsia" w:ascii="仿宋_GB2312" w:hAnsi="仿宋_GB2312" w:eastAsia="仿宋_GB2312" w:cs="仿宋_GB2312"/>
          <w:color w:val="000000"/>
          <w:sz w:val="32"/>
          <w:szCs w:val="32"/>
          <w:lang w:val="en-US" w:eastAsia="zh-CN"/>
        </w:rPr>
        <w:t>1.92万元，占0.12%</w:t>
      </w:r>
      <w:r>
        <w:rPr>
          <w:rFonts w:hint="eastAsia" w:ascii="仿宋_GB2312" w:hAnsi="仿宋_GB2312" w:eastAsia="仿宋_GB2312" w:cs="仿宋_GB2312"/>
          <w:color w:val="000000"/>
          <w:sz w:val="32"/>
          <w:szCs w:val="32"/>
        </w:rPr>
        <w:t>。</w:t>
      </w:r>
    </w:p>
    <w:p>
      <w:pPr>
        <w:spacing w:line="60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（图6：一般公共预算财政拨款支出决算结构）</w:t>
      </w:r>
      <w:r>
        <w:rPr>
          <w:rFonts w:hint="eastAsia" w:ascii="仿宋_GB2312" w:hAnsi="仿宋_GB2312" w:eastAsia="仿宋_GB2312" w:cs="仿宋_GB2312"/>
          <w:color w:val="000000"/>
          <w:sz w:val="32"/>
          <w:szCs w:val="32"/>
          <w:lang w:eastAsia="zh-CN"/>
        </w:rPr>
        <w:t>单位：万元</w:t>
      </w:r>
    </w:p>
    <w:p>
      <w:pPr>
        <w:pStyle w:val="2"/>
        <w:rPr>
          <w:rFonts w:hint="eastAsia"/>
          <w:lang w:eastAsia="zh-CN"/>
        </w:rPr>
      </w:pPr>
      <w:r>
        <w:drawing>
          <wp:inline distT="0" distB="0" distL="114300" distR="114300">
            <wp:extent cx="4477385" cy="3028950"/>
            <wp:effectExtent l="4445" t="4445" r="13970"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color w:val="000000"/>
          <w:sz w:val="32"/>
          <w:szCs w:val="32"/>
        </w:rPr>
      </w:pPr>
      <w:bookmarkStart w:id="58" w:name="_Toc15377212"/>
      <w:bookmarkStart w:id="59" w:name="_Toc79163867"/>
      <w:bookmarkStart w:id="60" w:name="_Toc79163617"/>
      <w:r>
        <w:rPr>
          <w:rFonts w:hint="eastAsia" w:ascii="仿宋" w:hAnsi="仿宋" w:eastAsia="仿宋"/>
          <w:b/>
          <w:color w:val="000000"/>
          <w:sz w:val="32"/>
          <w:szCs w:val="32"/>
        </w:rPr>
        <w:t>（三）一般公共预算财政拨款支出决算具体情况</w:t>
      </w:r>
      <w:bookmarkEnd w:id="58"/>
      <w:bookmarkEnd w:id="59"/>
      <w:bookmarkEnd w:id="60"/>
    </w:p>
    <w:p>
      <w:pPr>
        <w:spacing w:line="600" w:lineRule="exact"/>
        <w:ind w:firstLine="642" w:firstLineChars="200"/>
        <w:rPr>
          <w:rFonts w:ascii="仿宋_GB2312" w:eastAsia="仿宋_GB2312"/>
          <w:b/>
          <w:bCs/>
          <w:sz w:val="32"/>
          <w:szCs w:val="32"/>
        </w:rPr>
      </w:pPr>
      <w:bookmarkStart w:id="61" w:name="_Toc15377213"/>
      <w:bookmarkStart w:id="62" w:name="_Toc15378460"/>
      <w:bookmarkStart w:id="63" w:name="_Toc15377444"/>
      <w:r>
        <w:rPr>
          <w:rFonts w:ascii="仿宋_GB2312" w:eastAsia="仿宋_GB2312"/>
          <w:b/>
          <w:bCs/>
          <w:sz w:val="32"/>
          <w:szCs w:val="32"/>
        </w:rPr>
        <w:t>202</w:t>
      </w:r>
      <w:r>
        <w:rPr>
          <w:rFonts w:hint="eastAsia" w:ascii="仿宋_GB2312" w:eastAsia="仿宋_GB2312"/>
          <w:b/>
          <w:bCs/>
          <w:sz w:val="32"/>
          <w:szCs w:val="32"/>
        </w:rPr>
        <w:t>1年一般公共预算支出决算数为</w:t>
      </w:r>
      <w:r>
        <w:rPr>
          <w:rFonts w:hint="eastAsia" w:ascii="仿宋_GB2312" w:eastAsia="仿宋_GB2312"/>
          <w:b/>
          <w:bCs/>
          <w:sz w:val="32"/>
          <w:szCs w:val="32"/>
          <w:lang w:val="en-US" w:eastAsia="zh-CN"/>
        </w:rPr>
        <w:t>1626.93万元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1"/>
      <w:bookmarkEnd w:id="62"/>
      <w:bookmarkEnd w:id="63"/>
    </w:p>
    <w:p>
      <w:pPr>
        <w:numPr>
          <w:ilvl w:val="0"/>
          <w:numId w:val="2"/>
        </w:numPr>
        <w:spacing w:line="600" w:lineRule="exact"/>
        <w:ind w:firstLine="642" w:firstLineChars="200"/>
        <w:rPr>
          <w:rStyle w:val="25"/>
          <w:rFonts w:hint="eastAsia" w:ascii="仿宋_GB2312" w:hAnsi="仿宋_GB2312" w:eastAsia="仿宋_GB2312" w:cs="仿宋_GB2312"/>
          <w:b w:val="0"/>
          <w:bCs/>
          <w:color w:val="000000"/>
          <w:sz w:val="32"/>
          <w:szCs w:val="32"/>
        </w:rPr>
      </w:pPr>
      <w:r>
        <w:rPr>
          <w:rStyle w:val="25"/>
          <w:rFonts w:hint="eastAsia" w:ascii="仿宋_GB2312" w:hAnsi="仿宋_GB2312" w:eastAsia="仿宋_GB2312" w:cs="仿宋_GB2312"/>
          <w:bCs/>
          <w:color w:val="000000"/>
          <w:sz w:val="32"/>
          <w:szCs w:val="32"/>
        </w:rPr>
        <w:t>一般公共服务</w:t>
      </w:r>
      <w:r>
        <w:rPr>
          <w:rStyle w:val="25"/>
          <w:rFonts w:hint="eastAsia" w:ascii="仿宋_GB2312" w:hAnsi="仿宋_GB2312" w:eastAsia="仿宋_GB2312" w:cs="仿宋_GB2312"/>
          <w:bCs/>
          <w:color w:val="000000"/>
          <w:sz w:val="32"/>
          <w:szCs w:val="32"/>
          <w:lang w:val="en-US" w:eastAsia="zh-CN"/>
        </w:rPr>
        <w:t>201</w:t>
      </w:r>
      <w:r>
        <w:rPr>
          <w:rStyle w:val="25"/>
          <w:rFonts w:hint="eastAsia" w:ascii="仿宋_GB2312" w:hAnsi="仿宋_GB2312" w:eastAsia="仿宋_GB2312" w:cs="仿宋_GB2312"/>
          <w:bCs/>
          <w:color w:val="000000"/>
          <w:sz w:val="32"/>
          <w:szCs w:val="32"/>
        </w:rPr>
        <w:t>（类）</w:t>
      </w:r>
      <w:r>
        <w:rPr>
          <w:rStyle w:val="25"/>
          <w:rFonts w:hint="eastAsia" w:ascii="仿宋_GB2312" w:hAnsi="仿宋_GB2312" w:eastAsia="仿宋_GB2312" w:cs="仿宋_GB2312"/>
          <w:bCs/>
          <w:color w:val="000000"/>
          <w:sz w:val="32"/>
          <w:szCs w:val="32"/>
          <w:lang w:val="en-US" w:eastAsia="zh-CN"/>
        </w:rPr>
        <w:t>03</w:t>
      </w:r>
      <w:r>
        <w:rPr>
          <w:rStyle w:val="25"/>
          <w:rFonts w:hint="eastAsia" w:ascii="仿宋_GB2312" w:hAnsi="仿宋_GB2312" w:eastAsia="仿宋_GB2312" w:cs="仿宋_GB2312"/>
          <w:bCs/>
          <w:color w:val="000000"/>
          <w:sz w:val="32"/>
          <w:szCs w:val="32"/>
        </w:rPr>
        <w:t>（款）</w:t>
      </w:r>
      <w:r>
        <w:rPr>
          <w:rStyle w:val="25"/>
          <w:rFonts w:hint="eastAsia" w:ascii="仿宋_GB2312" w:hAnsi="仿宋_GB2312" w:eastAsia="仿宋_GB2312" w:cs="仿宋_GB2312"/>
          <w:bCs/>
          <w:color w:val="000000"/>
          <w:sz w:val="32"/>
          <w:szCs w:val="32"/>
          <w:lang w:val="en-US" w:eastAsia="zh-CN"/>
        </w:rPr>
        <w:t>01</w:t>
      </w:r>
      <w:r>
        <w:rPr>
          <w:rStyle w:val="25"/>
          <w:rFonts w:hint="eastAsia" w:ascii="仿宋_GB2312" w:hAnsi="仿宋_GB2312" w:eastAsia="仿宋_GB2312" w:cs="仿宋_GB2312"/>
          <w:bCs/>
          <w:color w:val="000000"/>
          <w:sz w:val="32"/>
          <w:szCs w:val="32"/>
        </w:rPr>
        <w:t>（项）: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1372.76</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%，决算数等于预算数的主要原因是</w:t>
      </w:r>
      <w:r>
        <w:rPr>
          <w:rStyle w:val="25"/>
          <w:rFonts w:hint="eastAsia" w:ascii="仿宋_GB2312" w:hAnsi="仿宋_GB2312" w:eastAsia="仿宋_GB2312" w:cs="仿宋_GB2312"/>
          <w:b w:val="0"/>
          <w:bCs/>
          <w:color w:val="000000"/>
          <w:sz w:val="32"/>
          <w:szCs w:val="32"/>
          <w:lang w:val="en-US" w:eastAsia="zh-CN"/>
        </w:rPr>
        <w:t>工资上调，人员增加</w:t>
      </w:r>
      <w:r>
        <w:rPr>
          <w:rStyle w:val="25"/>
          <w:rFonts w:hint="eastAsia" w:ascii="仿宋_GB2312" w:hAnsi="仿宋_GB2312" w:eastAsia="仿宋_GB2312" w:cs="仿宋_GB2312"/>
          <w:b w:val="0"/>
          <w:bCs/>
          <w:color w:val="000000"/>
          <w:sz w:val="32"/>
          <w:szCs w:val="32"/>
        </w:rPr>
        <w:t>。</w:t>
      </w:r>
    </w:p>
    <w:p>
      <w:pPr>
        <w:numPr>
          <w:ilvl w:val="0"/>
          <w:numId w:val="0"/>
        </w:numPr>
        <w:spacing w:line="600" w:lineRule="exact"/>
        <w:ind w:firstLine="642" w:firstLineChars="200"/>
        <w:rPr>
          <w:rStyle w:val="25"/>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国防</w:t>
      </w:r>
      <w:r>
        <w:rPr>
          <w:rFonts w:hint="eastAsia" w:ascii="仿宋_GB2312" w:hAnsi="仿宋_GB2312" w:eastAsia="仿宋_GB2312" w:cs="仿宋_GB2312"/>
          <w:b/>
          <w:bCs/>
          <w:sz w:val="32"/>
          <w:szCs w:val="32"/>
          <w:lang w:val="en-US" w:eastAsia="zh-CN"/>
        </w:rPr>
        <w:t>203（类）06（款）03（项）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支出</w:t>
      </w:r>
      <w:r>
        <w:rPr>
          <w:rStyle w:val="25"/>
          <w:rFonts w:hint="eastAsia" w:ascii="仿宋_GB2312" w:hAnsi="仿宋_GB2312" w:eastAsia="仿宋_GB2312" w:cs="仿宋_GB2312"/>
          <w:b w:val="0"/>
          <w:bCs/>
          <w:color w:val="000000"/>
          <w:sz w:val="32"/>
          <w:szCs w:val="32"/>
        </w:rPr>
        <w:t>决算为</w:t>
      </w:r>
      <w:r>
        <w:rPr>
          <w:rStyle w:val="25"/>
          <w:rFonts w:hint="eastAsia" w:ascii="仿宋_GB2312" w:hAnsi="仿宋_GB2312" w:eastAsia="仿宋_GB2312" w:cs="仿宋_GB2312"/>
          <w:b w:val="0"/>
          <w:bCs/>
          <w:color w:val="000000"/>
          <w:sz w:val="32"/>
          <w:szCs w:val="32"/>
          <w:lang w:val="en-US" w:eastAsia="zh-CN"/>
        </w:rPr>
        <w:t>2.80</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%，决算数等于预算数的主要原因是</w:t>
      </w:r>
      <w:r>
        <w:rPr>
          <w:rStyle w:val="25"/>
          <w:rFonts w:hint="eastAsia" w:ascii="仿宋_GB2312" w:hAnsi="仿宋_GB2312" w:eastAsia="仿宋_GB2312" w:cs="仿宋_GB2312"/>
          <w:b w:val="0"/>
          <w:bCs/>
          <w:color w:val="000000"/>
          <w:sz w:val="32"/>
          <w:szCs w:val="32"/>
          <w:lang w:val="en-US" w:eastAsia="zh-CN"/>
        </w:rPr>
        <w:t>办公费增加</w:t>
      </w:r>
      <w:r>
        <w:rPr>
          <w:rStyle w:val="25"/>
          <w:rFonts w:hint="eastAsia" w:ascii="仿宋_GB2312" w:hAnsi="仿宋_GB2312" w:eastAsia="仿宋_GB2312" w:cs="仿宋_GB2312"/>
          <w:b w:val="0"/>
          <w:bCs/>
          <w:color w:val="000000"/>
          <w:sz w:val="32"/>
          <w:szCs w:val="32"/>
        </w:rPr>
        <w:t>。</w:t>
      </w:r>
    </w:p>
    <w:p>
      <w:pPr>
        <w:numPr>
          <w:ilvl w:val="0"/>
          <w:numId w:val="0"/>
        </w:numPr>
        <w:spacing w:line="600" w:lineRule="exact"/>
        <w:ind w:firstLine="640" w:firstLineChars="200"/>
        <w:rPr>
          <w:rStyle w:val="25"/>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color w:val="000000"/>
          <w:sz w:val="32"/>
          <w:szCs w:val="32"/>
        </w:rPr>
        <w:t>公共安全204</w:t>
      </w:r>
      <w:r>
        <w:rPr>
          <w:rStyle w:val="25"/>
          <w:rFonts w:hint="eastAsia" w:ascii="仿宋_GB2312" w:hAnsi="仿宋_GB2312" w:eastAsia="仿宋_GB2312" w:cs="仿宋_GB2312"/>
          <w:bCs/>
          <w:color w:val="000000"/>
          <w:sz w:val="32"/>
          <w:szCs w:val="32"/>
        </w:rPr>
        <w:t>（类）</w:t>
      </w:r>
      <w:r>
        <w:rPr>
          <w:rStyle w:val="25"/>
          <w:rFonts w:hint="eastAsia" w:ascii="仿宋_GB2312" w:hAnsi="仿宋_GB2312" w:eastAsia="仿宋_GB2312" w:cs="仿宋_GB2312"/>
          <w:bCs/>
          <w:color w:val="000000"/>
          <w:sz w:val="32"/>
          <w:szCs w:val="32"/>
          <w:lang w:val="en-US" w:eastAsia="zh-CN"/>
        </w:rPr>
        <w:t>06</w:t>
      </w:r>
      <w:r>
        <w:rPr>
          <w:rStyle w:val="25"/>
          <w:rFonts w:hint="eastAsia" w:ascii="仿宋_GB2312" w:hAnsi="仿宋_GB2312" w:eastAsia="仿宋_GB2312" w:cs="仿宋_GB2312"/>
          <w:bCs/>
          <w:color w:val="000000"/>
          <w:sz w:val="32"/>
          <w:szCs w:val="32"/>
        </w:rPr>
        <w:t>（款）0</w:t>
      </w:r>
      <w:r>
        <w:rPr>
          <w:rStyle w:val="25"/>
          <w:rFonts w:hint="eastAsia" w:ascii="仿宋_GB2312" w:hAnsi="仿宋_GB2312" w:eastAsia="仿宋_GB2312" w:cs="仿宋_GB2312"/>
          <w:bCs/>
          <w:color w:val="000000"/>
          <w:sz w:val="32"/>
          <w:szCs w:val="32"/>
          <w:lang w:val="en-US" w:eastAsia="zh-CN"/>
        </w:rPr>
        <w:t>7</w:t>
      </w:r>
      <w:r>
        <w:rPr>
          <w:rStyle w:val="25"/>
          <w:rFonts w:hint="eastAsia" w:ascii="仿宋_GB2312" w:hAnsi="仿宋_GB2312" w:eastAsia="仿宋_GB2312" w:cs="仿宋_GB2312"/>
          <w:bCs/>
          <w:color w:val="000000"/>
          <w:sz w:val="32"/>
          <w:szCs w:val="32"/>
        </w:rPr>
        <w:t>（项）: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5</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bCs/>
          <w:color w:val="000000"/>
          <w:sz w:val="32"/>
          <w:szCs w:val="32"/>
        </w:rPr>
        <w:t>公共安全204</w:t>
      </w:r>
      <w:r>
        <w:rPr>
          <w:rStyle w:val="25"/>
          <w:rFonts w:hint="eastAsia" w:ascii="仿宋_GB2312" w:hAnsi="仿宋_GB2312" w:eastAsia="仿宋_GB2312" w:cs="仿宋_GB2312"/>
          <w:bCs/>
          <w:color w:val="000000"/>
          <w:sz w:val="32"/>
          <w:szCs w:val="32"/>
        </w:rPr>
        <w:t>（类）99（款）</w:t>
      </w:r>
      <w:r>
        <w:rPr>
          <w:rStyle w:val="25"/>
          <w:rFonts w:hint="eastAsia" w:ascii="仿宋_GB2312" w:hAnsi="仿宋_GB2312" w:eastAsia="仿宋_GB2312" w:cs="仿宋_GB2312"/>
          <w:bCs/>
          <w:color w:val="000000"/>
          <w:sz w:val="32"/>
          <w:szCs w:val="32"/>
          <w:lang w:val="en-US" w:eastAsia="zh-CN"/>
        </w:rPr>
        <w:t>99</w:t>
      </w:r>
      <w:r>
        <w:rPr>
          <w:rStyle w:val="25"/>
          <w:rFonts w:hint="eastAsia" w:ascii="仿宋_GB2312" w:hAnsi="仿宋_GB2312" w:eastAsia="仿宋_GB2312" w:cs="仿宋_GB2312"/>
          <w:bCs/>
          <w:color w:val="000000"/>
          <w:sz w:val="32"/>
          <w:szCs w:val="32"/>
        </w:rPr>
        <w:t>（项）: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39.45</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w:t>
      </w:r>
      <w:r>
        <w:rPr>
          <w:rStyle w:val="25"/>
          <w:rFonts w:hint="eastAsia" w:ascii="仿宋_GB2312" w:hAnsi="仿宋_GB2312" w:eastAsia="仿宋_GB2312" w:cs="仿宋_GB2312"/>
          <w:b w:val="0"/>
          <w:bCs/>
          <w:color w:val="000000"/>
          <w:sz w:val="32"/>
          <w:szCs w:val="32"/>
          <w:lang w:eastAsia="zh-CN"/>
        </w:rPr>
        <w:t>。</w:t>
      </w:r>
      <w:r>
        <w:rPr>
          <w:rStyle w:val="25"/>
          <w:rFonts w:hint="eastAsia" w:ascii="仿宋_GB2312" w:hAnsi="仿宋_GB2312" w:eastAsia="仿宋_GB2312" w:cs="仿宋_GB2312"/>
          <w:b w:val="0"/>
          <w:bCs/>
          <w:color w:val="000000"/>
          <w:sz w:val="32"/>
          <w:szCs w:val="32"/>
        </w:rPr>
        <w:t>决算数等于预算数的主要原因</w:t>
      </w:r>
      <w:r>
        <w:rPr>
          <w:rStyle w:val="25"/>
          <w:rFonts w:hint="eastAsia" w:ascii="仿宋_GB2312" w:hAnsi="仿宋_GB2312" w:eastAsia="仿宋_GB2312" w:cs="仿宋_GB2312"/>
          <w:b w:val="0"/>
          <w:bCs/>
          <w:color w:val="000000"/>
          <w:sz w:val="32"/>
          <w:szCs w:val="32"/>
          <w:lang w:val="en-US" w:eastAsia="zh-CN"/>
        </w:rPr>
        <w:t>是根据合同的签订金额确定的</w:t>
      </w:r>
      <w:r>
        <w:rPr>
          <w:rStyle w:val="25"/>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25"/>
          <w:rFonts w:hint="eastAsia" w:ascii="仿宋_GB2312" w:hAnsi="仿宋_GB2312" w:eastAsia="仿宋_GB2312" w:cs="仿宋_GB2312"/>
          <w:bCs/>
          <w:color w:val="000000"/>
          <w:sz w:val="32"/>
          <w:szCs w:val="32"/>
          <w:lang w:val="en-US" w:eastAsia="zh-CN"/>
        </w:rPr>
        <w:t>4</w:t>
      </w:r>
      <w:r>
        <w:rPr>
          <w:rStyle w:val="25"/>
          <w:rFonts w:hint="eastAsia" w:ascii="仿宋_GB2312" w:hAnsi="仿宋_GB2312" w:eastAsia="仿宋_GB2312" w:cs="仿宋_GB2312"/>
          <w:bCs/>
          <w:color w:val="000000"/>
          <w:sz w:val="32"/>
          <w:szCs w:val="32"/>
        </w:rPr>
        <w:t>.教育（类）（款）（项）: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0</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0</w:t>
      </w:r>
      <w:r>
        <w:rPr>
          <w:rStyle w:val="25"/>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25"/>
          <w:rFonts w:hint="eastAsia" w:ascii="仿宋_GB2312" w:hAnsi="仿宋_GB2312" w:eastAsia="仿宋_GB2312" w:cs="仿宋_GB2312"/>
          <w:bCs/>
          <w:color w:val="000000"/>
          <w:sz w:val="32"/>
          <w:szCs w:val="32"/>
          <w:lang w:val="en-US" w:eastAsia="zh-CN"/>
        </w:rPr>
        <w:t>5</w:t>
      </w:r>
      <w:r>
        <w:rPr>
          <w:rStyle w:val="25"/>
          <w:rFonts w:hint="eastAsia" w:ascii="仿宋_GB2312" w:hAnsi="仿宋_GB2312" w:eastAsia="仿宋_GB2312" w:cs="仿宋_GB2312"/>
          <w:bCs/>
          <w:color w:val="000000"/>
          <w:sz w:val="32"/>
          <w:szCs w:val="32"/>
        </w:rPr>
        <w:t>.科学技术（类）（款）（项）: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0</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0</w:t>
      </w:r>
      <w:r>
        <w:rPr>
          <w:rStyle w:val="25"/>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25"/>
          <w:rFonts w:hint="eastAsia" w:ascii="仿宋_GB2312" w:hAnsi="仿宋_GB2312" w:eastAsia="仿宋_GB2312" w:cs="仿宋_GB2312"/>
          <w:bCs/>
          <w:color w:val="000000"/>
          <w:sz w:val="32"/>
          <w:szCs w:val="32"/>
          <w:lang w:val="en-US" w:eastAsia="zh-CN"/>
        </w:rPr>
        <w:t>6</w:t>
      </w:r>
      <w:r>
        <w:rPr>
          <w:rStyle w:val="25"/>
          <w:rFonts w:hint="eastAsia" w:ascii="仿宋_GB2312" w:hAnsi="仿宋_GB2312" w:eastAsia="仿宋_GB2312" w:cs="仿宋_GB2312"/>
          <w:bCs/>
          <w:color w:val="000000"/>
          <w:sz w:val="32"/>
          <w:szCs w:val="32"/>
        </w:rPr>
        <w:t>.文化旅游体育与传媒（类）（款）（项）: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0</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0</w:t>
      </w:r>
      <w:r>
        <w:rPr>
          <w:rStyle w:val="25"/>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25"/>
          <w:rFonts w:hint="eastAsia" w:ascii="仿宋_GB2312" w:hAnsi="仿宋_GB2312" w:eastAsia="仿宋_GB2312" w:cs="仿宋_GB2312"/>
          <w:bCs/>
          <w:color w:val="000000"/>
          <w:sz w:val="32"/>
          <w:szCs w:val="32"/>
          <w:lang w:val="en-US" w:eastAsia="zh-CN"/>
        </w:rPr>
        <w:t>7</w:t>
      </w:r>
      <w:r>
        <w:rPr>
          <w:rStyle w:val="25"/>
          <w:rFonts w:hint="eastAsia" w:ascii="仿宋_GB2312" w:hAnsi="仿宋_GB2312" w:eastAsia="仿宋_GB2312" w:cs="仿宋_GB2312"/>
          <w:bCs/>
          <w:color w:val="000000"/>
          <w:sz w:val="32"/>
          <w:szCs w:val="32"/>
        </w:rPr>
        <w:t>.社会保障和就业</w:t>
      </w:r>
      <w:r>
        <w:rPr>
          <w:rStyle w:val="25"/>
          <w:rFonts w:hint="eastAsia" w:ascii="仿宋_GB2312" w:hAnsi="仿宋_GB2312" w:eastAsia="仿宋_GB2312" w:cs="仿宋_GB2312"/>
          <w:bCs/>
          <w:color w:val="000000"/>
          <w:sz w:val="32"/>
          <w:szCs w:val="32"/>
          <w:lang w:val="en-US" w:eastAsia="zh-CN"/>
        </w:rPr>
        <w:t>208</w:t>
      </w:r>
      <w:r>
        <w:rPr>
          <w:rStyle w:val="25"/>
          <w:rFonts w:hint="eastAsia" w:ascii="仿宋_GB2312" w:hAnsi="仿宋_GB2312" w:eastAsia="仿宋_GB2312" w:cs="仿宋_GB2312"/>
          <w:bCs/>
          <w:color w:val="000000"/>
          <w:sz w:val="32"/>
          <w:szCs w:val="32"/>
        </w:rPr>
        <w:t>（类）</w:t>
      </w:r>
      <w:r>
        <w:rPr>
          <w:rStyle w:val="25"/>
          <w:rFonts w:hint="eastAsia" w:ascii="仿宋_GB2312" w:hAnsi="仿宋_GB2312" w:eastAsia="仿宋_GB2312" w:cs="仿宋_GB2312"/>
          <w:bCs/>
          <w:color w:val="000000"/>
          <w:sz w:val="32"/>
          <w:szCs w:val="32"/>
          <w:lang w:val="en-US" w:eastAsia="zh-CN"/>
        </w:rPr>
        <w:t>05</w:t>
      </w:r>
      <w:r>
        <w:rPr>
          <w:rStyle w:val="25"/>
          <w:rFonts w:hint="eastAsia" w:ascii="仿宋_GB2312" w:hAnsi="仿宋_GB2312" w:eastAsia="仿宋_GB2312" w:cs="仿宋_GB2312"/>
          <w:bCs/>
          <w:color w:val="000000"/>
          <w:sz w:val="32"/>
          <w:szCs w:val="32"/>
        </w:rPr>
        <w:t>（款）</w:t>
      </w:r>
      <w:r>
        <w:rPr>
          <w:rStyle w:val="25"/>
          <w:rFonts w:hint="eastAsia" w:ascii="仿宋_GB2312" w:hAnsi="仿宋_GB2312" w:eastAsia="仿宋_GB2312" w:cs="仿宋_GB2312"/>
          <w:bCs/>
          <w:color w:val="000000"/>
          <w:sz w:val="32"/>
          <w:szCs w:val="32"/>
          <w:lang w:val="en-US" w:eastAsia="zh-CN"/>
        </w:rPr>
        <w:t>05</w:t>
      </w:r>
      <w:r>
        <w:rPr>
          <w:rStyle w:val="25"/>
          <w:rFonts w:hint="eastAsia" w:ascii="仿宋_GB2312" w:hAnsi="仿宋_GB2312" w:eastAsia="仿宋_GB2312" w:cs="仿宋_GB2312"/>
          <w:bCs/>
          <w:color w:val="000000"/>
          <w:sz w:val="32"/>
          <w:szCs w:val="32"/>
        </w:rPr>
        <w:t>（项）:</w:t>
      </w:r>
      <w:r>
        <w:rPr>
          <w:rStyle w:val="25"/>
          <w:rFonts w:hint="eastAsia" w:ascii="仿宋_GB2312" w:hAnsi="仿宋_GB2312" w:eastAsia="仿宋_GB2312" w:cs="仿宋_GB2312"/>
          <w:b w:val="0"/>
          <w:bCs/>
          <w:color w:val="000000"/>
          <w:sz w:val="32"/>
          <w:szCs w:val="32"/>
        </w:rPr>
        <w:t xml:space="preserve"> 支出决算为</w:t>
      </w:r>
      <w:r>
        <w:rPr>
          <w:rStyle w:val="25"/>
          <w:rFonts w:hint="eastAsia" w:ascii="仿宋_GB2312" w:hAnsi="仿宋_GB2312" w:eastAsia="仿宋_GB2312" w:cs="仿宋_GB2312"/>
          <w:b w:val="0"/>
          <w:bCs/>
          <w:color w:val="000000"/>
          <w:sz w:val="32"/>
          <w:szCs w:val="32"/>
          <w:lang w:val="en-US" w:eastAsia="zh-CN"/>
        </w:rPr>
        <w:t>99.51</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%，决算数等于预算数的主要原因是</w:t>
      </w:r>
      <w:r>
        <w:rPr>
          <w:rStyle w:val="25"/>
          <w:rFonts w:hint="eastAsia" w:ascii="仿宋_GB2312" w:hAnsi="仿宋_GB2312" w:eastAsia="仿宋_GB2312" w:cs="仿宋_GB2312"/>
          <w:b w:val="0"/>
          <w:color w:val="000000"/>
          <w:sz w:val="32"/>
          <w:szCs w:val="32"/>
          <w:lang w:eastAsia="zh-CN"/>
        </w:rPr>
        <w:t>工资上调、人员增加</w:t>
      </w:r>
      <w:r>
        <w:rPr>
          <w:rStyle w:val="25"/>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25"/>
          <w:rFonts w:hint="eastAsia" w:ascii="仿宋_GB2312" w:hAnsi="仿宋_GB2312" w:eastAsia="仿宋_GB2312" w:cs="仿宋_GB2312"/>
          <w:bCs/>
          <w:color w:val="000000"/>
          <w:sz w:val="32"/>
          <w:szCs w:val="32"/>
          <w:lang w:val="en-US" w:eastAsia="zh-CN"/>
        </w:rPr>
        <w:t>8</w:t>
      </w:r>
      <w:r>
        <w:rPr>
          <w:rStyle w:val="25"/>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卫生健康</w:t>
      </w:r>
      <w:r>
        <w:rPr>
          <w:rFonts w:hint="eastAsia" w:ascii="仿宋_GB2312" w:hAnsi="仿宋_GB2312" w:eastAsia="仿宋_GB2312" w:cs="仿宋_GB2312"/>
          <w:b/>
          <w:bCs/>
          <w:color w:val="000000"/>
          <w:sz w:val="32"/>
          <w:szCs w:val="32"/>
          <w:lang w:val="en-US" w:eastAsia="zh-CN"/>
        </w:rPr>
        <w:t>210</w:t>
      </w:r>
      <w:r>
        <w:rPr>
          <w:rStyle w:val="25"/>
          <w:rFonts w:hint="eastAsia" w:ascii="仿宋_GB2312" w:hAnsi="仿宋_GB2312" w:eastAsia="仿宋_GB2312" w:cs="仿宋_GB2312"/>
          <w:bCs/>
          <w:color w:val="000000"/>
          <w:sz w:val="32"/>
          <w:szCs w:val="32"/>
        </w:rPr>
        <w:t>（类）</w:t>
      </w:r>
      <w:r>
        <w:rPr>
          <w:rStyle w:val="25"/>
          <w:rFonts w:hint="eastAsia" w:ascii="仿宋_GB2312" w:hAnsi="仿宋_GB2312" w:eastAsia="仿宋_GB2312" w:cs="仿宋_GB2312"/>
          <w:bCs/>
          <w:color w:val="000000"/>
          <w:sz w:val="32"/>
          <w:szCs w:val="32"/>
          <w:lang w:val="en-US" w:eastAsia="zh-CN"/>
        </w:rPr>
        <w:t>11</w:t>
      </w:r>
      <w:r>
        <w:rPr>
          <w:rStyle w:val="25"/>
          <w:rFonts w:hint="eastAsia" w:ascii="仿宋_GB2312" w:hAnsi="仿宋_GB2312" w:eastAsia="仿宋_GB2312" w:cs="仿宋_GB2312"/>
          <w:bCs/>
          <w:color w:val="000000"/>
          <w:sz w:val="32"/>
          <w:szCs w:val="32"/>
        </w:rPr>
        <w:t>（款）</w:t>
      </w:r>
      <w:r>
        <w:rPr>
          <w:rStyle w:val="25"/>
          <w:rFonts w:hint="eastAsia" w:ascii="仿宋_GB2312" w:hAnsi="仿宋_GB2312" w:eastAsia="仿宋_GB2312" w:cs="仿宋_GB2312"/>
          <w:bCs/>
          <w:color w:val="000000"/>
          <w:sz w:val="32"/>
          <w:szCs w:val="32"/>
          <w:lang w:val="en-US" w:eastAsia="zh-CN"/>
        </w:rPr>
        <w:t>01</w:t>
      </w:r>
      <w:r>
        <w:rPr>
          <w:rStyle w:val="25"/>
          <w:rFonts w:hint="eastAsia" w:ascii="仿宋_GB2312" w:hAnsi="仿宋_GB2312" w:eastAsia="仿宋_GB2312" w:cs="仿宋_GB2312"/>
          <w:bCs/>
          <w:color w:val="000000"/>
          <w:sz w:val="32"/>
          <w:szCs w:val="32"/>
        </w:rPr>
        <w:t>（项）:</w:t>
      </w:r>
      <w:r>
        <w:rPr>
          <w:rStyle w:val="25"/>
          <w:rFonts w:hint="eastAsia" w:ascii="仿宋_GB2312" w:hAnsi="仿宋_GB2312" w:eastAsia="仿宋_GB2312" w:cs="仿宋_GB2312"/>
          <w:b w:val="0"/>
          <w:bCs/>
          <w:color w:val="000000"/>
          <w:sz w:val="32"/>
          <w:szCs w:val="32"/>
        </w:rPr>
        <w:t>支出决算为</w:t>
      </w:r>
      <w:r>
        <w:rPr>
          <w:rStyle w:val="25"/>
          <w:rFonts w:hint="eastAsia" w:ascii="仿宋_GB2312" w:hAnsi="仿宋_GB2312" w:eastAsia="仿宋_GB2312" w:cs="仿宋_GB2312"/>
          <w:b w:val="0"/>
          <w:bCs/>
          <w:color w:val="000000"/>
          <w:sz w:val="32"/>
          <w:szCs w:val="32"/>
          <w:lang w:val="en-US" w:eastAsia="zh-CN"/>
        </w:rPr>
        <w:t>40.01</w:t>
      </w:r>
      <w:r>
        <w:rPr>
          <w:rStyle w:val="25"/>
          <w:rFonts w:hint="eastAsia" w:ascii="仿宋_GB2312" w:hAnsi="仿宋_GB2312" w:eastAsia="仿宋_GB2312" w:cs="仿宋_GB2312"/>
          <w:b w:val="0"/>
          <w:bCs/>
          <w:color w:val="000000"/>
          <w:sz w:val="32"/>
          <w:szCs w:val="32"/>
        </w:rPr>
        <w:t>万元，完成预算</w:t>
      </w:r>
      <w:r>
        <w:rPr>
          <w:rStyle w:val="25"/>
          <w:rFonts w:hint="eastAsia" w:ascii="仿宋_GB2312" w:hAnsi="仿宋_GB2312" w:eastAsia="仿宋_GB2312" w:cs="仿宋_GB2312"/>
          <w:b w:val="0"/>
          <w:bCs/>
          <w:color w:val="000000"/>
          <w:sz w:val="32"/>
          <w:szCs w:val="32"/>
          <w:lang w:val="en-US" w:eastAsia="zh-CN"/>
        </w:rPr>
        <w:t>100</w:t>
      </w:r>
      <w:r>
        <w:rPr>
          <w:rStyle w:val="25"/>
          <w:rFonts w:hint="eastAsia" w:ascii="仿宋_GB2312" w:hAnsi="仿宋_GB2312" w:eastAsia="仿宋_GB2312" w:cs="仿宋_GB2312"/>
          <w:b w:val="0"/>
          <w:bCs/>
          <w:color w:val="000000"/>
          <w:sz w:val="32"/>
          <w:szCs w:val="32"/>
        </w:rPr>
        <w:t>%，决算数等于预算数的主要原因是</w:t>
      </w:r>
      <w:r>
        <w:rPr>
          <w:rStyle w:val="25"/>
          <w:rFonts w:hint="eastAsia" w:ascii="仿宋_GB2312" w:hAnsi="仿宋_GB2312" w:eastAsia="仿宋_GB2312" w:cs="仿宋_GB2312"/>
          <w:b w:val="0"/>
          <w:color w:val="000000"/>
          <w:sz w:val="32"/>
          <w:szCs w:val="32"/>
          <w:lang w:eastAsia="zh-CN"/>
        </w:rPr>
        <w:t>工资上调、人员增加</w:t>
      </w:r>
      <w:r>
        <w:rPr>
          <w:rStyle w:val="25"/>
          <w:rFonts w:hint="eastAsia" w:ascii="仿宋_GB2312" w:hAnsi="仿宋_GB2312" w:eastAsia="仿宋_GB2312" w:cs="仿宋_GB2312"/>
          <w:b w:val="0"/>
          <w:bCs/>
          <w:color w:val="000000"/>
          <w:sz w:val="32"/>
          <w:szCs w:val="32"/>
        </w:rPr>
        <w:t>。</w:t>
      </w:r>
    </w:p>
    <w:p>
      <w:pPr>
        <w:tabs>
          <w:tab w:val="right" w:pos="8306"/>
        </w:tabs>
        <w:spacing w:line="600" w:lineRule="exact"/>
        <w:ind w:firstLine="640" w:firstLineChars="200"/>
        <w:outlineLvl w:val="1"/>
        <w:rPr>
          <w:rStyle w:val="28"/>
        </w:rPr>
      </w:pPr>
      <w:bookmarkStart w:id="64" w:name="_Toc79163868"/>
      <w:bookmarkStart w:id="65" w:name="_Toc15377214"/>
      <w:bookmarkStart w:id="66" w:name="_Toc79163618"/>
      <w:bookmarkStart w:id="6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64"/>
      <w:bookmarkEnd w:id="65"/>
      <w:bookmarkEnd w:id="66"/>
      <w:bookmarkEnd w:id="67"/>
      <w:r>
        <w:rPr>
          <w:rStyle w:val="28"/>
          <w:rFonts w:ascii="黑体" w:hAns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2021年一般公共预算财政拨款基本支出</w:t>
      </w:r>
      <w:r>
        <w:rPr>
          <w:rFonts w:hint="eastAsia" w:ascii="仿宋_GB2312" w:hAnsi="仿宋_GB2312" w:eastAsia="仿宋_GB2312" w:cs="仿宋_GB2312"/>
          <w:color w:val="000000"/>
          <w:sz w:val="32"/>
          <w:szCs w:val="32"/>
          <w:lang w:val="en-US" w:eastAsia="zh-CN"/>
        </w:rPr>
        <w:t>1626.93</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1063.36</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336.04</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 w:hAnsi="仿宋" w:eastAsia="仿宋"/>
          <w:color w:val="000000"/>
          <w:sz w:val="32"/>
          <w:szCs w:val="32"/>
        </w:rPr>
        <w:t>。</w:t>
      </w:r>
    </w:p>
    <w:p>
      <w:pPr>
        <w:pStyle w:val="2"/>
      </w:pPr>
      <w:r>
        <w:drawing>
          <wp:inline distT="0" distB="0" distL="114300" distR="114300">
            <wp:extent cx="4457700" cy="2667000"/>
            <wp:effectExtent l="4445" t="5080" r="14605" b="1397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b/>
          <w:color w:val="FF0000"/>
          <w:sz w:val="32"/>
          <w:szCs w:val="32"/>
        </w:rPr>
      </w:pPr>
    </w:p>
    <w:p>
      <w:pPr>
        <w:spacing w:line="600" w:lineRule="exact"/>
        <w:ind w:firstLine="640"/>
        <w:outlineLvl w:val="1"/>
        <w:rPr>
          <w:rStyle w:val="28"/>
          <w:rFonts w:ascii="黑体" w:hAnsi="黑体" w:eastAsia="黑体"/>
          <w:b w:val="0"/>
        </w:rPr>
      </w:pPr>
      <w:bookmarkStart w:id="68" w:name="_Toc15396609"/>
      <w:bookmarkStart w:id="69" w:name="_Toc79163619"/>
      <w:bookmarkStart w:id="70" w:name="_Toc79163869"/>
      <w:bookmarkStart w:id="71"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8"/>
      <w:bookmarkEnd w:id="69"/>
      <w:bookmarkEnd w:id="70"/>
      <w:bookmarkEnd w:id="71"/>
    </w:p>
    <w:p>
      <w:pPr>
        <w:spacing w:line="600" w:lineRule="exact"/>
        <w:ind w:firstLine="640"/>
        <w:outlineLvl w:val="2"/>
        <w:rPr>
          <w:rFonts w:hint="eastAsia" w:ascii="仿宋_GB2312" w:hAnsi="仿宋_GB2312" w:eastAsia="仿宋_GB2312" w:cs="仿宋_GB2312"/>
          <w:b/>
          <w:color w:val="000000"/>
          <w:sz w:val="32"/>
          <w:szCs w:val="32"/>
        </w:rPr>
      </w:pPr>
      <w:bookmarkStart w:id="72" w:name="_Toc79163620"/>
      <w:bookmarkStart w:id="73" w:name="_Toc15377216"/>
      <w:bookmarkStart w:id="74" w:name="_Toc79163870"/>
      <w:r>
        <w:rPr>
          <w:rFonts w:hint="eastAsia" w:ascii="仿宋_GB2312" w:hAnsi="仿宋_GB2312" w:eastAsia="仿宋_GB2312" w:cs="仿宋_GB2312"/>
          <w:b/>
          <w:color w:val="000000"/>
          <w:sz w:val="32"/>
          <w:szCs w:val="32"/>
        </w:rPr>
        <w:t>（一）“三公”经费财政拨款支出决算总体情况说明</w:t>
      </w:r>
      <w:bookmarkEnd w:id="72"/>
      <w:bookmarkEnd w:id="73"/>
      <w:bookmarkEnd w:id="74"/>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2021年“三公”经费财政拨款支出决算为</w:t>
      </w:r>
      <w:r>
        <w:rPr>
          <w:rFonts w:hint="eastAsia" w:ascii="仿宋_GB2312" w:hAnsi="仿宋_GB2312" w:eastAsia="仿宋_GB2312" w:cs="仿宋_GB2312"/>
          <w:color w:val="000000"/>
          <w:sz w:val="32"/>
          <w:szCs w:val="32"/>
          <w:lang w:val="en-US" w:eastAsia="zh-CN"/>
        </w:rPr>
        <w:t>202.27</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eastAsia="zh-CN"/>
        </w:rPr>
        <w:t>等于</w:t>
      </w:r>
      <w:r>
        <w:rPr>
          <w:rFonts w:hint="eastAsia" w:ascii="仿宋_GB2312" w:hAnsi="仿宋_GB2312" w:eastAsia="仿宋_GB2312" w:cs="仿宋_GB2312"/>
          <w:color w:val="000000"/>
          <w:sz w:val="32"/>
          <w:szCs w:val="32"/>
        </w:rPr>
        <w:t>预算数的主要原因是</w:t>
      </w:r>
      <w:r>
        <w:rPr>
          <w:rFonts w:hint="eastAsia" w:ascii="仿宋_GB2312" w:hAnsi="仿宋_GB2312" w:eastAsia="仿宋_GB2312" w:cs="仿宋_GB2312"/>
          <w:color w:val="000000"/>
          <w:sz w:val="32"/>
          <w:szCs w:val="32"/>
          <w:lang w:val="en-US" w:eastAsia="zh-CN"/>
        </w:rPr>
        <w:t>厉行节俭，严格按照预算进行支出</w:t>
      </w:r>
      <w:r>
        <w:rPr>
          <w:rFonts w:hint="eastAsia" w:ascii="仿宋_GB2312" w:hAnsi="仿宋_GB2312" w:eastAsia="仿宋_GB2312" w:cs="仿宋_GB2312"/>
          <w:color w:val="000000"/>
          <w:sz w:val="32"/>
          <w:szCs w:val="32"/>
        </w:rPr>
        <w:t>。</w:t>
      </w:r>
    </w:p>
    <w:p>
      <w:pPr>
        <w:spacing w:line="600" w:lineRule="exact"/>
        <w:ind w:firstLine="640"/>
        <w:outlineLvl w:val="2"/>
        <w:rPr>
          <w:rFonts w:hint="eastAsia" w:ascii="仿宋_GB2312" w:hAnsi="仿宋_GB2312" w:eastAsia="仿宋_GB2312" w:cs="仿宋_GB2312"/>
          <w:b/>
          <w:color w:val="000000"/>
          <w:sz w:val="32"/>
          <w:szCs w:val="32"/>
        </w:rPr>
      </w:pPr>
      <w:bookmarkStart w:id="75" w:name="_Toc79163621"/>
      <w:bookmarkStart w:id="76" w:name="_Toc15377217"/>
      <w:bookmarkStart w:id="77" w:name="_Toc79163871"/>
      <w:r>
        <w:rPr>
          <w:rFonts w:hint="eastAsia" w:ascii="仿宋_GB2312" w:hAnsi="仿宋_GB2312" w:eastAsia="仿宋_GB2312" w:cs="仿宋_GB2312"/>
          <w:b/>
          <w:color w:val="000000"/>
          <w:sz w:val="32"/>
          <w:szCs w:val="32"/>
        </w:rPr>
        <w:t>（二）“三公”经费财政拨款支出决算具体情况说明</w:t>
      </w:r>
      <w:bookmarkEnd w:id="75"/>
      <w:bookmarkEnd w:id="76"/>
      <w:bookmarkEnd w:id="7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202.27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%。具体情况如下：</w:t>
      </w: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（图7：“三公”经费财政拨款支出结构）</w:t>
      </w:r>
      <w:r>
        <w:rPr>
          <w:rFonts w:hint="eastAsia" w:ascii="仿宋_GB2312" w:hAnsi="仿宋_GB2312" w:eastAsia="仿宋_GB2312" w:cs="仿宋_GB2312"/>
          <w:color w:val="000000"/>
          <w:sz w:val="32"/>
          <w:szCs w:val="32"/>
          <w:lang w:eastAsia="zh-CN"/>
        </w:rPr>
        <w:t>单位：万元</w:t>
      </w:r>
    </w:p>
    <w:p>
      <w:pPr>
        <w:pStyle w:val="2"/>
        <w:rPr>
          <w:rFonts w:hint="eastAsia"/>
          <w:lang w:eastAsia="zh-CN"/>
        </w:rPr>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rPr>
          <w:rFonts w:hint="eastAsia"/>
        </w:rPr>
      </w:pPr>
    </w:p>
    <w:p>
      <w:pPr>
        <w:numPr>
          <w:ilvl w:val="0"/>
          <w:numId w:val="3"/>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202.27</w:t>
      </w:r>
      <w:r>
        <w:rPr>
          <w:rFonts w:hint="eastAsia" w:ascii="仿宋_GB2312" w:eastAsia="仿宋_GB2312"/>
          <w:color w:val="000000"/>
          <w:sz w:val="32"/>
          <w:szCs w:val="32"/>
        </w:rPr>
        <w:t>万元</w:t>
      </w:r>
      <w:r>
        <w:rPr>
          <w:rFonts w:ascii="仿宋_GB2312" w:eastAsia="仿宋_GB2312"/>
          <w:color w:val="000000"/>
          <w:sz w:val="32"/>
          <w:szCs w:val="32"/>
        </w:rPr>
        <w:t>,</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82.60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69.02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新购置了两台越野车</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105.97</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105.97</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领导办公出差使用</w:t>
      </w:r>
      <w:r>
        <w:rPr>
          <w:rFonts w:hint="eastAsia" w:ascii="仿宋_GB2312" w:eastAsia="仿宋_GB2312"/>
          <w:color w:val="000000"/>
          <w:sz w:val="32"/>
          <w:szCs w:val="32"/>
        </w:rPr>
        <w:t>。</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lang w:val="en-US" w:eastAsia="zh-CN"/>
        </w:rPr>
        <w:t>96.30</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壤塘县人民政府办公室公务出差及下乡</w:t>
      </w:r>
      <w:r>
        <w:rPr>
          <w:rFonts w:hint="eastAsia" w:ascii="仿宋_GB2312" w:hAnsi="仿宋_GB2312" w:eastAsia="仿宋_GB2312" w:cs="仿宋_GB2312"/>
          <w:color w:val="000000"/>
          <w:sz w:val="32"/>
          <w:szCs w:val="32"/>
        </w:rPr>
        <w:t>所需的公务用车燃料费、维修费、过路过桥费、保险费等支出。</w:t>
      </w:r>
    </w:p>
    <w:p>
      <w:pPr>
        <w:numPr>
          <w:ilvl w:val="0"/>
          <w:numId w:val="3"/>
        </w:numPr>
        <w:spacing w:line="600" w:lineRule="exact"/>
        <w:ind w:left="0" w:leftChars="0" w:firstLine="64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25"/>
          <w:rFonts w:hint="eastAsia" w:ascii="仿宋_GB2312" w:hAnsi="仿宋_GB2312" w:eastAsia="仿宋_GB2312" w:cs="仿宋_GB2312"/>
          <w:b w:val="0"/>
          <w:bCs/>
          <w:color w:val="000000"/>
          <w:sz w:val="32"/>
          <w:szCs w:val="32"/>
        </w:rPr>
        <w:t>完成预算</w:t>
      </w:r>
      <w:r>
        <w:rPr>
          <w:rStyle w:val="25"/>
          <w:rFonts w:hint="eastAsia" w:ascii="仿宋_GB2312" w:hAnsi="仿宋_GB2312" w:eastAsia="仿宋_GB2312" w:cs="仿宋_GB2312"/>
          <w:b w:val="0"/>
          <w:bCs/>
          <w:color w:val="000000"/>
          <w:sz w:val="32"/>
          <w:szCs w:val="32"/>
          <w:lang w:val="en-US" w:eastAsia="zh-CN"/>
        </w:rPr>
        <w:t>0</w:t>
      </w:r>
      <w:r>
        <w:rPr>
          <w:rStyle w:val="25"/>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公务接待费支出决算比2020年增加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%。主要原因是主要原因是</w:t>
      </w:r>
      <w:r>
        <w:rPr>
          <w:rFonts w:hint="eastAsia" w:ascii="仿宋_GB2312" w:hAnsi="仿宋_GB2312" w:eastAsia="仿宋_GB2312" w:cs="仿宋_GB2312"/>
          <w:color w:val="000000"/>
          <w:sz w:val="32"/>
          <w:szCs w:val="32"/>
          <w:lang w:val="en-US" w:eastAsia="zh-CN"/>
        </w:rPr>
        <w:t>厉行节俭，严格按照预算进行支出</w:t>
      </w:r>
      <w:r>
        <w:rPr>
          <w:rFonts w:hint="eastAsia" w:ascii="仿宋_GB2312" w:hAnsi="仿宋_GB2312" w:eastAsia="仿宋_GB2312" w:cs="仿宋_GB2312"/>
          <w:color w:val="000000"/>
          <w:sz w:val="32"/>
          <w:szCs w:val="32"/>
        </w:rPr>
        <w:t>。</w:t>
      </w:r>
    </w:p>
    <w:p>
      <w:pPr>
        <w:numPr>
          <w:ilvl w:val="0"/>
          <w:numId w:val="0"/>
        </w:numPr>
        <w:spacing w:line="600" w:lineRule="exact"/>
        <w:ind w:left="640" w:left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国内公务接待支出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万元，国内公务接待</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人次（不包括陪同人员），共计支出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spacing w:line="600" w:lineRule="exact"/>
        <w:ind w:firstLine="642"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万元，外事接待</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人，共计支出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spacing w:line="600" w:lineRule="exact"/>
        <w:ind w:firstLine="640" w:firstLineChars="200"/>
        <w:outlineLvl w:val="1"/>
        <w:rPr>
          <w:rStyle w:val="28"/>
          <w:rFonts w:ascii="黑体" w:hAnsi="黑体" w:eastAsia="黑体"/>
        </w:rPr>
      </w:pPr>
      <w:bookmarkStart w:id="78" w:name="_Toc15396610"/>
      <w:bookmarkStart w:id="79" w:name="_Toc15377218"/>
      <w:bookmarkStart w:id="80" w:name="_Toc79163622"/>
      <w:bookmarkStart w:id="81" w:name="_Toc79163872"/>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78"/>
      <w:bookmarkEnd w:id="79"/>
      <w:bookmarkEnd w:id="80"/>
      <w:bookmarkEnd w:id="8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8"/>
          <w:rFonts w:ascii="黑体" w:hAnsi="黑体" w:eastAsia="黑体"/>
          <w:b w:val="0"/>
        </w:rPr>
      </w:pPr>
      <w:bookmarkStart w:id="82" w:name="_Toc15396611"/>
      <w:bookmarkStart w:id="83" w:name="_Toc15377219"/>
      <w:bookmarkStart w:id="84" w:name="_Toc79163623"/>
      <w:bookmarkStart w:id="85" w:name="_Toc79163873"/>
      <w:r>
        <w:rPr>
          <w:rStyle w:val="28"/>
          <w:rFonts w:hint="eastAsia" w:ascii="黑体" w:hAnsi="黑体" w:eastAsia="黑体"/>
          <w:b w:val="0"/>
          <w:lang w:eastAsia="zh-CN"/>
        </w:rPr>
        <w:t>九、</w:t>
      </w:r>
      <w:r>
        <w:rPr>
          <w:rStyle w:val="28"/>
          <w:rFonts w:hint="eastAsia" w:ascii="黑体" w:hAnsi="黑体" w:eastAsia="黑体"/>
          <w:b w:val="0"/>
        </w:rPr>
        <w:t>国有资本经营预算支出决算情况说明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8"/>
          <w:rFonts w:ascii="黑体" w:hAnsi="黑体" w:eastAsia="黑体"/>
        </w:rPr>
      </w:pPr>
      <w:bookmarkStart w:id="86" w:name="_Toc79163874"/>
      <w:bookmarkStart w:id="87" w:name="_Toc15377221"/>
      <w:bookmarkStart w:id="88" w:name="_Toc15396612"/>
      <w:bookmarkStart w:id="89" w:name="_Toc79163624"/>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86"/>
      <w:bookmarkEnd w:id="87"/>
      <w:bookmarkEnd w:id="88"/>
      <w:bookmarkEnd w:id="89"/>
    </w:p>
    <w:p>
      <w:pPr>
        <w:spacing w:line="600" w:lineRule="exact"/>
        <w:ind w:firstLine="642" w:firstLineChars="200"/>
        <w:outlineLvl w:val="2"/>
        <w:rPr>
          <w:rFonts w:ascii="仿宋" w:hAnsi="仿宋" w:eastAsia="仿宋"/>
          <w:color w:val="000000"/>
          <w:sz w:val="32"/>
          <w:szCs w:val="32"/>
        </w:rPr>
      </w:pPr>
      <w:bookmarkStart w:id="90" w:name="_Toc79163625"/>
      <w:bookmarkStart w:id="91" w:name="_Toc79163875"/>
      <w:bookmarkStart w:id="92" w:name="_Toc15377222"/>
      <w:r>
        <w:rPr>
          <w:rFonts w:hint="eastAsia" w:ascii="仿宋" w:hAnsi="仿宋" w:eastAsia="仿宋"/>
          <w:b/>
          <w:color w:val="000000"/>
          <w:sz w:val="32"/>
          <w:szCs w:val="32"/>
        </w:rPr>
        <w:t>（一）机关运行经费支出情况</w:t>
      </w:r>
      <w:bookmarkEnd w:id="90"/>
      <w:bookmarkEnd w:id="91"/>
      <w:bookmarkEnd w:id="92"/>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壤塘县人民政府办公室</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336.04</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113.25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50.83</w:t>
      </w:r>
      <w:r>
        <w:rPr>
          <w:rFonts w:ascii="仿宋_GB2312" w:eastAsia="仿宋_GB2312"/>
          <w:color w:val="000000"/>
          <w:sz w:val="32"/>
          <w:szCs w:val="32"/>
        </w:rPr>
        <w:t>%</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3" w:name="_Toc79163626"/>
      <w:bookmarkStart w:id="94" w:name="_Toc15377223"/>
      <w:bookmarkStart w:id="95" w:name="_Toc79163876"/>
      <w:r>
        <w:rPr>
          <w:rFonts w:hint="eastAsia" w:ascii="仿宋" w:hAnsi="仿宋" w:eastAsia="仿宋"/>
          <w:b/>
          <w:color w:val="000000"/>
          <w:sz w:val="32"/>
          <w:szCs w:val="32"/>
        </w:rPr>
        <w:t>（二）政府采购支出情况</w:t>
      </w:r>
      <w:bookmarkEnd w:id="93"/>
      <w:bookmarkEnd w:id="94"/>
      <w:bookmarkEnd w:id="9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壤塘县人民政府办公室</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105.97</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105.97</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单位公务用车</w:t>
      </w:r>
      <w:r>
        <w:rPr>
          <w:rFonts w:hint="eastAsia" w:ascii="仿宋_GB2312" w:eastAsia="仿宋_GB2312"/>
          <w:color w:val="000000"/>
          <w:sz w:val="32"/>
          <w:szCs w:val="32"/>
          <w:lang w:val="en-US" w:eastAsia="zh-CN"/>
        </w:rPr>
        <w:t>2台越野车</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105.97</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6" w:name="_Toc15377224"/>
      <w:bookmarkStart w:id="97" w:name="_Toc79163877"/>
      <w:bookmarkStart w:id="98" w:name="_Toc79163627"/>
      <w:r>
        <w:rPr>
          <w:rFonts w:hint="eastAsia" w:ascii="仿宋" w:hAnsi="仿宋" w:eastAsia="仿宋"/>
          <w:b/>
          <w:color w:val="000000"/>
          <w:sz w:val="32"/>
          <w:szCs w:val="32"/>
        </w:rPr>
        <w:t>（三）国有资产占有使用情况</w:t>
      </w:r>
      <w:bookmarkEnd w:id="96"/>
      <w:bookmarkEnd w:id="97"/>
      <w:bookmarkEnd w:id="9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w:t>
      </w:r>
      <w:r>
        <w:rPr>
          <w:rFonts w:hint="eastAsia" w:ascii="仿宋_GB2312" w:eastAsia="仿宋_GB2312"/>
          <w:color w:val="000000"/>
          <w:sz w:val="32"/>
          <w:szCs w:val="32"/>
          <w:lang w:eastAsia="zh-CN"/>
        </w:rPr>
        <w:t>止</w:t>
      </w:r>
      <w:bookmarkStart w:id="111" w:name="_GoBack"/>
      <w:bookmarkEnd w:id="111"/>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壤塘县人民政府办公室</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单位领导公务用车，</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9" w:name="_Toc79163878"/>
      <w:bookmarkStart w:id="100" w:name="_Toc79163628"/>
      <w:r>
        <w:rPr>
          <w:rFonts w:hint="eastAsia" w:ascii="仿宋" w:hAnsi="仿宋" w:eastAsia="仿宋"/>
          <w:b/>
          <w:color w:val="000000"/>
          <w:sz w:val="32"/>
          <w:szCs w:val="32"/>
        </w:rPr>
        <w:t>（四）预算绩效管理情况。</w:t>
      </w:r>
      <w:bookmarkEnd w:id="99"/>
      <w:bookmarkEnd w:id="100"/>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根据预算绩效管理要求，本部门（单位）在年初预算编制阶段，组织对</w:t>
      </w:r>
      <w:r>
        <w:rPr>
          <w:rFonts w:ascii="仿宋_GB2312" w:eastAsia="仿宋_GB2312" w:cs="仿宋_GB2312"/>
          <w:sz w:val="32"/>
          <w:szCs w:val="32"/>
        </w:rPr>
        <w:t>0个</w:t>
      </w:r>
      <w:r>
        <w:rPr>
          <w:rFonts w:hint="eastAsia" w:ascii="仿宋_GB2312" w:eastAsia="仿宋_GB2312" w:cs="仿宋_GB2312"/>
          <w:sz w:val="32"/>
          <w:szCs w:val="32"/>
        </w:rPr>
        <w:t>项目（项目名称）开展了预算事前绩效评估，对</w:t>
      </w:r>
      <w:r>
        <w:rPr>
          <w:rFonts w:ascii="仿宋_GB2312" w:eastAsia="仿宋_GB2312" w:cs="仿宋_GB2312"/>
          <w:sz w:val="32"/>
          <w:szCs w:val="32"/>
        </w:rPr>
        <w:t>0</w:t>
      </w:r>
      <w:r>
        <w:rPr>
          <w:rFonts w:hint="eastAsia" w:ascii="仿宋_GB2312" w:eastAsia="仿宋_GB2312" w:cs="仿宋_GB2312"/>
          <w:sz w:val="32"/>
          <w:szCs w:val="32"/>
        </w:rPr>
        <w:t>个项目编制了绩效目标，预算执行过程中，选取</w:t>
      </w:r>
      <w:r>
        <w:rPr>
          <w:rFonts w:ascii="仿宋_GB2312" w:eastAsia="仿宋_GB2312" w:cs="仿宋_GB2312"/>
          <w:sz w:val="32"/>
          <w:szCs w:val="32"/>
        </w:rPr>
        <w:t>0</w:t>
      </w:r>
      <w:r>
        <w:rPr>
          <w:rFonts w:hint="eastAsia" w:ascii="仿宋_GB2312" w:eastAsia="仿宋_GB2312" w:cs="仿宋_GB2312"/>
          <w:sz w:val="32"/>
          <w:szCs w:val="32"/>
        </w:rPr>
        <w:t>个项目开展绩效监控，年终执行完毕后，对</w:t>
      </w:r>
      <w:r>
        <w:rPr>
          <w:rFonts w:ascii="仿宋_GB2312" w:eastAsia="仿宋_GB2312" w:cs="仿宋_GB2312"/>
          <w:sz w:val="32"/>
          <w:szCs w:val="32"/>
        </w:rPr>
        <w:t>0</w:t>
      </w:r>
      <w:r>
        <w:rPr>
          <w:rFonts w:hint="eastAsia" w:ascii="仿宋_GB2312" w:eastAsia="仿宋_GB2312" w:cs="仿宋_GB2312"/>
          <w:sz w:val="32"/>
          <w:szCs w:val="32"/>
        </w:rPr>
        <w:t>个项目开展了绩效目标完成情况自评。</w:t>
      </w:r>
    </w:p>
    <w:p>
      <w:pPr>
        <w:numPr>
          <w:ilvl w:val="0"/>
          <w:numId w:val="4"/>
        </w:numPr>
        <w:spacing w:line="600" w:lineRule="exact"/>
        <w:ind w:left="0" w:firstLine="660" w:firstLineChars="150"/>
        <w:jc w:val="center"/>
        <w:outlineLvl w:val="0"/>
        <w:rPr>
          <w:rStyle w:val="42"/>
          <w:rFonts w:ascii="黑体" w:eastAsia="黑体"/>
          <w:b w:val="0"/>
        </w:rPr>
      </w:pPr>
      <w:bookmarkStart w:id="101" w:name="_Toc79163629"/>
      <w:bookmarkStart w:id="102" w:name="_Toc15396613"/>
      <w:bookmarkStart w:id="103" w:name="_Toc15377225"/>
      <w:bookmarkStart w:id="104" w:name="_Toc79163879"/>
      <w:r>
        <w:rPr>
          <w:rFonts w:hint="eastAsia" w:ascii="黑体" w:eastAsia="黑体"/>
          <w:color w:val="000000"/>
          <w:sz w:val="44"/>
          <w:szCs w:val="44"/>
        </w:rPr>
        <w:t>名</w:t>
      </w:r>
      <w:r>
        <w:rPr>
          <w:rStyle w:val="42"/>
          <w:rFonts w:hint="eastAsia" w:ascii="黑体" w:eastAsia="黑体"/>
          <w:b w:val="0"/>
        </w:rPr>
        <w:t>词解释</w:t>
      </w:r>
    </w:p>
    <w:bookmarkEnd w:id="101"/>
    <w:bookmarkEnd w:id="102"/>
    <w:bookmarkEnd w:id="103"/>
    <w:bookmarkEnd w:id="104"/>
    <w:p>
      <w:pPr>
        <w:spacing w:line="600" w:lineRule="exact"/>
        <w:jc w:val="left"/>
        <w:rPr>
          <w:rFonts w:ascii="宋体"/>
          <w:b/>
          <w:color w:val="000000"/>
          <w:sz w:val="44"/>
          <w:szCs w:val="44"/>
        </w:rPr>
      </w:pPr>
    </w:p>
    <w:p>
      <w:pPr>
        <w:pStyle w:val="3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（项）：指我办行政运行支出。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（项）：指我办</w:t>
      </w:r>
      <w:r>
        <w:rPr>
          <w:rFonts w:ascii="仿宋_GB2312" w:eastAsia="仿宋_GB2312"/>
          <w:color w:val="000000"/>
          <w:sz w:val="32"/>
          <w:szCs w:val="32"/>
          <w:lang w:eastAsia="zh-CN"/>
        </w:rPr>
        <w:t>一般行政管理事务支出</w:t>
      </w:r>
      <w:r>
        <w:rPr>
          <w:rFonts w:hint="eastAsia" w:ascii="仿宋_GB2312" w:eastAsia="仿宋_GB2312"/>
          <w:color w:val="000000"/>
          <w:sz w:val="32"/>
          <w:szCs w:val="32"/>
        </w:rPr>
        <w:t>。</w:t>
      </w:r>
    </w:p>
    <w:p>
      <w:pPr>
        <w:pStyle w:val="9"/>
        <w:rPr>
          <w:rFonts w:hint="eastAsia"/>
        </w:rPr>
      </w:pPr>
    </w:p>
    <w:p>
      <w:pPr>
        <w:numPr>
          <w:ilvl w:val="0"/>
          <w:numId w:val="5"/>
        </w:numPr>
        <w:ind w:left="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一般公共服务201（类）03（款）99（项）：指的是</w:t>
      </w:r>
      <w:r>
        <w:rPr>
          <w:rFonts w:ascii="仿宋_GB2312" w:eastAsia="仿宋_GB2312"/>
          <w:color w:val="000000"/>
          <w:sz w:val="32"/>
          <w:szCs w:val="32"/>
        </w:rPr>
        <w:t>其他政府办公室及相关机构事务支出</w:t>
      </w:r>
      <w:r>
        <w:rPr>
          <w:rFonts w:hint="eastAsia" w:ascii="仿宋_GB2312" w:eastAsia="仿宋_GB2312"/>
          <w:color w:val="000000"/>
          <w:sz w:val="32"/>
          <w:szCs w:val="32"/>
        </w:rPr>
        <w:t>。</w:t>
      </w:r>
    </w:p>
    <w:p>
      <w:pPr>
        <w:ind w:firstLine="640" w:firstLineChars="200"/>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公共安全204（类）</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（项）：指我办</w:t>
      </w:r>
      <w:r>
        <w:rPr>
          <w:rFonts w:hint="eastAsia" w:ascii="仿宋_GB2312" w:eastAsia="仿宋_GB2312"/>
          <w:color w:val="000000"/>
          <w:sz w:val="32"/>
          <w:szCs w:val="32"/>
          <w:lang w:val="en-US" w:eastAsia="zh-CN"/>
        </w:rPr>
        <w:t>20</w:t>
      </w:r>
      <w:r>
        <w:rPr>
          <w:rFonts w:ascii="仿宋_GB2312" w:eastAsia="仿宋_GB2312"/>
          <w:color w:val="000000"/>
          <w:sz w:val="32"/>
          <w:szCs w:val="32"/>
          <w:lang w:val="en-US" w:eastAsia="zh-CN"/>
        </w:rPr>
        <w:t>20</w:t>
      </w:r>
      <w:r>
        <w:rPr>
          <w:rFonts w:hint="eastAsia" w:ascii="仿宋_GB2312" w:eastAsia="仿宋_GB2312"/>
          <w:color w:val="000000"/>
          <w:sz w:val="32"/>
          <w:szCs w:val="32"/>
        </w:rPr>
        <w:t>年维稳</w:t>
      </w:r>
      <w:r>
        <w:rPr>
          <w:rFonts w:hint="eastAsia" w:ascii="仿宋_GB2312" w:eastAsia="仿宋_GB2312"/>
          <w:color w:val="000000"/>
          <w:sz w:val="32"/>
          <w:szCs w:val="32"/>
          <w:lang w:eastAsia="zh-CN"/>
        </w:rPr>
        <w:t>法律援助</w:t>
      </w:r>
      <w:r>
        <w:rPr>
          <w:rFonts w:hint="eastAsia" w:ascii="仿宋_GB2312" w:eastAsia="仿宋_GB2312"/>
          <w:color w:val="000000"/>
          <w:sz w:val="32"/>
          <w:szCs w:val="32"/>
        </w:rPr>
        <w:t>费用支出。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公共安全204（类）99（款）01（项）：指我办20</w:t>
      </w:r>
      <w:r>
        <w:rPr>
          <w:rFonts w:ascii="仿宋_GB2312" w:eastAsia="仿宋_GB2312"/>
          <w:color w:val="000000"/>
          <w:sz w:val="32"/>
          <w:szCs w:val="32"/>
          <w:lang w:val="en-US"/>
        </w:rPr>
        <w:t>20</w:t>
      </w:r>
      <w:r>
        <w:rPr>
          <w:rFonts w:hint="eastAsia" w:ascii="仿宋_GB2312" w:eastAsia="仿宋_GB2312"/>
          <w:color w:val="000000"/>
          <w:sz w:val="32"/>
          <w:szCs w:val="32"/>
        </w:rPr>
        <w:t>年维稳情报信息费用支出。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社会保障和就业208（类）05（款）05（项）：指我办20</w:t>
      </w:r>
      <w:r>
        <w:rPr>
          <w:rFonts w:ascii="仿宋_GB2312" w:eastAsia="仿宋_GB2312"/>
          <w:color w:val="000000"/>
          <w:sz w:val="32"/>
          <w:szCs w:val="32"/>
          <w:lang w:val="en-US"/>
        </w:rPr>
        <w:t>20</w:t>
      </w:r>
      <w:r>
        <w:rPr>
          <w:rFonts w:hint="eastAsia" w:ascii="仿宋_GB2312" w:eastAsia="仿宋_GB2312"/>
          <w:color w:val="000000"/>
          <w:sz w:val="32"/>
          <w:szCs w:val="32"/>
          <w:lang w:val="en-US" w:eastAsia="zh-CN"/>
        </w:rPr>
        <w:t>年</w:t>
      </w:r>
      <w:r>
        <w:rPr>
          <w:rFonts w:hint="eastAsia" w:ascii="仿宋_GB2312" w:eastAsia="仿宋_GB2312"/>
          <w:color w:val="000000"/>
          <w:sz w:val="32"/>
          <w:szCs w:val="32"/>
        </w:rPr>
        <w:t>养老保险的支出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社会保障和就业208（类）05（款）06（项）：指我办20</w:t>
      </w:r>
      <w:r>
        <w:rPr>
          <w:rFonts w:ascii="仿宋_GB2312" w:eastAsia="仿宋_GB2312"/>
          <w:color w:val="000000"/>
          <w:sz w:val="32"/>
          <w:szCs w:val="32"/>
          <w:lang w:val="en-US"/>
        </w:rPr>
        <w:t>20</w:t>
      </w:r>
      <w:r>
        <w:rPr>
          <w:rFonts w:hint="eastAsia" w:ascii="仿宋_GB2312" w:eastAsia="仿宋_GB2312"/>
          <w:color w:val="000000"/>
          <w:sz w:val="32"/>
          <w:szCs w:val="32"/>
          <w:lang w:val="en-US" w:eastAsia="zh-CN"/>
        </w:rPr>
        <w:t>年</w:t>
      </w:r>
      <w:r>
        <w:rPr>
          <w:rFonts w:hint="eastAsia" w:ascii="仿宋_GB2312" w:eastAsia="仿宋_GB2312"/>
          <w:color w:val="000000"/>
          <w:sz w:val="32"/>
          <w:szCs w:val="32"/>
        </w:rPr>
        <w:t>职业年金的支出。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210（类）（款）11（项）01指20</w:t>
      </w:r>
      <w:r>
        <w:rPr>
          <w:rFonts w:ascii="仿宋_GB2312" w:eastAsia="仿宋_GB2312"/>
          <w:color w:val="000000"/>
          <w:sz w:val="32"/>
          <w:szCs w:val="32"/>
          <w:lang w:val="en-US"/>
        </w:rPr>
        <w:t>20</w:t>
      </w:r>
      <w:r>
        <w:rPr>
          <w:rFonts w:hint="eastAsia" w:ascii="仿宋_GB2312" w:eastAsia="仿宋_GB2312"/>
          <w:color w:val="000000"/>
          <w:sz w:val="32"/>
          <w:szCs w:val="32"/>
        </w:rPr>
        <w:t>年我办医疗卫生方面的支出。。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住房保障221（类）02（款）01（项）：指20</w:t>
      </w:r>
      <w:r>
        <w:rPr>
          <w:rFonts w:ascii="仿宋_GB2312" w:eastAsia="仿宋_GB2312"/>
          <w:color w:val="000000"/>
          <w:sz w:val="32"/>
          <w:szCs w:val="32"/>
          <w:lang w:val="en-US"/>
        </w:rPr>
        <w:t>20</w:t>
      </w:r>
      <w:r>
        <w:rPr>
          <w:rFonts w:hint="eastAsia" w:ascii="仿宋_GB2312" w:eastAsia="仿宋_GB2312"/>
          <w:color w:val="000000"/>
          <w:sz w:val="32"/>
          <w:szCs w:val="32"/>
        </w:rPr>
        <w:t>年我办住房公积金支出。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42"/>
          <w:rFonts w:ascii="黑体" w:eastAsia="黑体"/>
          <w:b w:val="0"/>
        </w:rPr>
      </w:pPr>
      <w:r>
        <w:rPr>
          <w:rFonts w:hint="eastAsia" w:ascii="黑体" w:eastAsia="黑体"/>
          <w:color w:val="000000"/>
          <w:sz w:val="44"/>
          <w:szCs w:val="44"/>
        </w:rPr>
        <w:t>第</w:t>
      </w:r>
      <w:r>
        <w:rPr>
          <w:rStyle w:val="42"/>
          <w:rFonts w:hint="eastAsia" w:ascii="黑体" w:eastAsia="黑体"/>
          <w:b w:val="0"/>
        </w:rPr>
        <w:t>四部分</w:t>
      </w:r>
      <w:r>
        <w:rPr>
          <w:rStyle w:val="42"/>
          <w:rFonts w:ascii="黑体" w:eastAsia="黑体"/>
          <w:b w:val="0"/>
        </w:rPr>
        <w:t xml:space="preserve"> </w:t>
      </w:r>
      <w:r>
        <w:rPr>
          <w:rStyle w:val="42"/>
          <w:rFonts w:hint="eastAsia" w:ascii="黑体" w:eastAsia="黑体"/>
          <w:b w:val="0"/>
        </w:rPr>
        <w:t>附件</w:t>
      </w:r>
    </w:p>
    <w:p>
      <w:pPr>
        <w:spacing w:line="600" w:lineRule="exact"/>
        <w:jc w:val="left"/>
        <w:outlineLvl w:val="0"/>
        <w:rPr>
          <w:rFonts w:ascii="方正小标宋简体" w:eastAsia="方正小标宋简体" w:cs="方正小标宋简体"/>
          <w:sz w:val="32"/>
          <w:szCs w:val="32"/>
        </w:rPr>
      </w:pPr>
      <w:r>
        <w:rPr>
          <w:rFonts w:hint="eastAsia" w:ascii="黑体" w:eastAsia="黑体" w:cs="黑体"/>
          <w:sz w:val="32"/>
          <w:szCs w:val="32"/>
        </w:rPr>
        <w:t>附件</w:t>
      </w:r>
      <w:r>
        <w:rPr>
          <w:rFonts w:ascii="黑体" w:eastAsia="黑体" w:cs="黑体"/>
          <w:sz w:val="32"/>
          <w:szCs w:val="32"/>
        </w:rPr>
        <w:t>1</w:t>
      </w:r>
    </w:p>
    <w:p>
      <w:pPr>
        <w:spacing w:line="580" w:lineRule="exact"/>
        <w:jc w:val="center"/>
        <w:rPr>
          <w:rFonts w:ascii="方正小标宋简体" w:eastAsia="方正小标宋简体" w:cs="方正小标宋简体"/>
          <w:sz w:val="44"/>
          <w:szCs w:val="44"/>
        </w:rPr>
      </w:pPr>
    </w:p>
    <w:p>
      <w:pPr>
        <w:spacing w:line="600"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0"/>
          <w:szCs w:val="44"/>
          <w:lang w:val="zh-CN"/>
        </w:rPr>
        <w:t>壤塘县人民政府办公室</w:t>
      </w:r>
      <w:r>
        <w:rPr>
          <w:rFonts w:ascii="方正小标宋简体" w:eastAsia="方正小标宋简体"/>
          <w:color w:val="000000"/>
          <w:kern w:val="0"/>
          <w:sz w:val="40"/>
          <w:szCs w:val="44"/>
        </w:rPr>
        <w:t>202</w:t>
      </w:r>
      <w:r>
        <w:rPr>
          <w:rFonts w:hint="eastAsia" w:ascii="方正小标宋简体" w:eastAsia="方正小标宋简体"/>
          <w:color w:val="000000"/>
          <w:kern w:val="0"/>
          <w:sz w:val="40"/>
          <w:szCs w:val="44"/>
          <w:lang w:val="en-US" w:eastAsia="zh-CN"/>
        </w:rPr>
        <w:t>1</w:t>
      </w:r>
      <w:r>
        <w:rPr>
          <w:rFonts w:ascii="方正小标宋简体" w:eastAsia="方正小标宋简体"/>
          <w:color w:val="000000"/>
          <w:kern w:val="0"/>
          <w:sz w:val="40"/>
          <w:szCs w:val="44"/>
        </w:rPr>
        <w:t>年部门</w:t>
      </w:r>
      <w:r>
        <w:rPr>
          <w:rFonts w:hint="eastAsia" w:ascii="方正小标宋简体" w:eastAsia="方正小标宋简体"/>
          <w:color w:val="000000"/>
          <w:kern w:val="0"/>
          <w:sz w:val="40"/>
          <w:szCs w:val="44"/>
          <w:lang w:val="zh-CN"/>
        </w:rPr>
        <w:t>整体支出绩效评价报告</w:t>
      </w:r>
    </w:p>
    <w:p>
      <w:pPr>
        <w:spacing w:line="580" w:lineRule="exact"/>
        <w:ind w:firstLine="640" w:firstLineChars="200"/>
        <w:rPr>
          <w:rFonts w:ascii="黑体" w:eastAsia="黑体" w:cs="黑体"/>
          <w:sz w:val="32"/>
          <w:szCs w:val="32"/>
        </w:rPr>
      </w:pPr>
      <w:r>
        <w:rPr>
          <w:rFonts w:hint="eastAsia" w:ascii="黑体" w:eastAsia="黑体" w:cs="黑体"/>
          <w:sz w:val="32"/>
          <w:szCs w:val="32"/>
        </w:rPr>
        <w:t>一、部门（单位）概况</w:t>
      </w:r>
    </w:p>
    <w:p>
      <w:pPr>
        <w:spacing w:line="560" w:lineRule="exact"/>
        <w:ind w:firstLine="640" w:firstLineChars="200"/>
        <w:rPr>
          <w:rFonts w:ascii="仿宋" w:eastAsia="仿宋" w:cs="仿宋_GB2312"/>
          <w:sz w:val="32"/>
          <w:szCs w:val="32"/>
        </w:rPr>
      </w:pPr>
      <w:r>
        <w:rPr>
          <w:rFonts w:ascii="仿宋" w:eastAsia="仿宋" w:cs="仿宋_GB2312"/>
          <w:sz w:val="32"/>
          <w:szCs w:val="32"/>
        </w:rPr>
        <w:t>（一）机构组成。</w:t>
      </w:r>
    </w:p>
    <w:p>
      <w:pPr>
        <w:spacing w:line="560" w:lineRule="exact"/>
        <w:ind w:firstLine="640" w:firstLineChars="200"/>
        <w:rPr>
          <w:rFonts w:eastAsia="仿宋_GB2312"/>
          <w:sz w:val="32"/>
          <w:szCs w:val="32"/>
        </w:rPr>
      </w:pPr>
      <w:r>
        <w:rPr>
          <w:rFonts w:hint="eastAsia" w:ascii="仿宋" w:eastAsia="仿宋" w:cs="仿宋_GB2312"/>
          <w:sz w:val="32"/>
          <w:szCs w:val="32"/>
        </w:rPr>
        <w:t>我</w:t>
      </w:r>
      <w:r>
        <w:rPr>
          <w:rFonts w:hint="eastAsia" w:eastAsia="仿宋_GB2312" w:cs="仿宋_GB2312"/>
          <w:sz w:val="32"/>
          <w:szCs w:val="32"/>
        </w:rPr>
        <w:t>办</w:t>
      </w:r>
      <w:r>
        <w:rPr>
          <w:rFonts w:eastAsia="仿宋_GB2312"/>
          <w:sz w:val="32"/>
          <w:szCs w:val="32"/>
        </w:rPr>
        <w:t>202</w:t>
      </w:r>
      <w:r>
        <w:rPr>
          <w:rFonts w:hint="eastAsia" w:eastAsia="仿宋_GB2312"/>
          <w:sz w:val="32"/>
          <w:szCs w:val="32"/>
          <w:lang w:val="en-US" w:eastAsia="zh-CN"/>
        </w:rPr>
        <w:t>1</w:t>
      </w:r>
      <w:r>
        <w:rPr>
          <w:rFonts w:hint="eastAsia" w:eastAsia="仿宋_GB2312" w:cs="仿宋_GB2312"/>
          <w:sz w:val="32"/>
          <w:szCs w:val="32"/>
        </w:rPr>
        <w:t>年纳入部门决算编报范围的为本级财政预算管理范围的行政单位。我办执行的是行政单位制度。</w:t>
      </w:r>
    </w:p>
    <w:p>
      <w:pPr>
        <w:numPr>
          <w:ilvl w:val="0"/>
          <w:numId w:val="6"/>
        </w:numPr>
        <w:spacing w:line="580" w:lineRule="exact"/>
        <w:ind w:left="0" w:firstLine="640" w:firstLineChars="200"/>
        <w:rPr>
          <w:rFonts w:ascii="仿宋" w:eastAsia="仿宋" w:cs="仿宋_GB2312"/>
          <w:sz w:val="32"/>
          <w:szCs w:val="32"/>
        </w:rPr>
      </w:pPr>
      <w:r>
        <w:rPr>
          <w:rFonts w:ascii="仿宋" w:eastAsia="仿宋" w:cs="仿宋_GB2312"/>
          <w:sz w:val="32"/>
          <w:szCs w:val="32"/>
        </w:rPr>
        <w:t>机构职能</w:t>
      </w:r>
      <w:r>
        <w:rPr>
          <w:rFonts w:hint="eastAsia" w:ascii="仿宋" w:eastAsia="仿宋" w:cs="仿宋_GB2312"/>
          <w:sz w:val="32"/>
          <w:szCs w:val="32"/>
        </w:rPr>
        <w:t>。</w:t>
      </w:r>
    </w:p>
    <w:p>
      <w:pPr>
        <w:spacing w:line="580" w:lineRule="exact"/>
        <w:ind w:firstLine="640" w:firstLineChars="200"/>
        <w:rPr>
          <w:rFonts w:ascii="仿宋" w:eastAsia="仿宋" w:cs="仿宋_GB2312"/>
          <w:sz w:val="32"/>
          <w:szCs w:val="32"/>
        </w:rPr>
      </w:pPr>
      <w:r>
        <w:rPr>
          <w:rFonts w:hint="eastAsia" w:ascii="仿宋_GB2312" w:eastAsia="仿宋_GB2312" w:cs="仿宋_GB2312"/>
          <w:color w:val="000000"/>
          <w:kern w:val="0"/>
          <w:sz w:val="32"/>
          <w:szCs w:val="32"/>
        </w:rPr>
        <w:t xml:space="preserve">1.负责组织起草或审核以县政府、县政府办公室名义发布的公文。办理州政府、州政府办公室及各委、局发送县政府的文电。指导全县行政机关公文处理工作。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2.研究县政府部门和各乡镇人民政府请示县政府的事项，提出审核意见，报县政府审批。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3.负责县政府会议的准备工作，协助县政府组织实施会议决定事项。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4.根据县政府领导指示，对县政府部门间争议问题提出处理意见和建议，报县政府决定。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5.督促检查县政府各部门和各乡镇人民政府对县政府决定事项及县政府领导指示的贯彻落实情况，及时向县政府报告。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6.负责县政府值班工作，及时向县政府报告重要情况，协助处理县政府各部门和各乡镇政府向县政府反映的重要问题。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7.指导全县应急管理工作，协助县政府组织处理突发事件和重大事故。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8.负责政务服务中心“两集中、两到位”的协调管理工作。受理公民、法人或其他组织向未在服务中心设立窗口的部门就行政审批事项递交的申请，并转交有关部门依法办理。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9.围绕县政府中心工作，组织专题调查研究，及时反映情况，提出建议。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10.做好行政事务工作，为县政府领导作好服务。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11.组织办理人大代表建议和政协委员提案工作。配合搞好人大代表、政协委员的考察调研工作。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12.指导和协调县政府信息公开和政务公开工作，制定全县信息化发展规划，推进信息化应用工作，制定全县信息资源开发利用规则，对全县信息资源进行整合；指导、监督全县政府系统电子政务工作和政府网站建设；负责全县政府系统办公自动化建设的规划及业务指导工作。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13.组织实施政府法制工作。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14.制定和实施人民防空建设与城市建设相结合规划，指导全县人民防空和民防工作。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15.制订和规范采购制度，严格按采购程序办理各项采购事务，认真受理各采购单位的采购事项。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16.负责外事侨务工作。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17.负责机关行政效能建设工作，履行应急职守、信息汇总和综合协调职责，发挥运转枢纽作用。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18.负责全县机关事业单位公务用车管理工作。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19.承担县政府公布的行政审批事项。 </w:t>
      </w:r>
      <w:r>
        <w:rPr>
          <w:rFonts w:hint="eastAsia" w:ascii="仿宋_GB2312" w:eastAsia="仿宋_GB2312" w:cs="仿宋_GB2312"/>
          <w:color w:val="000000"/>
          <w:kern w:val="0"/>
          <w:sz w:val="32"/>
          <w:szCs w:val="32"/>
        </w:rPr>
        <w:br w:type="textWrapping"/>
      </w:r>
      <w:r>
        <w:rPr>
          <w:rFonts w:hint="eastAsia" w:ascii="仿宋_GB2312" w:eastAsia="仿宋_GB2312" w:cs="仿宋_GB2312"/>
          <w:color w:val="000000"/>
          <w:kern w:val="0"/>
          <w:sz w:val="32"/>
          <w:szCs w:val="32"/>
        </w:rPr>
        <w:t xml:space="preserve">　　20.承办县政府交办的其他事项。 </w:t>
      </w:r>
      <w:r>
        <w:rPr>
          <w:rFonts w:hint="eastAsia" w:ascii="仿宋_GB2312" w:eastAsia="仿宋_GB2312" w:cs="仿宋_GB2312"/>
          <w:color w:val="000000"/>
          <w:kern w:val="0"/>
          <w:sz w:val="32"/>
          <w:szCs w:val="32"/>
        </w:rPr>
        <w:br w:type="textWrapping"/>
      </w:r>
      <w:r>
        <w:rPr>
          <w:rFonts w:ascii="仿宋" w:eastAsia="仿宋" w:cs="仿宋_GB2312"/>
          <w:sz w:val="32"/>
          <w:szCs w:val="32"/>
        </w:rPr>
        <w:t>（三）人员概况</w:t>
      </w:r>
    </w:p>
    <w:p>
      <w:pPr>
        <w:widowControl/>
        <w:spacing w:line="600" w:lineRule="exact"/>
        <w:ind w:left="210" w:lef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总编制</w:t>
      </w:r>
      <w:r>
        <w:rPr>
          <w:rFonts w:hint="eastAsia" w:ascii="仿宋_GB2312" w:hAnsi="仿宋_GB2312" w:eastAsia="仿宋_GB2312" w:cs="仿宋_GB2312"/>
          <w:kern w:val="0"/>
          <w:sz w:val="32"/>
          <w:szCs w:val="32"/>
          <w:lang w:val="en-US" w:eastAsia="zh-CN"/>
        </w:rPr>
        <w:t>37</w:t>
      </w:r>
      <w:r>
        <w:rPr>
          <w:rFonts w:hint="eastAsia" w:ascii="仿宋_GB2312" w:hAnsi="仿宋_GB2312" w:eastAsia="仿宋_GB2312" w:cs="仿宋_GB2312"/>
          <w:kern w:val="0"/>
          <w:sz w:val="32"/>
          <w:szCs w:val="32"/>
        </w:rPr>
        <w:t>名,其中:行政编制</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行政工勤</w:t>
      </w:r>
      <w:r>
        <w:rPr>
          <w:rFonts w:hint="eastAsia" w:ascii="仿宋_GB2312" w:hAnsi="仿宋_GB2312" w:eastAsia="仿宋_GB2312" w:cs="仿宋_GB2312"/>
          <w:kern w:val="0"/>
          <w:sz w:val="32"/>
          <w:szCs w:val="32"/>
          <w:lang w:val="en-US" w:eastAsia="zh-CN"/>
        </w:rPr>
        <w:t>15人</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年12月31日共有在职职工</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人。</w:t>
      </w:r>
    </w:p>
    <w:p>
      <w:pPr>
        <w:spacing w:line="580" w:lineRule="exact"/>
        <w:ind w:firstLine="640" w:firstLineChars="200"/>
        <w:rPr>
          <w:rFonts w:ascii="黑体" w:eastAsia="黑体" w:cs="黑体"/>
          <w:sz w:val="32"/>
          <w:szCs w:val="32"/>
        </w:rPr>
      </w:pPr>
      <w:r>
        <w:rPr>
          <w:rFonts w:ascii="黑体" w:eastAsia="黑体" w:cs="黑体"/>
          <w:sz w:val="32"/>
          <w:szCs w:val="32"/>
        </w:rPr>
        <w:t>二、部门财政资金收支情况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（一）我办202</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部门财政资金收入为</w:t>
      </w:r>
      <w:r>
        <w:rPr>
          <w:rFonts w:hint="eastAsia" w:ascii="仿宋_GB2312" w:hAnsi="仿宋_GB2312" w:eastAsia="仿宋_GB2312" w:cs="仿宋_GB2312"/>
          <w:color w:val="000000"/>
          <w:sz w:val="32"/>
          <w:szCs w:val="32"/>
          <w:lang w:val="en-US" w:eastAsia="zh-CN"/>
        </w:rPr>
        <w:t>1626.93</w:t>
      </w:r>
      <w:r>
        <w:rPr>
          <w:rFonts w:hint="eastAsia" w:ascii="仿宋_GB2312" w:hAnsi="仿宋_GB2312" w:eastAsia="仿宋_GB2312" w:cs="仿宋_GB2312"/>
          <w:sz w:val="32"/>
          <w:szCs w:val="32"/>
        </w:rPr>
        <w:t>万元。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（二）我办202</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部门财政资金支出为</w:t>
      </w:r>
      <w:r>
        <w:rPr>
          <w:rFonts w:hint="eastAsia" w:ascii="仿宋_GB2312" w:hAnsi="仿宋_GB2312" w:eastAsia="仿宋_GB2312" w:cs="仿宋_GB2312"/>
          <w:color w:val="000000"/>
          <w:sz w:val="32"/>
          <w:szCs w:val="32"/>
          <w:lang w:val="en-US" w:eastAsia="zh-CN"/>
        </w:rPr>
        <w:t>1626.93</w:t>
      </w:r>
      <w:r>
        <w:rPr>
          <w:rFonts w:hint="eastAsia" w:ascii="仿宋_GB2312" w:hAnsi="仿宋_GB2312" w:eastAsia="仿宋_GB2312" w:cs="仿宋_GB2312"/>
          <w:sz w:val="32"/>
          <w:szCs w:val="32"/>
        </w:rPr>
        <w:t>万元。</w:t>
      </w:r>
    </w:p>
    <w:p>
      <w:pPr>
        <w:spacing w:line="580" w:lineRule="exact"/>
        <w:ind w:firstLine="640" w:firstLineChars="200"/>
        <w:rPr>
          <w:rFonts w:ascii="黑体" w:eastAsia="黑体" w:cs="黑体"/>
          <w:sz w:val="32"/>
          <w:szCs w:val="32"/>
        </w:rPr>
      </w:pPr>
      <w:r>
        <w:rPr>
          <w:rFonts w:ascii="黑体" w:eastAsia="黑体" w:cs="黑体"/>
          <w:sz w:val="32"/>
          <w:szCs w:val="32"/>
        </w:rPr>
        <w:t>三、部门整体预算绩效管理情况（根据适用指标体系进行调整）</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（一）部门预算管理。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单位预算是由收入预算和支出预算组成，是一级预算单位，向壤塘县财政局申报预算，县财政局对我单位实行年度预算执行情况及结转和结余情况编制当年预算，县财政局批复后按照收支平衡的原则、合理安排各项资金。</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）结果应用情况。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所制定工作计划，结合上我单位财务管理严格执行《中华人民共和国预算法》、《中华人民共和国会计法》、《行政单位会计准则》或者《事业单位会计准则》、《内控管理制度》等国家有关法律、法规和财务规章制度，本着量入为出，保障重点，统筹兼顾，厉行节约，制止奢侈浪费，降低运行成本，注重资金使用效益的基本原则，加强我单位账务管理和监督，保障了我单位工作任务</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的完成。</w:t>
      </w:r>
    </w:p>
    <w:p>
      <w:pPr>
        <w:spacing w:line="580" w:lineRule="exact"/>
        <w:ind w:firstLine="640" w:firstLineChars="200"/>
        <w:rPr>
          <w:rFonts w:ascii="黑体" w:eastAsia="黑体" w:cs="黑体"/>
          <w:sz w:val="32"/>
          <w:szCs w:val="32"/>
        </w:rPr>
      </w:pPr>
      <w:r>
        <w:rPr>
          <w:rFonts w:ascii="黑体" w:eastAsia="黑体" w:cs="黑体"/>
          <w:sz w:val="32"/>
          <w:szCs w:val="32"/>
        </w:rPr>
        <w:t>四、评价结论及建议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eastAsia="zh-CN"/>
        </w:rPr>
        <w:t>部门预算管理</w:t>
      </w:r>
      <w:r>
        <w:rPr>
          <w:rFonts w:hint="eastAsia" w:ascii="仿宋_GB2312" w:hAnsi="仿宋_GB2312" w:eastAsia="仿宋_GB2312" w:cs="仿宋_GB2312"/>
          <w:sz w:val="32"/>
          <w:szCs w:val="32"/>
        </w:rPr>
        <w:t>严格按照国家财经法规、预算资金管理办法、财务管理制度管理办法的规定支出。</w:t>
      </w:r>
    </w:p>
    <w:p>
      <w:pPr>
        <w:spacing w:line="580" w:lineRule="exact"/>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（二）存在问题及改进建议</w:t>
      </w:r>
    </w:p>
    <w:p>
      <w:pPr>
        <w:spacing w:line="580" w:lineRule="exact"/>
        <w:ind w:left="420"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我单位今年存在财务管理制度不够完善。预算还不够全面的问题，在今后财政预算中，我单位将全面考虑，统筹计划，以减少预决算差额。完善财务制度。</w:t>
      </w: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2"/>
        <w:rPr>
          <w:rFonts w:hint="eastAsia" w:ascii="仿宋_GB2312" w:hAnsi="仿宋_GB2312" w:eastAsia="仿宋_GB2312" w:cs="仿宋_GB2312"/>
        </w:rPr>
      </w:pPr>
    </w:p>
    <w:p>
      <w:pPr>
        <w:spacing w:line="600" w:lineRule="exact"/>
        <w:jc w:val="center"/>
        <w:rPr>
          <w:rFonts w:hint="eastAsia" w:ascii="方正黑体_GBK" w:hAnsi="方正黑体_GBK" w:eastAsia="方正黑体_GBK" w:cs="方正黑体_GBK"/>
          <w:color w:val="000000"/>
          <w:kern w:val="0"/>
          <w:sz w:val="44"/>
          <w:szCs w:val="44"/>
          <w:lang w:val="zh-CN"/>
        </w:rPr>
      </w:pPr>
      <w:r>
        <w:rPr>
          <w:rFonts w:hint="eastAsia" w:ascii="方正黑体_GBK" w:hAnsi="方正黑体_GBK" w:eastAsia="方正黑体_GBK" w:cs="方正黑体_GBK"/>
          <w:color w:val="000000"/>
          <w:kern w:val="0"/>
          <w:sz w:val="44"/>
          <w:szCs w:val="44"/>
          <w:lang w:val="en-US" w:eastAsia="zh-CN"/>
        </w:rPr>
        <w:t>壤塘县人民政府办公室项目</w:t>
      </w:r>
      <w:r>
        <w:rPr>
          <w:rFonts w:hint="eastAsia" w:ascii="方正黑体_GBK" w:hAnsi="方正黑体_GBK" w:eastAsia="方正黑体_GBK" w:cs="方正黑体_GBK"/>
          <w:color w:val="000000"/>
          <w:kern w:val="0"/>
          <w:sz w:val="44"/>
          <w:szCs w:val="44"/>
        </w:rPr>
        <w:t>20</w:t>
      </w:r>
      <w:r>
        <w:rPr>
          <w:rFonts w:hint="eastAsia" w:ascii="方正黑体_GBK" w:hAnsi="方正黑体_GBK" w:eastAsia="方正黑体_GBK" w:cs="方正黑体_GBK"/>
          <w:color w:val="000000"/>
          <w:kern w:val="0"/>
          <w:sz w:val="44"/>
          <w:szCs w:val="44"/>
          <w:lang w:val="en-US" w:eastAsia="zh-CN"/>
        </w:rPr>
        <w:t>21</w:t>
      </w:r>
      <w:r>
        <w:rPr>
          <w:rFonts w:hint="eastAsia" w:ascii="方正黑体_GBK" w:hAnsi="方正黑体_GBK" w:eastAsia="方正黑体_GBK" w:cs="方正黑体_GBK"/>
          <w:color w:val="000000"/>
          <w:kern w:val="0"/>
          <w:sz w:val="44"/>
          <w:szCs w:val="44"/>
        </w:rPr>
        <w:t>年</w:t>
      </w:r>
      <w:r>
        <w:rPr>
          <w:rFonts w:hint="eastAsia" w:ascii="方正黑体_GBK" w:hAnsi="方正黑体_GBK" w:eastAsia="方正黑体_GBK" w:cs="方正黑体_GBK"/>
          <w:color w:val="000000"/>
          <w:kern w:val="0"/>
          <w:sz w:val="44"/>
          <w:szCs w:val="44"/>
          <w:lang w:val="zh-CN"/>
        </w:rPr>
        <w:t>绩效评价报告</w:t>
      </w:r>
    </w:p>
    <w:p>
      <w:pPr>
        <w:spacing w:line="580" w:lineRule="exact"/>
        <w:ind w:firstLine="642"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eastAsia="zh-CN"/>
        </w:rPr>
        <w:t>由于本单位无项目，所以无支出绩效评价报告。</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二、项目资金申报及使用情况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说明项目资金申报、批复及预算调整等程序的相关情况。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三、项目实施及管理情况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四、项目绩效情况</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五、评价结论及建议</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640" w:firstLineChars="200"/>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结合自评情况，分析存在的问题及原因。</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针对项目自评中发现的问题，提出下一步改进完善的意见及有关政策性建议。</w:t>
      </w:r>
    </w:p>
    <w:p>
      <w:pPr>
        <w:pStyle w:val="2"/>
        <w:rPr>
          <w:rFonts w:hint="eastAsia" w:ascii="仿宋_GB2312" w:hAnsi="仿宋_GB2312" w:eastAsia="仿宋_GB2312" w:cs="仿宋_GB2312"/>
        </w:rPr>
      </w:pPr>
    </w:p>
    <w:p>
      <w:pPr>
        <w:spacing w:line="600" w:lineRule="exact"/>
        <w:ind w:firstLine="2640" w:firstLineChars="600"/>
        <w:jc w:val="both"/>
        <w:outlineLvl w:val="0"/>
        <w:rPr>
          <w:rStyle w:val="42"/>
          <w:rFonts w:hint="eastAsia" w:ascii="仿宋_GB2312" w:hAnsi="仿宋_GB2312" w:eastAsia="仿宋_GB2312" w:cs="仿宋_GB2312"/>
          <w:b w:val="0"/>
        </w:rPr>
      </w:pPr>
      <w:bookmarkStart w:id="105" w:name="_Toc79163637"/>
      <w:bookmarkStart w:id="106" w:name="_Toc79163887"/>
      <w:bookmarkStart w:id="107" w:name="_Toc15396620"/>
      <w:r>
        <w:rPr>
          <w:rFonts w:hint="eastAsia" w:ascii="方正黑体_GBK" w:hAnsi="方正黑体_GBK" w:eastAsia="方正黑体_GBK" w:cs="方正黑体_GBK"/>
          <w:color w:val="000000"/>
          <w:sz w:val="44"/>
          <w:szCs w:val="44"/>
        </w:rPr>
        <w:t>第</w:t>
      </w:r>
      <w:r>
        <w:rPr>
          <w:rStyle w:val="42"/>
          <w:rFonts w:hint="eastAsia" w:ascii="方正黑体_GBK" w:hAnsi="方正黑体_GBK" w:eastAsia="方正黑体_GBK" w:cs="方正黑体_GBK"/>
          <w:b w:val="0"/>
        </w:rPr>
        <w:t>五部分 附表</w:t>
      </w:r>
    </w:p>
    <w:p>
      <w:pPr>
        <w:rPr>
          <w:rFonts w:hint="eastAsia" w:ascii="仿宋_GB2312" w:hAnsi="仿宋_GB2312" w:eastAsia="仿宋_GB2312" w:cs="仿宋_GB2312"/>
          <w:sz w:val="32"/>
          <w:szCs w:val="32"/>
        </w:rPr>
      </w:pPr>
      <w:bookmarkStart w:id="108" w:name="_Toc15396619"/>
      <w:bookmarkStart w:id="109" w:name="_Toc79163886"/>
      <w:bookmarkStart w:id="110" w:name="_Toc79163636"/>
      <w:r>
        <w:rPr>
          <w:rFonts w:hint="eastAsia" w:ascii="仿宋_GB2312" w:hAnsi="仿宋_GB2312" w:eastAsia="仿宋_GB2312" w:cs="仿宋_GB2312"/>
          <w:sz w:val="32"/>
          <w:szCs w:val="32"/>
        </w:rPr>
        <w:t>一、收入支出决算总表</w:t>
      </w:r>
      <w:bookmarkEnd w:id="108"/>
      <w:bookmarkEnd w:id="109"/>
      <w:bookmarkEnd w:id="11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bookmarkEnd w:id="105"/>
      <w:bookmarkEnd w:id="106"/>
      <w:bookmarkEnd w:id="10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微软雅黑">
    <w:altName w:val="方正黑体_GBK"/>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AR PL UKai CN">
    <w:altName w:val="Unifont"/>
    <w:panose1 w:val="02000503000000000000"/>
    <w:charset w:val="86"/>
    <w:family w:val="auto"/>
    <w:pitch w:val="default"/>
    <w:sig w:usb0="00000000" w:usb1="00000000" w:usb2="00000000" w:usb3="00000000" w:csb0="00000000" w:csb1="00000000"/>
  </w:font>
  <w:font w:name="Lucida Sans">
    <w:altName w:val="04b_03b"/>
    <w:panose1 w:val="00000000000000000000"/>
    <w:charset w:val="01"/>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04b_03b"/>
    <w:panose1 w:val="00000000000000000000"/>
    <w:charset w:val="00"/>
    <w:family w:val="auto"/>
    <w:pitch w:val="default"/>
    <w:sig w:usb0="00000000" w:usb1="00000000" w:usb2="00000000" w:usb3="00000000" w:csb0="00000000" w:csb1="00000000"/>
  </w:font>
  <w:font w:name="04b_03b">
    <w:panose1 w:val="000004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t>25</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0CA90"/>
    <w:multiLevelType w:val="singleLevel"/>
    <w:tmpl w:val="8420CA90"/>
    <w:lvl w:ilvl="0" w:tentative="0">
      <w:start w:val="11"/>
      <w:numFmt w:val="decimal"/>
      <w:lvlText w:val="%1."/>
      <w:lvlJc w:val="left"/>
      <w:pPr>
        <w:tabs>
          <w:tab w:val="left" w:pos="0"/>
        </w:tabs>
        <w:ind w:left="0" w:firstLine="0"/>
      </w:pPr>
    </w:lvl>
  </w:abstractNum>
  <w:abstractNum w:abstractNumId="1">
    <w:nsid w:val="AFC77E2F"/>
    <w:multiLevelType w:val="singleLevel"/>
    <w:tmpl w:val="AFC77E2F"/>
    <w:lvl w:ilvl="0" w:tentative="0">
      <w:start w:val="2"/>
      <w:numFmt w:val="chineseCounting"/>
      <w:suff w:val="nothing"/>
      <w:lvlText w:val="（%1）"/>
      <w:lvlJc w:val="left"/>
      <w:pPr>
        <w:tabs>
          <w:tab w:val="left" w:pos="0"/>
        </w:tabs>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F3BB0BC6"/>
    <w:multiLevelType w:val="singleLevel"/>
    <w:tmpl w:val="F3BB0BC6"/>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7FECCD7F"/>
    <w:multiLevelType w:val="singleLevel"/>
    <w:tmpl w:val="7FECCD7F"/>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A2032A3"/>
    <w:rsid w:val="10C055FF"/>
    <w:rsid w:val="118107EC"/>
    <w:rsid w:val="16BB723D"/>
    <w:rsid w:val="1D155CEE"/>
    <w:rsid w:val="240371BF"/>
    <w:rsid w:val="29FD04D3"/>
    <w:rsid w:val="319F7F4E"/>
    <w:rsid w:val="326B7F22"/>
    <w:rsid w:val="38BE0D93"/>
    <w:rsid w:val="4DB3E2D9"/>
    <w:rsid w:val="4ECE2238"/>
    <w:rsid w:val="577774D3"/>
    <w:rsid w:val="57FF87E2"/>
    <w:rsid w:val="5BFFCE3A"/>
    <w:rsid w:val="5FFD6A60"/>
    <w:rsid w:val="66DB3A09"/>
    <w:rsid w:val="67BF7C7A"/>
    <w:rsid w:val="67CFA934"/>
    <w:rsid w:val="6A7F179A"/>
    <w:rsid w:val="6BEE27F1"/>
    <w:rsid w:val="6C4A05C8"/>
    <w:rsid w:val="6EFFEAA0"/>
    <w:rsid w:val="72734D90"/>
    <w:rsid w:val="75FFA970"/>
    <w:rsid w:val="767EEBBD"/>
    <w:rsid w:val="773F5BF9"/>
    <w:rsid w:val="77DF84CF"/>
    <w:rsid w:val="7ABF6546"/>
    <w:rsid w:val="7AFFEBC4"/>
    <w:rsid w:val="7D73DFD3"/>
    <w:rsid w:val="7DFFEA30"/>
    <w:rsid w:val="7E7F9008"/>
    <w:rsid w:val="7EEE3092"/>
    <w:rsid w:val="7FFED33E"/>
    <w:rsid w:val="7FFFB016"/>
    <w:rsid w:val="83FE18E8"/>
    <w:rsid w:val="8EF9B3EB"/>
    <w:rsid w:val="ABFFAE62"/>
    <w:rsid w:val="BEA5641A"/>
    <w:rsid w:val="BEFDFB30"/>
    <w:rsid w:val="CFFBE440"/>
    <w:rsid w:val="E3D8CC0D"/>
    <w:rsid w:val="EF439811"/>
    <w:rsid w:val="F7D7437D"/>
    <w:rsid w:val="F7DD2A2A"/>
    <w:rsid w:val="F7FC1A03"/>
    <w:rsid w:val="FB7D9D66"/>
    <w:rsid w:val="FB7FDA1E"/>
    <w:rsid w:val="FC9B17BB"/>
    <w:rsid w:val="FDFA130C"/>
    <w:rsid w:val="FED7570C"/>
    <w:rsid w:val="FF77ED37"/>
    <w:rsid w:val="FF9A6EB3"/>
    <w:rsid w:val="FFDF39EB"/>
    <w:rsid w:val="FFEAB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beforeAutospacing="0" w:after="0" w:afterAutospacing="0" w:line="560" w:lineRule="atLeast"/>
      <w:ind w:left="0" w:right="0" w:firstLine="200" w:firstLineChars="200"/>
      <w:jc w:val="both"/>
    </w:pPr>
    <w:rPr>
      <w:rFonts w:ascii="仿宋_GB2312" w:eastAsia="仿宋_GB2312" w:cs="Times New Roman"/>
      <w:kern w:val="2"/>
      <w:sz w:val="32"/>
      <w:szCs w:val="32"/>
      <w:lang w:val="en-US" w:eastAsia="zh-CN"/>
    </w:rPr>
  </w:style>
  <w:style w:type="paragraph" w:styleId="3">
    <w:name w:val="Body Text Indent"/>
    <w:basedOn w:val="1"/>
    <w:next w:val="2"/>
    <w:qFormat/>
    <w:uiPriority w:val="0"/>
    <w:pPr>
      <w:widowControl/>
      <w:spacing w:line="540" w:lineRule="exact"/>
      <w:ind w:firstLine="200" w:firstLineChars="200"/>
      <w:textAlignment w:val="baseline"/>
    </w:pPr>
    <w:rPr>
      <w:rFonts w:eastAsia="仿宋_GB2312"/>
      <w:color w:val="000000"/>
      <w:kern w:val="0"/>
      <w:sz w:val="32"/>
      <w:szCs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Normal Indent"/>
    <w:basedOn w:val="1"/>
    <w:qFormat/>
    <w:uiPriority w:val="0"/>
    <w:pPr>
      <w:ind w:firstLine="200" w:firstLineChars="200"/>
    </w:pPr>
  </w:style>
  <w:style w:type="paragraph" w:styleId="9">
    <w:name w:val="Body Text"/>
    <w:basedOn w:val="1"/>
    <w:next w:val="10"/>
    <w:link w:val="36"/>
    <w:qFormat/>
    <w:uiPriority w:val="99"/>
    <w:pPr>
      <w:spacing w:beforeLines="30"/>
    </w:pPr>
    <w:rPr>
      <w:rFonts w:ascii="仿宋_GB2312" w:eastAsia="仿宋_GB2312"/>
      <w:kern w:val="0"/>
      <w:sz w:val="24"/>
      <w:szCs w:val="20"/>
      <w:lang w:val="zh-CN"/>
    </w:rPr>
  </w:style>
  <w:style w:type="paragraph" w:styleId="10">
    <w:name w:val="Date"/>
    <w:basedOn w:val="1"/>
    <w:next w:val="1"/>
    <w:qFormat/>
    <w:uiPriority w:val="0"/>
    <w:pPr>
      <w:ind w:left="2500" w:leftChars="2500"/>
    </w:pPr>
  </w:style>
  <w:style w:type="paragraph" w:styleId="11">
    <w:name w:val="toc 5"/>
    <w:basedOn w:val="1"/>
    <w:next w:val="1"/>
    <w:unhideWhenUsed/>
    <w:qFormat/>
    <w:uiPriority w:val="39"/>
    <w:pPr>
      <w:ind w:left="840"/>
      <w:jc w:val="left"/>
    </w:pPr>
    <w:rPr>
      <w:rFonts w:asciiTheme="minorHAnsi" w:eastAsiaTheme="minorHAnsi"/>
      <w:sz w:val="18"/>
      <w:szCs w:val="18"/>
    </w:rPr>
  </w:style>
  <w:style w:type="paragraph" w:styleId="12">
    <w:name w:val="toc 3"/>
    <w:basedOn w:val="1"/>
    <w:next w:val="1"/>
    <w:unhideWhenUsed/>
    <w:qFormat/>
    <w:uiPriority w:val="39"/>
    <w:pPr>
      <w:ind w:left="420"/>
      <w:jc w:val="left"/>
    </w:pPr>
    <w:rPr>
      <w:rFonts w:asciiTheme="minorHAnsi" w:eastAsiaTheme="minorHAnsi"/>
      <w:i/>
      <w:iCs/>
      <w:sz w:val="20"/>
      <w:szCs w:val="20"/>
    </w:rPr>
  </w:style>
  <w:style w:type="paragraph" w:styleId="13">
    <w:name w:val="toc 8"/>
    <w:basedOn w:val="1"/>
    <w:next w:val="1"/>
    <w:unhideWhenUsed/>
    <w:qFormat/>
    <w:uiPriority w:val="39"/>
    <w:pPr>
      <w:ind w:left="1470"/>
      <w:jc w:val="left"/>
    </w:pPr>
    <w:rPr>
      <w:rFonts w:asciiTheme="minorHAnsi" w:eastAsiaTheme="minorHAnsi"/>
      <w:sz w:val="18"/>
      <w:szCs w:val="18"/>
    </w:rPr>
  </w:style>
  <w:style w:type="paragraph" w:styleId="14">
    <w:name w:val="Balloon Text"/>
    <w:basedOn w:val="1"/>
    <w:link w:val="31"/>
    <w:semiHidden/>
    <w:unhideWhenUsed/>
    <w:qFormat/>
    <w:uiPriority w:val="99"/>
    <w:rPr>
      <w:sz w:val="18"/>
      <w:szCs w:val="18"/>
    </w:rPr>
  </w:style>
  <w:style w:type="paragraph" w:styleId="15">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6">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rFonts w:ascii="微软雅黑" w:hAnsi="Times New Roman" w:eastAsia="微软雅黑" w:cs="微软雅黑"/>
      <w:kern w:val="0"/>
      <w:sz w:val="24"/>
      <w:szCs w:val="22"/>
      <w:lang w:val="en-US" w:eastAsia="zh-CN" w:bidi="ar-SA"/>
    </w:rPr>
  </w:style>
  <w:style w:type="character" w:styleId="25">
    <w:name w:val="Strong"/>
    <w:basedOn w:val="24"/>
    <w:qFormat/>
    <w:uiPriority w:val="99"/>
    <w:rPr>
      <w:rFonts w:cs="Times New Roman"/>
      <w:b/>
    </w:rPr>
  </w:style>
  <w:style w:type="character" w:styleId="26">
    <w:name w:val="Hyperlink"/>
    <w:basedOn w:val="24"/>
    <w:unhideWhenUsed/>
    <w:qFormat/>
    <w:uiPriority w:val="99"/>
    <w:rPr>
      <w:rFonts w:cs="Times New Roman"/>
      <w:color w:val="0000FF"/>
      <w:u w:val="single"/>
    </w:rPr>
  </w:style>
  <w:style w:type="character" w:customStyle="1" w:styleId="27">
    <w:name w:val="标题 1 Char"/>
    <w:basedOn w:val="24"/>
    <w:link w:val="4"/>
    <w:qFormat/>
    <w:locked/>
    <w:uiPriority w:val="9"/>
    <w:rPr>
      <w:rFonts w:ascii="Times New Roman" w:hAnsi="Times New Roman" w:cs="Times New Roman"/>
      <w:b/>
      <w:bCs/>
      <w:kern w:val="44"/>
      <w:sz w:val="44"/>
      <w:szCs w:val="44"/>
    </w:rPr>
  </w:style>
  <w:style w:type="character" w:customStyle="1" w:styleId="28">
    <w:name w:val="标题 2 Char"/>
    <w:basedOn w:val="24"/>
    <w:link w:val="5"/>
    <w:qFormat/>
    <w:locked/>
    <w:uiPriority w:val="9"/>
    <w:rPr>
      <w:rFonts w:ascii="Cambria" w:hAnsi="Cambria" w:eastAsia="宋体" w:cs="Times New Roman"/>
      <w:b/>
      <w:bCs/>
      <w:kern w:val="2"/>
      <w:sz w:val="32"/>
      <w:szCs w:val="32"/>
    </w:rPr>
  </w:style>
  <w:style w:type="character" w:customStyle="1" w:styleId="29">
    <w:name w:val="标题 3 Char"/>
    <w:basedOn w:val="24"/>
    <w:link w:val="6"/>
    <w:qFormat/>
    <w:locked/>
    <w:uiPriority w:val="9"/>
    <w:rPr>
      <w:rFonts w:ascii="Times New Roman" w:hAnsi="Times New Roman" w:cs="Times New Roman"/>
      <w:b/>
      <w:bCs/>
      <w:kern w:val="2"/>
      <w:sz w:val="32"/>
      <w:szCs w:val="32"/>
    </w:rPr>
  </w:style>
  <w:style w:type="character" w:customStyle="1" w:styleId="30">
    <w:name w:val="Body Text Char"/>
    <w:basedOn w:val="24"/>
    <w:semiHidden/>
    <w:qFormat/>
    <w:uiPriority w:val="99"/>
    <w:rPr>
      <w:rFonts w:ascii="Times New Roman" w:hAnsi="Times New Roman" w:cs="Times New Roman"/>
      <w:sz w:val="24"/>
      <w:szCs w:val="24"/>
    </w:rPr>
  </w:style>
  <w:style w:type="character" w:customStyle="1" w:styleId="31">
    <w:name w:val="批注框文本 Char"/>
    <w:basedOn w:val="24"/>
    <w:link w:val="14"/>
    <w:semiHidden/>
    <w:qFormat/>
    <w:locked/>
    <w:uiPriority w:val="99"/>
    <w:rPr>
      <w:rFonts w:ascii="Times New Roman" w:hAnsi="Times New Roman" w:cs="Times New Roman"/>
      <w:kern w:val="2"/>
      <w:sz w:val="18"/>
      <w:szCs w:val="18"/>
    </w:rPr>
  </w:style>
  <w:style w:type="character" w:customStyle="1" w:styleId="32">
    <w:name w:val="Footer Char"/>
    <w:basedOn w:val="24"/>
    <w:semiHidden/>
    <w:qFormat/>
    <w:uiPriority w:val="99"/>
    <w:rPr>
      <w:rFonts w:ascii="Times New Roman" w:hAnsi="Times New Roman" w:cs="Times New Roman"/>
      <w:sz w:val="18"/>
      <w:szCs w:val="18"/>
    </w:rPr>
  </w:style>
  <w:style w:type="character" w:customStyle="1" w:styleId="33">
    <w:name w:val="Header Char"/>
    <w:basedOn w:val="24"/>
    <w:semiHidden/>
    <w:qFormat/>
    <w:uiPriority w:val="99"/>
    <w:rPr>
      <w:rFonts w:ascii="Times New Roman" w:hAnsi="Times New Roman" w:cs="Times New Roman"/>
      <w:sz w:val="18"/>
      <w:szCs w:val="18"/>
    </w:rPr>
  </w:style>
  <w:style w:type="character" w:customStyle="1" w:styleId="34">
    <w:name w:val="页眉 Char"/>
    <w:link w:val="16"/>
    <w:semiHidden/>
    <w:qFormat/>
    <w:locked/>
    <w:uiPriority w:val="99"/>
    <w:rPr>
      <w:sz w:val="18"/>
    </w:rPr>
  </w:style>
  <w:style w:type="character" w:customStyle="1" w:styleId="35">
    <w:name w:val="页脚 Char"/>
    <w:link w:val="15"/>
    <w:qFormat/>
    <w:locked/>
    <w:uiPriority w:val="99"/>
    <w:rPr>
      <w:sz w:val="18"/>
    </w:rPr>
  </w:style>
  <w:style w:type="character" w:customStyle="1" w:styleId="36">
    <w:name w:val="正文文本 Char"/>
    <w:link w:val="9"/>
    <w:qFormat/>
    <w:locked/>
    <w:uiPriority w:val="99"/>
    <w:rPr>
      <w:rFonts w:ascii="仿宋_GB2312" w:hAnsi="Times New Roman" w:eastAsia="仿宋_GB2312"/>
      <w:sz w:val="2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列表段落1"/>
    <w:basedOn w:val="1"/>
    <w:qFormat/>
    <w:uiPriority w:val="34"/>
    <w:pPr>
      <w:ind w:firstLine="420" w:firstLineChars="200"/>
    </w:pPr>
  </w:style>
  <w:style w:type="paragraph" w:customStyle="1" w:styleId="39">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2">
    <w:name w:val="heading 1 Char"/>
    <w:basedOn w:val="24"/>
    <w:link w:val="4"/>
    <w:qFormat/>
    <w:uiPriority w:val="0"/>
    <w:rPr>
      <w:rFonts w:ascii="Times New Roman" w:hAnsi="Times New Roman"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3"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3"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3"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dk1"/>
                </a:solidFill>
                <a:latin typeface="+mn-lt"/>
                <a:ea typeface="+mn-ea"/>
                <a:cs typeface="+mn-cs"/>
              </a:defRPr>
            </a:pPr>
            <a:r>
              <a:rPr lang="en-US" altLang="zh-CN">
                <a:solidFill>
                  <a:schemeClr val="dk1"/>
                </a:solidFill>
                <a:latin typeface="+mn-lt"/>
                <a:ea typeface="+mn-ea"/>
                <a:cs typeface="+mn-cs"/>
              </a:rPr>
              <a:t>2020</a:t>
            </a:r>
            <a:r>
              <a:rPr altLang="en-US">
                <a:solidFill>
                  <a:schemeClr val="dk1"/>
                </a:solidFill>
                <a:latin typeface="+mn-lt"/>
                <a:ea typeface="+mn-ea"/>
                <a:cs typeface="+mn-cs"/>
              </a:rPr>
              <a:t>、</a:t>
            </a:r>
            <a:r>
              <a:rPr lang="en-US" altLang="zh-CN">
                <a:solidFill>
                  <a:schemeClr val="dk1"/>
                </a:solidFill>
                <a:latin typeface="+mn-lt"/>
                <a:ea typeface="+mn-ea"/>
                <a:cs typeface="+mn-cs"/>
              </a:rPr>
              <a:t>2021</a:t>
            </a:r>
            <a:r>
              <a:rPr altLang="en-US">
                <a:solidFill>
                  <a:schemeClr val="dk1"/>
                </a:solidFill>
                <a:latin typeface="+mn-lt"/>
                <a:ea typeface="+mn-ea"/>
                <a:cs typeface="+mn-cs"/>
              </a:rPr>
              <a:t>年总收入总支出对比图</a:t>
            </a:r>
            <a:endParaRPr lang="en-US" altLang="zh-CN">
              <a:solidFill>
                <a:schemeClr val="dk1"/>
              </a:solidFill>
              <a:latin typeface="+mn-lt"/>
              <a:ea typeface="+mn-ea"/>
              <a:cs typeface="+mn-cs"/>
            </a:endParaRPr>
          </a:p>
        </c:rich>
      </c:tx>
      <c:layout>
        <c:manualLayout>
          <c:xMode val="edge"/>
          <c:yMode val="edge"/>
          <c:x val="0.178357689631176"/>
          <c:y val="0.027681660899654"/>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dk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[工作簿2]Sheet1!$A$1:$B$4</c:f>
              <c:multiLvlStrCache>
                <c:ptCount val="4"/>
                <c:lvl>
                  <c:pt idx="0">
                    <c:v>2021年</c:v>
                  </c:pt>
                  <c:pt idx="1">
                    <c:v>2020年</c:v>
                  </c:pt>
                  <c:pt idx="2">
                    <c:v>2021年</c:v>
                  </c:pt>
                  <c:pt idx="3">
                    <c:v>2020年</c:v>
                  </c:pt>
                </c:lvl>
                <c:lvl>
                  <c:pt idx="0">
                    <c:v>总收入</c:v>
                  </c:pt>
                  <c:pt idx="2">
                    <c:v>总支出</c:v>
                  </c:pt>
                </c:lvl>
              </c:multiLvlStrCache>
            </c:multiLvlStrRef>
          </c:cat>
          <c:val>
            <c:numRef>
              <c:f>[工作簿2]Sheet1!$C$1:$C$4</c:f>
              <c:numCache>
                <c:formatCode>General</c:formatCode>
                <c:ptCount val="4"/>
                <c:pt idx="0">
                  <c:v>1626.93</c:v>
                </c:pt>
                <c:pt idx="1">
                  <c:v>1247.11</c:v>
                </c:pt>
                <c:pt idx="2">
                  <c:v>1626.93</c:v>
                </c:pt>
                <c:pt idx="3">
                  <c:v>1247.11</c:v>
                </c:pt>
              </c:numCache>
            </c:numRef>
          </c:val>
        </c:ser>
        <c:dLbls>
          <c:showLegendKey val="false"/>
          <c:showVal val="true"/>
          <c:showCatName val="false"/>
          <c:showSerName val="false"/>
          <c:showPercent val="false"/>
          <c:showBubbleSize val="false"/>
        </c:dLbls>
        <c:gapWidth val="219"/>
        <c:overlap val="-27"/>
        <c:axId val="746186977"/>
        <c:axId val="775234083"/>
      </c:barChart>
      <c:catAx>
        <c:axId val="74618697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dk1"/>
                </a:solidFill>
                <a:latin typeface="+mn-lt"/>
                <a:ea typeface="+mn-ea"/>
                <a:cs typeface="+mn-cs"/>
              </a:defRPr>
            </a:pPr>
          </a:p>
        </c:txPr>
        <c:crossAx val="775234083"/>
        <c:crosses val="autoZero"/>
        <c:auto val="true"/>
        <c:lblAlgn val="ctr"/>
        <c:lblOffset val="100"/>
        <c:noMultiLvlLbl val="false"/>
      </c:catAx>
      <c:valAx>
        <c:axId val="77523408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dk1"/>
                </a:solidFill>
                <a:latin typeface="+mn-lt"/>
                <a:ea typeface="+mn-ea"/>
                <a:cs typeface="+mn-cs"/>
              </a:defRPr>
            </a:pPr>
          </a:p>
        </c:txPr>
        <c:crossAx val="746186977"/>
        <c:crosses val="autoZero"/>
        <c:crossBetween val="between"/>
      </c:valAx>
      <c:spPr>
        <a:noFill/>
        <a:ln>
          <a:noFill/>
        </a:ln>
        <a:effectLst/>
      </c:spPr>
    </c:plotArea>
    <c:plotVisOnly val="true"/>
    <c:dispBlanksAs val="gap"/>
    <c:showDLblsOverMax val="false"/>
  </c:chart>
  <c:spPr>
    <a:gradFill>
      <a:gsLst>
        <a:gs pos="0">
          <a:srgbClr val="FE4444"/>
        </a:gs>
        <a:gs pos="100000">
          <a:srgbClr val="832B2B"/>
        </a:gs>
      </a:gsLst>
      <a:lin scaled="false"/>
    </a:gradFill>
    <a:ln w="12700" cap="flat" cmpd="sng" algn="ctr">
      <a:solidFill>
        <a:schemeClr val="accent2"/>
      </a:solidFill>
      <a:prstDash val="solid"/>
      <a:miter lim="800000"/>
    </a:ln>
    <a:effectLst/>
    <a:sp3d>
      <a:extrusionClr>
        <a:srgbClr val="FFFFFF"/>
      </a:extrusionClr>
      <a:contourClr>
        <a:srgbClr val="FFFFFF"/>
      </a:contourClr>
    </a:sp3d>
  </c:spPr>
  <c:txPr>
    <a:bodyPr/>
    <a:lstStyle/>
    <a:p>
      <a:pPr>
        <a:defRPr lang="zh-CN">
          <a:solidFill>
            <a:schemeClr val="dk1"/>
          </a:solidFill>
          <a:latin typeface="+mn-lt"/>
          <a:ea typeface="+mn-ea"/>
          <a:cs typeface="+mn-cs"/>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404040"/>
                </a:solidFill>
                <a:latin typeface="AR PL UKai CN" panose="02000503000000000000" charset="-122"/>
                <a:ea typeface="AR PL UKai CN" panose="02000503000000000000" charset="-122"/>
                <a:cs typeface="Lucida Sans"/>
              </a:defRPr>
            </a:pPr>
            <a:r>
              <a:rPr lang="zh-CN"/>
              <a:t>收入决算结构图</a:t>
            </a:r>
            <a:endParaRPr lang="zh-CN"/>
          </a:p>
        </c:rich>
      </c:tx>
      <c:layout/>
      <c:overlay val="false"/>
      <c:spPr>
        <a:noFill/>
        <a:ln>
          <a:noFill/>
        </a:ln>
      </c:spPr>
    </c:title>
    <c:autoTitleDeleted val="false"/>
    <c:plotArea>
      <c:layout/>
      <c:pieChart>
        <c:varyColors val="true"/>
        <c:ser>
          <c:idx val="0"/>
          <c:order val="0"/>
          <c:spPr>
            <a:ln>
              <a:noFill/>
            </a:ln>
          </c:spPr>
          <c:explosion val="0"/>
          <c:dPt>
            <c:idx val="0"/>
            <c:bubble3D val="false"/>
            <c:spPr>
              <a:solidFill>
                <a:srgbClr val="4472C4"/>
              </a:solidFill>
              <a:ln>
                <a:noFill/>
              </a:ln>
              <a:effectLst>
                <a:outerShdw dist="35921" dir="2700000" algn="br">
                  <a:srgbClr val="000000"/>
                </a:outerShdw>
              </a:effectLst>
            </c:spPr>
          </c:dPt>
          <c:dPt>
            <c:idx val="1"/>
            <c:bubble3D val="false"/>
            <c:spPr>
              <a:solidFill>
                <a:srgbClr val="ED7D31"/>
              </a:solidFill>
              <a:ln>
                <a:noFill/>
              </a:ln>
              <a:effectLst>
                <a:outerShdw dist="35921" dir="2700000" algn="br">
                  <a:srgbClr val="000000"/>
                </a:outerShdw>
              </a:effectLst>
            </c:spPr>
          </c:dPt>
          <c:dPt>
            <c:idx val="2"/>
            <c:bubble3D val="false"/>
            <c:spPr>
              <a:solidFill>
                <a:srgbClr val="A5A5A5"/>
              </a:solidFill>
              <a:ln>
                <a:noFill/>
              </a:ln>
              <a:effectLst>
                <a:outerShdw dist="35921" dir="2700000" algn="br">
                  <a:srgbClr val="000000"/>
                </a:outerShdw>
              </a:effectLst>
            </c:spPr>
          </c:dPt>
          <c:dPt>
            <c:idx val="3"/>
            <c:bubble3D val="false"/>
            <c:spPr>
              <a:solidFill>
                <a:srgbClr val="FFC000"/>
              </a:solidFill>
              <a:ln>
                <a:noFill/>
              </a:ln>
              <a:effectLst>
                <a:outerShdw dist="35921" dir="2700000" algn="br">
                  <a:srgbClr val="000000"/>
                </a:outerShdw>
              </a:effectLst>
            </c:spPr>
          </c:dPt>
          <c:dPt>
            <c:idx val="4"/>
            <c:bubble3D val="false"/>
            <c:spPr>
              <a:solidFill>
                <a:srgbClr val="5B9BD5"/>
              </a:solidFill>
              <a:ln>
                <a:noFill/>
              </a:ln>
              <a:effectLst>
                <a:outerShdw dist="35921" dir="2700000" algn="br">
                  <a:srgbClr val="000000"/>
                </a:outerShdw>
              </a:effectLst>
            </c:spPr>
          </c:dPt>
          <c:dPt>
            <c:idx val="5"/>
            <c:bubble3D val="false"/>
            <c:spPr>
              <a:solidFill>
                <a:srgbClr val="70AD47"/>
              </a:solidFill>
              <a:ln>
                <a:noFill/>
              </a:ln>
              <a:effectLst>
                <a:outerShdw dist="35921" dir="2700000" algn="br">
                  <a:srgbClr val="000000"/>
                </a:outerShdw>
              </a:effectLst>
            </c:spPr>
          </c:dPt>
          <c:dPt>
            <c:idx val="6"/>
            <c:bubble3D val="false"/>
            <c:spPr>
              <a:solidFill>
                <a:srgbClr val="264478"/>
              </a:solidFill>
              <a:ln>
                <a:noFill/>
              </a:ln>
              <a:effectLst>
                <a:outerShdw dist="35921" dir="2700000" algn="br">
                  <a:srgbClr val="000000"/>
                </a:outerShdw>
              </a:effectLst>
            </c:spPr>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r>
                      <a:t>1</a:t>
                    </a:r>
                    <a:r>
                      <a:rPr lang="en-US" altLang="zh-CN"/>
                      <a:t>474.85</a:t>
                    </a:r>
                    <a:r>
                      <a:t>, 100%</a:t>
                    </a:r>
                  </a:p>
                </c:rich>
              </c:tx>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ctr"/>
              <c:showLegendKey val="false"/>
              <c:showVal val="true"/>
              <c:showCatName val="false"/>
              <c:showSerName val="false"/>
              <c:showPercent val="true"/>
              <c:showBubbleSize val="false"/>
              <c:extLst>
                <c:ext xmlns:c15="http://schemas.microsoft.com/office/drawing/2012/chart" uri="{CE6537A1-D6FC-4f65-9D91-7224C49458BB}"/>
              </c:extLst>
            </c:dLbl>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panose="02000503000000000000" charset="-122"/>
                    <a:ea typeface="AR PL UKai CN" panose="02000503000000000000" charset="-122"/>
                    <a:cs typeface="Lucida San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{"2020年一般公共预算财政拨款收入","2020年政府性基金预算财政拨款收入","2020年上级补助收入","2020年事业收入","2020年经营收入","2020年附属单位上缴收入","2020年其他收入"}</c:f>
              <c:strCache>
                <c:ptCount val="7"/>
                <c:pt idx="0">
                  <c:v>2020年一般公共预算财政拨款收入</c:v>
                </c:pt>
                <c:pt idx="1">
                  <c:v>2020年政府性基金预算财政拨款收入</c:v>
                </c:pt>
                <c:pt idx="2">
                  <c:v>2020年上级补助收入</c:v>
                </c:pt>
                <c:pt idx="3">
                  <c:v>2020年事业收入</c:v>
                </c:pt>
                <c:pt idx="4">
                  <c:v>2020年经营收入</c:v>
                </c:pt>
                <c:pt idx="5">
                  <c:v>2020年附属单位上缴收入</c:v>
                </c:pt>
                <c:pt idx="6">
                  <c:v>2020年其他收入</c:v>
                </c:pt>
              </c:strCache>
            </c:strRef>
          </c:cat>
          <c:val>
            <c:numRef>
              <c:f>{1247.11,0,0,0,0,0,0}</c:f>
              <c:numCache>
                <c:formatCode>General</c:formatCode>
                <c:ptCount val="7"/>
                <c:pt idx="0">
                  <c:v>1247.11</c:v>
                </c:pt>
                <c:pt idx="1">
                  <c:v>0</c:v>
                </c:pt>
                <c:pt idx="2">
                  <c:v>0</c:v>
                </c:pt>
                <c:pt idx="3">
                  <c:v>0</c:v>
                </c:pt>
                <c:pt idx="4">
                  <c:v>0</c:v>
                </c:pt>
                <c:pt idx="5">
                  <c:v>0</c:v>
                </c:pt>
                <c:pt idx="6">
                  <c:v>0</c:v>
                </c:pt>
              </c:numCache>
            </c:numRef>
          </c:val>
        </c:ser>
        <c:dLbls>
          <c:showLegendKey val="false"/>
          <c:showVal val="true"/>
          <c:showCatName val="false"/>
          <c:showSerName val="false"/>
          <c:showPercent val="true"/>
          <c:showBubbleSize val="false"/>
          <c:showLeaderLines val="true"/>
        </c:dLbls>
        <c:firstSliceAng val="0"/>
      </c:pieChart>
      <c:spPr>
        <a:noFill/>
        <a:ln>
          <a:noFill/>
        </a:ln>
      </c:spPr>
    </c:plotArea>
    <c:legend>
      <c:legendPos val="r"/>
      <c:layout/>
      <c:overlay val="false"/>
      <c:spPr>
        <a:solidFill>
          <a:srgbClr val="F2F2F2">
            <a:alpha val="39000"/>
          </a:srgbClr>
        </a:solidFill>
        <a:ln>
          <a:noFill/>
        </a:ln>
      </c:spPr>
      <c:txPr>
        <a:bodyPr rot="0" spcFirstLastPara="0" vertOverflow="ellipsis" vert="horz" wrap="square" anchor="ctr" anchorCtr="true"/>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legend>
    <c:plotVisOnly val="true"/>
    <c:dispBlanksAs val="gap"/>
    <c:showDLblsOverMax val="false"/>
  </c:chart>
  <c:spPr>
    <a:gradFill rotWithShape="true">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600" b="1" i="0" u="none" strike="noStrike" kern="1200" baseline="0">
                <a:solidFill>
                  <a:srgbClr val="F2F2F2"/>
                </a:solidFill>
                <a:latin typeface="AR PL UKai CN" panose="02000503000000000000" charset="-122"/>
                <a:ea typeface="AR PL UKai CN" panose="02000503000000000000" charset="-122"/>
                <a:cs typeface="Lucida Sans"/>
              </a:defRPr>
            </a:pPr>
            <a:r>
              <a:rPr lang="zh-CN"/>
              <a:t>支出决算结构图</a:t>
            </a:r>
            <a:endParaRPr lang="zh-CN"/>
          </a:p>
        </c:rich>
      </c:tx>
      <c:layout/>
      <c:overlay val="false"/>
      <c:spPr>
        <a:noFill/>
        <a:ln>
          <a:noFill/>
        </a:ln>
      </c:spPr>
    </c:title>
    <c:autoTitleDeleted val="false"/>
    <c:plotArea>
      <c:layout/>
      <c:pieChart>
        <c:varyColors val="true"/>
        <c:ser>
          <c:idx val="0"/>
          <c:order val="0"/>
          <c:spPr>
            <a:ln>
              <a:noFill/>
            </a:ln>
          </c:spPr>
          <c:explosion val="0"/>
          <c:dPt>
            <c:idx val="0"/>
            <c:bubble3D val="false"/>
            <c:spPr>
              <a:gradFill rotWithShape="true">
                <a:gsLst>
                  <a:gs pos="0">
                    <a:srgbClr val="6083CB">
                      <a:alpha val="100000"/>
                    </a:srgbClr>
                  </a:gs>
                  <a:gs pos="50000">
                    <a:srgbClr val="3E70CA">
                      <a:alpha val="100000"/>
                    </a:srgbClr>
                  </a:gs>
                  <a:gs pos="100000">
                    <a:srgbClr val="2E61BA">
                      <a:alpha val="100000"/>
                    </a:srgbClr>
                  </a:gs>
                </a:gsLst>
                <a:lin ang="5400000" scaled="true"/>
              </a:gradFill>
              <a:ln>
                <a:noFill/>
              </a:ln>
              <a:effectLst>
                <a:outerShdw dist="35921" dir="2700000" algn="br">
                  <a:srgbClr val="000000"/>
                </a:outerShdw>
              </a:effectLst>
            </c:spPr>
          </c:dPt>
          <c:dPt>
            <c:idx val="1"/>
            <c:bubble3D val="false"/>
            <c:spPr>
              <a:gradFill rotWithShape="true">
                <a:gsLst>
                  <a:gs pos="0">
                    <a:srgbClr val="F18C55">
                      <a:alpha val="100000"/>
                    </a:srgbClr>
                  </a:gs>
                  <a:gs pos="50000">
                    <a:srgbClr val="F67B28">
                      <a:alpha val="100000"/>
                    </a:srgbClr>
                  </a:gs>
                  <a:gs pos="100000">
                    <a:srgbClr val="E56B17">
                      <a:alpha val="100000"/>
                    </a:srgbClr>
                  </a:gs>
                </a:gsLst>
                <a:lin ang="5400000" scaled="true"/>
              </a:gradFill>
              <a:ln>
                <a:noFill/>
              </a:ln>
              <a:effectLst>
                <a:outerShdw dist="35921" dir="2700000" algn="br">
                  <a:srgbClr val="000000"/>
                </a:outerShdw>
              </a:effectLst>
            </c:spPr>
          </c:dPt>
          <c:dPt>
            <c:idx val="2"/>
            <c:bubble3D val="false"/>
            <c:spPr>
              <a:gradFill rotWithShape="true">
                <a:gsLst>
                  <a:gs pos="0">
                    <a:srgbClr val="AFAFAF">
                      <a:alpha val="100000"/>
                    </a:srgbClr>
                  </a:gs>
                  <a:gs pos="50000">
                    <a:srgbClr val="A5A5A5">
                      <a:alpha val="100000"/>
                    </a:srgbClr>
                  </a:gs>
                  <a:gs pos="100000">
                    <a:srgbClr val="929292">
                      <a:alpha val="100000"/>
                    </a:srgbClr>
                  </a:gs>
                </a:gsLst>
                <a:lin ang="5400000" scaled="true"/>
              </a:gradFill>
              <a:ln>
                <a:noFill/>
              </a:ln>
              <a:effectLst>
                <a:outerShdw dist="35921" dir="2700000" algn="br">
                  <a:srgbClr val="000000"/>
                </a:outerShdw>
              </a:effectLst>
            </c:spPr>
          </c:dPt>
          <c:dPt>
            <c:idx val="3"/>
            <c:bubble3D val="false"/>
            <c:spPr>
              <a:gradFill rotWithShape="true">
                <a:gsLst>
                  <a:gs pos="0">
                    <a:srgbClr val="FFC746">
                      <a:alpha val="100000"/>
                    </a:srgbClr>
                  </a:gs>
                  <a:gs pos="50000">
                    <a:srgbClr val="FFC600">
                      <a:alpha val="100000"/>
                    </a:srgbClr>
                  </a:gs>
                  <a:gs pos="100000">
                    <a:srgbClr val="E5B600">
                      <a:alpha val="100000"/>
                    </a:srgbClr>
                  </a:gs>
                </a:gsLst>
                <a:lin ang="5400000" scaled="true"/>
              </a:gradFill>
              <a:ln>
                <a:noFill/>
              </a:ln>
              <a:effectLst>
                <a:outerShdw dist="35921" dir="2700000" algn="br">
                  <a:srgbClr val="000000"/>
                </a:outerShdw>
              </a:effectLst>
            </c:spPr>
          </c:dPt>
          <c:dPt>
            <c:idx val="4"/>
            <c:bubble3D val="false"/>
            <c:spPr>
              <a:gradFill rotWithShape="true">
                <a:gsLst>
                  <a:gs pos="0">
                    <a:srgbClr val="71A6DB">
                      <a:alpha val="100000"/>
                    </a:srgbClr>
                  </a:gs>
                  <a:gs pos="50000">
                    <a:srgbClr val="559BDB">
                      <a:alpha val="100000"/>
                    </a:srgbClr>
                  </a:gs>
                  <a:gs pos="100000">
                    <a:srgbClr val="438AC9">
                      <a:alpha val="100000"/>
                    </a:srgbClr>
                  </a:gs>
                </a:gsLst>
                <a:lin ang="5400000" scaled="true"/>
              </a:gradFill>
              <a:ln>
                <a:noFill/>
              </a:ln>
              <a:effectLst>
                <a:outerShdw dist="35921" dir="2700000" algn="br">
                  <a:srgbClr val="000000"/>
                </a:outerShdw>
              </a:effectLst>
            </c:spPr>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r>
                      <a:rPr lang="en-US" altLang="zh-CN"/>
                      <a:t>1399.40</a:t>
                    </a:r>
                    <a:endParaRPr lang="en-US" altLang="zh-CN"/>
                  </a:p>
                </c:rich>
              </c:tx>
              <c:numFmt formatCode="0.00_ "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r>
                      <a:rPr lang="en-US" altLang="zh-CN"/>
                      <a:t>227.53</a:t>
                    </a:r>
                    <a:endParaRPr lang="en-US" altLang="zh-CN"/>
                  </a:p>
                </c:rich>
              </c:tx>
              <c:numFmt formatCode="0.00_ "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extLst>
            </c:dLbl>
            <c:numFmt formatCode="0.00_ "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D9D9D9"/>
                    </a:solidFill>
                    <a:latin typeface="AR PL UKai CN" panose="02000503000000000000" charset="-122"/>
                    <a:ea typeface="AR PL UKai CN" panose="02000503000000000000" charset="-122"/>
                    <a:cs typeface="Lucida San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{1022.54,224.57,0,0,0}</c:f>
              <c:numCache>
                <c:formatCode>General</c:formatCode>
                <c:ptCount val="5"/>
                <c:pt idx="0">
                  <c:v>1022.54</c:v>
                </c:pt>
                <c:pt idx="1">
                  <c:v>224.57</c:v>
                </c:pt>
                <c:pt idx="2">
                  <c:v>0</c:v>
                </c:pt>
                <c:pt idx="3">
                  <c:v>0</c:v>
                </c:pt>
                <c:pt idx="4">
                  <c:v>0</c:v>
                </c:pt>
              </c:numCache>
            </c:numRef>
          </c:val>
        </c:ser>
        <c:dLbls>
          <c:showLegendKey val="false"/>
          <c:showVal val="true"/>
          <c:showCatName val="false"/>
          <c:showSerName val="false"/>
          <c:showPercent val="false"/>
          <c:showBubbleSize val="false"/>
          <c:showLeaderLines val="true"/>
        </c:dLbls>
        <c:firstSliceAng val="0"/>
      </c:pieChart>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D9D9D9"/>
              </a:solidFill>
              <a:latin typeface="AR PL UKai CN" panose="02000503000000000000" charset="-122"/>
              <a:ea typeface="AR PL UKai CN" panose="02000503000000000000" charset="-122"/>
              <a:cs typeface="Lucida Sans"/>
            </a:defRPr>
          </a:pPr>
        </a:p>
      </c:txPr>
    </c:legend>
    <c:plotVisOnly val="true"/>
    <c:dispBlanksAs val="gap"/>
    <c:showDLblsOverMax val="false"/>
  </c:chart>
  <c:spPr>
    <a:gradFill rotWithShape="true">
      <a:gsLst>
        <a:gs pos="0">
          <a:srgbClr val="595959">
            <a:alpha val="100000"/>
          </a:srgbClr>
        </a:gs>
        <a:gs pos="100000">
          <a:srgbClr val="262626">
            <a:alpha val="100000"/>
          </a:srgbClr>
        </a:gs>
      </a:gsLst>
      <a:path path="circle">
        <a:fillToRect l="50000" t="50000" r="50000" b="50000"/>
      </a:path>
      <a:tileRect/>
    </a:gradFill>
    <a:ln w="9525" cap="flat" cmpd="sng" algn="ctr">
      <a:no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t>2020、2021年财政拨款收、支决算对比图</a:t>
            </a:r>
          </a:p>
        </c:rich>
      </c:tx>
      <c:layout>
        <c:manualLayout>
          <c:xMode val="edge"/>
          <c:yMode val="edge"/>
          <c:x val="0.178357689631176"/>
          <c:y val="0.027681660899654"/>
        </c:manualLayout>
      </c:layout>
      <c:overlay val="false"/>
      <c:spPr>
        <a:noFill/>
        <a:ln>
          <a:noFill/>
        </a:ln>
        <a:effectLst/>
      </c:spPr>
    </c:title>
    <c:autoTitleDeleted val="false"/>
    <c:plotArea>
      <c:layout/>
      <c:barChart>
        <c:barDir val="col"/>
        <c:grouping val="clustered"/>
        <c:varyColors val="false"/>
        <c:ser>
          <c:idx val="0"/>
          <c:order val="0"/>
          <c:spPr>
            <a:gradFill rotWithShape="true">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false"/>
            </a:gradFill>
            <a:ln>
              <a:noFill/>
            </a:ln>
            <a:effectLst>
              <a:outerShdw blurRad="57150" dist="19050" dir="5400000" algn="ctr" rotWithShape="0">
                <a:srgbClr val="000000">
                  <a:alpha val="63000"/>
                </a:srgb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lt1">
                        <a:lumMod val="8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lt1">
                          <a:lumMod val="95000"/>
                          <a:alpha val="54000"/>
                        </a:schemeClr>
                      </a:solidFill>
                    </a:ln>
                    <a:effectLst/>
                  </c:spPr>
                </c15:leaderLines>
              </c:ext>
            </c:extLst>
          </c:dLbls>
          <c:cat>
            <c:multiLvlStrRef>
              <c:f>[工作簿2]Sheet1!$A$1:$B$4</c:f>
              <c:multiLvlStrCache>
                <c:ptCount val="4"/>
                <c:lvl>
                  <c:pt idx="0">
                    <c:v>2021年</c:v>
                  </c:pt>
                  <c:pt idx="1">
                    <c:v>2020年</c:v>
                  </c:pt>
                  <c:pt idx="2">
                    <c:v>2021年</c:v>
                  </c:pt>
                  <c:pt idx="3">
                    <c:v>2020年</c:v>
                  </c:pt>
                </c:lvl>
                <c:lvl>
                  <c:pt idx="0">
                    <c:v>总收入</c:v>
                  </c:pt>
                  <c:pt idx="2">
                    <c:v>总支出</c:v>
                  </c:pt>
                </c:lvl>
              </c:multiLvlStrCache>
            </c:multiLvlStrRef>
          </c:cat>
          <c:val>
            <c:numRef>
              <c:f>[工作簿2]Sheet1!$C$1:$C$4</c:f>
              <c:numCache>
                <c:formatCode>General</c:formatCode>
                <c:ptCount val="4"/>
                <c:pt idx="0">
                  <c:v>1626.93</c:v>
                </c:pt>
                <c:pt idx="1">
                  <c:v>1247.11</c:v>
                </c:pt>
                <c:pt idx="2">
                  <c:v>1626.93</c:v>
                </c:pt>
                <c:pt idx="3">
                  <c:v>1247.11</c:v>
                </c:pt>
              </c:numCache>
            </c:numRef>
          </c:val>
        </c:ser>
        <c:dLbls>
          <c:showLegendKey val="false"/>
          <c:showVal val="true"/>
          <c:showCatName val="false"/>
          <c:showSerName val="false"/>
          <c:showPercent val="false"/>
          <c:showBubbleSize val="false"/>
        </c:dLbls>
        <c:gapWidth val="100"/>
        <c:overlap val="-24"/>
        <c:axId val="746186977"/>
        <c:axId val="775234083"/>
      </c:barChart>
      <c:catAx>
        <c:axId val="746186977"/>
        <c:scaling>
          <c:orientation val="minMax"/>
        </c:scaling>
        <c:delete val="false"/>
        <c:axPos val="b"/>
        <c:majorTickMark val="none"/>
        <c:minorTickMark val="none"/>
        <c:tickLblPos val="nextTo"/>
        <c:spPr>
          <a:noFill/>
          <a:ln w="12700" cap="flat" cmpd="sng" algn="ctr">
            <a:solidFill>
              <a:schemeClr val="lt1">
                <a:lumMod val="95000"/>
                <a:alpha val="54000"/>
              </a:schemeClr>
            </a:solidFill>
            <a:round/>
          </a:ln>
          <a:effectLst/>
        </c:spPr>
        <c:txPr>
          <a:bodyPr rot="-60000000" spcFirstLastPara="0" vertOverflow="ellipsis" vert="horz" wrap="square" anchor="ctr" anchorCtr="true"/>
          <a:lstStyle/>
          <a:p>
            <a:pPr>
              <a:defRPr lang="zh-CN" sz="900" b="0" i="0" u="none" strike="noStrike" kern="1200" baseline="0">
                <a:solidFill>
                  <a:schemeClr val="lt1">
                    <a:lumMod val="85000"/>
                  </a:schemeClr>
                </a:solidFill>
                <a:latin typeface="+mn-lt"/>
                <a:ea typeface="+mn-ea"/>
                <a:cs typeface="+mn-cs"/>
              </a:defRPr>
            </a:pPr>
          </a:p>
        </c:txPr>
        <c:crossAx val="775234083"/>
        <c:crosses val="autoZero"/>
        <c:auto val="true"/>
        <c:lblAlgn val="ctr"/>
        <c:lblOffset val="100"/>
        <c:noMultiLvlLbl val="false"/>
      </c:catAx>
      <c:valAx>
        <c:axId val="775234083"/>
        <c:scaling>
          <c:orientation val="minMax"/>
        </c:scaling>
        <c:delete val="false"/>
        <c:axPos val="l"/>
        <c:majorGridlines>
          <c:spPr>
            <a:ln w="9525" cap="flat" cmpd="sng" algn="ctr">
              <a:solidFill>
                <a:schemeClr val="lt1">
                  <a:lumMod val="95000"/>
                  <a:alpha val="10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lt1">
                    <a:lumMod val="85000"/>
                  </a:schemeClr>
                </a:solidFill>
                <a:latin typeface="+mn-lt"/>
                <a:ea typeface="+mn-ea"/>
                <a:cs typeface="+mn-cs"/>
              </a:defRPr>
            </a:pPr>
          </a:p>
        </c:txPr>
        <c:crossAx val="746186977"/>
        <c:crosses val="autoZero"/>
        <c:crossBetween val="between"/>
      </c:valAx>
      <c:spPr>
        <a:noFill/>
        <a:ln>
          <a:noFill/>
        </a:ln>
        <a:effectLst/>
      </c:spPr>
    </c:plotArea>
    <c:plotVisOnly val="true"/>
    <c:dispBlanksAs val="gap"/>
    <c:showDLblsOverMax val="false"/>
  </c:chart>
  <c:spPr>
    <a:gradFill flip="none" rotWithShape="true">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一般公共预算财政拨款支出变动表</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[工作簿3]Sheet1!$A$1:$A$2</c:f>
              <c:strCache>
                <c:ptCount val="2"/>
                <c:pt idx="0">
                  <c:v>2020年一般公共预算财政拨款支出</c:v>
                </c:pt>
                <c:pt idx="1">
                  <c:v>2021年一般公共预算财政拨款支出</c:v>
                </c:pt>
              </c:strCache>
            </c:strRef>
          </c:cat>
          <c:val>
            <c:numRef>
              <c:f>[工作簿3]Sheet1!$B$1:$B$2</c:f>
              <c:numCache>
                <c:formatCode>General</c:formatCode>
                <c:ptCount val="2"/>
                <c:pt idx="0">
                  <c:v>1247.11</c:v>
                </c:pt>
                <c:pt idx="1">
                  <c:v>1626.93</c:v>
                </c:pt>
              </c:numCache>
            </c:numRef>
          </c:val>
        </c:ser>
        <c:dLbls>
          <c:showLegendKey val="false"/>
          <c:showVal val="true"/>
          <c:showCatName val="false"/>
          <c:showSerName val="false"/>
          <c:showPercent val="false"/>
          <c:showBubbleSize val="false"/>
        </c:dLbls>
        <c:gapWidth val="219"/>
        <c:overlap val="-27"/>
        <c:axId val="160832184"/>
        <c:axId val="553386102"/>
      </c:barChart>
      <c:catAx>
        <c:axId val="16083218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53386102"/>
        <c:crosses val="autoZero"/>
        <c:auto val="true"/>
        <c:lblAlgn val="ctr"/>
        <c:lblOffset val="100"/>
        <c:noMultiLvlLbl val="false"/>
      </c:catAx>
      <c:valAx>
        <c:axId val="55338610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6083218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年一般公共预算财政拨款支出决算结构图</a:t>
            </a:r>
            <a:endParaRPr altLang="en-US"/>
          </a:p>
        </c:rich>
      </c:tx>
      <c:layout>
        <c:manualLayout>
          <c:xMode val="edge"/>
          <c:yMode val="edge"/>
          <c:x val="0.0978948857207513"/>
          <c:y val="0.00694444444444444"/>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423792624389565"/>
                  <c:y val="0.106452473703574"/>
                </c:manualLayout>
              </c:layout>
              <c:dLblPos val="bestFit"/>
              <c:showLegendKey val="true"/>
              <c:showVal val="true"/>
              <c:showCatName val="true"/>
              <c:showSerName val="false"/>
              <c:showPercent val="false"/>
              <c:showBubbleSize val="false"/>
              <c:extLst>
                <c:ext xmlns:c15="http://schemas.microsoft.com/office/drawing/2012/chart" uri="{CE6537A1-D6FC-4f65-9D91-7224C49458BB}">
                  <c15:layout/>
                </c:ext>
              </c:extLst>
            </c:dLbl>
            <c:dLbl>
              <c:idx val="2"/>
              <c:layout>
                <c:manualLayout>
                  <c:x val="-0.106617375492799"/>
                  <c:y val="0.101619819731439"/>
                </c:manualLayout>
              </c:layout>
              <c:dLblPos val="bestFit"/>
              <c:showLegendKey val="true"/>
              <c:showVal val="true"/>
              <c:showCatName val="true"/>
              <c:showSerName val="false"/>
              <c:showPercent val="false"/>
              <c:showBubbleSize val="false"/>
              <c:extLst>
                <c:ext xmlns:c15="http://schemas.microsoft.com/office/drawing/2012/chart" uri="{CE6537A1-D6FC-4f65-9D91-7224C49458BB}">
                  <c15:layout/>
                </c:ext>
              </c:extLst>
            </c:dLbl>
            <c:dLbl>
              <c:idx val="3"/>
              <c:layout>
                <c:manualLayout>
                  <c:x val="-0.164493097227227"/>
                  <c:y val="0.0828062637787881"/>
                </c:manualLayout>
              </c:layout>
              <c:dLblPos val="bestFit"/>
              <c:showLegendKey val="true"/>
              <c:showVal val="true"/>
              <c:showCatName val="true"/>
              <c:showSerName val="false"/>
              <c:showPercent val="false"/>
              <c:showBubbleSize val="false"/>
              <c:extLst>
                <c:ext xmlns:c15="http://schemas.microsoft.com/office/drawing/2012/chart" uri="{CE6537A1-D6FC-4f65-9D91-7224C49458BB}">
                  <c15:layout/>
                </c:ext>
              </c:extLst>
            </c:dLbl>
            <c:dLbl>
              <c:idx val="4"/>
              <c:layout>
                <c:manualLayout>
                  <c:x val="0.154273892230886"/>
                  <c:y val="0.0153976006123763"/>
                </c:manualLayout>
              </c:layout>
              <c:dLblPos val="bestFit"/>
              <c:showLegendKey val="true"/>
              <c:showVal val="true"/>
              <c:showCatName val="true"/>
              <c:showSerName val="false"/>
              <c:showPercent val="false"/>
              <c:showBubbleSize val="false"/>
              <c:extLst>
                <c:ext xmlns:c15="http://schemas.microsoft.com/office/drawing/2012/chart" uri="{CE6537A1-D6FC-4f65-9D91-7224C49458BB}">
                  <c15:layout/>
                </c:ext>
              </c:extLst>
            </c:dLbl>
            <c:dLbl>
              <c:idx val="5"/>
              <c:layout>
                <c:manualLayout>
                  <c:x val="-0.193138175200769"/>
                  <c:y val="0.0141558433284459"/>
                </c:manualLayout>
              </c:layout>
              <c:dLblPos val="bestFit"/>
              <c:showLegendKey val="true"/>
              <c:showVal val="true"/>
              <c:showCatName val="true"/>
              <c:showSerName val="false"/>
              <c:showPercent val="false"/>
              <c:showBubbleSize val="false"/>
              <c:extLst>
                <c:ext xmlns:c15="http://schemas.microsoft.com/office/drawing/2012/chart" uri="{CE6537A1-D6FC-4f65-9D91-7224C49458BB}">
                  <c15:layout/>
                </c:ext>
              </c:extLst>
            </c:dLbl>
            <c:numFmt formatCode="#,##0.00_);[Red]\(#,##0.00\)" sourceLinked="false"/>
            <c:spPr>
              <a:noFill/>
              <a:ln w="12700" cmpd="sng">
                <a:solidFill>
                  <a:schemeClr val="accent1"/>
                </a:solidFill>
                <a:prstDash val="solid"/>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[工作簿3]Sheet1!$A$1:$A$6</c:f>
              <c:strCache>
                <c:ptCount val="6"/>
                <c:pt idx="0">
                  <c:v>一般公共服务支出</c:v>
                </c:pt>
                <c:pt idx="1">
                  <c:v>公共安全支出</c:v>
                </c:pt>
                <c:pt idx="2">
                  <c:v>社会保障和就业支出</c:v>
                </c:pt>
                <c:pt idx="3">
                  <c:v>卫生健康支出</c:v>
                </c:pt>
                <c:pt idx="4">
                  <c:v>住房保障支出</c:v>
                </c:pt>
                <c:pt idx="5">
                  <c:v>灾害防治及应急管理支出</c:v>
                </c:pt>
              </c:strCache>
            </c:strRef>
          </c:cat>
          <c:val>
            <c:numRef>
              <c:f>[工作簿3]Sheet1!$B$1:$B$6</c:f>
              <c:numCache>
                <c:formatCode>General</c:formatCode>
                <c:ptCount val="6"/>
                <c:pt idx="0">
                  <c:v>971.56</c:v>
                </c:pt>
                <c:pt idx="1">
                  <c:v>44.45</c:v>
                </c:pt>
                <c:pt idx="2">
                  <c:v>99.51</c:v>
                </c:pt>
                <c:pt idx="3">
                  <c:v>40.01</c:v>
                </c:pt>
                <c:pt idx="4">
                  <c:v>65.48</c:v>
                </c:pt>
                <c:pt idx="5">
                  <c:v>1.92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年一般公共预算财政拨款基本支出结构图</a:t>
            </a:r>
            <a:endParaRPr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[工作簿3]Sheet1!$A$1:$A$2</c:f>
              <c:strCache>
                <c:ptCount val="2"/>
                <c:pt idx="0">
                  <c:v>人员经费</c:v>
                </c:pt>
                <c:pt idx="1">
                  <c:v>日常公用经费</c:v>
                </c:pt>
              </c:strCache>
            </c:strRef>
          </c:cat>
          <c:val>
            <c:numRef>
              <c:f>[工作簿3]Sheet1!$B$1:$B$2</c:f>
              <c:numCache>
                <c:formatCode>General</c:formatCode>
                <c:ptCount val="2"/>
                <c:pt idx="0">
                  <c:v>1063.36</c:v>
                </c:pt>
                <c:pt idx="1">
                  <c:v>336.04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年“三公”经费财政拨款支出结构图</a:t>
            </a:r>
            <a:endParaRPr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[工作簿3]Sheet1!$A$1:$A$4</c:f>
              <c:strCache>
                <c:ptCount val="4"/>
                <c:pt idx="0">
                  <c:v>因公出国（境）费支出</c:v>
                </c:pt>
                <c:pt idx="1">
                  <c:v>公务用车购置支出</c:v>
                </c:pt>
                <c:pt idx="2">
                  <c:v>公务用车运行维护费支出</c:v>
                </c:pt>
                <c:pt idx="3">
                  <c:v>公务接待费支出</c:v>
                </c:pt>
              </c:strCache>
            </c:strRef>
          </c:cat>
          <c:val>
            <c:numRef>
              <c:f>[工作簿3]Sheet1!$B$1:$B$4</c:f>
              <c:numCache>
                <c:formatCode>General</c:formatCode>
                <c:ptCount val="4"/>
                <c:pt idx="0">
                  <c:v>0</c:v>
                </c:pt>
                <c:pt idx="1">
                  <c:v>105.97</c:v>
                </c:pt>
                <c:pt idx="2">
                  <c:v>96.3</c:v>
                </c:pt>
                <c:pt idx="3">
                  <c:v>0</c:v>
                </c:pt>
              </c:numCache>
            </c:numRef>
          </c:val>
        </c:ser>
        <c:dLbls>
          <c:showLegendKey val="false"/>
          <c:showVal val="true"/>
          <c:showCatName val="tru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true">
        <a:gsLst>
          <a:gs pos="0">
            <a:schemeClr val="dk1">
              <a:lumMod val="65000"/>
              <a:lumOff val="35000"/>
            </a:schemeClr>
          </a:gs>
          <a:gs pos="100000">
            <a:schemeClr val="dk1">
              <a:lumMod val="85000"/>
              <a:lumOff val="15000"/>
            </a:schemeClr>
          </a:gs>
        </a:gsLst>
        <a:path path="circle">
          <a:fillToRect l="50000" t="50000" r="50000" b="50000"/>
        </a:path>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1575</Words>
  <Characters>8983</Characters>
  <Lines>74</Lines>
  <Paragraphs>21</Paragraphs>
  <TotalTime>8</TotalTime>
  <ScaleCrop>false</ScaleCrop>
  <LinksUpToDate>false</LinksUpToDate>
  <CharactersWithSpaces>10537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2021-08-08T17:38:00Z</dcterms:created>
  <dc:creator>曹颖</dc:creator>
  <cp:lastModifiedBy>user</cp:lastModifiedBy>
  <cp:lastPrinted>2021-07-31T11:56:00Z</cp:lastPrinted>
  <dcterms:modified xsi:type="dcterms:W3CDTF">2026-04-17T18:18:11Z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5F5D919DCB57676672144D6378EB8F0F</vt:lpwstr>
  </property>
</Properties>
</file>