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96597"/>
      <w:bookmarkStart w:id="2" w:name="_Toc15377425"/>
      <w:bookmarkStart w:id="3" w:name="_Toc15377193"/>
      <w:bookmarkStart w:id="4" w:name="_Toc15378441"/>
      <w:bookmarkStart w:id="5" w:name="_Toc15396475"/>
      <w:r>
        <w:rPr>
          <w:rFonts w:ascii="黑体" w:eastAsia="黑体"/>
          <w:sz w:val="72"/>
          <w:szCs w:val="72"/>
        </w:rPr>
        <w:t>2020</w:t>
      </w:r>
      <w:r>
        <w:rPr>
          <w:rFonts w:hint="eastAsia" w:asci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96598"/>
      <w:bookmarkStart w:id="8" w:name="_Toc15396476"/>
      <w:bookmarkStart w:id="9" w:name="_Toc15377426"/>
      <w:bookmarkStart w:id="10" w:name="_Toc15378442"/>
      <w:r>
        <w:rPr>
          <w:rFonts w:hint="eastAsia" w:ascii="方正小标宋简体" w:eastAsia="方正小标宋简体"/>
          <w:sz w:val="72"/>
          <w:szCs w:val="72"/>
        </w:rPr>
        <w:t>四川省阿坝州</w:t>
      </w:r>
      <w:bookmarkEnd w:id="0"/>
      <w:bookmarkStart w:id="11" w:name="_Toc15306268"/>
      <w:r>
        <w:rPr>
          <w:rFonts w:hint="eastAsia" w:ascii="方正小标宋简体" w:eastAsia="方正小标宋简体"/>
          <w:sz w:val="72"/>
          <w:szCs w:val="72"/>
          <w:lang w:eastAsia="zh-CN"/>
        </w:rPr>
        <w:t>壤塘县人民防空办公室</w:t>
      </w:r>
      <w:r>
        <w:rPr>
          <w:rFonts w:hint="eastAsia" w:ascii="方正小标宋简体" w:eastAsia="方正小标宋简体"/>
          <w:sz w:val="72"/>
          <w:szCs w:val="72"/>
        </w:rPr>
        <w:t>部门决算</w:t>
      </w:r>
      <w:bookmarkEnd w:id="6"/>
      <w:bookmarkEnd w:id="7"/>
      <w:bookmarkEnd w:id="8"/>
      <w:bookmarkEnd w:id="9"/>
      <w:bookmarkEnd w:id="10"/>
      <w:bookmarkEnd w:id="11"/>
    </w:p>
    <w:p>
      <w:pPr>
        <w:jc w:val="center"/>
        <w:rPr>
          <w:rFonts w:ascii="方正小标宋简体" w:eastAsia="方正小标宋简体"/>
          <w:sz w:val="52"/>
          <w:szCs w:val="52"/>
        </w:rPr>
      </w:pP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bookmarkStart w:id="162" w:name="_GoBack"/>
      <w:bookmarkEnd w:id="162"/>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widowControl/>
        <w:jc w:val="center"/>
        <w:rPr>
          <w:rFonts w:ascii="方正小标宋简体" w:eastAsia="方正小标宋简体"/>
          <w:color w:val="000000"/>
          <w:sz w:val="36"/>
          <w:szCs w:val="36"/>
        </w:rPr>
      </w:pPr>
    </w:p>
    <w:p>
      <w:pPr>
        <w:widowControl/>
        <w:ind w:firstLine="3840" w:firstLineChars="800"/>
        <w:rPr>
          <w:rFonts w:ascii="黑体" w:eastAsia="黑体"/>
          <w:color w:val="000000"/>
          <w:sz w:val="48"/>
          <w:szCs w:val="48"/>
        </w:rPr>
      </w:pPr>
      <w:r>
        <w:rPr>
          <w:rFonts w:hint="eastAsia" w:ascii="黑体" w:eastAsia="黑体"/>
          <w:color w:val="000000"/>
          <w:sz w:val="48"/>
          <w:szCs w:val="48"/>
        </w:rPr>
        <w:t>目录</w:t>
      </w:r>
    </w:p>
    <w:p>
      <w:pPr>
        <w:pStyle w:val="15"/>
        <w:jc w:val="center"/>
        <w:rPr>
          <w:b w:val="0"/>
          <w:bCs w:val="0"/>
          <w:sz w:val="24"/>
          <w:szCs w:val="24"/>
        </w:rPr>
      </w:pPr>
      <w:r>
        <w:rPr>
          <w:rFonts w:hint="eastAsia"/>
          <w:b w:val="0"/>
          <w:bCs w:val="0"/>
          <w:sz w:val="24"/>
          <w:szCs w:val="24"/>
        </w:rPr>
        <w:t>公开时间：2021年</w:t>
      </w:r>
      <w:r>
        <w:rPr>
          <w:rFonts w:hint="eastAsia" w:eastAsia="宋体"/>
          <w:b w:val="0"/>
          <w:bCs w:val="0"/>
          <w:sz w:val="24"/>
          <w:szCs w:val="24"/>
          <w:lang w:val="en-US" w:eastAsia="zh-CN"/>
        </w:rPr>
        <w:t>10</w:t>
      </w:r>
      <w:r>
        <w:rPr>
          <w:rFonts w:hint="eastAsia"/>
          <w:b w:val="0"/>
          <w:bCs w:val="0"/>
          <w:sz w:val="24"/>
          <w:szCs w:val="24"/>
        </w:rPr>
        <w:t>月</w:t>
      </w:r>
      <w:r>
        <w:rPr>
          <w:rFonts w:hint="eastAsia" w:eastAsia="宋体"/>
          <w:b w:val="0"/>
          <w:bCs w:val="0"/>
          <w:sz w:val="24"/>
          <w:szCs w:val="24"/>
          <w:lang w:val="en-US" w:eastAsia="zh-CN"/>
        </w:rPr>
        <w:t>20</w:t>
      </w:r>
      <w:r>
        <w:rPr>
          <w:rFonts w:hint="eastAsia"/>
          <w:b w:val="0"/>
          <w:bCs w:val="0"/>
          <w:sz w:val="24"/>
          <w:szCs w:val="24"/>
        </w:rPr>
        <w:t>日</w:t>
      </w:r>
    </w:p>
    <w:p>
      <w:pPr>
        <w:pStyle w:val="15"/>
        <w:tabs>
          <w:tab w:val="right" w:leader="dot" w:pos="8296"/>
        </w:tabs>
        <w:rPr>
          <w:rFonts w:eastAsia="等线" w:cs="Arial"/>
          <w:b w:val="0"/>
          <w:bCs w:val="0"/>
          <w:caps w:val="0"/>
          <w:smallCaps w:val="0"/>
          <w:sz w:val="21"/>
          <w:szCs w:val="22"/>
        </w:rPr>
      </w:pPr>
      <w:r>
        <w:rPr>
          <w:b w:val="0"/>
          <w:bCs w:val="0"/>
          <w:caps w:val="0"/>
          <w:smallCaps w:val="0"/>
        </w:rPr>
        <w:fldChar w:fldCharType="begin"/>
      </w:r>
      <w:r>
        <w:rPr>
          <w:b w:val="0"/>
          <w:bCs w:val="0"/>
          <w:caps w:val="0"/>
          <w:smallCaps w:val="0"/>
        </w:rPr>
        <w:instrText xml:space="preserve"> TOC \o \u </w:instrText>
      </w:r>
      <w:r>
        <w:rPr>
          <w:b w:val="0"/>
          <w:bCs w:val="0"/>
          <w:caps w:val="0"/>
          <w:smallCaps w:val="0"/>
        </w:rPr>
        <w:fldChar w:fldCharType="separate"/>
      </w:r>
      <w:r>
        <w:rPr>
          <w:rFonts w:ascii="黑体" w:eastAsia="黑体"/>
          <w:b w:val="0"/>
        </w:rPr>
        <w:t xml:space="preserve">第一部分 </w:t>
      </w:r>
      <w:r>
        <w:rPr>
          <w:rFonts w:asci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18"/>
        <w:tabs>
          <w:tab w:val="right" w:leader="dot" w:pos="8296"/>
        </w:tabs>
        <w:rPr>
          <w:rFonts w:eastAsia="等线" w:cs="Arial"/>
          <w:caps w:val="0"/>
          <w:smallCaps w:val="0"/>
          <w:sz w:val="21"/>
          <w:szCs w:val="22"/>
        </w:rPr>
      </w:pPr>
      <w:r>
        <w:rPr>
          <w:rFonts w:ascii="黑体" w:eastAsia="黑体"/>
          <w:color w:val="000000"/>
        </w:rPr>
        <w:t>一、基</w:t>
      </w:r>
      <w:r>
        <w:rPr>
          <w:rFonts w:ascii="黑体" w:eastAsia="黑体"/>
        </w:rPr>
        <w:t>本职能及主要工作</w:t>
      </w:r>
      <w:r>
        <w:tab/>
      </w:r>
      <w:r>
        <w:fldChar w:fldCharType="begin"/>
      </w:r>
      <w:r>
        <w:instrText xml:space="preserve"> PAGEREF _Toc79163852 \h </w:instrText>
      </w:r>
      <w:r>
        <w:fldChar w:fldCharType="separate"/>
      </w:r>
      <w:r>
        <w:t>4</w:t>
      </w:r>
      <w:r>
        <w:fldChar w:fldCharType="end"/>
      </w:r>
    </w:p>
    <w:p>
      <w:pPr>
        <w:pStyle w:val="10"/>
        <w:tabs>
          <w:tab w:val="right" w:leader="dot" w:pos="8296"/>
        </w:tabs>
        <w:rPr>
          <w:rFonts w:eastAsia="等线" w:cs="Arial"/>
          <w:i w:val="0"/>
          <w:iCs w:val="0"/>
          <w:sz w:val="21"/>
          <w:szCs w:val="22"/>
        </w:rPr>
      </w:pPr>
      <w:r>
        <w:rPr>
          <w:rFonts w:ascii="仿宋" w:eastAsia="仿宋"/>
          <w:bCs/>
          <w:color w:val="000000"/>
        </w:rPr>
        <w:t>（一）主要职能。</w:t>
      </w:r>
      <w:r>
        <w:tab/>
      </w:r>
      <w:r>
        <w:fldChar w:fldCharType="begin"/>
      </w:r>
      <w:r>
        <w:instrText xml:space="preserve"> PAGEREF _Toc79163853 \h </w:instrText>
      </w:r>
      <w:r>
        <w:fldChar w:fldCharType="separate"/>
      </w:r>
      <w:r>
        <w:t>4</w:t>
      </w:r>
      <w:r>
        <w:fldChar w:fldCharType="end"/>
      </w:r>
    </w:p>
    <w:p>
      <w:pPr>
        <w:pStyle w:val="10"/>
        <w:tabs>
          <w:tab w:val="right" w:leader="dot" w:pos="8296"/>
        </w:tabs>
        <w:rPr>
          <w:rFonts w:eastAsia="等线" w:cs="Arial"/>
          <w:i w:val="0"/>
          <w:iCs w:val="0"/>
          <w:sz w:val="21"/>
          <w:szCs w:val="22"/>
        </w:rPr>
      </w:pPr>
      <w:r>
        <w:rPr>
          <w:rFonts w:ascii="仿宋" w:eastAsia="仿宋"/>
          <w:bCs/>
          <w:color w:val="000000"/>
        </w:rPr>
        <w:t>（二）2020年重点工作完成情况。</w:t>
      </w:r>
      <w:r>
        <w:tab/>
      </w:r>
      <w:r>
        <w:fldChar w:fldCharType="begin"/>
      </w:r>
      <w:r>
        <w:instrText xml:space="preserve"> PAGEREF _Toc79163854 \h </w:instrText>
      </w:r>
      <w:r>
        <w:fldChar w:fldCharType="separate"/>
      </w:r>
      <w:r>
        <w:t>4</w:t>
      </w:r>
      <w:r>
        <w:fldChar w:fldCharType="end"/>
      </w:r>
    </w:p>
    <w:p>
      <w:pPr>
        <w:pStyle w:val="18"/>
        <w:tabs>
          <w:tab w:val="right" w:leader="dot" w:pos="8296"/>
        </w:tabs>
        <w:rPr>
          <w:rFonts w:eastAsia="等线" w:cs="Arial"/>
          <w:caps w:val="0"/>
          <w:smallCaps w:val="0"/>
          <w:sz w:val="21"/>
          <w:szCs w:val="22"/>
        </w:rPr>
      </w:pPr>
      <w:r>
        <w:rPr>
          <w:rFonts w:ascii="黑体" w:eastAsia="黑体"/>
          <w:color w:val="000000"/>
        </w:rPr>
        <w:t>二、机</w:t>
      </w:r>
      <w:r>
        <w:rPr>
          <w:rFonts w:ascii="黑体" w:eastAsia="黑体"/>
        </w:rPr>
        <w:t>构设置</w:t>
      </w:r>
      <w:r>
        <w:tab/>
      </w:r>
      <w:r>
        <w:fldChar w:fldCharType="begin"/>
      </w:r>
      <w:r>
        <w:instrText xml:space="preserve"> PAGEREF _Toc79163855 \h </w:instrText>
      </w:r>
      <w:r>
        <w:fldChar w:fldCharType="separate"/>
      </w:r>
      <w:r>
        <w:t>4</w:t>
      </w:r>
      <w:r>
        <w:fldChar w:fldCharType="end"/>
      </w:r>
    </w:p>
    <w:p>
      <w:pPr>
        <w:pStyle w:val="15"/>
        <w:tabs>
          <w:tab w:val="right" w:leader="dot" w:pos="8296"/>
        </w:tabs>
        <w:rPr>
          <w:rFonts w:eastAsia="等线" w:cs="Arial"/>
          <w:b w:val="0"/>
          <w:bCs w:val="0"/>
          <w:caps w:val="0"/>
          <w:smallCaps w:val="0"/>
          <w:sz w:val="21"/>
          <w:szCs w:val="22"/>
        </w:rPr>
      </w:pPr>
      <w:r>
        <w:rPr>
          <w:rFonts w:ascii="黑体" w:eastAsia="黑体"/>
          <w:b w:val="0"/>
          <w:color w:val="000000"/>
        </w:rPr>
        <w:t>第二部分</w:t>
      </w:r>
      <w:r>
        <w:rPr>
          <w:rFonts w:ascii="黑体" w:eastAsia="黑体"/>
          <w:color w:val="000000"/>
        </w:rPr>
        <w:t xml:space="preserve"> </w:t>
      </w:r>
      <w:r>
        <w:rPr>
          <w:rFonts w:ascii="黑体" w:eastAsia="黑体"/>
          <w:b w:val="0"/>
          <w:bCs w:val="0"/>
        </w:rPr>
        <w:t>2020年度部门决算情况说明</w:t>
      </w:r>
      <w:r>
        <w:tab/>
      </w:r>
      <w:r>
        <w:t>4</w:t>
      </w:r>
    </w:p>
    <w:p>
      <w:pPr>
        <w:pStyle w:val="18"/>
        <w:tabs>
          <w:tab w:val="left" w:pos="840"/>
          <w:tab w:val="right" w:leader="dot" w:pos="8296"/>
        </w:tabs>
        <w:rPr>
          <w:rFonts w:eastAsia="等线" w:cs="Arial"/>
          <w:caps w:val="0"/>
          <w:smallCaps w:val="0"/>
          <w:sz w:val="21"/>
          <w:szCs w:val="22"/>
        </w:rPr>
      </w:pPr>
      <w:r>
        <w:rPr>
          <w:rFonts w:ascii="黑体" w:eastAsia="黑体"/>
          <w:bCs/>
        </w:rPr>
        <w:t>一、</w:t>
      </w:r>
      <w:r>
        <w:rPr>
          <w:rFonts w:eastAsia="等线" w:cs="Arial"/>
          <w:caps w:val="0"/>
          <w:smallCaps w:val="0"/>
          <w:sz w:val="21"/>
          <w:szCs w:val="22"/>
        </w:rPr>
        <w:tab/>
      </w:r>
      <w:r>
        <w:rPr>
          <w:rFonts w:ascii="黑体" w:eastAsia="黑体"/>
          <w:color w:val="000000"/>
        </w:rPr>
        <w:t>收</w:t>
      </w:r>
      <w:r>
        <w:rPr>
          <w:rFonts w:ascii="黑体" w:eastAsia="黑体"/>
          <w:bCs/>
        </w:rPr>
        <w:t>入支出决算总体情况说明</w:t>
      </w:r>
      <w:r>
        <w:tab/>
      </w:r>
      <w:r>
        <w:t>4</w:t>
      </w:r>
    </w:p>
    <w:p>
      <w:pPr>
        <w:pStyle w:val="18"/>
        <w:tabs>
          <w:tab w:val="left" w:pos="840"/>
          <w:tab w:val="right" w:leader="dot" w:pos="8296"/>
        </w:tabs>
        <w:rPr>
          <w:rFonts w:eastAsia="等线" w:cs="Arial"/>
          <w:caps w:val="0"/>
          <w:smallCaps w:val="0"/>
          <w:sz w:val="21"/>
          <w:szCs w:val="22"/>
        </w:rPr>
      </w:pPr>
      <w:r>
        <w:rPr>
          <w:rFonts w:ascii="黑体" w:eastAsia="黑体"/>
          <w:bCs/>
        </w:rPr>
        <w:t>二、</w:t>
      </w:r>
      <w:r>
        <w:rPr>
          <w:rFonts w:eastAsia="等线" w:cs="Arial"/>
          <w:caps w:val="0"/>
          <w:smallCaps w:val="0"/>
          <w:sz w:val="21"/>
          <w:szCs w:val="22"/>
        </w:rPr>
        <w:tab/>
      </w:r>
      <w:r>
        <w:rPr>
          <w:rFonts w:ascii="黑体" w:eastAsia="黑体"/>
          <w:color w:val="000000"/>
        </w:rPr>
        <w:t>收</w:t>
      </w:r>
      <w:r>
        <w:rPr>
          <w:rFonts w:ascii="黑体" w:eastAsia="黑体"/>
          <w:bCs/>
        </w:rPr>
        <w:t>入决算情况说明</w:t>
      </w:r>
      <w:r>
        <w:tab/>
      </w:r>
      <w:r>
        <w:fldChar w:fldCharType="begin"/>
      </w:r>
      <w:r>
        <w:instrText xml:space="preserve"> PAGEREF _Toc79163861 \h </w:instrText>
      </w:r>
      <w:r>
        <w:fldChar w:fldCharType="separate"/>
      </w:r>
      <w:r>
        <w:t>5</w:t>
      </w:r>
      <w:r>
        <w:fldChar w:fldCharType="end"/>
      </w:r>
    </w:p>
    <w:p>
      <w:pPr>
        <w:pStyle w:val="18"/>
        <w:tabs>
          <w:tab w:val="left" w:pos="840"/>
          <w:tab w:val="right" w:leader="dot" w:pos="8296"/>
        </w:tabs>
        <w:rPr>
          <w:rFonts w:eastAsia="等线" w:cs="Arial"/>
          <w:caps w:val="0"/>
          <w:smallCaps w:val="0"/>
          <w:sz w:val="21"/>
          <w:szCs w:val="22"/>
        </w:rPr>
      </w:pPr>
      <w:r>
        <w:rPr>
          <w:rFonts w:ascii="黑体" w:eastAsia="黑体"/>
          <w:bCs/>
        </w:rPr>
        <w:t>三、</w:t>
      </w:r>
      <w:r>
        <w:rPr>
          <w:rFonts w:eastAsia="等线" w:cs="Arial"/>
          <w:caps w:val="0"/>
          <w:smallCaps w:val="0"/>
          <w:sz w:val="21"/>
          <w:szCs w:val="22"/>
        </w:rPr>
        <w:tab/>
      </w:r>
      <w:r>
        <w:rPr>
          <w:rFonts w:ascii="黑体" w:eastAsia="黑体"/>
          <w:color w:val="000000"/>
        </w:rPr>
        <w:t>支</w:t>
      </w:r>
      <w:r>
        <w:rPr>
          <w:rFonts w:ascii="黑体" w:eastAsia="黑体"/>
          <w:bCs/>
        </w:rPr>
        <w:t>出决算情况说明</w:t>
      </w:r>
      <w:r>
        <w:tab/>
      </w:r>
      <w:r>
        <w:t>6</w:t>
      </w:r>
    </w:p>
    <w:p>
      <w:pPr>
        <w:pStyle w:val="18"/>
        <w:tabs>
          <w:tab w:val="right" w:leader="dot" w:pos="8296"/>
        </w:tabs>
        <w:rPr>
          <w:rFonts w:eastAsia="等线" w:cs="Arial"/>
          <w:caps w:val="0"/>
          <w:smallCaps w:val="0"/>
          <w:sz w:val="21"/>
          <w:szCs w:val="22"/>
        </w:rPr>
      </w:pPr>
      <w:r>
        <w:rPr>
          <w:rFonts w:ascii="黑体" w:eastAsia="黑体"/>
          <w:color w:val="000000"/>
        </w:rPr>
        <w:t>四、财</w:t>
      </w:r>
      <w:r>
        <w:rPr>
          <w:rFonts w:ascii="黑体" w:eastAsia="黑体"/>
          <w:bCs/>
        </w:rPr>
        <w:t>政拨款收入支出决算总体情况说明</w:t>
      </w:r>
      <w:r>
        <w:tab/>
      </w:r>
      <w:r>
        <w:t>7</w:t>
      </w:r>
    </w:p>
    <w:p>
      <w:pPr>
        <w:pStyle w:val="18"/>
        <w:tabs>
          <w:tab w:val="right" w:leader="dot" w:pos="8296"/>
        </w:tabs>
        <w:rPr>
          <w:rFonts w:eastAsia="等线" w:cs="Arial"/>
          <w:caps w:val="0"/>
          <w:smallCaps w:val="0"/>
          <w:sz w:val="21"/>
          <w:szCs w:val="22"/>
        </w:rPr>
      </w:pPr>
      <w:r>
        <w:rPr>
          <w:rFonts w:ascii="黑体" w:eastAsia="黑体"/>
          <w:color w:val="000000"/>
        </w:rPr>
        <w:t>五、</w:t>
      </w:r>
      <w:r>
        <w:rPr>
          <w:rFonts w:ascii="黑体" w:eastAsia="黑体"/>
          <w:b/>
          <w:color w:val="000000"/>
        </w:rPr>
        <w:t>一</w:t>
      </w:r>
      <w:r>
        <w:rPr>
          <w:rFonts w:ascii="黑体" w:eastAsia="黑体"/>
          <w:bCs/>
        </w:rPr>
        <w:t>般公共预算财政拨款支出决算情况说明</w:t>
      </w:r>
      <w:r>
        <w:tab/>
      </w:r>
      <w:r>
        <w:t>7</w:t>
      </w:r>
    </w:p>
    <w:p>
      <w:pPr>
        <w:pStyle w:val="10"/>
        <w:tabs>
          <w:tab w:val="right" w:leader="dot" w:pos="8296"/>
        </w:tabs>
        <w:rPr>
          <w:rFonts w:eastAsia="等线" w:cs="Arial"/>
          <w:i w:val="0"/>
          <w:iCs w:val="0"/>
          <w:sz w:val="21"/>
          <w:szCs w:val="22"/>
        </w:rPr>
      </w:pPr>
      <w:r>
        <w:rPr>
          <w:rFonts w:ascii="仿宋" w:eastAsia="仿宋"/>
          <w:b/>
          <w:color w:val="000000"/>
        </w:rPr>
        <w:t>（一）一般公共预算财政拨款支出决算总体情况</w:t>
      </w:r>
      <w:r>
        <w:tab/>
      </w:r>
      <w:r>
        <w:t>7</w:t>
      </w:r>
    </w:p>
    <w:p>
      <w:pPr>
        <w:pStyle w:val="10"/>
        <w:tabs>
          <w:tab w:val="right" w:leader="dot" w:pos="8296"/>
        </w:tabs>
        <w:rPr>
          <w:rFonts w:eastAsia="等线" w:cs="Arial"/>
          <w:i w:val="0"/>
          <w:iCs w:val="0"/>
          <w:sz w:val="21"/>
          <w:szCs w:val="22"/>
        </w:rPr>
      </w:pPr>
      <w:r>
        <w:rPr>
          <w:rFonts w:ascii="仿宋" w:eastAsia="仿宋"/>
          <w:b/>
          <w:color w:val="000000"/>
        </w:rPr>
        <w:t>（二）一般公共预算财政拨款支出决算结构情况</w:t>
      </w:r>
      <w:r>
        <w:tab/>
      </w:r>
      <w:r>
        <w:t>8</w:t>
      </w:r>
    </w:p>
    <w:p>
      <w:pPr>
        <w:pStyle w:val="10"/>
        <w:tabs>
          <w:tab w:val="right" w:leader="dot" w:pos="8296"/>
        </w:tabs>
        <w:rPr>
          <w:rFonts w:eastAsia="等线" w:cs="Arial"/>
          <w:i w:val="0"/>
          <w:iCs w:val="0"/>
          <w:sz w:val="21"/>
          <w:szCs w:val="22"/>
        </w:rPr>
      </w:pPr>
      <w:r>
        <w:rPr>
          <w:rFonts w:ascii="仿宋" w:eastAsia="仿宋"/>
          <w:b/>
          <w:color w:val="000000"/>
        </w:rPr>
        <w:t>（三）一般公共预算财政拨款支出决算具体情况</w:t>
      </w:r>
      <w:r>
        <w:tab/>
      </w:r>
      <w:r>
        <w:t>9</w:t>
      </w:r>
    </w:p>
    <w:p>
      <w:pPr>
        <w:pStyle w:val="18"/>
        <w:tabs>
          <w:tab w:val="right" w:leader="dot" w:pos="8296"/>
        </w:tabs>
        <w:rPr>
          <w:rFonts w:eastAsia="等线" w:cs="Arial"/>
          <w:caps w:val="0"/>
          <w:smallCaps w:val="0"/>
          <w:sz w:val="21"/>
          <w:szCs w:val="22"/>
        </w:rPr>
      </w:pPr>
      <w:r>
        <w:rPr>
          <w:rFonts w:ascii="黑体" w:eastAsia="黑体"/>
          <w:color w:val="000000"/>
        </w:rPr>
        <w:t>六</w:t>
      </w:r>
      <w:r>
        <w:rPr>
          <w:rFonts w:ascii="黑体" w:eastAsia="黑体"/>
          <w:b/>
          <w:color w:val="000000"/>
        </w:rPr>
        <w:t>、一</w:t>
      </w:r>
      <w:r>
        <w:rPr>
          <w:rFonts w:ascii="黑体" w:eastAsia="黑体"/>
          <w:bCs/>
        </w:rPr>
        <w:t>般公共预算财政拨款基本支出决算情况说明</w:t>
      </w:r>
      <w:r>
        <w:tab/>
      </w:r>
      <w:r>
        <w:t>9</w:t>
      </w:r>
    </w:p>
    <w:p>
      <w:pPr>
        <w:pStyle w:val="18"/>
        <w:tabs>
          <w:tab w:val="right" w:leader="dot" w:pos="8296"/>
        </w:tabs>
        <w:rPr>
          <w:rFonts w:eastAsia="等线" w:cs="Arial"/>
          <w:caps w:val="0"/>
          <w:smallCaps w:val="0"/>
          <w:sz w:val="21"/>
          <w:szCs w:val="22"/>
        </w:rPr>
      </w:pPr>
      <w:r>
        <w:rPr>
          <w:rFonts w:ascii="黑体" w:eastAsia="黑体"/>
          <w:color w:val="000000"/>
        </w:rPr>
        <w:t>七、</w:t>
      </w:r>
      <w:r>
        <w:rPr>
          <w:rFonts w:ascii="黑体" w:eastAsia="黑体"/>
          <w:b/>
          <w:bCs/>
        </w:rPr>
        <w:t>“</w:t>
      </w:r>
      <w:r>
        <w:rPr>
          <w:rFonts w:ascii="黑体" w:eastAsia="黑体"/>
          <w:bCs/>
        </w:rPr>
        <w:t>三公”经费财政拨款支出决算情况说明</w:t>
      </w:r>
      <w:r>
        <w:tab/>
      </w:r>
      <w:r>
        <w:t>10</w:t>
      </w:r>
    </w:p>
    <w:p>
      <w:pPr>
        <w:pStyle w:val="10"/>
        <w:tabs>
          <w:tab w:val="right" w:leader="dot" w:pos="8296"/>
        </w:tabs>
        <w:rPr>
          <w:rFonts w:eastAsia="等线" w:cs="Arial"/>
          <w:i w:val="0"/>
          <w:iCs w:val="0"/>
          <w:sz w:val="21"/>
          <w:szCs w:val="22"/>
        </w:rPr>
      </w:pPr>
      <w:r>
        <w:rPr>
          <w:rFonts w:ascii="仿宋" w:eastAsia="仿宋"/>
          <w:b/>
          <w:color w:val="000000"/>
        </w:rPr>
        <w:t>（一）“三公”经费财政拨款支出决算总体情况说明</w:t>
      </w:r>
      <w:r>
        <w:tab/>
      </w:r>
      <w:r>
        <w:t>10</w:t>
      </w:r>
    </w:p>
    <w:p>
      <w:pPr>
        <w:pStyle w:val="10"/>
        <w:tabs>
          <w:tab w:val="right" w:leader="dot" w:pos="8296"/>
        </w:tabs>
        <w:rPr>
          <w:rFonts w:eastAsia="等线" w:cs="Arial"/>
          <w:i w:val="0"/>
          <w:iCs w:val="0"/>
          <w:sz w:val="21"/>
          <w:szCs w:val="22"/>
        </w:rPr>
      </w:pPr>
      <w:r>
        <w:rPr>
          <w:rFonts w:ascii="仿宋" w:eastAsia="仿宋"/>
          <w:b/>
          <w:color w:val="000000"/>
        </w:rPr>
        <w:t>（二）“三公”经费财政拨款支出决算具体情况说明</w:t>
      </w:r>
      <w:r>
        <w:tab/>
      </w:r>
      <w:r>
        <w:t>10</w:t>
      </w:r>
    </w:p>
    <w:p>
      <w:pPr>
        <w:pStyle w:val="18"/>
        <w:tabs>
          <w:tab w:val="right" w:leader="dot" w:pos="8296"/>
        </w:tabs>
        <w:rPr>
          <w:rFonts w:eastAsia="等线" w:cs="Arial"/>
          <w:caps w:val="0"/>
          <w:smallCaps w:val="0"/>
          <w:sz w:val="21"/>
          <w:szCs w:val="22"/>
        </w:rPr>
      </w:pPr>
      <w:r>
        <w:rPr>
          <w:rFonts w:ascii="黑体" w:eastAsia="黑体"/>
          <w:color w:val="000000"/>
        </w:rPr>
        <w:t>八、</w:t>
      </w:r>
      <w:r>
        <w:rPr>
          <w:rFonts w:ascii="黑体" w:eastAsia="黑体"/>
          <w:bCs/>
        </w:rPr>
        <w:t>政府性基金预算支出决算情况说明</w:t>
      </w:r>
      <w:r>
        <w:tab/>
      </w:r>
      <w:r>
        <w:t>10</w:t>
      </w:r>
    </w:p>
    <w:p>
      <w:pPr>
        <w:pStyle w:val="18"/>
        <w:tabs>
          <w:tab w:val="right" w:leader="dot" w:pos="8296"/>
        </w:tabs>
        <w:rPr>
          <w:rFonts w:eastAsia="等线" w:cs="Arial"/>
          <w:caps w:val="0"/>
          <w:smallCaps w:val="0"/>
          <w:sz w:val="21"/>
          <w:szCs w:val="22"/>
        </w:rPr>
      </w:pPr>
      <w:r>
        <w:rPr>
          <w:rFonts w:ascii="黑体" w:eastAsia="黑体"/>
          <w:bCs/>
        </w:rPr>
        <w:t>九、 国有资本经营预算支出决算情况说明</w:t>
      </w:r>
      <w:r>
        <w:tab/>
      </w:r>
      <w:r>
        <w:t>10</w:t>
      </w:r>
    </w:p>
    <w:p>
      <w:pPr>
        <w:pStyle w:val="18"/>
        <w:tabs>
          <w:tab w:val="right" w:leader="dot" w:pos="8296"/>
        </w:tabs>
        <w:rPr>
          <w:rFonts w:eastAsia="等线" w:cs="Arial"/>
          <w:caps w:val="0"/>
          <w:smallCaps w:val="0"/>
          <w:sz w:val="21"/>
          <w:szCs w:val="22"/>
        </w:rPr>
      </w:pPr>
      <w:r>
        <w:rPr>
          <w:rFonts w:ascii="黑体" w:eastAsia="黑体"/>
          <w:color w:val="000000"/>
        </w:rPr>
        <w:t>十</w:t>
      </w:r>
      <w:r>
        <w:rPr>
          <w:rFonts w:ascii="黑体" w:eastAsia="黑体"/>
          <w:b/>
          <w:bCs/>
        </w:rPr>
        <w:t>、</w:t>
      </w:r>
      <w:r>
        <w:rPr>
          <w:rFonts w:ascii="黑体" w:eastAsia="黑体"/>
          <w:bCs/>
        </w:rPr>
        <w:t>其他重要事项的情况说明</w:t>
      </w:r>
      <w:r>
        <w:tab/>
      </w:r>
      <w:r>
        <w:t>10</w:t>
      </w:r>
    </w:p>
    <w:p>
      <w:pPr>
        <w:pStyle w:val="10"/>
        <w:tabs>
          <w:tab w:val="right" w:leader="dot" w:pos="8296"/>
        </w:tabs>
        <w:rPr>
          <w:rFonts w:eastAsia="等线" w:cs="Arial"/>
          <w:i w:val="0"/>
          <w:iCs w:val="0"/>
          <w:sz w:val="21"/>
          <w:szCs w:val="22"/>
        </w:rPr>
      </w:pPr>
      <w:r>
        <w:rPr>
          <w:rFonts w:ascii="仿宋" w:eastAsia="仿宋"/>
          <w:b/>
          <w:color w:val="000000"/>
        </w:rPr>
        <w:t>（一）机关运行经费支出情况</w:t>
      </w:r>
      <w:r>
        <w:tab/>
      </w:r>
      <w:r>
        <w:t>10</w:t>
      </w:r>
    </w:p>
    <w:p>
      <w:pPr>
        <w:pStyle w:val="10"/>
        <w:tabs>
          <w:tab w:val="right" w:leader="dot" w:pos="8296"/>
        </w:tabs>
        <w:rPr>
          <w:rFonts w:eastAsia="等线" w:cs="Arial"/>
          <w:i w:val="0"/>
          <w:iCs w:val="0"/>
          <w:sz w:val="21"/>
          <w:szCs w:val="22"/>
        </w:rPr>
      </w:pPr>
      <w:r>
        <w:rPr>
          <w:rFonts w:ascii="仿宋" w:eastAsia="仿宋"/>
          <w:b/>
          <w:color w:val="000000"/>
        </w:rPr>
        <w:t>（二）政府采购支出情况</w:t>
      </w:r>
      <w:r>
        <w:tab/>
      </w:r>
      <w:r>
        <w:fldChar w:fldCharType="begin"/>
      </w:r>
      <w:r>
        <w:instrText xml:space="preserve"> PAGEREF _Toc79163876 \h </w:instrText>
      </w:r>
      <w:r>
        <w:fldChar w:fldCharType="separate"/>
      </w:r>
      <w:r>
        <w:t>11</w:t>
      </w:r>
      <w:r>
        <w:fldChar w:fldCharType="end"/>
      </w:r>
    </w:p>
    <w:p>
      <w:pPr>
        <w:pStyle w:val="10"/>
        <w:tabs>
          <w:tab w:val="right" w:leader="dot" w:pos="8296"/>
        </w:tabs>
        <w:rPr>
          <w:rFonts w:eastAsia="等线" w:cs="Arial"/>
          <w:i w:val="0"/>
          <w:iCs w:val="0"/>
          <w:sz w:val="21"/>
          <w:szCs w:val="22"/>
        </w:rPr>
      </w:pPr>
      <w:r>
        <w:rPr>
          <w:rFonts w:ascii="仿宋" w:eastAsia="仿宋"/>
          <w:b/>
          <w:color w:val="000000"/>
        </w:rPr>
        <w:t>（三）国有资产占有使用情况</w:t>
      </w:r>
      <w:r>
        <w:tab/>
      </w:r>
      <w:r>
        <w:fldChar w:fldCharType="begin"/>
      </w:r>
      <w:r>
        <w:instrText xml:space="preserve"> PAGEREF _Toc79163877 \h </w:instrText>
      </w:r>
      <w:r>
        <w:fldChar w:fldCharType="separate"/>
      </w:r>
      <w:r>
        <w:t>11</w:t>
      </w:r>
      <w:r>
        <w:fldChar w:fldCharType="end"/>
      </w:r>
    </w:p>
    <w:p>
      <w:pPr>
        <w:pStyle w:val="10"/>
        <w:tabs>
          <w:tab w:val="right" w:leader="dot" w:pos="8296"/>
        </w:tabs>
        <w:rPr>
          <w:rFonts w:eastAsia="等线" w:cs="Arial"/>
          <w:i w:val="0"/>
          <w:iCs w:val="0"/>
          <w:sz w:val="21"/>
          <w:szCs w:val="22"/>
        </w:rPr>
      </w:pPr>
      <w:r>
        <w:rPr>
          <w:rFonts w:ascii="仿宋" w:eastAsia="仿宋"/>
          <w:b/>
          <w:color w:val="000000"/>
        </w:rPr>
        <w:t>（四）预算绩效管理情况。</w:t>
      </w:r>
      <w:r>
        <w:tab/>
      </w:r>
      <w:r>
        <w:t>11</w:t>
      </w:r>
    </w:p>
    <w:p>
      <w:pPr>
        <w:pStyle w:val="15"/>
        <w:tabs>
          <w:tab w:val="right" w:leader="dot" w:pos="8296"/>
        </w:tabs>
        <w:rPr>
          <w:rFonts w:eastAsia="等线" w:cs="Arial"/>
          <w:b w:val="0"/>
          <w:bCs w:val="0"/>
          <w:caps w:val="0"/>
          <w:smallCaps w:val="0"/>
          <w:sz w:val="21"/>
          <w:szCs w:val="22"/>
        </w:rPr>
      </w:pPr>
      <w:r>
        <w:rPr>
          <w:rFonts w:ascii="黑体" w:eastAsia="黑体"/>
          <w:kern w:val="44"/>
        </w:rPr>
        <w:t>第三部分</w:t>
      </w:r>
      <w:r>
        <w:rPr>
          <w:rFonts w:ascii="黑体" w:eastAsia="黑体"/>
          <w:color w:val="000000"/>
        </w:rPr>
        <w:t xml:space="preserve"> 名</w:t>
      </w:r>
      <w:r>
        <w:rPr>
          <w:rFonts w:ascii="黑体" w:eastAsia="黑体"/>
          <w:kern w:val="44"/>
        </w:rPr>
        <w:t>词解释</w:t>
      </w:r>
      <w:r>
        <w:tab/>
      </w:r>
      <w:r>
        <w:t>11</w:t>
      </w:r>
    </w:p>
    <w:p>
      <w:pPr>
        <w:pStyle w:val="15"/>
        <w:tabs>
          <w:tab w:val="right" w:leader="dot" w:pos="8296"/>
        </w:tabs>
        <w:rPr>
          <w:rFonts w:eastAsia="等线" w:cs="Arial"/>
          <w:b w:val="0"/>
          <w:bCs w:val="0"/>
          <w:caps w:val="0"/>
          <w:smallCaps w:val="0"/>
          <w:sz w:val="21"/>
          <w:szCs w:val="22"/>
        </w:rPr>
      </w:pPr>
      <w:r>
        <w:rPr>
          <w:rFonts w:ascii="黑体" w:eastAsia="黑体"/>
          <w:color w:val="000000"/>
        </w:rPr>
        <w:t>第</w:t>
      </w:r>
      <w:r>
        <w:rPr>
          <w:rFonts w:ascii="黑体" w:eastAsia="黑体"/>
          <w:kern w:val="44"/>
        </w:rPr>
        <w:t>四部分 附件</w:t>
      </w:r>
      <w:r>
        <w:tab/>
      </w:r>
      <w:r>
        <w:t>14</w:t>
      </w:r>
    </w:p>
    <w:p>
      <w:pPr>
        <w:pStyle w:val="15"/>
        <w:tabs>
          <w:tab w:val="right" w:leader="dot" w:pos="8296"/>
        </w:tabs>
        <w:rPr>
          <w:rFonts w:eastAsia="等线" w:cs="Arial"/>
          <w:b w:val="0"/>
          <w:bCs w:val="0"/>
          <w:caps w:val="0"/>
          <w:smallCaps w:val="0"/>
          <w:sz w:val="21"/>
          <w:szCs w:val="22"/>
        </w:rPr>
      </w:pPr>
      <w:r>
        <w:rPr>
          <w:rFonts w:ascii="黑体" w:eastAsia="黑体" w:cs="黑体"/>
        </w:rPr>
        <w:t>附件1</w:t>
      </w:r>
      <w:r>
        <w:tab/>
      </w:r>
      <w:r>
        <w:t>14</w:t>
      </w:r>
    </w:p>
    <w:p>
      <w:pPr>
        <w:pStyle w:val="15"/>
        <w:tabs>
          <w:tab w:val="right" w:leader="dot" w:pos="8296"/>
        </w:tabs>
        <w:rPr>
          <w:rFonts w:eastAsia="等线" w:cs="Arial"/>
          <w:b w:val="0"/>
          <w:bCs w:val="0"/>
          <w:caps w:val="0"/>
          <w:smallCaps w:val="0"/>
          <w:sz w:val="21"/>
          <w:szCs w:val="22"/>
        </w:rPr>
      </w:pPr>
      <w:r>
        <w:rPr>
          <w:rFonts w:ascii="方正小标宋简体" w:eastAsia="方正小标宋简体" w:cs="黑体"/>
        </w:rPr>
        <w:t>壤塘县人防办部门2020年部门整体支出绩效评价报告</w:t>
      </w:r>
      <w:r>
        <w:tab/>
      </w:r>
      <w:r>
        <w:t>14</w:t>
      </w:r>
    </w:p>
    <w:p>
      <w:pPr>
        <w:pStyle w:val="15"/>
        <w:tabs>
          <w:tab w:val="right" w:leader="dot" w:pos="8296"/>
        </w:tabs>
        <w:rPr>
          <w:rFonts w:eastAsia="等线" w:cs="Arial"/>
          <w:b w:val="0"/>
          <w:bCs w:val="0"/>
          <w:caps w:val="0"/>
          <w:smallCaps w:val="0"/>
          <w:sz w:val="21"/>
          <w:szCs w:val="22"/>
        </w:rPr>
      </w:pPr>
      <w:r>
        <w:rPr>
          <w:rFonts w:ascii="黑体" w:eastAsia="黑体"/>
          <w:color w:val="000000"/>
        </w:rPr>
        <w:t>第</w:t>
      </w:r>
      <w:r>
        <w:rPr>
          <w:rFonts w:ascii="黑体" w:eastAsia="黑体"/>
          <w:kern w:val="44"/>
        </w:rPr>
        <w:t>五部分 附表</w:t>
      </w:r>
      <w:r>
        <w:tab/>
      </w:r>
      <w:r>
        <w:t>16</w:t>
      </w:r>
    </w:p>
    <w:p>
      <w:pPr>
        <w:pStyle w:val="18"/>
        <w:tabs>
          <w:tab w:val="right" w:leader="dot" w:pos="8296"/>
        </w:tabs>
        <w:rPr>
          <w:rFonts w:eastAsia="等线" w:cs="Arial"/>
          <w:caps w:val="0"/>
          <w:smallCaps w:val="0"/>
          <w:sz w:val="21"/>
          <w:szCs w:val="22"/>
        </w:rPr>
      </w:pPr>
      <w:r>
        <w:rPr>
          <w:rFonts w:ascii="仿宋" w:eastAsia="仿宋"/>
          <w:color w:val="000000"/>
        </w:rPr>
        <w:t>一、收</w:t>
      </w:r>
      <w:r>
        <w:rPr>
          <w:rFonts w:ascii="仿宋" w:eastAsia="仿宋"/>
        </w:rPr>
        <w:t>入支出决算总表</w:t>
      </w:r>
      <w:r>
        <w:tab/>
      </w:r>
      <w:r>
        <w:t>16</w:t>
      </w:r>
    </w:p>
    <w:p>
      <w:pPr>
        <w:pStyle w:val="18"/>
        <w:tabs>
          <w:tab w:val="right" w:leader="dot" w:pos="8296"/>
        </w:tabs>
        <w:rPr>
          <w:rFonts w:eastAsia="等线" w:cs="Arial"/>
          <w:caps w:val="0"/>
          <w:smallCaps w:val="0"/>
          <w:sz w:val="21"/>
          <w:szCs w:val="22"/>
        </w:rPr>
      </w:pPr>
      <w:r>
        <w:rPr>
          <w:rFonts w:ascii="仿宋" w:eastAsia="仿宋"/>
          <w:color w:val="000000"/>
        </w:rPr>
        <w:t>二、收</w:t>
      </w:r>
      <w:r>
        <w:rPr>
          <w:rFonts w:ascii="仿宋" w:eastAsia="仿宋"/>
        </w:rPr>
        <w:t>入决算表</w:t>
      </w:r>
      <w:r>
        <w:tab/>
      </w:r>
      <w:r>
        <w:t>16</w:t>
      </w:r>
    </w:p>
    <w:p>
      <w:pPr>
        <w:pStyle w:val="18"/>
        <w:tabs>
          <w:tab w:val="right" w:leader="dot" w:pos="8296"/>
        </w:tabs>
        <w:rPr>
          <w:rFonts w:eastAsia="等线" w:cs="Arial"/>
          <w:caps w:val="0"/>
          <w:smallCaps w:val="0"/>
          <w:sz w:val="21"/>
          <w:szCs w:val="22"/>
        </w:rPr>
      </w:pPr>
      <w:r>
        <w:rPr>
          <w:rFonts w:ascii="仿宋" w:eastAsia="仿宋"/>
        </w:rPr>
        <w:t>三、</w:t>
      </w:r>
      <w:r>
        <w:rPr>
          <w:rFonts w:ascii="仿宋" w:eastAsia="仿宋"/>
          <w:color w:val="000000"/>
        </w:rPr>
        <w:t>支</w:t>
      </w:r>
      <w:r>
        <w:rPr>
          <w:rFonts w:ascii="仿宋" w:eastAsia="仿宋"/>
        </w:rPr>
        <w:t>出决算表</w:t>
      </w:r>
      <w:r>
        <w:tab/>
      </w:r>
      <w:r>
        <w:t>16</w:t>
      </w:r>
    </w:p>
    <w:p>
      <w:pPr>
        <w:pStyle w:val="18"/>
        <w:tabs>
          <w:tab w:val="right" w:leader="dot" w:pos="8296"/>
        </w:tabs>
        <w:rPr>
          <w:rFonts w:eastAsia="等线" w:cs="Arial"/>
          <w:caps w:val="0"/>
          <w:smallCaps w:val="0"/>
          <w:sz w:val="21"/>
          <w:szCs w:val="22"/>
        </w:rPr>
      </w:pPr>
      <w:r>
        <w:rPr>
          <w:rFonts w:ascii="仿宋" w:eastAsia="仿宋"/>
        </w:rPr>
        <w:t>四、</w:t>
      </w:r>
      <w:r>
        <w:rPr>
          <w:rFonts w:ascii="仿宋" w:eastAsia="仿宋"/>
          <w:color w:val="000000"/>
        </w:rPr>
        <w:t>财</w:t>
      </w:r>
      <w:r>
        <w:rPr>
          <w:rFonts w:ascii="仿宋" w:eastAsia="仿宋"/>
        </w:rPr>
        <w:t>政拨款收入支出决算总表</w:t>
      </w:r>
      <w:r>
        <w:tab/>
      </w:r>
      <w:r>
        <w:t>16</w:t>
      </w:r>
    </w:p>
    <w:p>
      <w:pPr>
        <w:pStyle w:val="18"/>
        <w:tabs>
          <w:tab w:val="right" w:leader="dot" w:pos="8296"/>
        </w:tabs>
        <w:rPr>
          <w:rFonts w:eastAsia="等线" w:cs="Arial"/>
          <w:caps w:val="0"/>
          <w:smallCaps w:val="0"/>
          <w:sz w:val="21"/>
          <w:szCs w:val="22"/>
        </w:rPr>
      </w:pPr>
      <w:r>
        <w:rPr>
          <w:rFonts w:ascii="仿宋" w:eastAsia="仿宋"/>
        </w:rPr>
        <w:t>五、</w:t>
      </w:r>
      <w:r>
        <w:rPr>
          <w:rFonts w:ascii="仿宋" w:eastAsia="仿宋"/>
          <w:color w:val="000000"/>
        </w:rPr>
        <w:t>财</w:t>
      </w:r>
      <w:r>
        <w:rPr>
          <w:rFonts w:ascii="仿宋" w:eastAsia="仿宋"/>
        </w:rPr>
        <w:t>政拨款支出决算明细表</w:t>
      </w:r>
      <w:r>
        <w:tab/>
      </w:r>
      <w:r>
        <w:t>16</w:t>
      </w:r>
    </w:p>
    <w:p>
      <w:pPr>
        <w:pStyle w:val="18"/>
        <w:tabs>
          <w:tab w:val="right" w:leader="dot" w:pos="8296"/>
        </w:tabs>
        <w:rPr>
          <w:rFonts w:eastAsia="等线" w:cs="Arial"/>
          <w:caps w:val="0"/>
          <w:smallCaps w:val="0"/>
          <w:sz w:val="21"/>
          <w:szCs w:val="22"/>
        </w:rPr>
      </w:pPr>
      <w:r>
        <w:rPr>
          <w:rFonts w:ascii="仿宋" w:eastAsia="仿宋"/>
        </w:rPr>
        <w:t>六、</w:t>
      </w:r>
      <w:r>
        <w:rPr>
          <w:rFonts w:ascii="仿宋" w:eastAsia="仿宋"/>
          <w:color w:val="000000"/>
        </w:rPr>
        <w:t>一</w:t>
      </w:r>
      <w:r>
        <w:rPr>
          <w:rFonts w:ascii="仿宋" w:eastAsia="仿宋"/>
        </w:rPr>
        <w:t>般公共预算财政拨款支出决算表</w:t>
      </w:r>
      <w:r>
        <w:tab/>
      </w:r>
      <w:r>
        <w:t>16</w:t>
      </w:r>
    </w:p>
    <w:p>
      <w:pPr>
        <w:pStyle w:val="18"/>
        <w:tabs>
          <w:tab w:val="right" w:leader="dot" w:pos="8296"/>
        </w:tabs>
        <w:rPr>
          <w:rFonts w:eastAsia="等线" w:cs="Arial"/>
          <w:caps w:val="0"/>
          <w:smallCaps w:val="0"/>
          <w:sz w:val="21"/>
          <w:szCs w:val="22"/>
        </w:rPr>
      </w:pPr>
      <w:r>
        <w:rPr>
          <w:rFonts w:ascii="仿宋" w:eastAsia="仿宋"/>
        </w:rPr>
        <w:t>七、</w:t>
      </w:r>
      <w:r>
        <w:rPr>
          <w:rFonts w:ascii="仿宋" w:eastAsia="仿宋"/>
          <w:color w:val="000000"/>
        </w:rPr>
        <w:t>一</w:t>
      </w:r>
      <w:r>
        <w:rPr>
          <w:rFonts w:ascii="仿宋" w:eastAsia="仿宋"/>
        </w:rPr>
        <w:t>般公共预算财政拨款支出决算明细表</w:t>
      </w:r>
      <w:r>
        <w:tab/>
      </w:r>
      <w:r>
        <w:t>16</w:t>
      </w:r>
    </w:p>
    <w:p>
      <w:pPr>
        <w:pStyle w:val="18"/>
        <w:tabs>
          <w:tab w:val="right" w:leader="dot" w:pos="8296"/>
        </w:tabs>
        <w:rPr>
          <w:rFonts w:eastAsia="等线" w:cs="Arial"/>
          <w:caps w:val="0"/>
          <w:smallCaps w:val="0"/>
          <w:sz w:val="21"/>
          <w:szCs w:val="22"/>
        </w:rPr>
      </w:pPr>
      <w:r>
        <w:rPr>
          <w:rFonts w:ascii="仿宋" w:eastAsia="仿宋"/>
        </w:rPr>
        <w:t>八、</w:t>
      </w:r>
      <w:r>
        <w:rPr>
          <w:rFonts w:ascii="仿宋" w:eastAsia="仿宋"/>
          <w:color w:val="000000"/>
        </w:rPr>
        <w:t>一</w:t>
      </w:r>
      <w:r>
        <w:rPr>
          <w:rFonts w:ascii="仿宋" w:eastAsia="仿宋"/>
        </w:rPr>
        <w:t>般公共预算财政拨款基本支出决算表</w:t>
      </w:r>
      <w:r>
        <w:tab/>
      </w:r>
      <w:r>
        <w:t>16</w:t>
      </w:r>
    </w:p>
    <w:p>
      <w:pPr>
        <w:pStyle w:val="18"/>
        <w:tabs>
          <w:tab w:val="right" w:leader="dot" w:pos="8296"/>
        </w:tabs>
        <w:rPr>
          <w:rFonts w:eastAsia="等线" w:cs="Arial"/>
          <w:caps w:val="0"/>
          <w:smallCaps w:val="0"/>
          <w:sz w:val="21"/>
          <w:szCs w:val="22"/>
        </w:rPr>
      </w:pPr>
      <w:r>
        <w:rPr>
          <w:rFonts w:ascii="仿宋" w:eastAsia="仿宋"/>
        </w:rPr>
        <w:t>九、</w:t>
      </w:r>
      <w:r>
        <w:rPr>
          <w:rFonts w:ascii="仿宋" w:eastAsia="仿宋"/>
          <w:color w:val="000000"/>
        </w:rPr>
        <w:t>一</w:t>
      </w:r>
      <w:r>
        <w:rPr>
          <w:rFonts w:ascii="仿宋" w:eastAsia="仿宋"/>
        </w:rPr>
        <w:t>般公共预算财政拨款项目支出决算表</w:t>
      </w:r>
      <w:r>
        <w:tab/>
      </w:r>
      <w:r>
        <w:t>16</w:t>
      </w:r>
    </w:p>
    <w:p>
      <w:pPr>
        <w:pStyle w:val="18"/>
        <w:tabs>
          <w:tab w:val="right" w:leader="dot" w:pos="8296"/>
        </w:tabs>
        <w:rPr>
          <w:rFonts w:eastAsia="等线" w:cs="Arial"/>
          <w:caps w:val="0"/>
          <w:smallCaps w:val="0"/>
          <w:sz w:val="21"/>
          <w:szCs w:val="22"/>
        </w:rPr>
      </w:pPr>
      <w:r>
        <w:rPr>
          <w:rFonts w:ascii="仿宋" w:eastAsia="仿宋"/>
        </w:rPr>
        <w:t>十、</w:t>
      </w:r>
      <w:r>
        <w:rPr>
          <w:rFonts w:ascii="仿宋" w:eastAsia="仿宋"/>
          <w:color w:val="000000"/>
        </w:rPr>
        <w:t>一</w:t>
      </w:r>
      <w:r>
        <w:rPr>
          <w:rFonts w:ascii="仿宋" w:eastAsia="仿宋"/>
        </w:rPr>
        <w:t>般公共预算财政拨款“三公”经费支出决算表</w:t>
      </w:r>
      <w:r>
        <w:tab/>
      </w:r>
      <w:r>
        <w:t>16</w:t>
      </w:r>
    </w:p>
    <w:p>
      <w:pPr>
        <w:pStyle w:val="18"/>
        <w:tabs>
          <w:tab w:val="right" w:leader="dot" w:pos="8296"/>
        </w:tabs>
        <w:rPr>
          <w:rFonts w:eastAsia="等线" w:cs="Arial"/>
          <w:caps w:val="0"/>
          <w:smallCaps w:val="0"/>
          <w:sz w:val="21"/>
          <w:szCs w:val="22"/>
        </w:rPr>
      </w:pPr>
      <w:r>
        <w:rPr>
          <w:rFonts w:ascii="仿宋" w:eastAsia="仿宋"/>
        </w:rPr>
        <w:t>十一、</w:t>
      </w:r>
      <w:r>
        <w:rPr>
          <w:rFonts w:ascii="仿宋" w:eastAsia="仿宋"/>
          <w:color w:val="000000"/>
        </w:rPr>
        <w:t>政</w:t>
      </w:r>
      <w:r>
        <w:rPr>
          <w:rFonts w:ascii="仿宋" w:eastAsia="仿宋"/>
        </w:rPr>
        <w:t>府性基金预算财政拨款收入支出决算表</w:t>
      </w:r>
      <w:r>
        <w:tab/>
      </w:r>
      <w:r>
        <w:t>16</w:t>
      </w:r>
    </w:p>
    <w:p>
      <w:pPr>
        <w:pStyle w:val="18"/>
        <w:tabs>
          <w:tab w:val="right" w:leader="dot" w:pos="8296"/>
        </w:tabs>
        <w:rPr>
          <w:rFonts w:eastAsia="等线" w:cs="Arial"/>
          <w:caps w:val="0"/>
          <w:smallCaps w:val="0"/>
          <w:sz w:val="21"/>
          <w:szCs w:val="22"/>
        </w:rPr>
      </w:pPr>
      <w:r>
        <w:rPr>
          <w:rFonts w:ascii="仿宋" w:eastAsia="仿宋"/>
        </w:rPr>
        <w:t>十二、</w:t>
      </w:r>
      <w:r>
        <w:rPr>
          <w:rFonts w:ascii="仿宋" w:eastAsia="仿宋"/>
          <w:color w:val="000000"/>
        </w:rPr>
        <w:t>政</w:t>
      </w:r>
      <w:r>
        <w:rPr>
          <w:rFonts w:ascii="仿宋" w:eastAsia="仿宋"/>
        </w:rPr>
        <w:t>府性基金预算财政拨款“三公”经费支出决算表</w:t>
      </w:r>
      <w:r>
        <w:tab/>
      </w:r>
      <w:r>
        <w:t>16</w:t>
      </w:r>
    </w:p>
    <w:p>
      <w:pPr>
        <w:pStyle w:val="18"/>
        <w:tabs>
          <w:tab w:val="right" w:leader="dot" w:pos="8296"/>
        </w:tabs>
        <w:rPr>
          <w:rFonts w:eastAsia="等线" w:cs="Arial"/>
          <w:caps w:val="0"/>
          <w:smallCaps w:val="0"/>
          <w:sz w:val="21"/>
          <w:szCs w:val="22"/>
        </w:rPr>
      </w:pPr>
      <w:r>
        <w:rPr>
          <w:rFonts w:ascii="仿宋" w:eastAsia="仿宋"/>
        </w:rPr>
        <w:t>十三、</w:t>
      </w:r>
      <w:r>
        <w:rPr>
          <w:rFonts w:ascii="仿宋" w:eastAsia="仿宋"/>
          <w:color w:val="000000"/>
        </w:rPr>
        <w:t>国</w:t>
      </w:r>
      <w:r>
        <w:rPr>
          <w:rFonts w:ascii="仿宋" w:eastAsia="仿宋"/>
        </w:rPr>
        <w:t>有资本经营预算财政拨款</w:t>
      </w:r>
      <w:r>
        <w:rPr>
          <w:rFonts w:hint="eastAsia" w:ascii="仿宋" w:eastAsia="仿宋"/>
          <w:lang w:eastAsia="zh-CN"/>
        </w:rPr>
        <w:t>收入</w:t>
      </w:r>
      <w:r>
        <w:rPr>
          <w:rFonts w:ascii="仿宋" w:eastAsia="仿宋"/>
        </w:rPr>
        <w:t>支出决算表</w:t>
      </w:r>
      <w:r>
        <w:tab/>
      </w:r>
      <w:r>
        <w:t>16</w:t>
      </w:r>
    </w:p>
    <w:p>
      <w:pPr>
        <w:pStyle w:val="18"/>
        <w:tabs>
          <w:tab w:val="right" w:leader="dot" w:pos="8296"/>
        </w:tabs>
        <w:rPr>
          <w:rFonts w:eastAsia="等线" w:cs="Arial"/>
          <w:caps w:val="0"/>
          <w:smallCaps w:val="0"/>
          <w:sz w:val="21"/>
          <w:szCs w:val="22"/>
        </w:rPr>
      </w:pPr>
      <w:r>
        <w:rPr>
          <w:rFonts w:ascii="仿宋" w:eastAsia="仿宋"/>
        </w:rPr>
        <w:t>十四、国有资本经营预算财政拨款支出决算表</w:t>
      </w:r>
      <w:r>
        <w:tab/>
      </w:r>
      <w:r>
        <w:t>16</w:t>
      </w:r>
    </w:p>
    <w:p>
      <w:r>
        <w:rPr>
          <w:rFonts w:ascii="等线" w:eastAsia="等线"/>
          <w:b/>
          <w:bCs/>
          <w:caps/>
          <w:smallCaps w:val="0"/>
          <w:sz w:val="20"/>
          <w:szCs w:val="20"/>
        </w:rPr>
        <w:fldChar w:fldCharType="end"/>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4"/>
        <w:jc w:val="center"/>
        <w:rPr>
          <w:rStyle w:val="25"/>
          <w:rFonts w:ascii="黑体" w:eastAsia="黑体"/>
          <w:b/>
          <w:bCs w:val="0"/>
        </w:rPr>
      </w:pPr>
      <w:bookmarkStart w:id="14" w:name="_Toc79163601"/>
      <w:bookmarkStart w:id="15" w:name="_Toc79163851"/>
      <w:r>
        <w:rPr>
          <w:rFonts w:hint="eastAsia" w:ascii="黑体" w:eastAsia="黑体"/>
          <w:b w:val="0"/>
        </w:rPr>
        <w:t>第一部分</w:t>
      </w:r>
      <w:r>
        <w:rPr>
          <w:rFonts w:ascii="黑体" w:eastAsia="黑体"/>
          <w:b w:val="0"/>
        </w:rPr>
        <w:t xml:space="preserve"> </w:t>
      </w:r>
      <w:r>
        <w:rPr>
          <w:rStyle w:val="25"/>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5"/>
        <w:rPr>
          <w:rStyle w:val="26"/>
          <w:rFonts w:ascii="仿宋" w:eastAsia="仿宋"/>
          <w:b w:val="0"/>
          <w:bCs w:val="0"/>
        </w:rPr>
      </w:pPr>
      <w:bookmarkStart w:id="16" w:name="_Toc79163602"/>
      <w:bookmarkStart w:id="17" w:name="_Toc79163852"/>
      <w:bookmarkStart w:id="18" w:name="_Toc15396600"/>
      <w:bookmarkStart w:id="19" w:name="_Toc15377197"/>
      <w:r>
        <w:rPr>
          <w:rFonts w:hint="eastAsia" w:ascii="黑体" w:eastAsia="黑体"/>
          <w:b w:val="0"/>
          <w:color w:val="000000"/>
        </w:rPr>
        <w:t>一、基</w:t>
      </w:r>
      <w:r>
        <w:rPr>
          <w:rStyle w:val="26"/>
          <w:rFonts w:hint="eastAsia" w:ascii="黑体" w:eastAsia="黑体"/>
          <w:b w:val="0"/>
          <w:bCs w:val="0"/>
        </w:rPr>
        <w:t>本职能及主要工作</w:t>
      </w:r>
      <w:bookmarkEnd w:id="16"/>
      <w:bookmarkEnd w:id="17"/>
      <w:bookmarkEnd w:id="18"/>
      <w:bookmarkEnd w:id="19"/>
    </w:p>
    <w:p>
      <w:pPr>
        <w:pStyle w:val="2"/>
        <w:adjustRightInd w:val="0"/>
        <w:snapToGrid w:val="0"/>
        <w:spacing w:before="93" w:beforeLines="0" w:line="600" w:lineRule="exact"/>
        <w:ind w:firstLine="668" w:firstLineChars="208"/>
        <w:outlineLvl w:val="2"/>
        <w:rPr>
          <w:rFonts w:hint="eastAsia" w:ascii="仿宋" w:eastAsia="仿宋"/>
          <w:bCs/>
          <w:color w:val="000000"/>
          <w:sz w:val="32"/>
          <w:szCs w:val="32"/>
        </w:rPr>
      </w:pPr>
      <w:bookmarkStart w:id="20" w:name="_Toc79163853"/>
      <w:bookmarkStart w:id="21" w:name="_Toc79163603"/>
      <w:bookmarkStart w:id="22" w:name="_Toc15377198"/>
      <w:bookmarkStart w:id="23" w:name="_Toc15378445"/>
      <w:r>
        <w:rPr>
          <w:rFonts w:hint="eastAsia" w:ascii="仿宋" w:eastAsia="仿宋"/>
          <w:b/>
          <w:bCs/>
          <w:color w:val="000000"/>
          <w:sz w:val="32"/>
          <w:szCs w:val="32"/>
        </w:rPr>
        <w:t>（一）主要职能。</w:t>
      </w:r>
      <w:bookmarkEnd w:id="20"/>
      <w:bookmarkEnd w:id="21"/>
    </w:p>
    <w:bookmarkEnd w:id="22"/>
    <w:bookmarkEnd w:id="23"/>
    <w:p>
      <w:pPr>
        <w:pStyle w:val="2"/>
        <w:adjustRightInd w:val="0"/>
        <w:snapToGrid w:val="0"/>
        <w:spacing w:before="93" w:beforeLines="0" w:line="600" w:lineRule="exact"/>
        <w:ind w:firstLine="665" w:firstLineChars="208"/>
        <w:outlineLvl w:val="2"/>
        <w:rPr>
          <w:sz w:val="32"/>
          <w:szCs w:val="32"/>
        </w:rPr>
      </w:pPr>
      <w:bookmarkStart w:id="24" w:name="_Toc15378446"/>
      <w:bookmarkStart w:id="25" w:name="_Toc79163604"/>
      <w:bookmarkStart w:id="26" w:name="_Toc15377199"/>
      <w:bookmarkStart w:id="27" w:name="_Toc79163854"/>
      <w:r>
        <w:rPr>
          <w:rFonts w:hint="eastAsia" w:ascii="Calibri" w:hAnsi="Calibri"/>
          <w:sz w:val="32"/>
          <w:szCs w:val="32"/>
        </w:rPr>
        <w:t>壤塘县人民政府</w:t>
      </w:r>
      <w:r>
        <w:rPr>
          <w:rFonts w:hint="eastAsia" w:ascii="Calibri" w:hAnsi="Calibri"/>
          <w:sz w:val="32"/>
          <w:szCs w:val="32"/>
          <w:lang w:eastAsia="zh-CN"/>
        </w:rPr>
        <w:t>人防</w:t>
      </w:r>
      <w:r>
        <w:rPr>
          <w:rFonts w:hint="eastAsia" w:ascii="Calibri" w:hAnsi="Calibri"/>
          <w:sz w:val="32"/>
          <w:szCs w:val="32"/>
        </w:rPr>
        <w:t>办公室</w:t>
      </w:r>
      <w:r>
        <w:rPr>
          <w:rFonts w:hint="eastAsia"/>
          <w:sz w:val="32"/>
          <w:szCs w:val="32"/>
        </w:rPr>
        <w:t>是壤塘县应急事件处理机构。其主要职责：负债协调和督促检查全县</w:t>
      </w:r>
      <w:r>
        <w:rPr>
          <w:rFonts w:hint="eastAsia"/>
          <w:sz w:val="32"/>
          <w:szCs w:val="32"/>
          <w:lang w:eastAsia="zh-CN"/>
        </w:rPr>
        <w:t>人防</w:t>
      </w:r>
      <w:r>
        <w:rPr>
          <w:rFonts w:hint="eastAsia"/>
          <w:sz w:val="32"/>
          <w:szCs w:val="32"/>
        </w:rPr>
        <w:t>工作，协助县政府领导处置突发公共事件。</w:t>
      </w:r>
    </w:p>
    <w:p>
      <w:pPr>
        <w:pStyle w:val="2"/>
        <w:adjustRightInd w:val="0"/>
        <w:snapToGrid w:val="0"/>
        <w:spacing w:before="93" w:beforeLines="0" w:line="600" w:lineRule="exact"/>
        <w:ind w:firstLine="668" w:firstLineChars="208"/>
        <w:outlineLvl w:val="2"/>
        <w:rPr>
          <w:rFonts w:ascii="仿宋" w:eastAsia="仿宋"/>
          <w:b/>
          <w:bCs/>
          <w:color w:val="000000"/>
          <w:sz w:val="32"/>
          <w:szCs w:val="32"/>
        </w:rPr>
      </w:pPr>
      <w:r>
        <w:rPr>
          <w:rFonts w:hint="eastAsia" w:ascii="仿宋" w:eastAsia="仿宋"/>
          <w:b/>
          <w:bCs/>
          <w:color w:val="000000"/>
          <w:sz w:val="32"/>
          <w:szCs w:val="32"/>
        </w:rPr>
        <w:t>（二）</w:t>
      </w:r>
      <w:r>
        <w:rPr>
          <w:rFonts w:ascii="仿宋" w:eastAsia="仿宋"/>
          <w:b/>
          <w:bCs/>
          <w:color w:val="000000"/>
          <w:sz w:val="32"/>
          <w:szCs w:val="32"/>
        </w:rPr>
        <w:t>2020</w:t>
      </w:r>
      <w:r>
        <w:rPr>
          <w:rFonts w:hint="eastAsia" w:ascii="仿宋" w:eastAsia="仿宋"/>
          <w:b/>
          <w:bCs/>
          <w:color w:val="000000"/>
          <w:sz w:val="32"/>
          <w:szCs w:val="32"/>
        </w:rPr>
        <w:t>年重点工作完成情况。</w:t>
      </w:r>
      <w:bookmarkEnd w:id="24"/>
      <w:bookmarkEnd w:id="25"/>
      <w:bookmarkEnd w:id="26"/>
      <w:bookmarkEnd w:id="27"/>
    </w:p>
    <w:p>
      <w:pPr>
        <w:pStyle w:val="2"/>
        <w:adjustRightInd w:val="0"/>
        <w:snapToGrid w:val="0"/>
        <w:spacing w:before="93" w:beforeLines="0" w:line="600" w:lineRule="exact"/>
        <w:ind w:firstLine="665" w:firstLineChars="208"/>
        <w:outlineLvl w:val="2"/>
        <w:rPr>
          <w:rFonts w:ascii="仿宋" w:eastAsia="仿宋"/>
          <w:bCs/>
          <w:color w:val="000000"/>
          <w:sz w:val="32"/>
          <w:szCs w:val="32"/>
        </w:rPr>
      </w:pPr>
      <w:bookmarkStart w:id="28" w:name="_Toc79163855"/>
      <w:bookmarkStart w:id="29" w:name="_Toc15377200"/>
      <w:bookmarkStart w:id="30" w:name="_Toc15396601"/>
      <w:bookmarkStart w:id="31" w:name="_Toc79163605"/>
      <w:r>
        <w:rPr>
          <w:rFonts w:hint="eastAsia" w:ascii="仿宋" w:eastAsia="仿宋"/>
          <w:bCs/>
          <w:color w:val="000000"/>
          <w:sz w:val="32"/>
          <w:szCs w:val="32"/>
        </w:rPr>
        <w:t>进一步制订和完善了自然灾害、事故灾难、突发公共卫生事件和社会安全事件的应急处置预案，建立了</w:t>
      </w:r>
      <w:r>
        <w:rPr>
          <w:rFonts w:hint="eastAsia" w:ascii="仿宋" w:eastAsia="仿宋"/>
          <w:bCs/>
          <w:color w:val="000000"/>
          <w:sz w:val="32"/>
          <w:szCs w:val="32"/>
          <w:lang w:eastAsia="zh-CN"/>
        </w:rPr>
        <w:t>人防</w:t>
      </w:r>
      <w:r>
        <w:rPr>
          <w:rFonts w:hint="eastAsia" w:ascii="仿宋" w:eastAsia="仿宋"/>
          <w:bCs/>
          <w:color w:val="000000"/>
          <w:sz w:val="32"/>
          <w:szCs w:val="32"/>
        </w:rPr>
        <w:t>管理决策机制，提高对公共突发事件全过程的综合管理水平。</w:t>
      </w:r>
    </w:p>
    <w:p>
      <w:pPr>
        <w:pStyle w:val="5"/>
        <w:rPr>
          <w:rStyle w:val="26"/>
          <w:b w:val="0"/>
          <w:bCs w:val="0"/>
        </w:rPr>
      </w:pPr>
      <w:r>
        <w:rPr>
          <w:rFonts w:hint="eastAsia" w:ascii="黑体" w:eastAsia="黑体"/>
          <w:b w:val="0"/>
          <w:color w:val="000000"/>
        </w:rPr>
        <w:t>二、机</w:t>
      </w:r>
      <w:r>
        <w:rPr>
          <w:rStyle w:val="26"/>
          <w:rFonts w:hint="eastAsia" w:ascii="黑体" w:eastAsia="黑体"/>
          <w:b w:val="0"/>
          <w:bCs w:val="0"/>
        </w:rPr>
        <w:t>构设置</w:t>
      </w:r>
      <w:bookmarkEnd w:id="28"/>
      <w:bookmarkEnd w:id="29"/>
      <w:bookmarkEnd w:id="30"/>
      <w:bookmarkEnd w:id="31"/>
    </w:p>
    <w:p>
      <w:pPr>
        <w:ind w:firstLine="640" w:firstLineChars="200"/>
        <w:rPr>
          <w:rFonts w:hint="eastAsia" w:ascii="仿宋_GB2312" w:eastAsia="仿宋_GB2312" w:cs="仿宋_GB2312"/>
          <w:b w:val="0"/>
          <w:bCs w:val="0"/>
          <w:sz w:val="32"/>
          <w:szCs w:val="32"/>
        </w:rPr>
      </w:pPr>
      <w:bookmarkStart w:id="32" w:name="_Toc15396602"/>
      <w:bookmarkStart w:id="33" w:name="_Toc15377204"/>
      <w:bookmarkStart w:id="34" w:name="_Toc79163859"/>
      <w:bookmarkStart w:id="35" w:name="_Toc79163609"/>
      <w:r>
        <w:rPr>
          <w:rFonts w:hint="eastAsia" w:ascii="仿宋_GB2312" w:eastAsia="仿宋_GB2312" w:cs="仿宋_GB2312"/>
          <w:b w:val="0"/>
          <w:bCs w:val="0"/>
          <w:sz w:val="32"/>
          <w:szCs w:val="32"/>
        </w:rPr>
        <w:t>壤塘县人民政府</w:t>
      </w:r>
      <w:r>
        <w:rPr>
          <w:rFonts w:hint="eastAsia" w:ascii="仿宋_GB2312" w:eastAsia="仿宋_GB2312" w:cs="仿宋_GB2312"/>
          <w:b w:val="0"/>
          <w:bCs w:val="0"/>
          <w:sz w:val="32"/>
          <w:szCs w:val="32"/>
          <w:lang w:eastAsia="zh-CN"/>
        </w:rPr>
        <w:t>人防</w:t>
      </w:r>
      <w:r>
        <w:rPr>
          <w:rFonts w:hint="eastAsia" w:ascii="仿宋_GB2312" w:eastAsia="仿宋_GB2312" w:cs="仿宋_GB2312"/>
          <w:b w:val="0"/>
          <w:bCs w:val="0"/>
          <w:sz w:val="32"/>
          <w:szCs w:val="32"/>
        </w:rPr>
        <w:t>管理办公室是</w:t>
      </w:r>
      <w:r>
        <w:rPr>
          <w:rFonts w:hint="eastAsia" w:ascii="仿宋_GB2312" w:eastAsia="仿宋_GB2312" w:cs="仿宋_GB2312"/>
          <w:b w:val="0"/>
          <w:bCs w:val="0"/>
          <w:sz w:val="32"/>
          <w:szCs w:val="32"/>
          <w:lang w:eastAsia="zh-CN"/>
        </w:rPr>
        <w:t>壤塘县人民政府办公室下属</w:t>
      </w:r>
      <w:r>
        <w:rPr>
          <w:rFonts w:hint="eastAsia" w:ascii="仿宋_GB2312" w:eastAsia="仿宋_GB2312" w:cs="仿宋_GB2312"/>
          <w:b w:val="0"/>
          <w:bCs w:val="0"/>
          <w:sz w:val="32"/>
          <w:szCs w:val="32"/>
        </w:rPr>
        <w:t>二级</w:t>
      </w:r>
      <w:r>
        <w:rPr>
          <w:rFonts w:hint="eastAsia" w:ascii="仿宋_GB2312" w:eastAsia="仿宋_GB2312" w:cs="仿宋_GB2312"/>
          <w:b w:val="0"/>
          <w:bCs w:val="0"/>
          <w:sz w:val="32"/>
          <w:szCs w:val="32"/>
          <w:lang w:eastAsia="zh-CN"/>
        </w:rPr>
        <w:t>事业</w:t>
      </w:r>
      <w:r>
        <w:rPr>
          <w:rFonts w:hint="eastAsia" w:ascii="仿宋_GB2312" w:eastAsia="仿宋_GB2312" w:cs="仿宋_GB2312"/>
          <w:b w:val="0"/>
          <w:bCs w:val="0"/>
          <w:sz w:val="32"/>
          <w:szCs w:val="32"/>
        </w:rPr>
        <w:t>单位。</w:t>
      </w:r>
    </w:p>
    <w:p>
      <w:pPr>
        <w:ind w:firstLine="880" w:firstLineChars="200"/>
        <w:rPr>
          <w:rFonts w:hint="eastAsia" w:ascii="仿宋_GB2312" w:eastAsia="仿宋_GB2312" w:cs="仿宋_GB2312"/>
          <w:sz w:val="32"/>
          <w:szCs w:val="32"/>
        </w:rPr>
      </w:pPr>
      <w:r>
        <w:rPr>
          <w:rFonts w:hint="eastAsia" w:ascii="黑体" w:eastAsia="黑体"/>
          <w:b w:val="0"/>
          <w:color w:val="000000"/>
          <w:sz w:val="44"/>
          <w:szCs w:val="44"/>
        </w:rPr>
        <w:t>第二部分</w:t>
      </w:r>
      <w:r>
        <w:rPr>
          <w:rFonts w:ascii="黑体" w:eastAsia="黑体"/>
          <w:color w:val="000000"/>
        </w:rPr>
        <w:t xml:space="preserve"> </w:t>
      </w:r>
      <w:r>
        <w:rPr>
          <w:rStyle w:val="25"/>
          <w:rFonts w:ascii="黑体" w:eastAsia="黑体"/>
          <w:b w:val="0"/>
          <w:bCs w:val="0"/>
        </w:rPr>
        <w:t>2020</w:t>
      </w:r>
      <w:r>
        <w:rPr>
          <w:rStyle w:val="25"/>
          <w:rFonts w:hint="eastAsia" w:ascii="黑体" w:eastAsia="黑体"/>
          <w:b w:val="0"/>
          <w:bCs w:val="0"/>
        </w:rPr>
        <w:t>年度部门决算情况说明</w:t>
      </w:r>
      <w:bookmarkEnd w:id="32"/>
      <w:bookmarkEnd w:id="33"/>
      <w:bookmarkEnd w:id="34"/>
      <w:bookmarkEnd w:id="35"/>
    </w:p>
    <w:p/>
    <w:p>
      <w:pPr>
        <w:pStyle w:val="31"/>
        <w:numPr>
          <w:ilvl w:val="0"/>
          <w:numId w:val="1"/>
        </w:numPr>
        <w:spacing w:line="600" w:lineRule="exact"/>
        <w:ind w:firstLineChars="0"/>
        <w:outlineLvl w:val="1"/>
        <w:rPr>
          <w:rStyle w:val="26"/>
          <w:rFonts w:ascii="黑体" w:eastAsia="黑体"/>
          <w:b w:val="0"/>
        </w:rPr>
      </w:pPr>
      <w:bookmarkStart w:id="36" w:name="_Toc79163860"/>
      <w:bookmarkStart w:id="37" w:name="_Toc79163610"/>
      <w:bookmarkStart w:id="38" w:name="_Toc15377205"/>
      <w:bookmarkStart w:id="39" w:name="_Toc15396603"/>
      <w:r>
        <w:rPr>
          <w:rFonts w:hint="eastAsia" w:ascii="黑体" w:eastAsia="黑体"/>
          <w:color w:val="000000"/>
          <w:sz w:val="32"/>
          <w:szCs w:val="32"/>
        </w:rPr>
        <w:t>收</w:t>
      </w:r>
      <w:r>
        <w:rPr>
          <w:rStyle w:val="26"/>
          <w:rFonts w:hint="eastAsia" w:ascii="黑体" w:eastAsia="黑体"/>
          <w:b w:val="0"/>
        </w:rPr>
        <w:t>入支出决算总体情况说明</w:t>
      </w:r>
      <w:bookmarkEnd w:id="36"/>
      <w:bookmarkEnd w:id="37"/>
      <w:bookmarkEnd w:id="38"/>
      <w:bookmarkEnd w:id="39"/>
    </w:p>
    <w:p>
      <w:pPr>
        <w:spacing w:line="600" w:lineRule="exact"/>
        <w:ind w:firstLine="640" w:firstLineChars="200"/>
        <w:rPr>
          <w:rFonts w:ascii="仿宋_GB2312" w:eastAsia="仿宋_GB2312" w:cs="仿宋_GB2312"/>
          <w:color w:val="000000"/>
          <w:sz w:val="32"/>
          <w:szCs w:val="32"/>
          <w:lang w:val="en-US" w:eastAsia="zh-CN"/>
        </w:rPr>
      </w:pPr>
      <w:r>
        <w:rPr>
          <w:rFonts w:hint="eastAsia" w:ascii="仿宋_GB2312" w:eastAsia="仿宋_GB2312" w:cs="仿宋_GB2312"/>
          <w:color w:val="000000"/>
          <w:sz w:val="32"/>
          <w:szCs w:val="32"/>
        </w:rPr>
        <w:t>2020年度收、支总计</w:t>
      </w:r>
      <w:r>
        <w:rPr>
          <w:rFonts w:hint="eastAsia" w:ascii="仿宋_GB2312" w:eastAsia="仿宋_GB2312" w:cs="仿宋_GB2312"/>
          <w:color w:val="000000"/>
          <w:sz w:val="32"/>
          <w:szCs w:val="32"/>
          <w:lang w:val="en-US" w:eastAsia="zh-CN"/>
        </w:rPr>
        <w:t>270.57</w:t>
      </w:r>
      <w:r>
        <w:rPr>
          <w:rFonts w:hint="eastAsia" w:ascii="仿宋_GB2312" w:eastAsia="仿宋_GB2312" w:cs="仿宋_GB2312"/>
          <w:color w:val="000000"/>
          <w:sz w:val="32"/>
          <w:szCs w:val="32"/>
        </w:rPr>
        <w:t>万元。与2019年相比，收、支总计各</w:t>
      </w:r>
      <w:r>
        <w:rPr>
          <w:rFonts w:hint="eastAsia" w:ascii="仿宋_GB2312" w:eastAsia="仿宋_GB2312" w:cs="仿宋_GB2312"/>
          <w:color w:val="000000"/>
          <w:sz w:val="32"/>
          <w:szCs w:val="32"/>
          <w:lang w:eastAsia="zh-CN"/>
        </w:rPr>
        <w:t>增加了</w:t>
      </w:r>
      <w:r>
        <w:rPr>
          <w:rFonts w:hint="eastAsia" w:ascii="仿宋_GB2312" w:eastAsia="仿宋_GB2312" w:cs="仿宋_GB2312"/>
          <w:color w:val="000000"/>
          <w:sz w:val="32"/>
          <w:szCs w:val="32"/>
          <w:lang w:val="en-US" w:eastAsia="zh-CN"/>
        </w:rPr>
        <w:t>25.84</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增加了</w:t>
      </w:r>
      <w:r>
        <w:rPr>
          <w:rFonts w:hint="eastAsia" w:ascii="仿宋_GB2312" w:eastAsia="仿宋_GB2312" w:cs="仿宋_GB2312"/>
          <w:color w:val="000000"/>
          <w:sz w:val="32"/>
          <w:szCs w:val="32"/>
          <w:lang w:val="en-US" w:eastAsia="zh-CN"/>
        </w:rPr>
        <w:t>10.56</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增加了一般公共服务中的基本支出。</w:t>
      </w:r>
    </w:p>
    <w:p>
      <w:pPr>
        <w:spacing w:line="600" w:lineRule="exact"/>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（图1：收、支决算总计变动情况图）（柱状图）</w:t>
      </w:r>
      <w:r>
        <w:rPr>
          <w:rFonts w:hint="eastAsia" w:ascii="仿宋_GB2312" w:eastAsia="仿宋_GB2312" w:cs="仿宋_GB2312"/>
          <w:color w:val="000000"/>
          <w:sz w:val="32"/>
          <w:szCs w:val="32"/>
          <w:lang w:eastAsia="zh-CN"/>
        </w:rPr>
        <w:t>单位：万元</w:t>
      </w:r>
    </w:p>
    <w:p>
      <w:pPr>
        <w:pStyle w:val="2"/>
      </w:pPr>
      <w:r>
        <w:drawing>
          <wp:inline distT="0" distB="0" distL="114300" distR="114300">
            <wp:extent cx="5133975" cy="2781300"/>
            <wp:effectExtent l="0" t="0" r="0" b="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left"/>
        <w:rPr>
          <w:rFonts w:ascii="仿宋_GB2312" w:eastAsia="仿宋_GB2312"/>
          <w:color w:val="000000"/>
          <w:sz w:val="32"/>
          <w:szCs w:val="32"/>
        </w:rPr>
      </w:pPr>
    </w:p>
    <w:p>
      <w:pPr>
        <w:pStyle w:val="31"/>
        <w:numPr>
          <w:ilvl w:val="0"/>
          <w:numId w:val="1"/>
        </w:numPr>
        <w:spacing w:line="600" w:lineRule="exact"/>
        <w:ind w:firstLineChars="0"/>
        <w:outlineLvl w:val="1"/>
        <w:rPr>
          <w:rStyle w:val="26"/>
          <w:rFonts w:ascii="黑体" w:eastAsia="黑体"/>
          <w:b w:val="0"/>
        </w:rPr>
      </w:pPr>
      <w:bookmarkStart w:id="40" w:name="_Toc15396604"/>
      <w:bookmarkStart w:id="41" w:name="_Toc15377206"/>
      <w:bookmarkStart w:id="42" w:name="_Toc79163861"/>
      <w:bookmarkStart w:id="43" w:name="_Toc79163611"/>
      <w:r>
        <w:rPr>
          <w:rFonts w:hint="eastAsia" w:ascii="黑体" w:eastAsia="黑体"/>
          <w:color w:val="000000"/>
          <w:sz w:val="32"/>
          <w:szCs w:val="32"/>
        </w:rPr>
        <w:t>收</w:t>
      </w:r>
      <w:r>
        <w:rPr>
          <w:rStyle w:val="26"/>
          <w:rFonts w:hint="eastAsia" w:ascii="黑体" w:eastAsia="黑体"/>
          <w:b w:val="0"/>
        </w:rPr>
        <w:t>入决算情况说明</w:t>
      </w:r>
      <w:bookmarkEnd w:id="40"/>
      <w:bookmarkEnd w:id="41"/>
      <w:bookmarkEnd w:id="42"/>
      <w:bookmarkEnd w:id="43"/>
    </w:p>
    <w:p>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2020年本年收入合计</w:t>
      </w:r>
      <w:r>
        <w:rPr>
          <w:rFonts w:hint="eastAsia" w:ascii="仿宋_GB2312" w:eastAsia="仿宋_GB2312" w:cs="仿宋_GB2312"/>
          <w:color w:val="000000"/>
          <w:sz w:val="32"/>
          <w:szCs w:val="32"/>
          <w:lang w:val="en-US" w:eastAsia="zh-CN"/>
        </w:rPr>
        <w:t>270.57</w:t>
      </w:r>
      <w:r>
        <w:rPr>
          <w:rFonts w:hint="eastAsia" w:ascii="仿宋_GB2312" w:eastAsia="仿宋_GB2312" w:cs="仿宋_GB2312"/>
          <w:color w:val="000000"/>
          <w:sz w:val="32"/>
          <w:szCs w:val="32"/>
        </w:rPr>
        <w:t>万元，其中：一般公共预算财政拨款收入</w:t>
      </w:r>
      <w:r>
        <w:rPr>
          <w:rFonts w:hint="eastAsia" w:ascii="仿宋_GB2312" w:eastAsia="仿宋_GB2312" w:cs="仿宋_GB2312"/>
          <w:color w:val="000000"/>
          <w:sz w:val="32"/>
          <w:szCs w:val="32"/>
          <w:lang w:val="en-US" w:eastAsia="zh-CN"/>
        </w:rPr>
        <w:t>270.57</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%；政府性基金预算财政拨款收入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%；上级补助收入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%；事业收入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%；经营收入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%；附属单位上缴收入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%；其他收入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w:t>
      </w:r>
    </w:p>
    <w:p>
      <w:pPr>
        <w:spacing w:line="600" w:lineRule="exact"/>
        <w:ind w:firstLine="640" w:firstLineChars="200"/>
        <w:rPr>
          <w:rFonts w:hint="eastAsia" w:ascii="仿宋" w:eastAsia="仿宋"/>
          <w:color w:val="000000"/>
          <w:sz w:val="32"/>
          <w:szCs w:val="32"/>
          <w:lang w:val="en-US" w:eastAsia="zh-CN"/>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：收入决算结构图）（饼状图）</w:t>
      </w:r>
      <w:r>
        <w:rPr>
          <w:rFonts w:hint="eastAsia" w:ascii="仿宋" w:eastAsia="仿宋"/>
          <w:color w:val="000000"/>
          <w:sz w:val="32"/>
          <w:szCs w:val="32"/>
          <w:lang w:eastAsia="zh-CN"/>
        </w:rPr>
        <w:t>单位：</w:t>
      </w:r>
      <w:r>
        <w:rPr>
          <w:rFonts w:hint="eastAsia" w:ascii="仿宋" w:eastAsia="仿宋"/>
          <w:color w:val="000000"/>
          <w:sz w:val="32"/>
          <w:szCs w:val="32"/>
          <w:lang w:val="en-US" w:eastAsia="zh-CN"/>
        </w:rPr>
        <w:t>万元</w:t>
      </w:r>
    </w:p>
    <w:p>
      <w:pPr>
        <w:pStyle w:val="2"/>
        <w:rPr>
          <w:rFonts w:hint="eastAsia"/>
          <w:lang w:val="en-US" w:eastAsia="zh-CN"/>
        </w:rPr>
      </w:pPr>
      <w:r>
        <w:drawing>
          <wp:inline distT="0" distB="0" distL="114300" distR="114300">
            <wp:extent cx="5181600" cy="2695575"/>
            <wp:effectExtent l="0" t="0" r="0" b="0"/>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pPr>
    </w:p>
    <w:p>
      <w:pPr>
        <w:pStyle w:val="31"/>
        <w:numPr>
          <w:ilvl w:val="0"/>
          <w:numId w:val="1"/>
        </w:numPr>
        <w:spacing w:line="600" w:lineRule="exact"/>
        <w:ind w:firstLineChars="0"/>
        <w:outlineLvl w:val="1"/>
        <w:rPr>
          <w:rStyle w:val="26"/>
          <w:rFonts w:ascii="黑体" w:eastAsia="黑体"/>
          <w:b w:val="0"/>
        </w:rPr>
      </w:pPr>
      <w:bookmarkStart w:id="44" w:name="_Toc79163862"/>
      <w:bookmarkStart w:id="45" w:name="_Toc79163612"/>
      <w:bookmarkStart w:id="46" w:name="_Toc15377207"/>
      <w:bookmarkStart w:id="47" w:name="_Toc15396605"/>
      <w:r>
        <w:rPr>
          <w:rFonts w:hint="eastAsia" w:ascii="黑体" w:eastAsia="黑体"/>
          <w:color w:val="000000"/>
          <w:sz w:val="32"/>
          <w:szCs w:val="32"/>
        </w:rPr>
        <w:t>支</w:t>
      </w:r>
      <w:r>
        <w:rPr>
          <w:rStyle w:val="26"/>
          <w:rFonts w:hint="eastAsia" w:asci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270.57</w:t>
      </w:r>
      <w:r>
        <w:rPr>
          <w:rFonts w:hint="eastAsia" w:ascii="仿宋_GB2312" w:eastAsia="仿宋_GB2312"/>
          <w:sz w:val="32"/>
          <w:szCs w:val="32"/>
        </w:rPr>
        <w:t>万元，其中：基本支出</w:t>
      </w:r>
      <w:r>
        <w:rPr>
          <w:rFonts w:hint="eastAsia" w:ascii="仿宋_GB2312" w:eastAsia="仿宋_GB2312"/>
          <w:sz w:val="32"/>
          <w:szCs w:val="32"/>
          <w:lang w:val="en-US" w:eastAsia="zh-CN"/>
        </w:rPr>
        <w:t>270.57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960" w:firstLineChars="300"/>
        <w:rPr>
          <w:rFonts w:hint="eastAsia" w:ascii="仿宋" w:eastAsia="仿宋"/>
          <w:color w:val="000000"/>
          <w:sz w:val="32"/>
          <w:szCs w:val="32"/>
          <w:lang w:eastAsia="zh-CN"/>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：支出决算结构图）（饼状图）</w:t>
      </w:r>
      <w:r>
        <w:rPr>
          <w:rFonts w:hint="eastAsia" w:ascii="仿宋" w:eastAsia="仿宋"/>
          <w:color w:val="000000"/>
          <w:sz w:val="32"/>
          <w:szCs w:val="32"/>
          <w:lang w:eastAsia="zh-CN"/>
        </w:rPr>
        <w:t>单位：万元</w:t>
      </w:r>
    </w:p>
    <w:p>
      <w:pPr>
        <w:pStyle w:val="2"/>
        <w:rPr>
          <w:rFonts w:hint="eastAsia"/>
          <w:lang w:eastAsia="zh-CN"/>
        </w:rPr>
      </w:pPr>
      <w:r>
        <w:drawing>
          <wp:inline distT="0" distB="0" distL="114300" distR="114300">
            <wp:extent cx="5143500" cy="27432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rPr>
          <w:rFonts w:hint="eastAsia"/>
          <w:lang w:eastAsia="zh-CN"/>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eastAsia="黑体"/>
          <w:b w:val="0"/>
        </w:rPr>
      </w:pPr>
      <w:bookmarkStart w:id="48" w:name="_Toc79163863"/>
      <w:bookmarkStart w:id="49" w:name="_Toc15377208"/>
      <w:bookmarkStart w:id="50" w:name="_Toc15396606"/>
      <w:bookmarkStart w:id="51" w:name="_Toc79163613"/>
      <w:r>
        <w:rPr>
          <w:rFonts w:hint="eastAsia" w:ascii="黑体" w:eastAsia="黑体"/>
          <w:color w:val="000000"/>
          <w:sz w:val="32"/>
          <w:szCs w:val="32"/>
        </w:rPr>
        <w:t>四、财</w:t>
      </w:r>
      <w:r>
        <w:rPr>
          <w:rStyle w:val="26"/>
          <w:rFonts w:hint="eastAsia" w:ascii="黑体" w:eastAsia="黑体"/>
          <w:b w:val="0"/>
        </w:rPr>
        <w:t>政拨款收入支出决算总体情况说明</w:t>
      </w:r>
      <w:bookmarkEnd w:id="48"/>
      <w:bookmarkEnd w:id="49"/>
      <w:bookmarkEnd w:id="50"/>
      <w:bookmarkEnd w:id="51"/>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2020年财政拨款收、支总计</w:t>
      </w:r>
      <w:r>
        <w:rPr>
          <w:rFonts w:hint="eastAsia" w:ascii="仿宋_GB2312" w:eastAsia="仿宋_GB2312" w:cs="仿宋_GB2312"/>
          <w:color w:val="000000"/>
          <w:sz w:val="32"/>
          <w:szCs w:val="32"/>
          <w:lang w:val="en-US" w:eastAsia="zh-CN"/>
        </w:rPr>
        <w:t>270.57</w:t>
      </w:r>
      <w:r>
        <w:rPr>
          <w:rFonts w:hint="eastAsia" w:ascii="仿宋_GB2312" w:eastAsia="仿宋_GB2312" w:cs="仿宋_GB2312"/>
          <w:color w:val="000000"/>
          <w:sz w:val="32"/>
          <w:szCs w:val="32"/>
        </w:rPr>
        <w:t>万元。与2019年相比，财政拨款收、支总计各</w:t>
      </w:r>
      <w:r>
        <w:rPr>
          <w:rFonts w:hint="eastAsia" w:ascii="仿宋_GB2312" w:eastAsia="仿宋_GB2312" w:cs="仿宋_GB2312"/>
          <w:color w:val="000000"/>
          <w:sz w:val="32"/>
          <w:szCs w:val="32"/>
          <w:lang w:eastAsia="zh-CN"/>
        </w:rPr>
        <w:t>增加了</w:t>
      </w:r>
      <w:r>
        <w:rPr>
          <w:rFonts w:hint="eastAsia" w:ascii="仿宋_GB2312" w:eastAsia="仿宋_GB2312" w:cs="仿宋_GB2312"/>
          <w:color w:val="000000"/>
          <w:sz w:val="32"/>
          <w:szCs w:val="32"/>
          <w:lang w:val="en-US" w:eastAsia="zh-CN"/>
        </w:rPr>
        <w:t>25.84</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增加了</w:t>
      </w:r>
      <w:r>
        <w:rPr>
          <w:rFonts w:hint="eastAsia" w:ascii="仿宋_GB2312" w:eastAsia="仿宋_GB2312" w:cs="仿宋_GB2312"/>
          <w:color w:val="000000"/>
          <w:sz w:val="32"/>
          <w:szCs w:val="32"/>
          <w:lang w:val="en-US" w:eastAsia="zh-CN"/>
        </w:rPr>
        <w:t>10.56</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增加了一般公共服务中的基本支出。</w:t>
      </w:r>
    </w:p>
    <w:p>
      <w:pPr>
        <w:spacing w:line="600" w:lineRule="exact"/>
        <w:ind w:left="6400" w:hanging="6400" w:hangingChars="2000"/>
        <w:rPr>
          <w:rFonts w:hint="eastAsia" w:ascii="仿宋" w:eastAsia="仿宋"/>
          <w:color w:val="000000"/>
          <w:sz w:val="32"/>
          <w:szCs w:val="32"/>
          <w:lang w:eastAsia="zh-CN"/>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：财政拨款收、支决算总计变动情况）（柱状图）</w:t>
      </w:r>
      <w:r>
        <w:rPr>
          <w:rFonts w:hint="eastAsia" w:ascii="仿宋" w:eastAsia="仿宋"/>
          <w:color w:val="000000"/>
          <w:sz w:val="32"/>
          <w:szCs w:val="32"/>
          <w:lang w:val="en-US" w:eastAsia="zh-CN"/>
        </w:rPr>
        <w:t xml:space="preserve">               </w:t>
      </w:r>
      <w:r>
        <w:rPr>
          <w:rFonts w:hint="eastAsia" w:ascii="仿宋" w:eastAsia="仿宋"/>
          <w:color w:val="000000"/>
          <w:sz w:val="32"/>
          <w:szCs w:val="32"/>
          <w:lang w:eastAsia="zh-CN"/>
        </w:rPr>
        <w:t>单位：万元</w:t>
      </w:r>
    </w:p>
    <w:p>
      <w:pPr>
        <w:pStyle w:val="2"/>
        <w:rPr>
          <w:rFonts w:hint="eastAsia"/>
          <w:lang w:eastAsia="zh-CN"/>
        </w:rPr>
      </w:pPr>
      <w:r>
        <w:drawing>
          <wp:inline distT="0" distB="0" distL="114300" distR="114300">
            <wp:extent cx="5133975" cy="2781300"/>
            <wp:effectExtent l="0" t="0" r="0"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rPr>
          <w:rFonts w:hint="eastAsia"/>
          <w:lang w:eastAsia="zh-CN"/>
        </w:rPr>
      </w:pPr>
    </w:p>
    <w:p>
      <w:pPr>
        <w:spacing w:line="600" w:lineRule="exact"/>
        <w:ind w:firstLine="640" w:firstLineChars="200"/>
        <w:outlineLvl w:val="1"/>
        <w:rPr>
          <w:rStyle w:val="26"/>
          <w:rFonts w:ascii="黑体" w:eastAsia="黑体"/>
          <w:b w:val="0"/>
        </w:rPr>
      </w:pPr>
      <w:bookmarkStart w:id="52" w:name="_Toc15377209"/>
      <w:bookmarkStart w:id="53" w:name="_Toc15396607"/>
      <w:bookmarkStart w:id="54" w:name="_Toc79163614"/>
      <w:bookmarkStart w:id="55" w:name="_Toc79163864"/>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eastAsia="仿宋"/>
          <w:b/>
          <w:color w:val="000000"/>
          <w:sz w:val="32"/>
          <w:szCs w:val="32"/>
        </w:rPr>
      </w:pPr>
      <w:bookmarkStart w:id="56" w:name="_Toc15377210"/>
      <w:bookmarkStart w:id="57" w:name="_Toc79163615"/>
      <w:bookmarkStart w:id="58" w:name="_Toc79163865"/>
      <w:r>
        <w:rPr>
          <w:rFonts w:hint="eastAsia" w:asci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eastAsia="仿宋"/>
          <w:color w:val="000000"/>
          <w:sz w:val="32"/>
          <w:szCs w:val="32"/>
        </w:rPr>
      </w:pPr>
      <w:r>
        <w:rPr>
          <w:rFonts w:hint="eastAsia" w:ascii="仿宋_GB2312" w:eastAsia="仿宋_GB2312" w:cs="仿宋_GB2312"/>
          <w:color w:val="000000"/>
          <w:sz w:val="32"/>
          <w:szCs w:val="32"/>
        </w:rPr>
        <w:t>2020年一般公共预算财政拨款支出</w:t>
      </w:r>
      <w:r>
        <w:rPr>
          <w:rFonts w:hint="eastAsia" w:ascii="仿宋_GB2312" w:eastAsia="仿宋_GB2312" w:cs="仿宋_GB2312"/>
          <w:color w:val="000000"/>
          <w:sz w:val="32"/>
          <w:szCs w:val="32"/>
          <w:lang w:val="en-US" w:eastAsia="zh-CN"/>
        </w:rPr>
        <w:t>270.57</w:t>
      </w:r>
      <w:r>
        <w:rPr>
          <w:rFonts w:hint="eastAsia" w:ascii="仿宋_GB2312" w:eastAsia="仿宋_GB2312" w:cs="仿宋_GB2312"/>
          <w:color w:val="000000"/>
          <w:sz w:val="32"/>
          <w:szCs w:val="32"/>
        </w:rPr>
        <w:t>万元，占本年支出合计的</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%。与2019年相比，一般公共预算财政拨</w:t>
      </w:r>
      <w:r>
        <w:rPr>
          <w:rFonts w:hint="eastAsia" w:ascii="仿宋_GB2312" w:eastAsia="仿宋_GB2312" w:cs="仿宋_GB2312"/>
          <w:color w:val="000000"/>
          <w:sz w:val="32"/>
          <w:szCs w:val="32"/>
          <w:lang w:eastAsia="zh-CN"/>
        </w:rPr>
        <w:t>款增加了</w:t>
      </w:r>
      <w:r>
        <w:rPr>
          <w:rFonts w:hint="eastAsia" w:ascii="仿宋_GB2312" w:eastAsia="仿宋_GB2312" w:cs="仿宋_GB2312"/>
          <w:color w:val="000000"/>
          <w:sz w:val="32"/>
          <w:szCs w:val="32"/>
          <w:lang w:val="en-US" w:eastAsia="zh-CN"/>
        </w:rPr>
        <w:t>25.84</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增加了</w:t>
      </w:r>
      <w:r>
        <w:rPr>
          <w:rFonts w:hint="eastAsia" w:ascii="仿宋_GB2312" w:eastAsia="仿宋_GB2312" w:cs="仿宋_GB2312"/>
          <w:color w:val="000000"/>
          <w:sz w:val="32"/>
          <w:szCs w:val="32"/>
          <w:lang w:val="en-US" w:eastAsia="zh-CN"/>
        </w:rPr>
        <w:t>10.56</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增加了一般公共服务中的基本支出。</w:t>
      </w:r>
    </w:p>
    <w:p>
      <w:pPr>
        <w:spacing w:line="600" w:lineRule="exact"/>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：一般公共预算财政拨款支出决算变动情况）（柱状图）</w:t>
      </w:r>
    </w:p>
    <w:p>
      <w:pPr>
        <w:pStyle w:val="2"/>
        <w:ind w:firstLine="6400" w:firstLineChars="2000"/>
        <w:rPr>
          <w:rFonts w:hint="eastAsia" w:ascii="仿宋" w:eastAsia="仿宋"/>
          <w:color w:val="000000"/>
          <w:sz w:val="32"/>
          <w:szCs w:val="32"/>
          <w:lang w:eastAsia="zh-CN"/>
        </w:rPr>
      </w:pPr>
      <w:r>
        <w:rPr>
          <w:rFonts w:hint="eastAsia" w:ascii="仿宋" w:eastAsia="仿宋"/>
          <w:color w:val="000000"/>
          <w:sz w:val="32"/>
          <w:szCs w:val="32"/>
          <w:lang w:eastAsia="zh-CN"/>
        </w:rPr>
        <w:t>单位：万元</w:t>
      </w:r>
    </w:p>
    <w:p>
      <w:pPr>
        <w:pStyle w:val="3"/>
        <w:rPr>
          <w:rFonts w:hint="eastAsia" w:ascii="仿宋" w:eastAsia="仿宋"/>
          <w:color w:val="000000"/>
          <w:sz w:val="32"/>
          <w:szCs w:val="32"/>
          <w:lang w:eastAsia="zh-CN"/>
        </w:rPr>
      </w:pPr>
    </w:p>
    <w:p>
      <w:pPr>
        <w:rPr>
          <w:rFonts w:hint="eastAsia"/>
          <w:lang w:eastAsia="zh-CN"/>
        </w:rPr>
      </w:pPr>
      <w:r>
        <w:drawing>
          <wp:inline distT="0" distB="0" distL="114300" distR="114300">
            <wp:extent cx="5276850" cy="2781300"/>
            <wp:effectExtent l="0" t="0" r="0"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eastAsia="仿宋"/>
          <w:color w:val="000000"/>
          <w:sz w:val="32"/>
          <w:szCs w:val="32"/>
        </w:rPr>
      </w:pPr>
    </w:p>
    <w:p>
      <w:pPr>
        <w:spacing w:line="600" w:lineRule="exact"/>
        <w:ind w:firstLine="642" w:firstLineChars="200"/>
        <w:outlineLvl w:val="2"/>
        <w:rPr>
          <w:rFonts w:ascii="仿宋" w:eastAsia="仿宋"/>
          <w:b/>
          <w:color w:val="000000"/>
          <w:sz w:val="32"/>
          <w:szCs w:val="32"/>
        </w:rPr>
      </w:pPr>
      <w:bookmarkStart w:id="59" w:name="_Toc15377211"/>
      <w:bookmarkStart w:id="60" w:name="_Toc79163616"/>
      <w:bookmarkStart w:id="61" w:name="_Toc79163866"/>
      <w:r>
        <w:rPr>
          <w:rFonts w:hint="eastAsia" w:ascii="仿宋" w:eastAsia="仿宋"/>
          <w:b/>
          <w:color w:val="000000"/>
          <w:sz w:val="32"/>
          <w:szCs w:val="32"/>
        </w:rPr>
        <w:t>（二）一般公共预算财政拨款支出决算结构情况</w:t>
      </w:r>
      <w:bookmarkEnd w:id="59"/>
      <w:bookmarkEnd w:id="60"/>
      <w:bookmarkEnd w:id="61"/>
    </w:p>
    <w:p>
      <w:pPr>
        <w:spacing w:line="600" w:lineRule="exact"/>
        <w:ind w:firstLine="640"/>
        <w:rPr>
          <w:rFonts w:hint="eastAsia" w:ascii="仿宋_GB2312" w:eastAsia="仿宋_GB2312" w:cs="仿宋_GB2312"/>
          <w:b/>
          <w:color w:val="000000"/>
          <w:sz w:val="32"/>
          <w:szCs w:val="32"/>
        </w:rPr>
      </w:pPr>
      <w:r>
        <w:rPr>
          <w:rFonts w:hint="eastAsia" w:ascii="仿宋_GB2312" w:eastAsia="仿宋_GB2312" w:cs="仿宋_GB2312"/>
          <w:color w:val="000000"/>
          <w:sz w:val="32"/>
          <w:szCs w:val="32"/>
        </w:rPr>
        <w:t>2020年一般公共预算财政拨款支出</w:t>
      </w:r>
      <w:r>
        <w:rPr>
          <w:rFonts w:hint="eastAsia" w:ascii="仿宋_GB2312" w:eastAsia="仿宋_GB2312" w:cs="仿宋_GB2312"/>
          <w:color w:val="000000"/>
          <w:sz w:val="32"/>
          <w:szCs w:val="32"/>
          <w:lang w:val="en-US" w:eastAsia="zh-CN"/>
        </w:rPr>
        <w:t>270.57</w:t>
      </w:r>
      <w:r>
        <w:rPr>
          <w:rFonts w:hint="eastAsia" w:ascii="仿宋_GB2312" w:eastAsia="仿宋_GB2312" w:cs="仿宋_GB2312"/>
          <w:color w:val="000000"/>
          <w:sz w:val="32"/>
          <w:szCs w:val="32"/>
        </w:rPr>
        <w:t>万元，主要用于以下方面:</w:t>
      </w:r>
      <w:r>
        <w:rPr>
          <w:rFonts w:hint="eastAsia" w:ascii="仿宋_GB2312" w:eastAsia="仿宋_GB2312" w:cs="仿宋_GB2312"/>
          <w:b/>
          <w:color w:val="000000"/>
          <w:sz w:val="32"/>
          <w:szCs w:val="32"/>
        </w:rPr>
        <w:t>一般公共服务（类）</w:t>
      </w:r>
      <w:r>
        <w:rPr>
          <w:rFonts w:hint="eastAsia"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227.60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84.12</w:t>
      </w:r>
      <w:r>
        <w:rPr>
          <w:rFonts w:hint="eastAsia" w:ascii="仿宋_GB2312" w:eastAsia="仿宋_GB2312" w:cs="仿宋_GB2312"/>
          <w:color w:val="000000"/>
          <w:sz w:val="32"/>
          <w:szCs w:val="32"/>
        </w:rPr>
        <w:t>%；</w:t>
      </w:r>
      <w:r>
        <w:rPr>
          <w:rFonts w:hint="eastAsia" w:ascii="仿宋_GB2312" w:eastAsia="仿宋_GB2312" w:cs="仿宋_GB2312"/>
          <w:b/>
          <w:color w:val="000000"/>
          <w:sz w:val="32"/>
          <w:szCs w:val="32"/>
        </w:rPr>
        <w:t>社会保障和就业（类）</w:t>
      </w:r>
      <w:r>
        <w:rPr>
          <w:rFonts w:hint="eastAsia"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21.91</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8.10</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卫生健康支出</w:t>
      </w:r>
      <w:r>
        <w:rPr>
          <w:rFonts w:hint="eastAsia" w:ascii="仿宋_GB2312" w:eastAsia="仿宋_GB2312" w:cs="仿宋_GB2312"/>
          <w:color w:val="000000"/>
          <w:sz w:val="32"/>
          <w:szCs w:val="32"/>
          <w:lang w:val="en-US" w:eastAsia="zh-CN"/>
        </w:rPr>
        <w:t>7.13</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2.64</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住房保障支出</w:t>
      </w:r>
      <w:r>
        <w:rPr>
          <w:rFonts w:hint="eastAsia" w:ascii="仿宋_GB2312" w:eastAsia="仿宋_GB2312" w:cs="仿宋_GB2312"/>
          <w:color w:val="000000"/>
          <w:sz w:val="32"/>
          <w:szCs w:val="32"/>
          <w:lang w:val="en-US" w:eastAsia="zh-CN"/>
        </w:rPr>
        <w:t>13.93</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5.14</w:t>
      </w:r>
      <w:r>
        <w:rPr>
          <w:rFonts w:hint="eastAsia" w:ascii="仿宋_GB2312" w:eastAsia="仿宋_GB2312" w:cs="仿宋_GB2312"/>
          <w:color w:val="000000"/>
          <w:sz w:val="32"/>
          <w:szCs w:val="32"/>
        </w:rPr>
        <w:t>%。</w:t>
      </w: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：一般公共预算财政拨款支出决算结构）（饼状图）</w:t>
      </w:r>
    </w:p>
    <w:p>
      <w:pPr>
        <w:pStyle w:val="2"/>
        <w:ind w:firstLine="6400" w:firstLineChars="2000"/>
        <w:rPr>
          <w:rFonts w:hint="eastAsia" w:ascii="仿宋" w:eastAsia="仿宋"/>
          <w:color w:val="000000"/>
          <w:sz w:val="32"/>
          <w:szCs w:val="32"/>
          <w:lang w:eastAsia="zh-CN"/>
        </w:rPr>
      </w:pPr>
      <w:r>
        <w:rPr>
          <w:rFonts w:hint="eastAsia" w:ascii="仿宋" w:eastAsia="仿宋"/>
          <w:color w:val="000000"/>
          <w:sz w:val="32"/>
          <w:szCs w:val="32"/>
          <w:lang w:eastAsia="zh-CN"/>
        </w:rPr>
        <w:t>单位：万元</w:t>
      </w:r>
    </w:p>
    <w:p>
      <w:pPr>
        <w:pStyle w:val="3"/>
        <w:ind w:left="0" w:leftChars="0" w:firstLine="0"/>
        <w:rPr>
          <w:rFonts w:hint="eastAsia"/>
          <w:lang w:eastAsia="zh-CN"/>
        </w:rPr>
      </w:pPr>
      <w:r>
        <w:drawing>
          <wp:inline distT="0" distB="0" distL="114300" distR="114300">
            <wp:extent cx="5143500" cy="2733675"/>
            <wp:effectExtent l="0" t="0" r="0" b="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
        <w:ind w:left="0" w:leftChars="0" w:firstLine="0"/>
        <w:rPr>
          <w:rFonts w:hint="eastAsia"/>
          <w:lang w:eastAsia="zh-CN"/>
        </w:rPr>
      </w:pPr>
    </w:p>
    <w:p>
      <w:pPr>
        <w:spacing w:line="600" w:lineRule="exact"/>
        <w:ind w:firstLine="640" w:firstLineChars="200"/>
        <w:rPr>
          <w:rFonts w:ascii="仿宋" w:eastAsia="仿宋"/>
          <w:color w:val="000000"/>
          <w:sz w:val="32"/>
          <w:szCs w:val="32"/>
        </w:rPr>
      </w:pPr>
    </w:p>
    <w:p>
      <w:pPr>
        <w:spacing w:line="600" w:lineRule="exact"/>
        <w:ind w:firstLine="642" w:firstLineChars="200"/>
        <w:outlineLvl w:val="2"/>
        <w:rPr>
          <w:rFonts w:ascii="仿宋" w:eastAsia="仿宋"/>
          <w:b/>
          <w:color w:val="000000"/>
          <w:sz w:val="32"/>
          <w:szCs w:val="32"/>
        </w:rPr>
      </w:pPr>
      <w:bookmarkStart w:id="62" w:name="_Toc15377212"/>
      <w:bookmarkStart w:id="63" w:name="_Toc79163617"/>
      <w:bookmarkStart w:id="64" w:name="_Toc79163867"/>
      <w:r>
        <w:rPr>
          <w:rFonts w:hint="eastAsia" w:ascii="仿宋" w:eastAsia="仿宋"/>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7213"/>
      <w:bookmarkStart w:id="66" w:name="_Toc15378460"/>
      <w:bookmarkStart w:id="67" w:name="_Toc15377444"/>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270.57万元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numPr>
          <w:ilvl w:val="0"/>
          <w:numId w:val="2"/>
        </w:numPr>
        <w:spacing w:line="600" w:lineRule="exact"/>
        <w:ind w:left="0" w:firstLine="642" w:firstLineChars="200"/>
        <w:rPr>
          <w:rFonts w:ascii="仿宋" w:eastAsia="仿宋"/>
          <w:b/>
          <w:color w:val="000000"/>
          <w:sz w:val="32"/>
          <w:szCs w:val="32"/>
        </w:rPr>
      </w:pPr>
      <w:bookmarkStart w:id="68" w:name="_Toc79163868"/>
      <w:bookmarkStart w:id="69" w:name="_Toc79163618"/>
      <w:bookmarkStart w:id="70" w:name="_Toc15377214"/>
      <w:bookmarkStart w:id="71" w:name="_Toc15396608"/>
      <w:r>
        <w:rPr>
          <w:rStyle w:val="23"/>
          <w:rFonts w:hint="eastAsia" w:ascii="仿宋" w:eastAsia="仿宋"/>
          <w:bCs/>
          <w:color w:val="000000"/>
          <w:sz w:val="32"/>
          <w:szCs w:val="32"/>
        </w:rPr>
        <w:t>一般公共服务</w:t>
      </w:r>
      <w:r>
        <w:rPr>
          <w:rStyle w:val="23"/>
          <w:rFonts w:hint="eastAsia" w:ascii="仿宋" w:eastAsia="仿宋"/>
          <w:bCs/>
          <w:color w:val="000000"/>
          <w:sz w:val="32"/>
          <w:szCs w:val="32"/>
          <w:lang w:val="en-US" w:eastAsia="zh-CN"/>
        </w:rPr>
        <w:t>201</w:t>
      </w:r>
      <w:r>
        <w:rPr>
          <w:rStyle w:val="23"/>
          <w:rFonts w:hint="eastAsia" w:ascii="仿宋" w:eastAsia="仿宋"/>
          <w:bCs/>
          <w:color w:val="000000"/>
          <w:sz w:val="32"/>
          <w:szCs w:val="32"/>
        </w:rPr>
        <w:t>（类）</w:t>
      </w:r>
      <w:r>
        <w:rPr>
          <w:rStyle w:val="23"/>
          <w:rFonts w:hint="eastAsia" w:ascii="仿宋" w:eastAsia="仿宋"/>
          <w:bCs/>
          <w:color w:val="000000"/>
          <w:sz w:val="32"/>
          <w:szCs w:val="32"/>
          <w:lang w:val="en-US" w:eastAsia="zh-CN"/>
        </w:rPr>
        <w:t>03</w:t>
      </w:r>
      <w:r>
        <w:rPr>
          <w:rStyle w:val="23"/>
          <w:rFonts w:hint="eastAsia" w:ascii="仿宋" w:eastAsia="仿宋"/>
          <w:bCs/>
          <w:color w:val="000000"/>
          <w:sz w:val="32"/>
          <w:szCs w:val="32"/>
        </w:rPr>
        <w:t>（款）</w:t>
      </w:r>
      <w:r>
        <w:rPr>
          <w:rStyle w:val="23"/>
          <w:rFonts w:hint="eastAsia" w:ascii="仿宋" w:eastAsia="仿宋"/>
          <w:bCs/>
          <w:color w:val="000000"/>
          <w:sz w:val="32"/>
          <w:szCs w:val="32"/>
          <w:lang w:val="en-US" w:eastAsia="zh-CN"/>
        </w:rPr>
        <w:t>50</w:t>
      </w:r>
      <w:r>
        <w:rPr>
          <w:rStyle w:val="23"/>
          <w:rFonts w:hint="eastAsia" w:ascii="仿宋" w:eastAsia="仿宋"/>
          <w:bCs/>
          <w:color w:val="000000"/>
          <w:sz w:val="32"/>
          <w:szCs w:val="32"/>
        </w:rPr>
        <w:t>（项）</w:t>
      </w:r>
      <w:r>
        <w:rPr>
          <w:rStyle w:val="23"/>
          <w:rFonts w:ascii="仿宋" w:eastAsia="仿宋"/>
          <w:bCs/>
          <w:color w:val="000000"/>
          <w:sz w:val="32"/>
          <w:szCs w:val="32"/>
        </w:rPr>
        <w:t>:</w:t>
      </w:r>
      <w:r>
        <w:rPr>
          <w:rStyle w:val="23"/>
          <w:rFonts w:ascii="仿宋" w:eastAsia="仿宋"/>
          <w:b w:val="0"/>
          <w:bCs/>
          <w:color w:val="000000"/>
          <w:sz w:val="32"/>
          <w:szCs w:val="32"/>
        </w:rPr>
        <w:t xml:space="preserve"> </w:t>
      </w:r>
      <w:r>
        <w:rPr>
          <w:rStyle w:val="23"/>
          <w:rFonts w:hint="eastAsia" w:ascii="仿宋" w:eastAsia="仿宋"/>
          <w:b w:val="0"/>
          <w:bCs/>
          <w:color w:val="000000"/>
          <w:sz w:val="32"/>
          <w:szCs w:val="32"/>
        </w:rPr>
        <w:t>支出决算为</w:t>
      </w:r>
      <w:r>
        <w:rPr>
          <w:rStyle w:val="23"/>
          <w:rFonts w:hint="eastAsia" w:ascii="仿宋" w:eastAsia="仿宋"/>
          <w:b w:val="0"/>
          <w:bCs/>
          <w:color w:val="000000"/>
          <w:sz w:val="32"/>
          <w:szCs w:val="32"/>
          <w:lang w:val="en-US" w:eastAsia="zh-CN"/>
        </w:rPr>
        <w:t>227.60</w:t>
      </w:r>
      <w:r>
        <w:rPr>
          <w:rStyle w:val="23"/>
          <w:rFonts w:hint="eastAsia" w:ascii="仿宋" w:eastAsia="仿宋"/>
          <w:b w:val="0"/>
          <w:bCs/>
          <w:color w:val="000000"/>
          <w:sz w:val="32"/>
          <w:szCs w:val="32"/>
        </w:rPr>
        <w:t>万元，完成预算</w:t>
      </w:r>
      <w:r>
        <w:rPr>
          <w:rStyle w:val="23"/>
          <w:rFonts w:hint="eastAsia" w:ascii="仿宋" w:eastAsia="仿宋"/>
          <w:b w:val="0"/>
          <w:bCs/>
          <w:color w:val="000000"/>
          <w:sz w:val="32"/>
          <w:szCs w:val="32"/>
          <w:lang w:val="en-US" w:eastAsia="zh-CN"/>
        </w:rPr>
        <w:t>100</w:t>
      </w:r>
      <w:r>
        <w:rPr>
          <w:rStyle w:val="23"/>
          <w:rFonts w:ascii="仿宋" w:eastAsia="仿宋"/>
          <w:b w:val="0"/>
          <w:bCs/>
          <w:color w:val="000000"/>
          <w:sz w:val="32"/>
          <w:szCs w:val="32"/>
        </w:rPr>
        <w:t>%</w:t>
      </w:r>
      <w:r>
        <w:rPr>
          <w:rStyle w:val="23"/>
          <w:rFonts w:hint="eastAsia" w:ascii="仿宋" w:eastAsia="仿宋"/>
          <w:b w:val="0"/>
          <w:bCs/>
          <w:color w:val="000000"/>
          <w:sz w:val="32"/>
          <w:szCs w:val="32"/>
        </w:rPr>
        <w:t>，</w:t>
      </w:r>
    </w:p>
    <w:p>
      <w:pPr>
        <w:spacing w:line="600" w:lineRule="exact"/>
        <w:ind w:firstLine="642" w:firstLineChars="200"/>
        <w:rPr>
          <w:rFonts w:ascii="仿宋" w:eastAsia="仿宋"/>
          <w:b/>
          <w:color w:val="000000"/>
          <w:sz w:val="32"/>
          <w:szCs w:val="32"/>
        </w:rPr>
      </w:pPr>
      <w:r>
        <w:rPr>
          <w:rStyle w:val="23"/>
          <w:rFonts w:hint="eastAsia" w:ascii="仿宋" w:eastAsia="仿宋"/>
          <w:bCs/>
          <w:color w:val="000000"/>
          <w:sz w:val="32"/>
          <w:szCs w:val="32"/>
          <w:lang w:val="en-US" w:eastAsia="zh-CN"/>
        </w:rPr>
        <w:t>2</w:t>
      </w:r>
      <w:r>
        <w:rPr>
          <w:rStyle w:val="23"/>
          <w:rFonts w:ascii="仿宋" w:eastAsia="仿宋"/>
          <w:bCs/>
          <w:color w:val="000000"/>
          <w:sz w:val="32"/>
          <w:szCs w:val="32"/>
        </w:rPr>
        <w:t>.</w:t>
      </w:r>
      <w:r>
        <w:rPr>
          <w:rStyle w:val="23"/>
          <w:rFonts w:hint="eastAsia" w:ascii="仿宋" w:eastAsia="仿宋"/>
          <w:bCs/>
          <w:color w:val="000000"/>
          <w:sz w:val="32"/>
          <w:szCs w:val="32"/>
        </w:rPr>
        <w:t>社会保障和就业208（类）05（款）05（项）</w:t>
      </w:r>
      <w:r>
        <w:rPr>
          <w:rStyle w:val="23"/>
          <w:rFonts w:ascii="仿宋" w:eastAsia="仿宋"/>
          <w:bCs/>
          <w:color w:val="000000"/>
          <w:sz w:val="32"/>
          <w:szCs w:val="32"/>
        </w:rPr>
        <w:t>:</w:t>
      </w:r>
      <w:r>
        <w:rPr>
          <w:rStyle w:val="23"/>
          <w:rFonts w:ascii="仿宋" w:eastAsia="仿宋"/>
          <w:b w:val="0"/>
          <w:bCs/>
          <w:color w:val="000000"/>
          <w:sz w:val="32"/>
          <w:szCs w:val="32"/>
        </w:rPr>
        <w:t xml:space="preserve"> </w:t>
      </w:r>
      <w:r>
        <w:rPr>
          <w:rStyle w:val="23"/>
          <w:rFonts w:hint="eastAsia" w:ascii="仿宋" w:eastAsia="仿宋"/>
          <w:b w:val="0"/>
          <w:bCs/>
          <w:color w:val="000000"/>
          <w:sz w:val="32"/>
          <w:szCs w:val="32"/>
        </w:rPr>
        <w:t>支出决算为</w:t>
      </w:r>
      <w:r>
        <w:rPr>
          <w:rStyle w:val="23"/>
          <w:rFonts w:hint="eastAsia" w:ascii="仿宋" w:eastAsia="仿宋"/>
          <w:b w:val="0"/>
          <w:bCs/>
          <w:color w:val="000000"/>
          <w:sz w:val="32"/>
          <w:szCs w:val="32"/>
          <w:lang w:val="en-US" w:eastAsia="zh-CN"/>
        </w:rPr>
        <w:t>14.42</w:t>
      </w:r>
      <w:r>
        <w:rPr>
          <w:rStyle w:val="23"/>
          <w:rFonts w:hint="eastAsia" w:ascii="仿宋" w:eastAsia="仿宋"/>
          <w:b w:val="0"/>
          <w:bCs/>
          <w:color w:val="000000"/>
          <w:sz w:val="32"/>
          <w:szCs w:val="32"/>
        </w:rPr>
        <w:t>万元，完成预算</w:t>
      </w:r>
      <w:r>
        <w:rPr>
          <w:rStyle w:val="23"/>
          <w:rFonts w:hint="eastAsia" w:ascii="仿宋" w:eastAsia="仿宋"/>
          <w:b w:val="0"/>
          <w:bCs/>
          <w:color w:val="000000"/>
          <w:sz w:val="32"/>
          <w:szCs w:val="32"/>
          <w:lang w:val="en-US" w:eastAsia="zh-CN"/>
        </w:rPr>
        <w:t>100</w:t>
      </w:r>
      <w:r>
        <w:rPr>
          <w:rStyle w:val="23"/>
          <w:rFonts w:ascii="仿宋" w:eastAsia="仿宋"/>
          <w:b w:val="0"/>
          <w:bCs/>
          <w:color w:val="000000"/>
          <w:sz w:val="32"/>
          <w:szCs w:val="32"/>
        </w:rPr>
        <w:t>%</w:t>
      </w:r>
      <w:r>
        <w:rPr>
          <w:rStyle w:val="23"/>
          <w:rFonts w:hint="eastAsia" w:ascii="仿宋" w:eastAsia="仿宋"/>
          <w:b w:val="0"/>
          <w:bCs/>
          <w:color w:val="000000"/>
          <w:sz w:val="32"/>
          <w:szCs w:val="32"/>
        </w:rPr>
        <w:t>，</w:t>
      </w:r>
      <w:r>
        <w:rPr>
          <w:rStyle w:val="23"/>
          <w:rFonts w:hint="eastAsia" w:ascii="仿宋" w:eastAsia="仿宋"/>
          <w:bCs/>
          <w:color w:val="000000"/>
          <w:sz w:val="32"/>
          <w:szCs w:val="32"/>
        </w:rPr>
        <w:t>社会保障和就业208（类）05（款）06（项）</w:t>
      </w:r>
      <w:r>
        <w:rPr>
          <w:rStyle w:val="23"/>
          <w:rFonts w:ascii="仿宋" w:eastAsia="仿宋"/>
          <w:bCs/>
          <w:color w:val="000000"/>
          <w:sz w:val="32"/>
          <w:szCs w:val="32"/>
        </w:rPr>
        <w:t>:</w:t>
      </w:r>
      <w:r>
        <w:rPr>
          <w:rStyle w:val="23"/>
          <w:rFonts w:hint="eastAsia" w:ascii="仿宋" w:eastAsia="仿宋"/>
          <w:b w:val="0"/>
          <w:bCs/>
          <w:color w:val="000000"/>
          <w:sz w:val="32"/>
          <w:szCs w:val="32"/>
        </w:rPr>
        <w:t>支出决算为</w:t>
      </w:r>
      <w:r>
        <w:rPr>
          <w:rStyle w:val="23"/>
          <w:rFonts w:hint="eastAsia" w:ascii="仿宋" w:eastAsia="仿宋"/>
          <w:b w:val="0"/>
          <w:bCs/>
          <w:color w:val="000000"/>
          <w:sz w:val="32"/>
          <w:szCs w:val="32"/>
          <w:lang w:val="en-US" w:eastAsia="zh-CN"/>
        </w:rPr>
        <w:t>7.49</w:t>
      </w:r>
      <w:r>
        <w:rPr>
          <w:rStyle w:val="23"/>
          <w:rFonts w:hint="eastAsia" w:ascii="仿宋" w:eastAsia="仿宋"/>
          <w:b w:val="0"/>
          <w:bCs/>
          <w:color w:val="000000"/>
          <w:sz w:val="32"/>
          <w:szCs w:val="32"/>
        </w:rPr>
        <w:t>万元，完成预算</w:t>
      </w:r>
      <w:r>
        <w:rPr>
          <w:rStyle w:val="23"/>
          <w:rFonts w:hint="eastAsia" w:ascii="仿宋" w:eastAsia="仿宋"/>
          <w:b w:val="0"/>
          <w:bCs/>
          <w:color w:val="000000"/>
          <w:sz w:val="32"/>
          <w:szCs w:val="32"/>
          <w:lang w:val="en-US" w:eastAsia="zh-CN"/>
        </w:rPr>
        <w:t>100</w:t>
      </w:r>
      <w:r>
        <w:rPr>
          <w:rStyle w:val="23"/>
          <w:rFonts w:ascii="仿宋" w:eastAsia="仿宋"/>
          <w:b w:val="0"/>
          <w:bCs/>
          <w:color w:val="000000"/>
          <w:sz w:val="32"/>
          <w:szCs w:val="32"/>
        </w:rPr>
        <w:t>%</w:t>
      </w:r>
      <w:r>
        <w:rPr>
          <w:rStyle w:val="23"/>
          <w:rFonts w:hint="eastAsia" w:ascii="仿宋" w:eastAsia="仿宋"/>
          <w:b w:val="0"/>
          <w:bCs/>
          <w:color w:val="000000"/>
          <w:sz w:val="32"/>
          <w:szCs w:val="32"/>
        </w:rPr>
        <w:t>。</w:t>
      </w:r>
    </w:p>
    <w:p>
      <w:pPr>
        <w:spacing w:line="600" w:lineRule="exact"/>
        <w:ind w:firstLine="642" w:firstLineChars="200"/>
        <w:rPr>
          <w:rStyle w:val="23"/>
          <w:rFonts w:hint="eastAsia" w:ascii="仿宋" w:eastAsia="仿宋"/>
          <w:b w:val="0"/>
          <w:bCs/>
          <w:color w:val="000000"/>
          <w:sz w:val="32"/>
          <w:szCs w:val="32"/>
          <w:lang w:val="en-US" w:eastAsia="zh-CN"/>
        </w:rPr>
      </w:pPr>
      <w:r>
        <w:rPr>
          <w:rStyle w:val="23"/>
          <w:rFonts w:ascii="仿宋" w:eastAsia="仿宋"/>
          <w:bCs/>
          <w:color w:val="000000"/>
          <w:sz w:val="32"/>
          <w:szCs w:val="32"/>
        </w:rPr>
        <w:t>4.</w:t>
      </w:r>
      <w:r>
        <w:rPr>
          <w:rFonts w:hint="eastAsia" w:ascii="仿宋" w:eastAsia="仿宋"/>
          <w:b/>
          <w:bCs/>
          <w:color w:val="000000"/>
          <w:sz w:val="32"/>
          <w:szCs w:val="32"/>
        </w:rPr>
        <w:t>卫生健康</w:t>
      </w:r>
      <w:r>
        <w:rPr>
          <w:rFonts w:hint="eastAsia" w:ascii="仿宋" w:eastAsia="仿宋"/>
          <w:b/>
          <w:bCs/>
          <w:color w:val="000000"/>
          <w:sz w:val="32"/>
          <w:szCs w:val="32"/>
          <w:lang w:val="en-US" w:eastAsia="zh-CN"/>
        </w:rPr>
        <w:t>210</w:t>
      </w:r>
      <w:r>
        <w:rPr>
          <w:rStyle w:val="23"/>
          <w:rFonts w:hint="eastAsia" w:ascii="仿宋" w:eastAsia="仿宋"/>
          <w:bCs/>
          <w:color w:val="000000"/>
          <w:sz w:val="32"/>
          <w:szCs w:val="32"/>
        </w:rPr>
        <w:t>（类）</w:t>
      </w:r>
      <w:r>
        <w:rPr>
          <w:rStyle w:val="23"/>
          <w:rFonts w:hint="eastAsia" w:ascii="仿宋" w:eastAsia="仿宋"/>
          <w:bCs/>
          <w:color w:val="000000"/>
          <w:sz w:val="32"/>
          <w:szCs w:val="32"/>
          <w:lang w:val="en-US" w:eastAsia="zh-CN"/>
        </w:rPr>
        <w:t>11</w:t>
      </w:r>
      <w:r>
        <w:rPr>
          <w:rStyle w:val="23"/>
          <w:rFonts w:hint="eastAsia" w:ascii="仿宋" w:eastAsia="仿宋"/>
          <w:bCs/>
          <w:color w:val="000000"/>
          <w:sz w:val="32"/>
          <w:szCs w:val="32"/>
        </w:rPr>
        <w:t>（款）</w:t>
      </w:r>
      <w:r>
        <w:rPr>
          <w:rStyle w:val="23"/>
          <w:rFonts w:hint="eastAsia" w:ascii="仿宋" w:eastAsia="仿宋"/>
          <w:bCs/>
          <w:color w:val="000000"/>
          <w:sz w:val="32"/>
          <w:szCs w:val="32"/>
          <w:lang w:val="en-US" w:eastAsia="zh-CN"/>
        </w:rPr>
        <w:t>02</w:t>
      </w:r>
      <w:r>
        <w:rPr>
          <w:rStyle w:val="23"/>
          <w:rFonts w:hint="eastAsia" w:ascii="仿宋" w:eastAsia="仿宋"/>
          <w:bCs/>
          <w:color w:val="000000"/>
          <w:sz w:val="32"/>
          <w:szCs w:val="32"/>
        </w:rPr>
        <w:t>（项）</w:t>
      </w:r>
      <w:r>
        <w:rPr>
          <w:rStyle w:val="23"/>
          <w:rFonts w:ascii="仿宋" w:eastAsia="仿宋"/>
          <w:bCs/>
          <w:color w:val="000000"/>
          <w:sz w:val="32"/>
          <w:szCs w:val="32"/>
        </w:rPr>
        <w:t>:</w:t>
      </w:r>
      <w:r>
        <w:rPr>
          <w:rStyle w:val="23"/>
          <w:rFonts w:ascii="仿宋" w:eastAsia="仿宋"/>
          <w:b w:val="0"/>
          <w:bCs/>
          <w:color w:val="000000"/>
          <w:sz w:val="32"/>
          <w:szCs w:val="32"/>
        </w:rPr>
        <w:t xml:space="preserve"> </w:t>
      </w:r>
      <w:r>
        <w:rPr>
          <w:rStyle w:val="23"/>
          <w:rFonts w:hint="eastAsia" w:ascii="仿宋" w:eastAsia="仿宋"/>
          <w:b w:val="0"/>
          <w:bCs/>
          <w:color w:val="000000"/>
          <w:sz w:val="32"/>
          <w:szCs w:val="32"/>
        </w:rPr>
        <w:t>支出决算为</w:t>
      </w:r>
      <w:r>
        <w:rPr>
          <w:rStyle w:val="23"/>
          <w:rFonts w:hint="eastAsia" w:ascii="仿宋" w:eastAsia="仿宋"/>
          <w:b w:val="0"/>
          <w:bCs/>
          <w:color w:val="000000"/>
          <w:sz w:val="32"/>
          <w:szCs w:val="32"/>
          <w:lang w:val="en-US" w:eastAsia="zh-CN"/>
        </w:rPr>
        <w:t>7.13</w:t>
      </w:r>
      <w:r>
        <w:rPr>
          <w:rStyle w:val="23"/>
          <w:rFonts w:hint="eastAsia" w:ascii="仿宋" w:eastAsia="仿宋"/>
          <w:b w:val="0"/>
          <w:bCs/>
          <w:color w:val="000000"/>
          <w:sz w:val="32"/>
          <w:szCs w:val="32"/>
        </w:rPr>
        <w:t>万元，完成预算</w:t>
      </w:r>
      <w:r>
        <w:rPr>
          <w:rStyle w:val="23"/>
          <w:rFonts w:hint="eastAsia" w:ascii="仿宋" w:eastAsia="仿宋"/>
          <w:b w:val="0"/>
          <w:bCs/>
          <w:color w:val="000000"/>
          <w:sz w:val="32"/>
          <w:szCs w:val="32"/>
          <w:lang w:val="en-US" w:eastAsia="zh-CN"/>
        </w:rPr>
        <w:t>100</w:t>
      </w:r>
      <w:r>
        <w:rPr>
          <w:rStyle w:val="23"/>
          <w:rFonts w:ascii="仿宋" w:eastAsia="仿宋"/>
          <w:b w:val="0"/>
          <w:bCs/>
          <w:color w:val="000000"/>
          <w:sz w:val="32"/>
          <w:szCs w:val="32"/>
        </w:rPr>
        <w:t>%</w:t>
      </w:r>
      <w:r>
        <w:rPr>
          <w:rStyle w:val="23"/>
          <w:rFonts w:hint="eastAsia" w:ascii="仿宋" w:eastAsia="仿宋"/>
          <w:b w:val="0"/>
          <w:bCs/>
          <w:color w:val="000000"/>
          <w:sz w:val="32"/>
          <w:szCs w:val="32"/>
          <w:lang w:eastAsia="zh-CN"/>
        </w:rPr>
        <w:t>。</w:t>
      </w:r>
    </w:p>
    <w:p>
      <w:pPr>
        <w:spacing w:line="600" w:lineRule="exact"/>
        <w:ind w:firstLine="642" w:firstLineChars="200"/>
        <w:rPr>
          <w:rFonts w:ascii="仿宋" w:eastAsia="仿宋"/>
          <w:b/>
          <w:color w:val="000000"/>
          <w:sz w:val="32"/>
          <w:szCs w:val="32"/>
        </w:rPr>
      </w:pPr>
      <w:r>
        <w:rPr>
          <w:rStyle w:val="23"/>
          <w:rFonts w:ascii="仿宋" w:eastAsia="仿宋"/>
          <w:bCs/>
          <w:color w:val="000000"/>
          <w:sz w:val="32"/>
          <w:szCs w:val="32"/>
        </w:rPr>
        <w:t>5.</w:t>
      </w:r>
      <w:r>
        <w:rPr>
          <w:rFonts w:hint="eastAsia" w:ascii="仿宋" w:eastAsia="仿宋"/>
          <w:b/>
          <w:bCs/>
          <w:color w:val="000000"/>
          <w:sz w:val="32"/>
          <w:szCs w:val="32"/>
        </w:rPr>
        <w:t>住房保障支出221</w:t>
      </w:r>
      <w:r>
        <w:rPr>
          <w:rStyle w:val="23"/>
          <w:rFonts w:hint="eastAsia" w:ascii="仿宋" w:eastAsia="仿宋"/>
          <w:bCs/>
          <w:color w:val="000000"/>
          <w:sz w:val="32"/>
          <w:szCs w:val="32"/>
        </w:rPr>
        <w:t>（类）02（款）01（项）</w:t>
      </w:r>
      <w:r>
        <w:rPr>
          <w:rStyle w:val="23"/>
          <w:rFonts w:ascii="仿宋" w:eastAsia="仿宋"/>
          <w:bCs/>
          <w:color w:val="000000"/>
          <w:sz w:val="32"/>
          <w:szCs w:val="32"/>
        </w:rPr>
        <w:t>:</w:t>
      </w:r>
      <w:r>
        <w:rPr>
          <w:rStyle w:val="23"/>
          <w:rFonts w:ascii="仿宋" w:eastAsia="仿宋"/>
          <w:b w:val="0"/>
          <w:bCs/>
          <w:color w:val="000000"/>
          <w:sz w:val="32"/>
          <w:szCs w:val="32"/>
        </w:rPr>
        <w:t xml:space="preserve"> </w:t>
      </w:r>
      <w:r>
        <w:rPr>
          <w:rStyle w:val="23"/>
          <w:rFonts w:hint="eastAsia" w:ascii="仿宋" w:eastAsia="仿宋"/>
          <w:b w:val="0"/>
          <w:bCs/>
          <w:color w:val="000000"/>
          <w:sz w:val="32"/>
          <w:szCs w:val="32"/>
        </w:rPr>
        <w:t>支出决算为</w:t>
      </w:r>
      <w:r>
        <w:rPr>
          <w:rStyle w:val="23"/>
          <w:rFonts w:hint="eastAsia" w:ascii="仿宋" w:eastAsia="仿宋"/>
          <w:b w:val="0"/>
          <w:bCs/>
          <w:color w:val="000000"/>
          <w:sz w:val="32"/>
          <w:szCs w:val="32"/>
          <w:lang w:val="en-US" w:eastAsia="zh-CN"/>
        </w:rPr>
        <w:t>13.93</w:t>
      </w:r>
      <w:r>
        <w:rPr>
          <w:rStyle w:val="23"/>
          <w:rFonts w:hint="eastAsia" w:ascii="仿宋" w:eastAsia="仿宋"/>
          <w:b w:val="0"/>
          <w:bCs/>
          <w:color w:val="000000"/>
          <w:sz w:val="32"/>
          <w:szCs w:val="32"/>
        </w:rPr>
        <w:t>万元，完成预算</w:t>
      </w:r>
      <w:r>
        <w:rPr>
          <w:rStyle w:val="23"/>
          <w:rFonts w:hint="eastAsia" w:ascii="仿宋" w:eastAsia="仿宋"/>
          <w:b w:val="0"/>
          <w:bCs/>
          <w:color w:val="000000"/>
          <w:sz w:val="32"/>
          <w:szCs w:val="32"/>
          <w:lang w:val="en-US" w:eastAsia="zh-CN"/>
        </w:rPr>
        <w:t>100</w:t>
      </w:r>
      <w:r>
        <w:rPr>
          <w:rStyle w:val="23"/>
          <w:rFonts w:ascii="仿宋" w:eastAsia="仿宋"/>
          <w:b w:val="0"/>
          <w:bCs/>
          <w:color w:val="000000"/>
          <w:sz w:val="32"/>
          <w:szCs w:val="32"/>
        </w:rPr>
        <w:t>%</w:t>
      </w:r>
      <w:r>
        <w:rPr>
          <w:rStyle w:val="23"/>
          <w:rFonts w:hint="eastAsia" w:ascii="仿宋" w:eastAsia="仿宋"/>
          <w:b w:val="0"/>
          <w:bCs/>
          <w:color w:val="000000"/>
          <w:sz w:val="32"/>
          <w:szCs w:val="32"/>
        </w:rPr>
        <w:t>。</w:t>
      </w:r>
    </w:p>
    <w:p>
      <w:pPr>
        <w:tabs>
          <w:tab w:val="right" w:pos="8306"/>
        </w:tabs>
        <w:spacing w:line="600" w:lineRule="exact"/>
        <w:ind w:firstLine="640" w:firstLineChars="200"/>
        <w:outlineLvl w:val="1"/>
        <w:rPr>
          <w:rStyle w:val="26"/>
        </w:rPr>
      </w:pPr>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68"/>
      <w:bookmarkEnd w:id="69"/>
      <w:bookmarkEnd w:id="70"/>
      <w:bookmarkEnd w:id="71"/>
      <w:r>
        <w:rPr>
          <w:rStyle w:val="26"/>
          <w:rFonts w:ascii="黑体" w:eastAsia="黑体"/>
          <w:b w:val="0"/>
        </w:rPr>
        <w:tab/>
      </w:r>
    </w:p>
    <w:p>
      <w:pPr>
        <w:spacing w:line="600" w:lineRule="exact"/>
        <w:ind w:firstLine="64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2020年一般公共预算财政拨款基本支出</w:t>
      </w:r>
      <w:r>
        <w:rPr>
          <w:rFonts w:hint="eastAsia" w:ascii="仿宋_GB2312" w:eastAsia="仿宋_GB2312" w:cs="仿宋_GB2312"/>
          <w:color w:val="000000"/>
          <w:sz w:val="32"/>
          <w:szCs w:val="32"/>
          <w:lang w:val="en-US" w:eastAsia="zh-CN"/>
        </w:rPr>
        <w:t>270.57</w:t>
      </w:r>
      <w:r>
        <w:rPr>
          <w:rFonts w:hint="eastAsia" w:ascii="仿宋_GB2312" w:eastAsia="仿宋_GB2312" w:cs="仿宋_GB2312"/>
          <w:color w:val="000000"/>
          <w:sz w:val="32"/>
          <w:szCs w:val="32"/>
        </w:rPr>
        <w:t>万元，其中：</w:t>
      </w:r>
    </w:p>
    <w:p>
      <w:pPr>
        <w:spacing w:line="600" w:lineRule="exact"/>
        <w:ind w:firstLine="64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人员经费</w:t>
      </w:r>
      <w:r>
        <w:rPr>
          <w:rFonts w:hint="eastAsia" w:ascii="仿宋_GB2312" w:eastAsia="仿宋_GB2312" w:cs="仿宋_GB2312"/>
          <w:color w:val="000000"/>
          <w:sz w:val="32"/>
          <w:szCs w:val="32"/>
          <w:lang w:val="en-US" w:eastAsia="zh-CN"/>
        </w:rPr>
        <w:t>134.39</w:t>
      </w:r>
      <w:r>
        <w:rPr>
          <w:rFonts w:hint="eastAsia" w:ascii="仿宋_GB2312" w:eastAsia="仿宋_GB2312" w:cs="仿宋_GB2312"/>
          <w:color w:val="000000"/>
          <w:sz w:val="32"/>
          <w:szCs w:val="32"/>
        </w:rPr>
        <w:t>万元，主要包括：</w:t>
      </w:r>
      <w:r>
        <w:rPr>
          <w:rFonts w:hint="eastAsia" w:ascii="仿宋" w:eastAsia="仿宋"/>
          <w:color w:val="000000"/>
          <w:sz w:val="32"/>
          <w:szCs w:val="32"/>
        </w:rPr>
        <w:t>基本工资、津贴补贴、绩效工资、机关事业单位基本养老保险缴费、职业年金缴费、医疗费补助、</w:t>
      </w:r>
      <w:r>
        <w:rPr>
          <w:rFonts w:hint="eastAsia" w:ascii="仿宋" w:eastAsia="仿宋"/>
          <w:color w:val="000000"/>
          <w:sz w:val="32"/>
          <w:szCs w:val="32"/>
          <w:lang w:eastAsia="zh-CN"/>
        </w:rPr>
        <w:t>其他社会保障缴费</w:t>
      </w:r>
      <w:r>
        <w:rPr>
          <w:rFonts w:hint="eastAsia" w:ascii="仿宋" w:eastAsia="仿宋"/>
          <w:color w:val="000000"/>
          <w:sz w:val="32"/>
          <w:szCs w:val="32"/>
        </w:rPr>
        <w:t>、住房公积金。</w:t>
      </w:r>
      <w:r>
        <w:rPr>
          <w:rFonts w:hint="eastAsia" w:ascii="仿宋_GB2312" w:eastAsia="仿宋_GB2312" w:cs="仿宋_GB2312"/>
          <w:color w:val="000000"/>
          <w:sz w:val="32"/>
          <w:szCs w:val="32"/>
        </w:rPr>
        <w:t>　　</w:t>
      </w:r>
    </w:p>
    <w:p>
      <w:pPr>
        <w:spacing w:line="600" w:lineRule="exact"/>
        <w:ind w:firstLine="64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日常公用经费</w:t>
      </w:r>
      <w:r>
        <w:rPr>
          <w:rFonts w:hint="eastAsia" w:ascii="仿宋_GB2312" w:eastAsia="仿宋_GB2312" w:cs="仿宋_GB2312"/>
          <w:color w:val="000000"/>
          <w:sz w:val="32"/>
          <w:szCs w:val="32"/>
          <w:lang w:val="en-US" w:eastAsia="zh-CN"/>
        </w:rPr>
        <w:t>136.18</w:t>
      </w:r>
      <w:r>
        <w:rPr>
          <w:rFonts w:hint="eastAsia" w:ascii="仿宋_GB2312" w:eastAsia="仿宋_GB2312" w:cs="仿宋_GB2312"/>
          <w:color w:val="000000"/>
          <w:sz w:val="32"/>
          <w:szCs w:val="32"/>
        </w:rPr>
        <w:t>万元，主要包括：办公费、</w:t>
      </w:r>
      <w:r>
        <w:rPr>
          <w:rFonts w:hint="eastAsia" w:ascii="仿宋_GB2312" w:eastAsia="仿宋_GB2312" w:cs="仿宋_GB2312"/>
          <w:color w:val="000000"/>
          <w:sz w:val="32"/>
          <w:szCs w:val="32"/>
          <w:lang w:eastAsia="zh-CN"/>
        </w:rPr>
        <w:t>电费、</w:t>
      </w:r>
      <w:r>
        <w:rPr>
          <w:rFonts w:hint="eastAsia" w:ascii="仿宋_GB2312" w:eastAsia="仿宋_GB2312" w:cs="仿宋_GB2312"/>
          <w:color w:val="000000"/>
          <w:sz w:val="32"/>
          <w:szCs w:val="32"/>
        </w:rPr>
        <w:t>差旅费、维修（护）费</w:t>
      </w:r>
      <w:r>
        <w:rPr>
          <w:rFonts w:hint="eastAsia" w:ascii="仿宋_GB2312" w:eastAsia="仿宋_GB2312" w:cs="仿宋_GB2312"/>
          <w:color w:val="000000"/>
          <w:sz w:val="32"/>
          <w:szCs w:val="32"/>
          <w:lang w:eastAsia="zh-CN"/>
        </w:rPr>
        <w:t>、其他交通费用</w:t>
      </w:r>
      <w:r>
        <w:rPr>
          <w:rFonts w:hint="eastAsia" w:ascii="仿宋_GB2312" w:eastAsia="仿宋_GB2312" w:cs="仿宋_GB2312"/>
          <w:color w:val="000000"/>
          <w:sz w:val="32"/>
          <w:szCs w:val="32"/>
        </w:rPr>
        <w:t>。</w:t>
      </w:r>
    </w:p>
    <w:p>
      <w:pPr>
        <w:spacing w:line="600" w:lineRule="exact"/>
        <w:ind w:firstLine="640"/>
        <w:outlineLvl w:val="1"/>
        <w:rPr>
          <w:rStyle w:val="26"/>
          <w:rFonts w:ascii="黑体" w:eastAsia="黑体"/>
          <w:b w:val="0"/>
        </w:rPr>
      </w:pPr>
      <w:bookmarkStart w:id="72" w:name="_Toc15396609"/>
      <w:bookmarkStart w:id="73" w:name="_Toc15377215"/>
      <w:bookmarkStart w:id="74" w:name="_Toc79163619"/>
      <w:bookmarkStart w:id="75" w:name="_Toc79163869"/>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72"/>
      <w:bookmarkEnd w:id="73"/>
      <w:bookmarkEnd w:id="74"/>
      <w:bookmarkEnd w:id="75"/>
    </w:p>
    <w:p>
      <w:pPr>
        <w:spacing w:line="600" w:lineRule="exact"/>
        <w:ind w:firstLine="640"/>
        <w:outlineLvl w:val="2"/>
        <w:rPr>
          <w:rFonts w:ascii="仿宋" w:eastAsia="仿宋"/>
          <w:b/>
          <w:color w:val="000000"/>
          <w:sz w:val="32"/>
          <w:szCs w:val="32"/>
        </w:rPr>
      </w:pPr>
      <w:bookmarkStart w:id="76" w:name="_Toc15377216"/>
      <w:bookmarkStart w:id="77" w:name="_Toc79163620"/>
      <w:bookmarkStart w:id="78" w:name="_Toc79163870"/>
      <w:r>
        <w:rPr>
          <w:rFonts w:hint="eastAsia" w:ascii="仿宋" w:eastAsia="仿宋"/>
          <w:b/>
          <w:color w:val="000000"/>
          <w:sz w:val="32"/>
          <w:szCs w:val="32"/>
        </w:rPr>
        <w:t>（一）“三公”经费财政拨款支出决算总体情况说明</w:t>
      </w:r>
      <w:bookmarkEnd w:id="76"/>
      <w:bookmarkEnd w:id="77"/>
      <w:bookmarkEnd w:id="78"/>
    </w:p>
    <w:p>
      <w:pPr>
        <w:spacing w:line="600" w:lineRule="exact"/>
        <w:ind w:firstLine="640"/>
        <w:rPr>
          <w:rFonts w:hint="eastAsia" w:ascii="仿宋" w:eastAsia="仿宋"/>
          <w:b/>
          <w:color w:val="FF0000"/>
          <w:sz w:val="32"/>
          <w:szCs w:val="32"/>
          <w:lang w:eastAsia="zh-CN"/>
        </w:rPr>
      </w:pPr>
      <w:bookmarkStart w:id="79" w:name="_Toc15377217"/>
      <w:bookmarkStart w:id="80" w:name="_Toc79163621"/>
      <w:bookmarkStart w:id="81" w:name="_Toc79163871"/>
      <w:r>
        <w:rPr>
          <w:rFonts w:ascii="仿宋" w:eastAsia="仿宋"/>
          <w:color w:val="000000"/>
          <w:sz w:val="32"/>
          <w:szCs w:val="32"/>
        </w:rPr>
        <w:t>20</w:t>
      </w:r>
      <w:r>
        <w:rPr>
          <w:rFonts w:hint="eastAsia" w:ascii="仿宋" w:eastAsia="仿宋"/>
          <w:color w:val="000000"/>
          <w:sz w:val="32"/>
          <w:szCs w:val="32"/>
          <w:lang w:val="en-US" w:eastAsia="zh-CN"/>
        </w:rPr>
        <w:t>20</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0</w:t>
      </w:r>
      <w:r>
        <w:rPr>
          <w:rFonts w:hint="eastAsia" w:ascii="仿宋" w:eastAsia="仿宋"/>
          <w:color w:val="000000"/>
          <w:sz w:val="32"/>
          <w:szCs w:val="32"/>
        </w:rPr>
        <w:t>万元，完成预算</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，决算数与预算数持平</w:t>
      </w:r>
      <w:r>
        <w:rPr>
          <w:rFonts w:hint="eastAsia" w:ascii="仿宋" w:eastAsia="仿宋"/>
          <w:color w:val="000000"/>
          <w:sz w:val="32"/>
          <w:szCs w:val="32"/>
          <w:lang w:eastAsia="zh-CN"/>
        </w:rPr>
        <w:t>。</w:t>
      </w:r>
    </w:p>
    <w:p>
      <w:pPr>
        <w:spacing w:line="600" w:lineRule="exact"/>
        <w:ind w:firstLine="640"/>
        <w:outlineLvl w:val="2"/>
        <w:rPr>
          <w:rFonts w:ascii="仿宋" w:eastAsia="仿宋"/>
          <w:b/>
          <w:color w:val="000000"/>
          <w:sz w:val="32"/>
          <w:szCs w:val="32"/>
        </w:rPr>
      </w:pPr>
      <w:r>
        <w:rPr>
          <w:rFonts w:hint="eastAsia" w:ascii="仿宋" w:eastAsia="仿宋"/>
          <w:b/>
          <w:color w:val="000000"/>
          <w:sz w:val="32"/>
          <w:szCs w:val="32"/>
        </w:rPr>
        <w:t>（二）“三公”经费财政拨款支出决算具体情况说明</w:t>
      </w:r>
      <w:bookmarkEnd w:id="79"/>
      <w:bookmarkEnd w:id="80"/>
      <w:bookmarkEnd w:id="81"/>
    </w:p>
    <w:p>
      <w:pPr>
        <w:spacing w:line="600" w:lineRule="exact"/>
        <w:ind w:firstLine="640"/>
        <w:rPr>
          <w:rFonts w:hint="eastAsia" w:ascii="仿宋" w:eastAsia="仿宋"/>
          <w:color w:val="000000"/>
          <w:sz w:val="32"/>
          <w:szCs w:val="32"/>
          <w:lang w:eastAsia="zh-CN"/>
        </w:rPr>
      </w:pPr>
      <w:r>
        <w:rPr>
          <w:rFonts w:ascii="仿宋" w:eastAsia="仿宋"/>
          <w:color w:val="000000"/>
          <w:sz w:val="32"/>
          <w:szCs w:val="32"/>
        </w:rPr>
        <w:t>20</w:t>
      </w:r>
      <w:r>
        <w:rPr>
          <w:rFonts w:hint="eastAsia" w:ascii="仿宋" w:eastAsia="仿宋"/>
          <w:color w:val="000000"/>
          <w:sz w:val="32"/>
          <w:szCs w:val="32"/>
          <w:lang w:val="en-US" w:eastAsia="zh-CN"/>
        </w:rPr>
        <w:t>20</w:t>
      </w:r>
      <w:r>
        <w:rPr>
          <w:rFonts w:hint="eastAsia" w:ascii="仿宋" w:eastAsia="仿宋"/>
          <w:color w:val="000000"/>
          <w:sz w:val="32"/>
          <w:szCs w:val="32"/>
        </w:rPr>
        <w:t>年“三公”经费财政拨款支出决算中，因公出国（境）费支出决算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；公务用车购置及运行维护费支出决算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lang w:eastAsia="zh-CN"/>
        </w:rPr>
        <w:t>。</w:t>
      </w:r>
    </w:p>
    <w:p>
      <w:pPr>
        <w:spacing w:line="600" w:lineRule="exact"/>
        <w:ind w:firstLine="640"/>
        <w:outlineLvl w:val="1"/>
        <w:rPr>
          <w:rStyle w:val="26"/>
          <w:rFonts w:ascii="黑体" w:eastAsia="黑体"/>
        </w:rPr>
      </w:pPr>
      <w:bookmarkStart w:id="82" w:name="_Toc15396610"/>
      <w:bookmarkStart w:id="83" w:name="_Toc15377218"/>
      <w:bookmarkStart w:id="84" w:name="_Toc79163622"/>
      <w:bookmarkStart w:id="85" w:name="_Toc79163872"/>
      <w:r>
        <w:rPr>
          <w:rFonts w:hint="eastAsia" w:ascii="黑体" w:eastAsia="黑体"/>
          <w:color w:val="000000"/>
          <w:sz w:val="32"/>
          <w:szCs w:val="32"/>
        </w:rPr>
        <w:t>八、</w:t>
      </w:r>
      <w:r>
        <w:rPr>
          <w:rStyle w:val="26"/>
          <w:rFonts w:hint="eastAsia" w:asci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left="0" w:firstLine="640"/>
        <w:outlineLvl w:val="1"/>
        <w:rPr>
          <w:rStyle w:val="26"/>
          <w:rFonts w:ascii="黑体" w:eastAsia="黑体"/>
          <w:b w:val="0"/>
        </w:rPr>
      </w:pPr>
      <w:bookmarkStart w:id="86" w:name="_Toc15377219"/>
      <w:bookmarkStart w:id="87" w:name="_Toc15396611"/>
      <w:bookmarkStart w:id="88" w:name="_Toc79163623"/>
      <w:bookmarkStart w:id="89" w:name="_Toc79163873"/>
      <w:r>
        <w:rPr>
          <w:rStyle w:val="26"/>
          <w:rFonts w:hint="eastAsia" w:asci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eastAsia="方正小标宋简体" w:cs="方正小标宋简体"/>
          <w:sz w:val="44"/>
          <w:szCs w:val="44"/>
        </w:rPr>
      </w:pPr>
    </w:p>
    <w:p>
      <w:pPr>
        <w:spacing w:line="600" w:lineRule="exact"/>
        <w:ind w:firstLine="800" w:firstLineChars="250"/>
        <w:outlineLvl w:val="1"/>
        <w:rPr>
          <w:rStyle w:val="26"/>
          <w:rFonts w:ascii="黑体" w:eastAsia="黑体"/>
        </w:rPr>
      </w:pPr>
      <w:bookmarkStart w:id="90" w:name="_Toc15396612"/>
      <w:bookmarkStart w:id="91" w:name="_Toc15377221"/>
      <w:bookmarkStart w:id="92" w:name="_Toc79163624"/>
      <w:bookmarkStart w:id="93" w:name="_Toc79163874"/>
      <w:r>
        <w:rPr>
          <w:rFonts w:hint="eastAsia" w:ascii="黑体" w:eastAsia="黑体"/>
          <w:color w:val="000000"/>
          <w:sz w:val="32"/>
          <w:szCs w:val="32"/>
        </w:rPr>
        <w:t>十</w:t>
      </w:r>
      <w:r>
        <w:rPr>
          <w:rStyle w:val="26"/>
          <w:rFonts w:hint="eastAsia" w:ascii="黑体" w:eastAsia="黑体"/>
        </w:rPr>
        <w:t>、</w:t>
      </w:r>
      <w:r>
        <w:rPr>
          <w:rStyle w:val="26"/>
          <w:rFonts w:hint="eastAsia" w:ascii="黑体" w:eastAsia="黑体"/>
          <w:b w:val="0"/>
        </w:rPr>
        <w:t>其他重要事项的情况说明</w:t>
      </w:r>
      <w:bookmarkEnd w:id="90"/>
      <w:bookmarkEnd w:id="91"/>
      <w:bookmarkEnd w:id="92"/>
      <w:bookmarkEnd w:id="93"/>
    </w:p>
    <w:p>
      <w:pPr>
        <w:spacing w:line="600" w:lineRule="exact"/>
        <w:ind w:firstLine="642" w:firstLineChars="200"/>
        <w:outlineLvl w:val="2"/>
        <w:rPr>
          <w:rFonts w:ascii="仿宋" w:eastAsia="仿宋"/>
          <w:color w:val="000000"/>
          <w:sz w:val="32"/>
          <w:szCs w:val="32"/>
        </w:rPr>
      </w:pPr>
      <w:bookmarkStart w:id="94" w:name="_Toc15377222"/>
      <w:bookmarkStart w:id="95" w:name="_Toc79163625"/>
      <w:bookmarkStart w:id="96" w:name="_Toc79163875"/>
      <w:r>
        <w:rPr>
          <w:rFonts w:hint="eastAsia" w:ascii="仿宋" w:eastAsia="仿宋"/>
          <w:b/>
          <w:color w:val="000000"/>
          <w:sz w:val="32"/>
          <w:szCs w:val="32"/>
        </w:rPr>
        <w:t>（一）机关运行经费支出情况</w:t>
      </w:r>
      <w:bookmarkEnd w:id="94"/>
      <w:bookmarkEnd w:id="95"/>
      <w:bookmarkEnd w:id="96"/>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政府办</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全部的运行经费都在政府办运行经费中产生。</w:t>
      </w:r>
    </w:p>
    <w:p>
      <w:pPr>
        <w:autoSpaceDE w:val="0"/>
        <w:autoSpaceDN w:val="0"/>
        <w:adjustRightInd w:val="0"/>
        <w:spacing w:line="600" w:lineRule="exact"/>
        <w:ind w:left="0" w:firstLine="642" w:firstLineChars="200"/>
        <w:jc w:val="left"/>
        <w:outlineLvl w:val="2"/>
        <w:rPr>
          <w:rFonts w:ascii="仿宋" w:eastAsia="仿宋"/>
          <w:b/>
          <w:color w:val="000000"/>
          <w:sz w:val="32"/>
          <w:szCs w:val="32"/>
        </w:rPr>
      </w:pPr>
      <w:bookmarkStart w:id="97" w:name="_Toc15377223"/>
      <w:bookmarkStart w:id="98" w:name="_Toc79163626"/>
      <w:bookmarkStart w:id="99" w:name="_Toc79163876"/>
      <w:r>
        <w:rPr>
          <w:rFonts w:hint="eastAsia" w:ascii="仿宋" w:eastAsia="仿宋"/>
          <w:b/>
          <w:color w:val="000000"/>
          <w:sz w:val="32"/>
          <w:szCs w:val="32"/>
        </w:rPr>
        <w:t>（二）政府采购支出情况</w:t>
      </w:r>
      <w:bookmarkEnd w:id="97"/>
      <w:bookmarkEnd w:id="98"/>
      <w:bookmarkEnd w:id="99"/>
    </w:p>
    <w:p>
      <w:pPr>
        <w:spacing w:line="600" w:lineRule="exact"/>
        <w:ind w:firstLine="640" w:firstLineChars="200"/>
        <w:rPr>
          <w:rFonts w:ascii="仿宋" w:eastAsia="仿宋"/>
          <w:b/>
          <w:color w:val="FF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壤塘县政府办</w:t>
      </w:r>
      <w:r>
        <w:rPr>
          <w:rFonts w:hint="eastAsia" w:ascii="仿宋_GB2312" w:eastAsia="仿宋_GB2312"/>
          <w:color w:val="000000"/>
          <w:sz w:val="32"/>
          <w:szCs w:val="32"/>
        </w:rPr>
        <w:t>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0" w:name="_Toc79163627"/>
      <w:bookmarkStart w:id="101" w:name="_Toc15377224"/>
      <w:bookmarkStart w:id="102" w:name="_Toc79163877"/>
      <w:r>
        <w:rPr>
          <w:rFonts w:hint="eastAsia" w:asci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ascii="仿宋_GB2312" w:eastAsia="仿宋_GB2312"/>
          <w:color w:val="000000"/>
          <w:sz w:val="32"/>
          <w:szCs w:val="32"/>
        </w:rPr>
        <w:t>壤塘县</w:t>
      </w:r>
      <w:r>
        <w:rPr>
          <w:rFonts w:hint="eastAsia" w:ascii="仿宋_GB2312" w:eastAsia="仿宋_GB2312"/>
          <w:color w:val="000000"/>
          <w:sz w:val="32"/>
          <w:szCs w:val="32"/>
          <w:lang w:eastAsia="zh-CN"/>
        </w:rPr>
        <w:t>人防办</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w:t>
      </w:r>
      <w:r>
        <w:rPr>
          <w:rFonts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3" w:name="_Toc79163878"/>
      <w:bookmarkStart w:id="104" w:name="_Toc79163628"/>
      <w:r>
        <w:rPr>
          <w:rFonts w:hint="eastAsia" w:ascii="仿宋" w:eastAsia="仿宋"/>
          <w:b/>
          <w:color w:val="000000"/>
          <w:sz w:val="32"/>
          <w:szCs w:val="32"/>
        </w:rPr>
        <w:t>（四）预算绩效管理情况。</w:t>
      </w:r>
      <w:bookmarkEnd w:id="103"/>
      <w:bookmarkEnd w:id="104"/>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根据预算绩效管理要求，本部门（单位）在年初预算编制阶段，组织对</w:t>
      </w:r>
      <w:r>
        <w:rPr>
          <w:rFonts w:ascii="仿宋_GB2312" w:eastAsia="仿宋_GB2312" w:cs="仿宋_GB2312"/>
          <w:sz w:val="32"/>
          <w:szCs w:val="32"/>
        </w:rPr>
        <w:t>0个</w:t>
      </w:r>
      <w:r>
        <w:rPr>
          <w:rFonts w:hint="eastAsia" w:ascii="仿宋_GB2312" w:eastAsia="仿宋_GB2312" w:cs="仿宋_GB2312"/>
          <w:sz w:val="32"/>
          <w:szCs w:val="32"/>
        </w:rPr>
        <w:t>项目（项目名称）开展了预算事前绩效评估，对</w:t>
      </w:r>
      <w:r>
        <w:rPr>
          <w:rFonts w:ascii="仿宋_GB2312" w:eastAsia="仿宋_GB2312" w:cs="仿宋_GB2312"/>
          <w:sz w:val="32"/>
          <w:szCs w:val="32"/>
        </w:rPr>
        <w:t>0</w:t>
      </w:r>
      <w:r>
        <w:rPr>
          <w:rFonts w:hint="eastAsia" w:ascii="仿宋_GB2312" w:eastAsia="仿宋_GB2312" w:cs="仿宋_GB2312"/>
          <w:sz w:val="32"/>
          <w:szCs w:val="32"/>
        </w:rPr>
        <w:t>个项目编制了绩效目标，预算执行过程中，选取</w:t>
      </w:r>
      <w:r>
        <w:rPr>
          <w:rFonts w:ascii="仿宋_GB2312" w:eastAsia="仿宋_GB2312" w:cs="仿宋_GB2312"/>
          <w:sz w:val="32"/>
          <w:szCs w:val="32"/>
        </w:rPr>
        <w:t>0</w:t>
      </w:r>
      <w:r>
        <w:rPr>
          <w:rFonts w:hint="eastAsia" w:ascii="仿宋_GB2312" w:eastAsia="仿宋_GB2312" w:cs="仿宋_GB2312"/>
          <w:sz w:val="32"/>
          <w:szCs w:val="32"/>
        </w:rPr>
        <w:t>个项目开展绩效监控，年终执行完毕后，对</w:t>
      </w:r>
      <w:r>
        <w:rPr>
          <w:rFonts w:ascii="仿宋_GB2312" w:eastAsia="仿宋_GB2312" w:cs="仿宋_GB2312"/>
          <w:sz w:val="32"/>
          <w:szCs w:val="32"/>
        </w:rPr>
        <w:t>0</w:t>
      </w:r>
      <w:r>
        <w:rPr>
          <w:rFonts w:hint="eastAsia" w:ascii="仿宋_GB2312" w:eastAsia="仿宋_GB2312" w:cs="仿宋_GB2312"/>
          <w:sz w:val="32"/>
          <w:szCs w:val="32"/>
        </w:rPr>
        <w:t>个项目开展了绩效目标完成情况自评。</w:t>
      </w:r>
    </w:p>
    <w:p>
      <w:pPr>
        <w:numPr>
          <w:ilvl w:val="0"/>
          <w:numId w:val="4"/>
        </w:numPr>
        <w:spacing w:line="600" w:lineRule="exact"/>
        <w:ind w:left="0" w:firstLine="660" w:firstLineChars="150"/>
        <w:jc w:val="center"/>
        <w:outlineLvl w:val="0"/>
        <w:rPr>
          <w:rStyle w:val="25"/>
          <w:rFonts w:ascii="黑体" w:eastAsia="黑体"/>
          <w:b w:val="0"/>
        </w:rPr>
      </w:pPr>
      <w:bookmarkStart w:id="105" w:name="_Toc15377225"/>
      <w:bookmarkStart w:id="106" w:name="_Toc15396613"/>
      <w:bookmarkStart w:id="107" w:name="_Toc79163629"/>
      <w:bookmarkStart w:id="108" w:name="_Toc79163879"/>
      <w:r>
        <w:rPr>
          <w:rFonts w:hint="eastAsia" w:ascii="黑体" w:eastAsia="黑体"/>
          <w:color w:val="000000"/>
          <w:sz w:val="44"/>
          <w:szCs w:val="44"/>
        </w:rPr>
        <w:t>名</w:t>
      </w:r>
      <w:r>
        <w:rPr>
          <w:rStyle w:val="25"/>
          <w:rFonts w:hint="eastAsia" w:asci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（项）：指我办</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（项）：指我办</w:t>
      </w:r>
      <w:r>
        <w:rPr>
          <w:rFonts w:ascii="仿宋_GB2312" w:eastAsia="仿宋_GB2312"/>
          <w:color w:val="000000"/>
          <w:sz w:val="32"/>
          <w:szCs w:val="32"/>
          <w:lang w:eastAsia="zh-CN"/>
        </w:rPr>
        <w:t>一般行政管理事务支出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社会保障和就业208（类）05（款）05（项）：指我办20</w:t>
      </w:r>
      <w:r>
        <w:rPr>
          <w:rFonts w:hint="eastAsia" w:ascii="仿宋_GB2312" w:eastAsia="仿宋_GB2312"/>
          <w:color w:val="000000"/>
          <w:sz w:val="32"/>
          <w:szCs w:val="32"/>
          <w:lang w:val="en-US" w:eastAsia="zh-CN"/>
        </w:rPr>
        <w:t>20年</w:t>
      </w:r>
      <w:r>
        <w:rPr>
          <w:rFonts w:hint="eastAsia" w:ascii="仿宋_GB2312" w:eastAsia="仿宋_GB2312"/>
          <w:color w:val="000000"/>
          <w:sz w:val="32"/>
          <w:szCs w:val="32"/>
        </w:rPr>
        <w:t>养老保险的支出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社会保障和就业208（类）05（款）06（项）：指我办20</w:t>
      </w:r>
      <w:r>
        <w:rPr>
          <w:rFonts w:hint="eastAsia" w:ascii="仿宋_GB2312" w:eastAsia="仿宋_GB2312"/>
          <w:color w:val="000000"/>
          <w:sz w:val="32"/>
          <w:szCs w:val="32"/>
          <w:lang w:val="en-US" w:eastAsia="zh-CN"/>
        </w:rPr>
        <w:t>20年</w:t>
      </w:r>
      <w:r>
        <w:rPr>
          <w:rFonts w:hint="eastAsia" w:ascii="仿宋_GB2312" w:eastAsia="仿宋_GB2312"/>
          <w:color w:val="000000"/>
          <w:sz w:val="32"/>
          <w:szCs w:val="32"/>
        </w:rPr>
        <w:t>职业年金的支出。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210（类）（款）11（项）01指20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年我办医疗卫生方面的支出。。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住房保障221（类）02（款）01（项）：指20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年我办住房公积金支出。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黑体" w:eastAsia="黑体"/>
          <w:color w:val="000000"/>
          <w:sz w:val="44"/>
          <w:szCs w:val="44"/>
        </w:rPr>
      </w:pPr>
      <w:bookmarkStart w:id="109" w:name="_Toc79163630"/>
      <w:bookmarkStart w:id="110" w:name="_Toc79163880"/>
      <w:bookmarkStart w:id="111" w:name="_Toc15396614"/>
      <w:bookmarkStart w:id="112" w:name="_Toc15377226"/>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Style w:val="25"/>
          <w:rFonts w:ascii="黑体" w:eastAsia="黑体"/>
          <w:b w:val="0"/>
        </w:rPr>
      </w:pPr>
      <w:r>
        <w:rPr>
          <w:rFonts w:hint="eastAsia" w:ascii="黑体" w:eastAsia="黑体"/>
          <w:color w:val="000000"/>
          <w:sz w:val="44"/>
          <w:szCs w:val="44"/>
        </w:rPr>
        <w:t>第</w:t>
      </w:r>
      <w:r>
        <w:rPr>
          <w:rStyle w:val="25"/>
          <w:rFonts w:hint="eastAsia" w:ascii="黑体" w:eastAsia="黑体"/>
          <w:b w:val="0"/>
        </w:rPr>
        <w:t>四部分</w:t>
      </w:r>
      <w:r>
        <w:rPr>
          <w:rStyle w:val="25"/>
          <w:rFonts w:ascii="黑体" w:eastAsia="黑体"/>
          <w:b w:val="0"/>
        </w:rPr>
        <w:t xml:space="preserve"> </w:t>
      </w:r>
      <w:r>
        <w:rPr>
          <w:rStyle w:val="25"/>
          <w:rFonts w:hint="eastAsia" w:ascii="黑体" w:eastAsia="黑体"/>
          <w:b w:val="0"/>
        </w:rPr>
        <w:t>附件</w:t>
      </w:r>
      <w:bookmarkEnd w:id="109"/>
      <w:bookmarkEnd w:id="110"/>
      <w:bookmarkEnd w:id="111"/>
    </w:p>
    <w:p>
      <w:pPr>
        <w:spacing w:line="600" w:lineRule="exact"/>
        <w:jc w:val="left"/>
        <w:outlineLvl w:val="0"/>
        <w:rPr>
          <w:rFonts w:ascii="方正小标宋简体" w:eastAsia="方正小标宋简体" w:cs="方正小标宋简体"/>
          <w:sz w:val="32"/>
          <w:szCs w:val="32"/>
        </w:rPr>
      </w:pPr>
      <w:bookmarkStart w:id="113" w:name="_Toc79163881"/>
      <w:bookmarkStart w:id="114" w:name="_Toc79163631"/>
      <w:r>
        <w:rPr>
          <w:rFonts w:hint="eastAsia" w:ascii="黑体" w:eastAsia="黑体" w:cs="黑体"/>
          <w:sz w:val="32"/>
          <w:szCs w:val="32"/>
        </w:rPr>
        <w:t>附件</w:t>
      </w:r>
      <w:r>
        <w:rPr>
          <w:rFonts w:ascii="黑体" w:eastAsia="黑体" w:cs="黑体"/>
          <w:sz w:val="32"/>
          <w:szCs w:val="32"/>
        </w:rPr>
        <w:t>1</w:t>
      </w:r>
      <w:bookmarkEnd w:id="113"/>
      <w:bookmarkEnd w:id="114"/>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ascii="黑体" w:eastAsia="黑体" w:cs="方正小标宋简体"/>
          <w:sz w:val="36"/>
          <w:szCs w:val="36"/>
        </w:rPr>
      </w:pPr>
      <w:bookmarkStart w:id="115" w:name="_Toc15396616"/>
      <w:bookmarkStart w:id="116" w:name="_Toc79163632"/>
      <w:bookmarkStart w:id="117" w:name="_Toc79163882"/>
      <w:r>
        <w:rPr>
          <w:rFonts w:hint="eastAsia" w:ascii="黑体" w:eastAsia="黑体" w:cs="方正小标宋简体"/>
          <w:sz w:val="36"/>
          <w:szCs w:val="36"/>
        </w:rPr>
        <w:t>壤塘县人民政府办公室</w:t>
      </w:r>
      <w:r>
        <w:rPr>
          <w:rFonts w:hint="eastAsia" w:ascii="黑体" w:eastAsia="黑体" w:cs="方正小标宋简体"/>
          <w:sz w:val="36"/>
          <w:szCs w:val="36"/>
          <w:lang w:eastAsia="zh-CN"/>
        </w:rPr>
        <w:t>人防办</w:t>
      </w:r>
      <w:r>
        <w:rPr>
          <w:rFonts w:hint="eastAsia" w:ascii="黑体" w:eastAsia="黑体" w:cs="方正小标宋简体"/>
          <w:sz w:val="36"/>
          <w:szCs w:val="36"/>
          <w:lang w:val="en-US" w:eastAsia="zh-CN"/>
        </w:rPr>
        <w:t>2020</w:t>
      </w:r>
      <w:r>
        <w:rPr>
          <w:rFonts w:hint="eastAsia" w:ascii="黑体" w:eastAsia="黑体" w:cs="方正小标宋简体"/>
          <w:sz w:val="36"/>
          <w:szCs w:val="36"/>
        </w:rPr>
        <w:t>年部门整体支出绩效评价报告</w:t>
      </w:r>
      <w:bookmarkEnd w:id="115"/>
    </w:p>
    <w:p>
      <w:pPr>
        <w:spacing w:line="580" w:lineRule="exact"/>
        <w:ind w:firstLine="640" w:firstLineChars="200"/>
        <w:rPr>
          <w:rFonts w:ascii="黑体" w:eastAsia="黑体" w:cs="黑体"/>
          <w:sz w:val="32"/>
          <w:szCs w:val="32"/>
        </w:rPr>
      </w:pPr>
    </w:p>
    <w:p>
      <w:pPr>
        <w:spacing w:line="580" w:lineRule="exact"/>
        <w:ind w:firstLine="640" w:firstLineChars="200"/>
        <w:rPr>
          <w:rFonts w:ascii="黑体" w:eastAsia="黑体" w:cs="黑体"/>
          <w:sz w:val="32"/>
          <w:szCs w:val="32"/>
        </w:rPr>
      </w:pPr>
      <w:r>
        <w:rPr>
          <w:rFonts w:hint="eastAsia" w:ascii="黑体" w:eastAsia="黑体" w:cs="黑体"/>
          <w:sz w:val="32"/>
          <w:szCs w:val="32"/>
        </w:rPr>
        <w:t>一、部门（单位）概况</w:t>
      </w:r>
    </w:p>
    <w:p>
      <w:pPr>
        <w:spacing w:line="560" w:lineRule="exact"/>
        <w:ind w:firstLine="640" w:firstLineChars="200"/>
        <w:rPr>
          <w:rFonts w:eastAsia="仿宋_GB2312"/>
          <w:sz w:val="32"/>
          <w:szCs w:val="32"/>
        </w:rPr>
      </w:pPr>
      <w:r>
        <w:rPr>
          <w:rFonts w:ascii="仿宋" w:eastAsia="仿宋" w:cs="仿宋_GB2312"/>
          <w:sz w:val="32"/>
          <w:szCs w:val="32"/>
        </w:rPr>
        <w:t>（一）机构组成。</w:t>
      </w:r>
      <w:r>
        <w:rPr>
          <w:rFonts w:hint="eastAsia" w:ascii="仿宋" w:eastAsia="仿宋" w:cs="仿宋_GB2312"/>
          <w:sz w:val="32"/>
          <w:szCs w:val="32"/>
        </w:rPr>
        <w:t>我</w:t>
      </w:r>
      <w:r>
        <w:rPr>
          <w:rFonts w:hint="eastAsia" w:eastAsia="仿宋_GB2312" w:cs="仿宋_GB2312"/>
          <w:sz w:val="32"/>
          <w:szCs w:val="32"/>
        </w:rPr>
        <w:t>办</w:t>
      </w:r>
      <w:r>
        <w:rPr>
          <w:rFonts w:eastAsia="仿宋_GB2312"/>
          <w:sz w:val="32"/>
          <w:szCs w:val="32"/>
        </w:rPr>
        <w:t>20</w:t>
      </w:r>
      <w:r>
        <w:rPr>
          <w:rFonts w:hint="eastAsia" w:eastAsia="仿宋_GB2312"/>
          <w:sz w:val="32"/>
          <w:szCs w:val="32"/>
          <w:lang w:val="en-US" w:eastAsia="zh-CN"/>
        </w:rPr>
        <w:t>20</w:t>
      </w:r>
      <w:r>
        <w:rPr>
          <w:rFonts w:hint="eastAsia" w:eastAsia="仿宋_GB2312" w:cs="仿宋_GB2312"/>
          <w:sz w:val="32"/>
          <w:szCs w:val="32"/>
        </w:rPr>
        <w:t>年纳入部门决算编报范围的为二级级财政预算管理范围的事业单位。</w:t>
      </w:r>
    </w:p>
    <w:p>
      <w:pPr>
        <w:spacing w:line="580" w:lineRule="exact"/>
        <w:ind w:firstLine="640" w:firstLineChars="200"/>
        <w:rPr>
          <w:rFonts w:ascii="仿宋" w:eastAsia="仿宋" w:cs="仿宋_GB2312"/>
          <w:sz w:val="32"/>
          <w:szCs w:val="32"/>
        </w:rPr>
      </w:pPr>
      <w:r>
        <w:rPr>
          <w:rFonts w:ascii="仿宋" w:eastAsia="仿宋" w:cs="仿宋_GB2312"/>
          <w:sz w:val="32"/>
          <w:szCs w:val="32"/>
        </w:rPr>
        <w:t>（二）机构职能。</w:t>
      </w:r>
    </w:p>
    <w:p>
      <w:pPr>
        <w:spacing w:line="580" w:lineRule="exact"/>
        <w:ind w:firstLine="960" w:firstLineChars="300"/>
        <w:rPr>
          <w:rFonts w:ascii="仿宋" w:eastAsia="仿宋" w:cs="仿宋_GB2312"/>
          <w:sz w:val="32"/>
          <w:szCs w:val="32"/>
        </w:rPr>
      </w:pPr>
      <w:r>
        <w:rPr>
          <w:rFonts w:hint="eastAsia" w:ascii="仿宋" w:eastAsia="仿宋" w:cs="仿宋_GB2312"/>
          <w:sz w:val="32"/>
          <w:szCs w:val="32"/>
        </w:rPr>
        <w:t>壤塘县人民政府应急管理办公室是壤塘县应急事件处理机构。其主要职责：负债协调和督促检查全县</w:t>
      </w:r>
      <w:r>
        <w:rPr>
          <w:rFonts w:hint="eastAsia" w:ascii="仿宋" w:eastAsia="仿宋" w:cs="仿宋_GB2312"/>
          <w:sz w:val="32"/>
          <w:szCs w:val="32"/>
          <w:lang w:eastAsia="zh-CN"/>
        </w:rPr>
        <w:t>人防</w:t>
      </w:r>
      <w:r>
        <w:rPr>
          <w:rFonts w:hint="eastAsia" w:ascii="仿宋" w:eastAsia="仿宋" w:cs="仿宋_GB2312"/>
          <w:sz w:val="32"/>
          <w:szCs w:val="32"/>
        </w:rPr>
        <w:t>管理工作，协助县政府领导处置突发公共事件。</w:t>
      </w:r>
    </w:p>
    <w:p>
      <w:pPr>
        <w:spacing w:line="580" w:lineRule="exact"/>
        <w:ind w:firstLine="640" w:firstLineChars="200"/>
        <w:rPr>
          <w:rFonts w:ascii="仿宋" w:eastAsia="仿宋" w:cs="仿宋_GB2312"/>
          <w:sz w:val="32"/>
          <w:szCs w:val="32"/>
        </w:rPr>
      </w:pPr>
      <w:r>
        <w:rPr>
          <w:rFonts w:ascii="仿宋" w:eastAsia="仿宋" w:cs="仿宋_GB2312"/>
          <w:sz w:val="32"/>
          <w:szCs w:val="32"/>
        </w:rPr>
        <w:t>（三）人员概况。</w:t>
      </w:r>
    </w:p>
    <w:p>
      <w:pPr>
        <w:spacing w:line="580" w:lineRule="exact"/>
        <w:ind w:firstLine="960" w:firstLineChars="300"/>
        <w:rPr>
          <w:rFonts w:ascii="仿宋" w:eastAsia="仿宋" w:cs="仿宋_GB2312"/>
          <w:sz w:val="32"/>
          <w:szCs w:val="32"/>
        </w:rPr>
      </w:pPr>
      <w:r>
        <w:rPr>
          <w:rFonts w:hint="eastAsia" w:ascii="仿宋" w:eastAsia="仿宋" w:cs="仿宋_GB2312"/>
          <w:sz w:val="32"/>
          <w:szCs w:val="32"/>
        </w:rPr>
        <w:t>年末单位编制数</w:t>
      </w:r>
      <w:r>
        <w:rPr>
          <w:rFonts w:hint="eastAsia" w:ascii="仿宋" w:eastAsia="仿宋" w:cs="仿宋_GB2312"/>
          <w:sz w:val="32"/>
          <w:szCs w:val="32"/>
          <w:lang w:val="en-US" w:eastAsia="zh-CN"/>
        </w:rPr>
        <w:t>26</w:t>
      </w:r>
      <w:r>
        <w:rPr>
          <w:rFonts w:hint="eastAsia" w:ascii="仿宋" w:eastAsia="仿宋" w:cs="仿宋_GB2312"/>
          <w:sz w:val="32"/>
          <w:szCs w:val="32"/>
        </w:rPr>
        <w:t>人，截止</w:t>
      </w:r>
      <w:r>
        <w:rPr>
          <w:rFonts w:ascii="仿宋" w:eastAsia="仿宋" w:cs="仿宋_GB2312"/>
          <w:sz w:val="32"/>
          <w:szCs w:val="32"/>
        </w:rPr>
        <w:t>20</w:t>
      </w:r>
      <w:r>
        <w:rPr>
          <w:rFonts w:hint="eastAsia" w:ascii="仿宋" w:eastAsia="仿宋" w:cs="仿宋_GB2312"/>
          <w:sz w:val="32"/>
          <w:szCs w:val="32"/>
          <w:lang w:val="en-US" w:eastAsia="zh-CN"/>
        </w:rPr>
        <w:t>20</w:t>
      </w:r>
      <w:r>
        <w:rPr>
          <w:rFonts w:hint="eastAsia" w:ascii="仿宋" w:eastAsia="仿宋" w:cs="仿宋_GB2312"/>
          <w:sz w:val="32"/>
          <w:szCs w:val="32"/>
        </w:rPr>
        <w:t>年</w:t>
      </w:r>
      <w:r>
        <w:rPr>
          <w:rFonts w:ascii="仿宋" w:eastAsia="仿宋" w:cs="仿宋_GB2312"/>
          <w:sz w:val="32"/>
          <w:szCs w:val="32"/>
        </w:rPr>
        <w:t>12</w:t>
      </w:r>
      <w:r>
        <w:rPr>
          <w:rFonts w:hint="eastAsia" w:ascii="仿宋" w:eastAsia="仿宋" w:cs="仿宋_GB2312"/>
          <w:sz w:val="32"/>
          <w:szCs w:val="32"/>
        </w:rPr>
        <w:t>月</w:t>
      </w:r>
      <w:r>
        <w:rPr>
          <w:rFonts w:ascii="仿宋" w:eastAsia="仿宋" w:cs="仿宋_GB2312"/>
          <w:sz w:val="32"/>
          <w:szCs w:val="32"/>
        </w:rPr>
        <w:t>31</w:t>
      </w:r>
      <w:r>
        <w:rPr>
          <w:rFonts w:hint="eastAsia" w:ascii="仿宋" w:eastAsia="仿宋" w:cs="仿宋_GB2312"/>
          <w:sz w:val="32"/>
          <w:szCs w:val="32"/>
        </w:rPr>
        <w:t>日共有在职职工</w:t>
      </w:r>
      <w:r>
        <w:rPr>
          <w:rFonts w:hint="eastAsia" w:ascii="仿宋" w:eastAsia="仿宋" w:cs="仿宋_GB2312"/>
          <w:sz w:val="32"/>
          <w:szCs w:val="32"/>
          <w:lang w:val="en-US" w:eastAsia="zh-CN"/>
        </w:rPr>
        <w:t>20</w:t>
      </w:r>
      <w:r>
        <w:rPr>
          <w:rFonts w:hint="eastAsia" w:ascii="仿宋" w:eastAsia="仿宋" w:cs="仿宋_GB2312"/>
          <w:sz w:val="32"/>
          <w:szCs w:val="32"/>
        </w:rPr>
        <w:t>人</w:t>
      </w:r>
    </w:p>
    <w:p>
      <w:pPr>
        <w:spacing w:line="580" w:lineRule="exact"/>
        <w:ind w:firstLine="640" w:firstLineChars="200"/>
        <w:rPr>
          <w:rFonts w:ascii="黑体" w:eastAsia="黑体" w:cs="黑体"/>
          <w:sz w:val="32"/>
          <w:szCs w:val="32"/>
        </w:rPr>
      </w:pPr>
      <w:r>
        <w:rPr>
          <w:rFonts w:ascii="黑体" w:eastAsia="黑体" w:cs="黑体"/>
          <w:sz w:val="32"/>
          <w:szCs w:val="32"/>
        </w:rPr>
        <w:t>二、部门财政资金收支情况</w:t>
      </w:r>
    </w:p>
    <w:p>
      <w:pPr>
        <w:spacing w:line="580" w:lineRule="exact"/>
        <w:ind w:firstLine="640" w:firstLineChars="200"/>
        <w:rPr>
          <w:rFonts w:ascii="仿宋" w:eastAsia="仿宋" w:cs="仿宋_GB2312"/>
          <w:sz w:val="32"/>
          <w:szCs w:val="32"/>
        </w:rPr>
      </w:pPr>
      <w:r>
        <w:rPr>
          <w:rFonts w:ascii="仿宋" w:eastAsia="仿宋" w:cs="仿宋_GB2312"/>
          <w:sz w:val="32"/>
          <w:szCs w:val="32"/>
        </w:rPr>
        <w:t>（一）</w:t>
      </w:r>
      <w:r>
        <w:rPr>
          <w:rFonts w:hint="eastAsia" w:ascii="仿宋" w:eastAsia="仿宋" w:cs="仿宋_GB2312"/>
          <w:sz w:val="32"/>
          <w:szCs w:val="32"/>
        </w:rPr>
        <w:t>我办2018</w:t>
      </w:r>
      <w:r>
        <w:rPr>
          <w:rFonts w:ascii="仿宋" w:eastAsia="仿宋" w:cs="仿宋_GB2312"/>
          <w:sz w:val="32"/>
          <w:szCs w:val="32"/>
        </w:rPr>
        <w:t>部门财政资金收入</w:t>
      </w:r>
      <w:r>
        <w:rPr>
          <w:rFonts w:hint="eastAsia" w:ascii="仿宋" w:eastAsia="仿宋" w:cs="仿宋_GB2312"/>
          <w:sz w:val="32"/>
          <w:szCs w:val="32"/>
        </w:rPr>
        <w:t>为</w:t>
      </w:r>
      <w:r>
        <w:rPr>
          <w:rFonts w:hint="eastAsia" w:ascii="仿宋" w:eastAsia="仿宋" w:cs="仿宋_GB2312"/>
          <w:sz w:val="32"/>
          <w:szCs w:val="32"/>
          <w:lang w:val="en-US" w:eastAsia="zh-CN"/>
        </w:rPr>
        <w:t>270.57</w:t>
      </w:r>
      <w:r>
        <w:rPr>
          <w:rFonts w:hint="eastAsia" w:ascii="仿宋" w:eastAsia="仿宋" w:cs="仿宋_GB2312"/>
          <w:sz w:val="32"/>
          <w:szCs w:val="32"/>
        </w:rPr>
        <w:t>万元</w:t>
      </w:r>
      <w:r>
        <w:rPr>
          <w:rFonts w:ascii="仿宋" w:eastAsia="仿宋" w:cs="仿宋_GB2312"/>
          <w:sz w:val="32"/>
          <w:szCs w:val="32"/>
        </w:rPr>
        <w:t>。</w:t>
      </w:r>
    </w:p>
    <w:p>
      <w:pPr>
        <w:spacing w:line="580" w:lineRule="exact"/>
        <w:ind w:firstLine="640" w:firstLineChars="200"/>
        <w:rPr>
          <w:rFonts w:ascii="仿宋" w:eastAsia="仿宋" w:cs="仿宋_GB2312"/>
          <w:sz w:val="32"/>
          <w:szCs w:val="32"/>
        </w:rPr>
      </w:pPr>
      <w:r>
        <w:rPr>
          <w:rFonts w:ascii="仿宋" w:eastAsia="仿宋" w:cs="仿宋_GB2312"/>
          <w:sz w:val="32"/>
          <w:szCs w:val="32"/>
        </w:rPr>
        <w:t>（二）</w:t>
      </w:r>
      <w:r>
        <w:rPr>
          <w:rFonts w:hint="eastAsia" w:ascii="仿宋" w:eastAsia="仿宋" w:cs="仿宋_GB2312"/>
          <w:sz w:val="32"/>
          <w:szCs w:val="32"/>
        </w:rPr>
        <w:t>我办2018</w:t>
      </w:r>
      <w:r>
        <w:rPr>
          <w:rFonts w:ascii="仿宋" w:eastAsia="仿宋" w:cs="仿宋_GB2312"/>
          <w:sz w:val="32"/>
          <w:szCs w:val="32"/>
        </w:rPr>
        <w:t>部门财政资金</w:t>
      </w:r>
      <w:r>
        <w:rPr>
          <w:rFonts w:hint="eastAsia" w:ascii="仿宋" w:eastAsia="仿宋" w:cs="仿宋_GB2312"/>
          <w:sz w:val="32"/>
          <w:szCs w:val="32"/>
        </w:rPr>
        <w:t>支出为</w:t>
      </w:r>
      <w:r>
        <w:rPr>
          <w:rFonts w:hint="eastAsia" w:ascii="仿宋" w:eastAsia="仿宋" w:cs="仿宋_GB2312"/>
          <w:sz w:val="32"/>
          <w:szCs w:val="32"/>
          <w:lang w:val="en-US" w:eastAsia="zh-CN"/>
        </w:rPr>
        <w:t>270.57</w:t>
      </w:r>
      <w:r>
        <w:rPr>
          <w:rFonts w:hint="eastAsia" w:ascii="仿宋" w:eastAsia="仿宋" w:cs="仿宋_GB2312"/>
          <w:sz w:val="32"/>
          <w:szCs w:val="32"/>
        </w:rPr>
        <w:t>万元</w:t>
      </w:r>
      <w:r>
        <w:rPr>
          <w:rFonts w:ascii="仿宋" w:eastAsia="仿宋" w:cs="仿宋_GB2312"/>
          <w:sz w:val="32"/>
          <w:szCs w:val="32"/>
        </w:rPr>
        <w:t>。</w:t>
      </w:r>
    </w:p>
    <w:p>
      <w:pPr>
        <w:spacing w:line="580" w:lineRule="exact"/>
        <w:ind w:firstLine="640" w:firstLineChars="200"/>
        <w:rPr>
          <w:rFonts w:ascii="仿宋" w:eastAsia="仿宋" w:cs="仿宋_GB2312"/>
          <w:sz w:val="32"/>
          <w:szCs w:val="32"/>
        </w:rPr>
      </w:pPr>
    </w:p>
    <w:p>
      <w:pPr>
        <w:numPr>
          <w:ilvl w:val="0"/>
          <w:numId w:val="1"/>
        </w:numPr>
        <w:spacing w:line="580" w:lineRule="exact"/>
        <w:ind w:left="1360" w:hanging="720"/>
        <w:rPr>
          <w:rFonts w:ascii="黑体" w:eastAsia="黑体" w:cs="黑体"/>
          <w:sz w:val="32"/>
          <w:szCs w:val="32"/>
        </w:rPr>
      </w:pPr>
      <w:r>
        <w:rPr>
          <w:rFonts w:ascii="黑体" w:eastAsia="黑体" w:cs="黑体"/>
          <w:sz w:val="32"/>
          <w:szCs w:val="32"/>
        </w:rPr>
        <w:t>部门整体预算绩效管理情况</w:t>
      </w:r>
    </w:p>
    <w:p>
      <w:pPr>
        <w:numPr>
          <w:ilvl w:val="0"/>
          <w:numId w:val="1"/>
        </w:numPr>
        <w:spacing w:line="580" w:lineRule="exact"/>
        <w:ind w:left="1360" w:hanging="720"/>
        <w:rPr>
          <w:rFonts w:ascii="仿宋" w:eastAsia="仿宋" w:cs="仿宋_GB2312"/>
          <w:sz w:val="32"/>
          <w:szCs w:val="32"/>
        </w:rPr>
      </w:pPr>
      <w:r>
        <w:rPr>
          <w:rFonts w:ascii="仿宋" w:eastAsia="仿宋" w:cs="仿宋_GB2312"/>
          <w:sz w:val="32"/>
          <w:szCs w:val="32"/>
        </w:rPr>
        <w:t>（一）部门预算管理。</w:t>
      </w:r>
    </w:p>
    <w:p>
      <w:pPr>
        <w:ind w:firstLine="600" w:firstLineChars="200"/>
        <w:rPr>
          <w:rFonts w:ascii="仿宋_GB2312" w:eastAsia="仿宋_GB2312"/>
          <w:sz w:val="32"/>
          <w:szCs w:val="32"/>
        </w:rPr>
      </w:pPr>
      <w:r>
        <w:rPr>
          <w:rFonts w:hint="eastAsia" w:ascii="仿宋_GB2312" w:eastAsia="仿宋_GB2312"/>
          <w:sz w:val="30"/>
          <w:szCs w:val="30"/>
        </w:rPr>
        <w:t xml:space="preserve"> </w:t>
      </w:r>
      <w:r>
        <w:rPr>
          <w:rFonts w:hint="eastAsia" w:ascii="仿宋_GB2312" w:eastAsia="仿宋_GB2312"/>
          <w:sz w:val="32"/>
          <w:szCs w:val="32"/>
        </w:rPr>
        <w:t>我单位预算是由收入预算和支出预算组成，是二级预算单位，向壤塘县财政局申报预算，县财政局对我单位实行年度预算执行情况及结转和结余情况编制当年预算，县财政局批复后按照收支平衡的原则、合理安排各项资金。</w:t>
      </w:r>
    </w:p>
    <w:p>
      <w:pPr>
        <w:spacing w:line="580" w:lineRule="exact"/>
        <w:ind w:firstLine="640" w:firstLineChars="200"/>
        <w:rPr>
          <w:rFonts w:ascii="仿宋" w:eastAsia="仿宋" w:cs="仿宋_GB2312"/>
          <w:sz w:val="32"/>
          <w:szCs w:val="32"/>
        </w:rPr>
      </w:pPr>
      <w:r>
        <w:rPr>
          <w:rFonts w:ascii="仿宋" w:eastAsia="仿宋" w:cs="仿宋_GB2312"/>
          <w:sz w:val="32"/>
          <w:szCs w:val="32"/>
        </w:rPr>
        <w:t>（二）专项预算管理。</w:t>
      </w:r>
    </w:p>
    <w:p>
      <w:pPr>
        <w:spacing w:line="580" w:lineRule="exact"/>
        <w:ind w:firstLine="640" w:firstLineChars="200"/>
        <w:rPr>
          <w:rFonts w:ascii="仿宋" w:eastAsia="仿宋" w:cs="仿宋_GB2312"/>
          <w:sz w:val="32"/>
          <w:szCs w:val="32"/>
        </w:rPr>
      </w:pPr>
      <w:r>
        <w:rPr>
          <w:rFonts w:hint="eastAsia" w:ascii="仿宋" w:eastAsia="仿宋" w:cs="仿宋_GB2312"/>
          <w:sz w:val="32"/>
          <w:szCs w:val="32"/>
        </w:rPr>
        <w:t>我办</w:t>
      </w:r>
      <w:r>
        <w:rPr>
          <w:rFonts w:ascii="仿宋" w:eastAsia="仿宋" w:cs="仿宋_GB2312"/>
          <w:sz w:val="32"/>
          <w:szCs w:val="32"/>
        </w:rPr>
        <w:t>专项预算项目程序严密、规划合理、结果符合、分配科学、分配及时、专项预算绩效目标完成、实施绩效、违规记录等情况。</w:t>
      </w:r>
    </w:p>
    <w:p>
      <w:pPr>
        <w:spacing w:line="580" w:lineRule="exact"/>
        <w:ind w:firstLine="640" w:firstLineChars="200"/>
        <w:rPr>
          <w:rFonts w:ascii="仿宋" w:eastAsia="仿宋" w:cs="仿宋_GB2312"/>
          <w:sz w:val="32"/>
          <w:szCs w:val="32"/>
        </w:rPr>
      </w:pPr>
      <w:r>
        <w:rPr>
          <w:rFonts w:ascii="仿宋" w:eastAsia="仿宋" w:cs="仿宋_GB2312"/>
          <w:sz w:val="32"/>
          <w:szCs w:val="32"/>
        </w:rPr>
        <w:t>（三）结果应用情况。</w:t>
      </w:r>
    </w:p>
    <w:p>
      <w:pPr>
        <w:spacing w:line="580" w:lineRule="exact"/>
        <w:ind w:firstLine="640" w:firstLineChars="200"/>
        <w:rPr>
          <w:rFonts w:ascii="仿宋" w:eastAsia="仿宋" w:cs="仿宋_GB2312"/>
          <w:sz w:val="32"/>
          <w:szCs w:val="32"/>
        </w:rPr>
      </w:pPr>
      <w:r>
        <w:rPr>
          <w:rFonts w:hint="eastAsia" w:ascii="仿宋" w:eastAsia="仿宋" w:cs="仿宋_GB2312"/>
          <w:sz w:val="32"/>
          <w:szCs w:val="32"/>
        </w:rPr>
        <w:t>年初所制定工作计划，结合上我单位财务管理严格执行《中华人民共和国预算法》、《中华人民共和国会计法》、《行政单位会计准则》或者《事业单位会计准则》、《内控管理制度》等国家有关法律、法规和财务规章制度，本着量入为出，保障重点，统筹兼顾，厉行节约，制止奢侈浪费，降低运行成本，注重资金使用效益的基本原则，加强我单位账务管理和监督，保障了我单位工作任务的完成。</w:t>
      </w:r>
    </w:p>
    <w:p>
      <w:pPr>
        <w:spacing w:line="580" w:lineRule="exact"/>
        <w:ind w:firstLine="640" w:firstLineChars="200"/>
        <w:rPr>
          <w:rFonts w:ascii="黑体" w:eastAsia="黑体" w:cs="黑体"/>
          <w:sz w:val="32"/>
          <w:szCs w:val="32"/>
        </w:rPr>
      </w:pPr>
      <w:r>
        <w:rPr>
          <w:rFonts w:ascii="黑体" w:eastAsia="黑体" w:cs="黑体"/>
          <w:sz w:val="32"/>
          <w:szCs w:val="32"/>
        </w:rPr>
        <w:t>四、评价结论及建议</w:t>
      </w:r>
    </w:p>
    <w:p>
      <w:pPr>
        <w:spacing w:line="580" w:lineRule="exact"/>
        <w:ind w:firstLine="640" w:firstLineChars="200"/>
        <w:rPr>
          <w:rFonts w:ascii="仿宋" w:eastAsia="仿宋" w:cs="仿宋_GB2312"/>
          <w:sz w:val="32"/>
          <w:szCs w:val="32"/>
        </w:rPr>
      </w:pPr>
      <w:r>
        <w:rPr>
          <w:rFonts w:ascii="仿宋" w:eastAsia="仿宋" w:cs="仿宋_GB2312"/>
          <w:sz w:val="32"/>
          <w:szCs w:val="32"/>
        </w:rPr>
        <w:t>（一）评价结论。</w:t>
      </w:r>
    </w:p>
    <w:p>
      <w:pPr>
        <w:ind w:firstLine="640" w:firstLineChars="200"/>
        <w:rPr>
          <w:rFonts w:ascii="仿宋_GB2312" w:eastAsia="仿宋_GB2312"/>
          <w:sz w:val="32"/>
          <w:szCs w:val="32"/>
        </w:rPr>
      </w:pPr>
      <w:r>
        <w:rPr>
          <w:rFonts w:hint="eastAsia" w:ascii="仿宋_GB2312" w:eastAsia="仿宋_GB2312"/>
          <w:sz w:val="32"/>
          <w:szCs w:val="32"/>
        </w:rPr>
        <w:t>1.我单位本年项目支出达到支出的标准。</w:t>
      </w:r>
    </w:p>
    <w:p>
      <w:pPr>
        <w:ind w:firstLine="640" w:firstLineChars="200"/>
        <w:rPr>
          <w:rFonts w:ascii="仿宋_GB2312" w:eastAsia="仿宋_GB2312"/>
          <w:sz w:val="32"/>
          <w:szCs w:val="32"/>
        </w:rPr>
      </w:pPr>
      <w:r>
        <w:rPr>
          <w:rFonts w:hint="eastAsia" w:ascii="仿宋_GB2312" w:eastAsia="仿宋_GB2312"/>
          <w:sz w:val="32"/>
          <w:szCs w:val="32"/>
        </w:rPr>
        <w:t>2.我单位项目支出严格按照国家财经法规、预算资金管理办法、财务管理制度以及专项资金管理办法的规定支出。</w:t>
      </w:r>
    </w:p>
    <w:p>
      <w:pPr>
        <w:spacing w:line="580" w:lineRule="exact"/>
        <w:ind w:firstLine="640" w:firstLineChars="200"/>
        <w:rPr>
          <w:rFonts w:ascii="仿宋" w:eastAsia="仿宋" w:cs="仿宋_GB2312"/>
          <w:sz w:val="32"/>
          <w:szCs w:val="32"/>
        </w:rPr>
      </w:pPr>
      <w:r>
        <w:rPr>
          <w:rFonts w:hint="eastAsia" w:ascii="仿宋" w:eastAsia="仿宋" w:cs="仿宋_GB2312"/>
          <w:sz w:val="32"/>
          <w:szCs w:val="32"/>
        </w:rPr>
        <w:t>（二）</w:t>
      </w:r>
      <w:r>
        <w:rPr>
          <w:rFonts w:ascii="仿宋" w:eastAsia="仿宋" w:cs="仿宋_GB2312"/>
          <w:sz w:val="32"/>
          <w:szCs w:val="32"/>
        </w:rPr>
        <w:t>存在问题</w:t>
      </w:r>
      <w:r>
        <w:rPr>
          <w:rFonts w:hint="eastAsia" w:ascii="仿宋" w:eastAsia="仿宋" w:cs="仿宋_GB2312"/>
          <w:sz w:val="32"/>
          <w:szCs w:val="32"/>
        </w:rPr>
        <w:t>及</w:t>
      </w:r>
      <w:r>
        <w:rPr>
          <w:rFonts w:ascii="仿宋" w:eastAsia="仿宋" w:cs="仿宋_GB2312"/>
          <w:sz w:val="32"/>
          <w:szCs w:val="32"/>
        </w:rPr>
        <w:t>改进建议</w:t>
      </w:r>
    </w:p>
    <w:p>
      <w:pPr>
        <w:spacing w:line="580" w:lineRule="exact"/>
        <w:ind w:left="420" w:leftChars="200" w:firstLine="320" w:firstLineChars="100"/>
        <w:rPr>
          <w:rFonts w:ascii="仿宋" w:hAnsi="仿宋" w:eastAsia="仿宋_GB2312" w:cs="仿宋_GB2312"/>
          <w:sz w:val="32"/>
          <w:szCs w:val="32"/>
        </w:rPr>
      </w:pPr>
      <w:r>
        <w:rPr>
          <w:rFonts w:hint="eastAsia" w:ascii="仿宋_GB2312" w:eastAsia="仿宋_GB2312" w:cs="仿宋_GB2312"/>
          <w:sz w:val="32"/>
          <w:szCs w:val="32"/>
        </w:rPr>
        <w:t>我单位今年存在财</w:t>
      </w:r>
      <w:r>
        <w:rPr>
          <w:rFonts w:hint="eastAsia" w:ascii="仿宋" w:eastAsia="仿宋" w:cs="仿宋_GB2312"/>
          <w:sz w:val="32"/>
          <w:szCs w:val="32"/>
        </w:rPr>
        <w:t>务管理制度不够完善。</w:t>
      </w:r>
      <w:r>
        <w:rPr>
          <w:rFonts w:hint="eastAsia" w:ascii="仿宋_GB2312" w:eastAsia="仿宋_GB2312" w:cs="仿宋_GB2312"/>
          <w:sz w:val="32"/>
          <w:szCs w:val="32"/>
        </w:rPr>
        <w:t>预算还不够全面的问题，在今后财政预算中，我单位将全面考虑，统筹计划，以减少预决算差额。完善财务制度。</w:t>
      </w:r>
    </w:p>
    <w:bookmarkEnd w:id="116"/>
    <w:bookmarkEnd w:id="117"/>
    <w:p>
      <w:pPr>
        <w:spacing w:line="600" w:lineRule="exact"/>
        <w:ind w:firstLine="2640" w:firstLineChars="600"/>
        <w:jc w:val="both"/>
        <w:outlineLvl w:val="0"/>
        <w:rPr>
          <w:rStyle w:val="25"/>
          <w:rFonts w:ascii="黑体" w:eastAsia="黑体"/>
          <w:b w:val="0"/>
        </w:rPr>
      </w:pPr>
      <w:bookmarkStart w:id="118" w:name="_Toc15396618"/>
      <w:bookmarkStart w:id="119" w:name="_Toc79163885"/>
      <w:bookmarkStart w:id="120" w:name="_Toc79163635"/>
      <w:r>
        <w:rPr>
          <w:rFonts w:hint="eastAsia" w:ascii="黑体" w:eastAsia="黑体"/>
          <w:color w:val="000000"/>
          <w:sz w:val="44"/>
          <w:szCs w:val="44"/>
        </w:rPr>
        <w:t>第</w:t>
      </w:r>
      <w:r>
        <w:rPr>
          <w:rStyle w:val="25"/>
          <w:rFonts w:hint="eastAsia" w:ascii="黑体" w:eastAsia="黑体"/>
          <w:b w:val="0"/>
        </w:rPr>
        <w:t>五部分</w:t>
      </w:r>
      <w:r>
        <w:rPr>
          <w:rStyle w:val="25"/>
          <w:rFonts w:ascii="黑体" w:eastAsia="黑体"/>
          <w:b w:val="0"/>
        </w:rPr>
        <w:t xml:space="preserve"> </w:t>
      </w:r>
      <w:r>
        <w:rPr>
          <w:rStyle w:val="25"/>
          <w:rFonts w:hint="eastAsia" w:ascii="黑体" w:eastAsia="黑体"/>
          <w:b w:val="0"/>
        </w:rPr>
        <w:t>附表</w:t>
      </w:r>
      <w:bookmarkEnd w:id="112"/>
      <w:bookmarkEnd w:id="118"/>
      <w:bookmarkEnd w:id="119"/>
      <w:bookmarkEnd w:id="120"/>
    </w:p>
    <w:p>
      <w:pPr>
        <w:pStyle w:val="5"/>
        <w:rPr>
          <w:rFonts w:ascii="仿宋" w:eastAsia="仿宋"/>
          <w:color w:val="000000"/>
        </w:rPr>
      </w:pPr>
      <w:bookmarkStart w:id="121" w:name="_Toc15396619"/>
      <w:bookmarkStart w:id="122" w:name="_Toc79163636"/>
      <w:bookmarkStart w:id="123" w:name="_Toc79163886"/>
      <w:r>
        <w:rPr>
          <w:rFonts w:hint="eastAsia" w:ascii="仿宋" w:eastAsia="仿宋"/>
          <w:b w:val="0"/>
          <w:color w:val="000000"/>
        </w:rPr>
        <w:t>一、收</w:t>
      </w:r>
      <w:r>
        <w:rPr>
          <w:rStyle w:val="26"/>
          <w:rFonts w:hint="eastAsia" w:ascii="仿宋" w:eastAsia="仿宋"/>
          <w:b w:val="0"/>
          <w:bCs w:val="0"/>
        </w:rPr>
        <w:t>入支出决算总表</w:t>
      </w:r>
      <w:bookmarkEnd w:id="121"/>
      <w:bookmarkEnd w:id="122"/>
      <w:bookmarkEnd w:id="123"/>
    </w:p>
    <w:p>
      <w:pPr>
        <w:pStyle w:val="5"/>
        <w:rPr>
          <w:rFonts w:ascii="仿宋" w:eastAsia="仿宋"/>
          <w:color w:val="000000"/>
        </w:rPr>
      </w:pPr>
      <w:bookmarkStart w:id="124" w:name="_Toc15396620"/>
      <w:bookmarkStart w:id="125" w:name="_Toc79163637"/>
      <w:bookmarkStart w:id="126" w:name="_Toc79163887"/>
      <w:r>
        <w:rPr>
          <w:rFonts w:hint="eastAsia" w:ascii="仿宋" w:eastAsia="仿宋"/>
          <w:b w:val="0"/>
          <w:color w:val="000000"/>
        </w:rPr>
        <w:t>二、收</w:t>
      </w:r>
      <w:r>
        <w:rPr>
          <w:rStyle w:val="26"/>
          <w:rFonts w:hint="eastAsia" w:ascii="仿宋" w:eastAsia="仿宋"/>
          <w:b w:val="0"/>
          <w:bCs w:val="0"/>
        </w:rPr>
        <w:t>入决算表</w:t>
      </w:r>
      <w:bookmarkEnd w:id="124"/>
      <w:bookmarkEnd w:id="125"/>
      <w:bookmarkEnd w:id="126"/>
    </w:p>
    <w:p>
      <w:pPr>
        <w:pStyle w:val="5"/>
        <w:rPr>
          <w:rFonts w:ascii="仿宋" w:eastAsia="仿宋"/>
          <w:color w:val="000000"/>
        </w:rPr>
      </w:pPr>
      <w:bookmarkStart w:id="127" w:name="_Toc15396621"/>
      <w:bookmarkStart w:id="128" w:name="_Toc79163638"/>
      <w:bookmarkStart w:id="129" w:name="_Toc79163888"/>
      <w:r>
        <w:rPr>
          <w:rStyle w:val="26"/>
          <w:rFonts w:hint="eastAsia" w:ascii="仿宋" w:eastAsia="仿宋"/>
          <w:b w:val="0"/>
          <w:bCs w:val="0"/>
        </w:rPr>
        <w:t>三、</w:t>
      </w:r>
      <w:r>
        <w:rPr>
          <w:rFonts w:hint="eastAsia" w:ascii="仿宋" w:eastAsia="仿宋"/>
          <w:b w:val="0"/>
          <w:color w:val="000000"/>
        </w:rPr>
        <w:t>支</w:t>
      </w:r>
      <w:r>
        <w:rPr>
          <w:rStyle w:val="26"/>
          <w:rFonts w:hint="eastAsia" w:ascii="仿宋" w:eastAsia="仿宋"/>
          <w:b w:val="0"/>
          <w:bCs w:val="0"/>
        </w:rPr>
        <w:t>出决算表</w:t>
      </w:r>
      <w:bookmarkEnd w:id="127"/>
      <w:bookmarkEnd w:id="128"/>
      <w:bookmarkEnd w:id="129"/>
    </w:p>
    <w:p>
      <w:pPr>
        <w:pStyle w:val="5"/>
        <w:rPr>
          <w:rFonts w:ascii="仿宋" w:eastAsia="仿宋"/>
          <w:b w:val="0"/>
          <w:color w:val="000000"/>
        </w:rPr>
      </w:pPr>
      <w:bookmarkStart w:id="130" w:name="_Toc15396622"/>
      <w:bookmarkStart w:id="131" w:name="_Toc79163639"/>
      <w:bookmarkStart w:id="132" w:name="_Toc79163889"/>
      <w:r>
        <w:rPr>
          <w:rStyle w:val="26"/>
          <w:rFonts w:hint="eastAsia" w:ascii="仿宋" w:eastAsia="仿宋"/>
          <w:b w:val="0"/>
          <w:bCs w:val="0"/>
        </w:rPr>
        <w:t>四、</w:t>
      </w:r>
      <w:r>
        <w:rPr>
          <w:rFonts w:hint="eastAsia" w:ascii="仿宋" w:eastAsia="仿宋"/>
          <w:b w:val="0"/>
          <w:color w:val="000000"/>
        </w:rPr>
        <w:t>财</w:t>
      </w:r>
      <w:r>
        <w:rPr>
          <w:rStyle w:val="26"/>
          <w:rFonts w:hint="eastAsia" w:ascii="仿宋" w:eastAsia="仿宋"/>
          <w:b w:val="0"/>
          <w:bCs w:val="0"/>
        </w:rPr>
        <w:t>政拨款收入支出决算总表</w:t>
      </w:r>
      <w:bookmarkEnd w:id="130"/>
      <w:bookmarkEnd w:id="131"/>
      <w:bookmarkEnd w:id="132"/>
    </w:p>
    <w:p>
      <w:pPr>
        <w:pStyle w:val="5"/>
        <w:rPr>
          <w:rStyle w:val="26"/>
          <w:rFonts w:ascii="仿宋" w:eastAsia="仿宋"/>
          <w:b w:val="0"/>
          <w:bCs w:val="0"/>
        </w:rPr>
      </w:pPr>
      <w:bookmarkStart w:id="133" w:name="_Toc15396623"/>
      <w:bookmarkStart w:id="134" w:name="_Toc79163640"/>
      <w:bookmarkStart w:id="135" w:name="_Toc79163890"/>
      <w:r>
        <w:rPr>
          <w:rStyle w:val="26"/>
          <w:rFonts w:hint="eastAsia" w:ascii="仿宋" w:eastAsia="仿宋"/>
          <w:b w:val="0"/>
          <w:bCs w:val="0"/>
        </w:rPr>
        <w:t>五、</w:t>
      </w:r>
      <w:r>
        <w:rPr>
          <w:rFonts w:hint="eastAsia" w:ascii="仿宋" w:eastAsia="仿宋"/>
          <w:b w:val="0"/>
          <w:color w:val="000000"/>
        </w:rPr>
        <w:t>财</w:t>
      </w:r>
      <w:r>
        <w:rPr>
          <w:rStyle w:val="26"/>
          <w:rFonts w:hint="eastAsia" w:ascii="仿宋" w:eastAsia="仿宋"/>
          <w:b w:val="0"/>
          <w:bCs w:val="0"/>
        </w:rPr>
        <w:t>政拨款支出决算明细表</w:t>
      </w:r>
      <w:bookmarkEnd w:id="133"/>
      <w:bookmarkEnd w:id="134"/>
      <w:bookmarkEnd w:id="135"/>
      <w:bookmarkStart w:id="136" w:name="_Toc15396624"/>
    </w:p>
    <w:p>
      <w:pPr>
        <w:pStyle w:val="5"/>
        <w:rPr>
          <w:rFonts w:ascii="仿宋" w:eastAsia="仿宋"/>
          <w:color w:val="000000"/>
        </w:rPr>
      </w:pPr>
      <w:bookmarkStart w:id="137" w:name="_Toc79163641"/>
      <w:bookmarkStart w:id="138" w:name="_Toc79163891"/>
      <w:r>
        <w:rPr>
          <w:rStyle w:val="26"/>
          <w:rFonts w:hint="eastAsia" w:ascii="仿宋" w:eastAsia="仿宋"/>
          <w:b w:val="0"/>
          <w:bCs w:val="0"/>
        </w:rPr>
        <w:t>六、</w:t>
      </w:r>
      <w:r>
        <w:rPr>
          <w:rFonts w:hint="eastAsia" w:ascii="仿宋" w:eastAsia="仿宋"/>
          <w:b w:val="0"/>
          <w:color w:val="000000"/>
        </w:rPr>
        <w:t>一</w:t>
      </w:r>
      <w:r>
        <w:rPr>
          <w:rStyle w:val="26"/>
          <w:rFonts w:hint="eastAsia" w:ascii="仿宋" w:eastAsia="仿宋"/>
          <w:b w:val="0"/>
          <w:bCs w:val="0"/>
        </w:rPr>
        <w:t>般公共预算财政拨款支出决算表</w:t>
      </w:r>
      <w:bookmarkEnd w:id="136"/>
      <w:bookmarkEnd w:id="137"/>
      <w:bookmarkEnd w:id="138"/>
    </w:p>
    <w:p>
      <w:pPr>
        <w:pStyle w:val="5"/>
        <w:rPr>
          <w:rFonts w:ascii="仿宋" w:eastAsia="仿宋"/>
          <w:color w:val="000000"/>
        </w:rPr>
      </w:pPr>
      <w:bookmarkStart w:id="139" w:name="_Toc15396625"/>
      <w:bookmarkStart w:id="140" w:name="_Toc79163642"/>
      <w:bookmarkStart w:id="141" w:name="_Toc79163892"/>
      <w:r>
        <w:rPr>
          <w:rStyle w:val="26"/>
          <w:rFonts w:hint="eastAsia" w:ascii="仿宋" w:eastAsia="仿宋"/>
          <w:b w:val="0"/>
          <w:bCs w:val="0"/>
        </w:rPr>
        <w:t>七、</w:t>
      </w:r>
      <w:r>
        <w:rPr>
          <w:rFonts w:hint="eastAsia" w:ascii="仿宋" w:eastAsia="仿宋"/>
          <w:b w:val="0"/>
          <w:color w:val="000000"/>
        </w:rPr>
        <w:t>一</w:t>
      </w:r>
      <w:r>
        <w:rPr>
          <w:rStyle w:val="26"/>
          <w:rFonts w:hint="eastAsia" w:ascii="仿宋" w:eastAsia="仿宋"/>
          <w:b w:val="0"/>
          <w:bCs w:val="0"/>
        </w:rPr>
        <w:t>般公共预算财政拨款支出决算明细表</w:t>
      </w:r>
      <w:bookmarkEnd w:id="139"/>
      <w:bookmarkEnd w:id="140"/>
      <w:bookmarkEnd w:id="141"/>
    </w:p>
    <w:p>
      <w:pPr>
        <w:pStyle w:val="5"/>
        <w:rPr>
          <w:rFonts w:ascii="仿宋" w:eastAsia="仿宋"/>
          <w:color w:val="000000"/>
        </w:rPr>
      </w:pPr>
      <w:bookmarkStart w:id="142" w:name="_Toc15396626"/>
      <w:bookmarkStart w:id="143" w:name="_Toc79163643"/>
      <w:bookmarkStart w:id="144" w:name="_Toc79163893"/>
      <w:r>
        <w:rPr>
          <w:rStyle w:val="26"/>
          <w:rFonts w:hint="eastAsia" w:ascii="仿宋" w:eastAsia="仿宋"/>
          <w:b w:val="0"/>
          <w:bCs w:val="0"/>
        </w:rPr>
        <w:t>八、</w:t>
      </w:r>
      <w:r>
        <w:rPr>
          <w:rFonts w:hint="eastAsia" w:ascii="仿宋" w:eastAsia="仿宋"/>
          <w:b w:val="0"/>
          <w:color w:val="000000"/>
        </w:rPr>
        <w:t>一</w:t>
      </w:r>
      <w:r>
        <w:rPr>
          <w:rStyle w:val="26"/>
          <w:rFonts w:hint="eastAsia" w:ascii="仿宋" w:eastAsia="仿宋"/>
          <w:b w:val="0"/>
          <w:bCs w:val="0"/>
        </w:rPr>
        <w:t>般公共预算财政拨款基本支出决算表</w:t>
      </w:r>
      <w:bookmarkEnd w:id="142"/>
      <w:bookmarkEnd w:id="143"/>
      <w:bookmarkEnd w:id="144"/>
    </w:p>
    <w:p>
      <w:pPr>
        <w:pStyle w:val="5"/>
        <w:rPr>
          <w:rFonts w:ascii="仿宋" w:eastAsia="仿宋"/>
          <w:color w:val="000000"/>
        </w:rPr>
      </w:pPr>
      <w:bookmarkStart w:id="145" w:name="_Toc15396627"/>
      <w:bookmarkStart w:id="146" w:name="_Toc79163644"/>
      <w:bookmarkStart w:id="147" w:name="_Toc79163894"/>
      <w:r>
        <w:rPr>
          <w:rStyle w:val="26"/>
          <w:rFonts w:hint="eastAsia" w:ascii="仿宋" w:eastAsia="仿宋"/>
          <w:b w:val="0"/>
          <w:bCs w:val="0"/>
        </w:rPr>
        <w:t>九、</w:t>
      </w:r>
      <w:r>
        <w:rPr>
          <w:rFonts w:hint="eastAsia" w:ascii="仿宋" w:eastAsia="仿宋"/>
          <w:b w:val="0"/>
          <w:color w:val="000000"/>
        </w:rPr>
        <w:t>一</w:t>
      </w:r>
      <w:r>
        <w:rPr>
          <w:rStyle w:val="26"/>
          <w:rFonts w:hint="eastAsia" w:ascii="仿宋" w:eastAsia="仿宋"/>
          <w:b w:val="0"/>
          <w:bCs w:val="0"/>
        </w:rPr>
        <w:t>般公共预算财政拨款项目支出决算表</w:t>
      </w:r>
      <w:bookmarkEnd w:id="145"/>
      <w:bookmarkEnd w:id="146"/>
      <w:bookmarkEnd w:id="147"/>
    </w:p>
    <w:p>
      <w:pPr>
        <w:pStyle w:val="5"/>
        <w:rPr>
          <w:rFonts w:ascii="仿宋" w:eastAsia="仿宋"/>
          <w:color w:val="000000"/>
        </w:rPr>
      </w:pPr>
      <w:bookmarkStart w:id="148" w:name="_Toc15396628"/>
      <w:bookmarkStart w:id="149" w:name="_Toc79163645"/>
      <w:bookmarkStart w:id="150" w:name="_Toc79163895"/>
      <w:r>
        <w:rPr>
          <w:rStyle w:val="26"/>
          <w:rFonts w:hint="eastAsia" w:ascii="仿宋" w:eastAsia="仿宋"/>
          <w:b w:val="0"/>
          <w:bCs w:val="0"/>
        </w:rPr>
        <w:t>十、</w:t>
      </w:r>
      <w:r>
        <w:rPr>
          <w:rFonts w:hint="eastAsia" w:ascii="仿宋" w:eastAsia="仿宋"/>
          <w:b w:val="0"/>
          <w:color w:val="000000"/>
        </w:rPr>
        <w:t>一</w:t>
      </w:r>
      <w:r>
        <w:rPr>
          <w:rStyle w:val="26"/>
          <w:rFonts w:hint="eastAsia" w:ascii="仿宋" w:eastAsia="仿宋"/>
          <w:b w:val="0"/>
          <w:bCs w:val="0"/>
        </w:rPr>
        <w:t>般公共预算财政拨款“三公”经费支出决算表</w:t>
      </w:r>
      <w:bookmarkEnd w:id="148"/>
      <w:bookmarkEnd w:id="149"/>
      <w:bookmarkEnd w:id="150"/>
    </w:p>
    <w:p>
      <w:pPr>
        <w:pStyle w:val="5"/>
        <w:rPr>
          <w:rFonts w:ascii="仿宋" w:eastAsia="仿宋"/>
          <w:color w:val="000000"/>
        </w:rPr>
      </w:pPr>
      <w:bookmarkStart w:id="151" w:name="_Toc15396629"/>
      <w:bookmarkStart w:id="152" w:name="_Toc79163646"/>
      <w:bookmarkStart w:id="153" w:name="_Toc79163896"/>
      <w:r>
        <w:rPr>
          <w:rStyle w:val="26"/>
          <w:rFonts w:hint="eastAsia" w:ascii="仿宋" w:eastAsia="仿宋"/>
          <w:b w:val="0"/>
          <w:bCs w:val="0"/>
        </w:rPr>
        <w:t>十一、</w:t>
      </w:r>
      <w:r>
        <w:rPr>
          <w:rFonts w:hint="eastAsia" w:ascii="仿宋" w:eastAsia="仿宋"/>
          <w:b w:val="0"/>
          <w:color w:val="000000"/>
        </w:rPr>
        <w:t>政</w:t>
      </w:r>
      <w:r>
        <w:rPr>
          <w:rStyle w:val="26"/>
          <w:rFonts w:hint="eastAsia" w:ascii="仿宋" w:eastAsia="仿宋"/>
          <w:b w:val="0"/>
          <w:bCs w:val="0"/>
        </w:rPr>
        <w:t>府性基金预算财政拨款收入支出决算表</w:t>
      </w:r>
      <w:bookmarkEnd w:id="151"/>
      <w:bookmarkEnd w:id="152"/>
      <w:bookmarkEnd w:id="153"/>
    </w:p>
    <w:p>
      <w:pPr>
        <w:pStyle w:val="5"/>
        <w:rPr>
          <w:rFonts w:ascii="仿宋" w:eastAsia="仿宋"/>
          <w:color w:val="000000"/>
        </w:rPr>
      </w:pPr>
      <w:bookmarkStart w:id="154" w:name="_Toc15396630"/>
      <w:bookmarkStart w:id="155" w:name="_Toc79163647"/>
      <w:bookmarkStart w:id="156" w:name="_Toc79163897"/>
      <w:r>
        <w:rPr>
          <w:rStyle w:val="26"/>
          <w:rFonts w:hint="eastAsia" w:ascii="仿宋" w:eastAsia="仿宋"/>
          <w:b w:val="0"/>
          <w:bCs w:val="0"/>
        </w:rPr>
        <w:t>十二、</w:t>
      </w:r>
      <w:r>
        <w:rPr>
          <w:rFonts w:hint="eastAsia" w:ascii="仿宋" w:eastAsia="仿宋"/>
          <w:b w:val="0"/>
          <w:color w:val="000000"/>
        </w:rPr>
        <w:t>政</w:t>
      </w:r>
      <w:r>
        <w:rPr>
          <w:rStyle w:val="26"/>
          <w:rFonts w:hint="eastAsia" w:ascii="仿宋" w:eastAsia="仿宋"/>
          <w:b w:val="0"/>
          <w:bCs w:val="0"/>
        </w:rPr>
        <w:t>府性基金预算财政拨款“三公”经费支出决算表</w:t>
      </w:r>
      <w:bookmarkEnd w:id="154"/>
      <w:bookmarkEnd w:id="155"/>
      <w:bookmarkEnd w:id="156"/>
    </w:p>
    <w:p>
      <w:pPr>
        <w:pStyle w:val="5"/>
        <w:rPr>
          <w:rStyle w:val="26"/>
          <w:rFonts w:ascii="仿宋" w:eastAsia="仿宋"/>
          <w:b w:val="0"/>
          <w:bCs w:val="0"/>
        </w:rPr>
      </w:pPr>
      <w:bookmarkStart w:id="157" w:name="_Toc15396631"/>
      <w:bookmarkStart w:id="158" w:name="_Toc79163648"/>
      <w:bookmarkStart w:id="159" w:name="_Toc79163898"/>
      <w:r>
        <w:rPr>
          <w:rStyle w:val="26"/>
          <w:rFonts w:hint="eastAsia" w:ascii="仿宋" w:eastAsia="仿宋"/>
          <w:b w:val="0"/>
          <w:bCs w:val="0"/>
        </w:rPr>
        <w:t>十三、</w:t>
      </w:r>
      <w:r>
        <w:rPr>
          <w:rFonts w:hint="eastAsia" w:ascii="仿宋" w:eastAsia="仿宋"/>
          <w:b w:val="0"/>
          <w:color w:val="000000"/>
        </w:rPr>
        <w:t>国</w:t>
      </w:r>
      <w:r>
        <w:rPr>
          <w:rStyle w:val="26"/>
          <w:rFonts w:hint="eastAsia" w:ascii="仿宋" w:eastAsia="仿宋"/>
          <w:b w:val="0"/>
          <w:bCs w:val="0"/>
        </w:rPr>
        <w:t>有资本经营预算财政拨款支出决算表</w:t>
      </w:r>
      <w:bookmarkEnd w:id="157"/>
      <w:bookmarkEnd w:id="158"/>
      <w:bookmarkEnd w:id="159"/>
    </w:p>
    <w:p>
      <w:pPr>
        <w:pStyle w:val="5"/>
        <w:rPr>
          <w:rStyle w:val="26"/>
          <w:rFonts w:ascii="仿宋" w:eastAsia="仿宋"/>
          <w:b w:val="0"/>
          <w:bCs w:val="0"/>
        </w:rPr>
      </w:pPr>
      <w:bookmarkStart w:id="160" w:name="_Toc79163649"/>
      <w:bookmarkStart w:id="161" w:name="_Toc79163899"/>
      <w:r>
        <w:rPr>
          <w:rStyle w:val="26"/>
          <w:rFonts w:hint="eastAsia" w:ascii="仿宋" w:eastAsia="仿宋"/>
          <w:b w:val="0"/>
          <w:bCs w:val="0"/>
        </w:rPr>
        <w:t>十四、国有资本经营预算财政拨款支出决算表</w:t>
      </w:r>
      <w:bookmarkEnd w:id="160"/>
      <w:bookmarkEnd w:id="161"/>
    </w:p>
    <w:sectPr>
      <w:headerReference r:id="rId3" w:type="default"/>
      <w:footerReference r:id="rId4" w:type="default"/>
      <w:pgSz w:w="11907" w:h="16840"/>
      <w:pgMar w:top="1440" w:right="1797" w:bottom="1440"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w:altName w:val="方正书宋_GBK"/>
    <w:panose1 w:val="02010600030101010101"/>
    <w:charset w:val="86"/>
    <w:family w:val="auto"/>
    <w:pitch w:val="default"/>
    <w:sig w:usb0="00000000" w:usb1="00000000" w:usb2="00000016" w:usb3="00000000" w:csb0="0004000F" w:csb1="00000000"/>
  </w:font>
  <w:font w:name="微软雅黑">
    <w:altName w:val="方正黑体_GBK"/>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方正书宋_GBK"/>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AR PL UKai CN">
    <w:altName w:val="仿宋"/>
    <w:panose1 w:val="00000000000000000000"/>
    <w:charset w:val="01"/>
    <w:family w:val="auto"/>
    <w:pitch w:val="default"/>
    <w:sig w:usb0="00000000" w:usb1="00000000" w:usb2="00000000" w:usb3="00000000" w:csb0="00000000" w:csb1="00000000"/>
  </w:font>
  <w:font w:name="Lucida Sans">
    <w:altName w:val="仿宋"/>
    <w:panose1 w:val="00000000000000000000"/>
    <w:charset w:val="01"/>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05EB9"/>
    <w:multiLevelType w:val="singleLevel"/>
    <w:tmpl w:val="B0805EB9"/>
    <w:lvl w:ilvl="0" w:tentative="0">
      <w:start w:val="1"/>
      <w:numFmt w:val="decimal"/>
      <w:lvlText w:val="%1."/>
      <w:lvlJc w:val="left"/>
      <w:pPr>
        <w:tabs>
          <w:tab w:val="left" w:pos="0"/>
        </w:tabs>
        <w:ind w:left="0" w:firstLine="0"/>
      </w:pPr>
    </w:lvl>
  </w:abstractNum>
  <w:abstractNum w:abstractNumId="1">
    <w:nsid w:val="CF652CEC"/>
    <w:multiLevelType w:val="singleLevel"/>
    <w:tmpl w:val="CF652CEC"/>
    <w:lvl w:ilvl="0" w:tentative="0">
      <w:start w:val="9"/>
      <w:numFmt w:val="chineseCounting"/>
      <w:suff w:val="nothing"/>
      <w:lvlText w:val="%1、"/>
      <w:lvlJc w:val="left"/>
      <w:pPr>
        <w:tabs>
          <w:tab w:val="left" w:pos="0"/>
        </w:tabs>
        <w:ind w:left="0" w:firstLine="0"/>
      </w:pPr>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cs="Times New Roman"/>
      </w:rPr>
    </w:lvl>
  </w:abstractNum>
  <w:abstractNum w:abstractNumId="3">
    <w:nsid w:val="1272550B"/>
    <w:multiLevelType w:val="multilevel"/>
    <w:tmpl w:val="1272550B"/>
    <w:lvl w:ilvl="0" w:tentative="0">
      <w:start w:val="1"/>
      <w:numFmt w:val="japaneseCounting"/>
      <w:lvlText w:val="%1、"/>
      <w:lvlJc w:val="left"/>
      <w:pPr>
        <w:tabs>
          <w:tab w:val="left" w:pos="0"/>
        </w:tabs>
        <w:ind w:left="1360" w:hanging="720"/>
      </w:pPr>
      <w:rPr>
        <w:rFonts w:hint="default" w:cs="Times New Roman"/>
        <w:b w:val="0"/>
      </w:rPr>
    </w:lvl>
    <w:lvl w:ilvl="1" w:tentative="0">
      <w:start w:val="1"/>
      <w:numFmt w:val="lowerLetter"/>
      <w:lvlText w:val="%2)"/>
      <w:lvlJc w:val="left"/>
      <w:pPr>
        <w:tabs>
          <w:tab w:val="left" w:pos="0"/>
        </w:tabs>
        <w:ind w:left="1480" w:hanging="420"/>
      </w:pPr>
      <w:rPr>
        <w:rFonts w:cs="Times New Roman"/>
      </w:rPr>
    </w:lvl>
    <w:lvl w:ilvl="2" w:tentative="0">
      <w:start w:val="1"/>
      <w:numFmt w:val="lowerRoman"/>
      <w:lvlText w:val="%3."/>
      <w:lvlJc w:val="right"/>
      <w:pPr>
        <w:tabs>
          <w:tab w:val="left" w:pos="0"/>
        </w:tabs>
        <w:ind w:left="1900" w:hanging="420"/>
      </w:pPr>
      <w:rPr>
        <w:rFonts w:cs="Times New Roman"/>
      </w:rPr>
    </w:lvl>
    <w:lvl w:ilvl="3" w:tentative="0">
      <w:start w:val="1"/>
      <w:numFmt w:val="decimal"/>
      <w:lvlText w:val="%4."/>
      <w:lvlJc w:val="left"/>
      <w:pPr>
        <w:tabs>
          <w:tab w:val="left" w:pos="0"/>
        </w:tabs>
        <w:ind w:left="2320" w:hanging="420"/>
      </w:pPr>
      <w:rPr>
        <w:rFonts w:cs="Times New Roman"/>
      </w:rPr>
    </w:lvl>
    <w:lvl w:ilvl="4" w:tentative="0">
      <w:start w:val="1"/>
      <w:numFmt w:val="lowerLetter"/>
      <w:lvlText w:val="%5)"/>
      <w:lvlJc w:val="left"/>
      <w:pPr>
        <w:tabs>
          <w:tab w:val="left" w:pos="0"/>
        </w:tabs>
        <w:ind w:left="2740" w:hanging="420"/>
      </w:pPr>
      <w:rPr>
        <w:rFonts w:cs="Times New Roman"/>
      </w:rPr>
    </w:lvl>
    <w:lvl w:ilvl="5" w:tentative="0">
      <w:start w:val="1"/>
      <w:numFmt w:val="lowerRoman"/>
      <w:lvlText w:val="%6."/>
      <w:lvlJc w:val="right"/>
      <w:pPr>
        <w:tabs>
          <w:tab w:val="left" w:pos="0"/>
        </w:tabs>
        <w:ind w:left="3160" w:hanging="420"/>
      </w:pPr>
      <w:rPr>
        <w:rFonts w:cs="Times New Roman"/>
      </w:rPr>
    </w:lvl>
    <w:lvl w:ilvl="6" w:tentative="0">
      <w:start w:val="1"/>
      <w:numFmt w:val="decimal"/>
      <w:lvlText w:val="%7."/>
      <w:lvlJc w:val="left"/>
      <w:pPr>
        <w:tabs>
          <w:tab w:val="left" w:pos="0"/>
        </w:tabs>
        <w:ind w:left="3580" w:hanging="420"/>
      </w:pPr>
      <w:rPr>
        <w:rFonts w:cs="Times New Roman"/>
      </w:rPr>
    </w:lvl>
    <w:lvl w:ilvl="7" w:tentative="0">
      <w:start w:val="1"/>
      <w:numFmt w:val="lowerLetter"/>
      <w:lvlText w:val="%8)"/>
      <w:lvlJc w:val="left"/>
      <w:pPr>
        <w:tabs>
          <w:tab w:val="left" w:pos="0"/>
        </w:tabs>
        <w:ind w:left="4000" w:hanging="420"/>
      </w:pPr>
      <w:rPr>
        <w:rFonts w:cs="Times New Roman"/>
      </w:rPr>
    </w:lvl>
    <w:lvl w:ilvl="8" w:tentative="0">
      <w:start w:val="1"/>
      <w:numFmt w:val="lowerRoman"/>
      <w:lvlText w:val="%9."/>
      <w:lvlJc w:val="right"/>
      <w:pPr>
        <w:tabs>
          <w:tab w:val="left" w:pos="0"/>
        </w:tabs>
        <w:ind w:left="442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true"/>
  <w:bordersDoNotSurroundHeader w:val="false"/>
  <w:bordersDoNotSurroundFooter w:val="fals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7FFF7916"/>
    <w:rsid w:val="F7E702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link w:val="26"/>
    <w:qFormat/>
    <w:uiPriority w:val="0"/>
    <w:pPr>
      <w:keepNext/>
      <w:keepLines/>
      <w:widowControl w:val="0"/>
      <w:spacing w:before="260" w:after="260" w:line="415" w:lineRule="auto"/>
      <w:outlineLvl w:val="1"/>
    </w:pPr>
    <w:rPr>
      <w:rFonts w:ascii="Cambria" w:hAnsi="Cambria"/>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30" w:beforeLines="30"/>
    </w:pPr>
    <w:rPr>
      <w:rFonts w:ascii="仿宋_GB2312" w:eastAsia="仿宋_GB2312"/>
      <w:kern w:val="0"/>
      <w:sz w:val="24"/>
      <w:szCs w:val="20"/>
      <w:lang w:val="zh-CN" w:eastAsia="zh-CN"/>
    </w:rPr>
  </w:style>
  <w:style w:type="paragraph" w:styleId="3">
    <w:name w:val="Date"/>
    <w:basedOn w:val="1"/>
    <w:next w:val="1"/>
    <w:qFormat/>
    <w:uiPriority w:val="0"/>
    <w:pPr>
      <w:ind w:left="2500" w:leftChars="2500"/>
    </w:pPr>
  </w:style>
  <w:style w:type="paragraph" w:styleId="7">
    <w:name w:val="toc 7"/>
    <w:basedOn w:val="1"/>
    <w:next w:val="1"/>
    <w:qFormat/>
    <w:uiPriority w:val="0"/>
    <w:pPr>
      <w:ind w:left="1260"/>
      <w:jc w:val="left"/>
    </w:pPr>
    <w:rPr>
      <w:rFonts w:ascii="等线" w:eastAsia="等线"/>
      <w:sz w:val="18"/>
      <w:szCs w:val="18"/>
    </w:rPr>
  </w:style>
  <w:style w:type="paragraph" w:styleId="8">
    <w:name w:val="Normal Indent"/>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9">
    <w:name w:val="toc 5"/>
    <w:basedOn w:val="1"/>
    <w:next w:val="1"/>
    <w:qFormat/>
    <w:uiPriority w:val="0"/>
    <w:pPr>
      <w:ind w:left="840"/>
      <w:jc w:val="left"/>
    </w:pPr>
    <w:rPr>
      <w:rFonts w:ascii="等线" w:eastAsia="等线"/>
      <w:sz w:val="18"/>
      <w:szCs w:val="18"/>
    </w:rPr>
  </w:style>
  <w:style w:type="paragraph" w:styleId="10">
    <w:name w:val="toc 3"/>
    <w:basedOn w:val="1"/>
    <w:next w:val="1"/>
    <w:qFormat/>
    <w:uiPriority w:val="0"/>
    <w:pPr>
      <w:ind w:left="420"/>
      <w:jc w:val="left"/>
    </w:pPr>
    <w:rPr>
      <w:rFonts w:ascii="等线" w:eastAsia="等线"/>
      <w:i/>
      <w:iCs/>
      <w:sz w:val="20"/>
      <w:szCs w:val="20"/>
    </w:rPr>
  </w:style>
  <w:style w:type="paragraph" w:styleId="11">
    <w:name w:val="toc 8"/>
    <w:basedOn w:val="1"/>
    <w:next w:val="1"/>
    <w:qFormat/>
    <w:uiPriority w:val="0"/>
    <w:pPr>
      <w:ind w:left="1470"/>
      <w:jc w:val="left"/>
    </w:pPr>
    <w:rPr>
      <w:rFonts w:ascii="等线" w:eastAsia="等线"/>
      <w:sz w:val="18"/>
      <w:szCs w:val="1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20"/>
      <w:lang w:val="zh-CN" w:eastAsia="zh-CN"/>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5">
    <w:name w:val="toc 1"/>
    <w:basedOn w:val="1"/>
    <w:next w:val="1"/>
    <w:qFormat/>
    <w:uiPriority w:val="0"/>
    <w:pPr>
      <w:spacing w:before="120" w:after="120"/>
      <w:jc w:val="left"/>
    </w:pPr>
    <w:rPr>
      <w:rFonts w:ascii="等线" w:eastAsia="等线"/>
      <w:b/>
      <w:bCs/>
      <w:caps/>
      <w:sz w:val="20"/>
      <w:szCs w:val="20"/>
    </w:rPr>
  </w:style>
  <w:style w:type="paragraph" w:styleId="16">
    <w:name w:val="toc 4"/>
    <w:basedOn w:val="1"/>
    <w:next w:val="1"/>
    <w:qFormat/>
    <w:uiPriority w:val="0"/>
    <w:pPr>
      <w:ind w:left="630"/>
      <w:jc w:val="left"/>
    </w:pPr>
    <w:rPr>
      <w:rFonts w:ascii="等线" w:eastAsia="等线"/>
      <w:sz w:val="18"/>
      <w:szCs w:val="18"/>
    </w:rPr>
  </w:style>
  <w:style w:type="paragraph" w:styleId="17">
    <w:name w:val="toc 6"/>
    <w:basedOn w:val="1"/>
    <w:next w:val="1"/>
    <w:qFormat/>
    <w:uiPriority w:val="0"/>
    <w:pPr>
      <w:ind w:left="1050"/>
      <w:jc w:val="left"/>
    </w:pPr>
    <w:rPr>
      <w:rFonts w:ascii="等线" w:eastAsia="等线"/>
      <w:sz w:val="18"/>
      <w:szCs w:val="18"/>
    </w:rPr>
  </w:style>
  <w:style w:type="paragraph" w:styleId="18">
    <w:name w:val="toc 2"/>
    <w:basedOn w:val="1"/>
    <w:next w:val="1"/>
    <w:qFormat/>
    <w:uiPriority w:val="0"/>
    <w:pPr>
      <w:ind w:left="210"/>
      <w:jc w:val="left"/>
    </w:pPr>
    <w:rPr>
      <w:rFonts w:ascii="等线" w:eastAsia="等线"/>
      <w:smallCaps/>
      <w:sz w:val="20"/>
      <w:szCs w:val="20"/>
    </w:rPr>
  </w:style>
  <w:style w:type="paragraph" w:styleId="19">
    <w:name w:val="toc 9"/>
    <w:basedOn w:val="1"/>
    <w:next w:val="1"/>
    <w:qFormat/>
    <w:uiPriority w:val="0"/>
    <w:pPr>
      <w:ind w:left="1680"/>
      <w:jc w:val="left"/>
    </w:pPr>
    <w:rPr>
      <w:rFonts w:ascii="等线" w:eastAsia="等线"/>
      <w:sz w:val="18"/>
      <w:szCs w:val="18"/>
    </w:rPr>
  </w:style>
  <w:style w:type="paragraph" w:styleId="20">
    <w:name w:val="Normal (Web)"/>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rFonts w:ascii="微软雅黑" w:hAnsi="Times New Roman" w:eastAsia="微软雅黑" w:cs="微软雅黑"/>
      <w:kern w:val="0"/>
      <w:sz w:val="24"/>
      <w:szCs w:val="22"/>
      <w:lang w:val="en-US" w:eastAsia="zh-CN" w:bidi="ar-SA"/>
    </w:rPr>
  </w:style>
  <w:style w:type="character" w:styleId="23">
    <w:name w:val="Strong"/>
    <w:basedOn w:val="22"/>
    <w:qFormat/>
    <w:uiPriority w:val="0"/>
    <w:rPr>
      <w:rFonts w:cs="Times New Roman"/>
      <w:b/>
    </w:rPr>
  </w:style>
  <w:style w:type="character" w:styleId="24">
    <w:name w:val="Hyperlink"/>
    <w:qFormat/>
    <w:uiPriority w:val="0"/>
    <w:rPr>
      <w:rFonts w:ascii="微软雅黑" w:eastAsia="微软雅黑" w:cs="微软雅黑"/>
      <w:color w:val="666666"/>
      <w:u w:val="none"/>
      <w:lang w:bidi="ar-SA"/>
    </w:rPr>
  </w:style>
  <w:style w:type="character" w:customStyle="1" w:styleId="25">
    <w:name w:val="heading 1 Char"/>
    <w:basedOn w:val="22"/>
    <w:link w:val="4"/>
    <w:qFormat/>
    <w:uiPriority w:val="0"/>
    <w:rPr>
      <w:rFonts w:ascii="Times New Roman" w:hAnsi="Times New Roman" w:eastAsia="宋体" w:cs="Times New Roman"/>
      <w:b/>
      <w:bCs/>
      <w:kern w:val="44"/>
      <w:sz w:val="44"/>
      <w:szCs w:val="44"/>
      <w:lang w:val="en-US" w:eastAsia="zh-CN" w:bidi="ar-SA"/>
    </w:rPr>
  </w:style>
  <w:style w:type="character" w:customStyle="1" w:styleId="26">
    <w:name w:val="heading 2 Char"/>
    <w:basedOn w:val="22"/>
    <w:link w:val="5"/>
    <w:qFormat/>
    <w:uiPriority w:val="0"/>
    <w:rPr>
      <w:rFonts w:ascii="Cambria" w:hAnsi="Cambria" w:eastAsia="宋体" w:cs="Times New Roman"/>
      <w:b/>
      <w:bCs/>
      <w:kern w:val="2"/>
      <w:sz w:val="32"/>
      <w:szCs w:val="32"/>
      <w:lang w:val="en-US" w:eastAsia="zh-CN" w:bidi="ar-SA"/>
    </w:rPr>
  </w:style>
  <w:style w:type="character" w:customStyle="1" w:styleId="27">
    <w:name w:val="Body Text Char"/>
    <w:basedOn w:val="22"/>
    <w:qFormat/>
    <w:uiPriority w:val="0"/>
    <w:rPr>
      <w:rFonts w:ascii="Times New Roman" w:hAnsi="Times New Roman" w:cs="Times New Roman"/>
      <w:sz w:val="24"/>
      <w:szCs w:val="24"/>
    </w:rPr>
  </w:style>
  <w:style w:type="character" w:customStyle="1" w:styleId="28">
    <w:name w:val="Footer Char"/>
    <w:basedOn w:val="22"/>
    <w:qFormat/>
    <w:uiPriority w:val="0"/>
    <w:rPr>
      <w:rFonts w:ascii="Times New Roman" w:hAnsi="Times New Roman" w:cs="Times New Roman"/>
      <w:sz w:val="18"/>
      <w:szCs w:val="18"/>
    </w:rPr>
  </w:style>
  <w:style w:type="character" w:customStyle="1" w:styleId="29">
    <w:name w:val="Header Char"/>
    <w:basedOn w:val="22"/>
    <w:qFormat/>
    <w:uiPriority w:val="0"/>
    <w:rPr>
      <w:rFonts w:ascii="Times New Roman" w:hAnsi="Times New Roman" w:cs="Times New Roman"/>
      <w:sz w:val="18"/>
      <w:szCs w:val="18"/>
    </w:rPr>
  </w:style>
  <w:style w:type="paragraph" w:customStyle="1" w:styleId="3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列表段落1"/>
    <w:basedOn w:val="1"/>
    <w:qFormat/>
    <w:uiPriority w:val="0"/>
    <w:pPr>
      <w:ind w:firstLine="200" w:firstLineChars="200"/>
    </w:pPr>
  </w:style>
  <w:style w:type="paragraph" w:customStyle="1" w:styleId="32">
    <w:name w:val="TOC 标题1"/>
    <w:basedOn w:val="4"/>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4"/>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4">
    <w:name w:val="TOC Heading"/>
    <w:basedOn w:val="4"/>
    <w:next w:val="1"/>
    <w:qFormat/>
    <w:uiPriority w:val="0"/>
    <w:pPr>
      <w:keepNext/>
      <w:keepLines/>
      <w:widowControl/>
      <w:spacing w:before="240" w:after="0" w:line="259" w:lineRule="auto"/>
      <w:jc w:val="left"/>
      <w:outlineLvl w:val="9"/>
    </w:pPr>
    <w:rPr>
      <w:rFonts w:ascii="等线 Light" w:eastAsia="等线 Light" w:cs="Times New Roman"/>
      <w:b w:val="0"/>
      <w:bCs w:val="0"/>
      <w:color w:val="2F5597"/>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0" i="0" u="none" strike="noStrike" kern="1200" baseline="0">
                <a:solidFill>
                  <a:srgbClr val="595959"/>
                </a:solidFill>
                <a:latin typeface="AR PL UKai CN"/>
                <a:ea typeface="AR PL UKai CN"/>
                <a:cs typeface="Lucida Sans"/>
              </a:defRPr>
            </a:pPr>
            <a:r>
              <a:rPr lang="zh-CN"/>
              <a:t>收、支决算变动情况图</a:t>
            </a:r>
            <a:endParaRPr lang="zh-CN"/>
          </a:p>
        </c:rich>
      </c:tx>
      <c:layout/>
      <c:overlay val="false"/>
      <c:spPr>
        <a:noFill/>
        <a:ln>
          <a:noFill/>
        </a:ln>
      </c:spPr>
    </c:title>
    <c:autoTitleDeleted val="false"/>
    <c:plotArea>
      <c:layout/>
      <c:barChart>
        <c:barDir val="col"/>
        <c:grouping val="clustered"/>
        <c:varyColors val="false"/>
        <c:ser>
          <c:idx val="0"/>
          <c:order val="0"/>
          <c:spPr>
            <a:solidFill>
              <a:srgbClr val="4F81BD"/>
            </a:solidFill>
            <a:ln>
              <a:noFill/>
            </a:ln>
          </c:spPr>
          <c:invertIfNegative val="false"/>
          <c:dLbls>
            <c:numFmt formatCode="General"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solidFill>
                    <a:latin typeface="AR PL UKai CN"/>
                    <a:ea typeface="AR PL UKai CN"/>
                    <a:cs typeface="Lucida San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{"2019年收入","2019年支出","2020年收入","2020年支出"}</c:f>
              <c:strCache>
                <c:ptCount val="4"/>
                <c:pt idx="0">
                  <c:v>2019年收入</c:v>
                </c:pt>
                <c:pt idx="1">
                  <c:v>2019年支出</c:v>
                </c:pt>
                <c:pt idx="2">
                  <c:v>2020年收入</c:v>
                </c:pt>
                <c:pt idx="3">
                  <c:v>2020年支出</c:v>
                </c:pt>
              </c:strCache>
            </c:strRef>
          </c:cat>
          <c:val>
            <c:numRef>
              <c:f>{244.73,244.73,270.57,270.57}</c:f>
              <c:numCache>
                <c:formatCode>General</c:formatCode>
                <c:ptCount val="4"/>
                <c:pt idx="0">
                  <c:v>244.73</c:v>
                </c:pt>
                <c:pt idx="1">
                  <c:v>244.73</c:v>
                </c:pt>
                <c:pt idx="2">
                  <c:v>270.57</c:v>
                </c:pt>
                <c:pt idx="3">
                  <c:v>270.57</c:v>
                </c:pt>
              </c:numCache>
            </c:numRef>
          </c:val>
        </c:ser>
        <c:dLbls>
          <c:showLegendKey val="false"/>
          <c:showVal val="true"/>
          <c:showCatName val="false"/>
          <c:showSerName val="false"/>
          <c:showPercent val="false"/>
          <c:showBubbleSize val="false"/>
        </c:dLbls>
        <c:gapWidth val="219"/>
        <c:overlap val="-27"/>
        <c:axId val="0"/>
        <c:axId val="1"/>
      </c:barChart>
      <c:catAx>
        <c:axId val="0"/>
        <c:scaling>
          <c:orientation val="minMax"/>
        </c:scaling>
        <c:delete val="false"/>
        <c:axPos val="b"/>
        <c:numFmt formatCode="General" sourceLinked="true"/>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AR PL UKai CN"/>
                <a:ea typeface="AR PL UKai CN"/>
                <a:cs typeface="Lucida Sans"/>
              </a:defRPr>
            </a:pPr>
          </a:p>
        </c:txPr>
        <c:crossAx val="1"/>
        <c:crosses val="autoZero"/>
        <c:auto val="true"/>
        <c:lblAlgn val="ctr"/>
        <c:lblOffset val="100"/>
        <c:noMultiLvlLbl val="false"/>
      </c:catAx>
      <c:valAx>
        <c:axId val="1"/>
        <c:scaling>
          <c:orientation val="minMax"/>
        </c:scaling>
        <c:delete val="false"/>
        <c:axPos val="l"/>
        <c:majorGridlines>
          <c:spPr>
            <a:ln w="6350" cap="flat" cmpd="sng" algn="ctr">
              <a:solidFill>
                <a:srgbClr val="D9D9D9"/>
              </a:solidFill>
              <a:prstDash val="solid"/>
              <a:round/>
            </a:ln>
          </c:spPr>
        </c:majorGridlines>
        <c:numFmt formatCode="General" sourceLinked="true"/>
        <c:majorTickMark val="none"/>
        <c:minorTickMark val="none"/>
        <c:tickLblPos val="nextTo"/>
        <c:spPr>
          <a:ln w="9525" cap="flat" cmpd="sng" algn="ctr">
            <a:no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AR PL UKai CN"/>
                <a:ea typeface="AR PL UKai CN"/>
                <a:cs typeface="Lucida Sans"/>
              </a:defRPr>
            </a:pPr>
          </a:p>
        </c:txPr>
        <c:crossAx val="0"/>
        <c:crossesAt val="1"/>
        <c:crossBetween val="between"/>
      </c:valAx>
      <c:spPr>
        <a:noFill/>
        <a:ln>
          <a:noFill/>
        </a:ln>
      </c:spPr>
    </c:plotArea>
    <c:plotVisOnly val="true"/>
    <c:dispBlanksAs val="gap"/>
    <c:showDLblsOverMax val="false"/>
  </c:chart>
  <c:spPr>
    <a:solidFill>
      <a:srgbClr val="FCD5B5"/>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404040"/>
                </a:solidFill>
                <a:latin typeface="AR PL UKai CN"/>
                <a:ea typeface="AR PL UKai CN"/>
                <a:cs typeface="Lucida Sans"/>
              </a:defRPr>
            </a:pPr>
            <a:r>
              <a:rPr lang="zh-CN"/>
              <a:t>收入决算结构图</a:t>
            </a:r>
            <a:endParaRPr lang="zh-CN"/>
          </a:p>
        </c:rich>
      </c:tx>
      <c:layout/>
      <c:overlay val="false"/>
      <c:spPr>
        <a:noFill/>
        <a:ln>
          <a:noFill/>
        </a:ln>
      </c:spPr>
    </c:title>
    <c:autoTitleDeleted val="false"/>
    <c:plotArea>
      <c:layout/>
      <c:pieChart>
        <c:varyColors val="true"/>
        <c:ser>
          <c:idx val="0"/>
          <c:order val="0"/>
          <c:spPr>
            <a:ln>
              <a:noFill/>
            </a:ln>
          </c:spPr>
          <c:explosion val="0"/>
          <c:dPt>
            <c:idx val="0"/>
            <c:bubble3D val="false"/>
            <c:spPr>
              <a:solidFill>
                <a:srgbClr val="4472C4"/>
              </a:solidFill>
              <a:ln>
                <a:noFill/>
              </a:ln>
              <a:effectLst>
                <a:outerShdw dist="35921" dir="2700000" algn="br">
                  <a:srgbClr val="000000"/>
                </a:outerShdw>
              </a:effectLst>
            </c:spPr>
          </c:dPt>
          <c:dPt>
            <c:idx val="1"/>
            <c:bubble3D val="false"/>
            <c:spPr>
              <a:solidFill>
                <a:srgbClr val="ED7D31"/>
              </a:solidFill>
              <a:ln>
                <a:noFill/>
              </a:ln>
              <a:effectLst>
                <a:outerShdw dist="35921" dir="2700000" algn="br">
                  <a:srgbClr val="000000"/>
                </a:outerShdw>
              </a:effectLst>
            </c:spPr>
          </c:dPt>
          <c:dPt>
            <c:idx val="2"/>
            <c:bubble3D val="false"/>
            <c:spPr>
              <a:solidFill>
                <a:srgbClr val="A5A5A5"/>
              </a:solidFill>
              <a:ln>
                <a:noFill/>
              </a:ln>
              <a:effectLst>
                <a:outerShdw dist="35921" dir="2700000" algn="br">
                  <a:srgbClr val="000000"/>
                </a:outerShdw>
              </a:effectLst>
            </c:spPr>
          </c:dPt>
          <c:dPt>
            <c:idx val="3"/>
            <c:bubble3D val="false"/>
            <c:spPr>
              <a:solidFill>
                <a:srgbClr val="FFC000"/>
              </a:solidFill>
              <a:ln>
                <a:noFill/>
              </a:ln>
              <a:effectLst>
                <a:outerShdw dist="35921" dir="2700000" algn="br">
                  <a:srgbClr val="000000"/>
                </a:outerShdw>
              </a:effectLst>
            </c:spPr>
          </c:dPt>
          <c:dPt>
            <c:idx val="4"/>
            <c:bubble3D val="false"/>
            <c:spPr>
              <a:solidFill>
                <a:srgbClr val="5B9BD5"/>
              </a:solidFill>
              <a:ln>
                <a:noFill/>
              </a:ln>
              <a:effectLst>
                <a:outerShdw dist="35921" dir="2700000" algn="br">
                  <a:srgbClr val="000000"/>
                </a:outerShdw>
              </a:effectLst>
            </c:spPr>
          </c:dPt>
          <c:dPt>
            <c:idx val="5"/>
            <c:bubble3D val="false"/>
            <c:spPr>
              <a:solidFill>
                <a:srgbClr val="70AD47"/>
              </a:solidFill>
              <a:ln>
                <a:noFill/>
              </a:ln>
              <a:effectLst>
                <a:outerShdw dist="35921" dir="2700000" algn="br">
                  <a:srgbClr val="000000"/>
                </a:outerShdw>
              </a:effectLst>
            </c:spPr>
          </c:dPt>
          <c:dPt>
            <c:idx val="6"/>
            <c:bubble3D val="false"/>
            <c:spPr>
              <a:solidFill>
                <a:srgbClr val="264478"/>
              </a:solidFill>
              <a:ln>
                <a:noFill/>
              </a:ln>
              <a:effectLst>
                <a:outerShdw dist="35921" dir="2700000" algn="br">
                  <a:srgbClr val="000000"/>
                </a:outerShdw>
              </a:effectLst>
            </c:spPr>
          </c:dPt>
          <c:dLbls>
            <c:dLbl>
              <c:idx val="0"/>
              <c:layout/>
              <c:tx>
                <c:rich>
                  <a:bodyPr rot="0" spcFirstLastPara="0" vertOverflow="ellipsis" vert="horz" wrap="square" lIns="38100" tIns="19050" rIns="38100" bIns="19050" anchor="ctr" anchorCtr="true"/>
                  <a:lstStyle/>
                  <a:p>
                    <a:pPr>
                      <a:defRPr lang="zh-CN" sz="1000" b="1" i="0" u="none" strike="noStrike" kern="1200" baseline="0">
                        <a:solidFill>
                          <a:srgbClr val="FFFFFF"/>
                        </a:solidFill>
                        <a:latin typeface="AR PL UKai CN"/>
                        <a:ea typeface="AR PL UKai CN"/>
                        <a:cs typeface="Lucida Sans"/>
                      </a:defRPr>
                    </a:pPr>
                    <a:r>
                      <a:rPr lang="zh-CN" sz="1000" b="0" i="0" u="none" strike="noStrike" baseline="0">
                        <a:solidFill>
                          <a:srgbClr val="000000"/>
                        </a:solidFill>
                        <a:latin typeface="AR PL UKai CN"/>
                        <a:ea typeface="AR PL UKai CN"/>
                        <a:cs typeface="Lucida Sans"/>
                      </a:rPr>
                      <a:t>270.57, 100%</a:t>
                    </a:r>
                    <a:endParaRPr lang="zh-CN" sz="1000" b="0" i="0" u="none" strike="noStrike" baseline="0">
                      <a:solidFill>
                        <a:srgbClr val="000000"/>
                      </a:solidFill>
                      <a:latin typeface="AR PL UKai CN"/>
                      <a:ea typeface="AR PL UKai CN"/>
                      <a:cs typeface="Lucida Sans"/>
                    </a:endParaRPr>
                  </a:p>
                </c:rich>
              </c:tx>
              <c:numFmt formatCode="0%" sourceLinked="false"/>
              <c:spPr>
                <a:pattFill prst="pct75">
                  <a:fgClr>
                    <a:srgbClr val="404040"/>
                  </a:fgClr>
                  <a:bgClr>
                    <a:srgbClr val="595959"/>
                  </a:bgClr>
                </a:patt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rgbClr val="FFFFFF"/>
                      </a:solidFill>
                      <a:latin typeface="AR PL UKai CN"/>
                      <a:ea typeface="AR PL UKai CN"/>
                      <a:cs typeface="Lucida Sans"/>
                    </a:defRPr>
                  </a:pPr>
                </a:p>
              </c:txPr>
              <c:dLblPos val="ctr"/>
              <c:showLegendKey val="false"/>
              <c:showVal val="true"/>
              <c:showCatName val="false"/>
              <c:showSerName val="false"/>
              <c:showPercent val="true"/>
              <c:showBubbleSize val="false"/>
              <c:extLst>
                <c:ext xmlns:c15="http://schemas.microsoft.com/office/drawing/2012/chart" uri="{CE6537A1-D6FC-4f65-9D91-7224C49458BB}"/>
              </c:extLst>
            </c:dLbl>
            <c:numFmt formatCode="0%" sourceLinked="false"/>
            <c:spPr>
              <a:pattFill prst="pct75">
                <a:fgClr>
                  <a:srgbClr val="404040"/>
                </a:fgClr>
                <a:bgClr>
                  <a:srgbClr val="595959"/>
                </a:bgClr>
              </a:patt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rgbClr val="FFFFFF"/>
                    </a:solidFill>
                    <a:latin typeface="AR PL UKai CN"/>
                    <a:ea typeface="AR PL UKai CN"/>
                    <a:cs typeface="Lucida Sans"/>
                  </a:defRPr>
                </a:pPr>
              </a:p>
            </c:txPr>
            <c:dLblPos val="ctr"/>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{"2020年一般公共预算财政拨款收入","2020年政府性基金预算财政拨款收入","2020年上级补助收入","2020年事业收入","2020年经营收入","2020年附属单位上缴收入","2020年其他收入"}</c:f>
              <c:strCache>
                <c:ptCount val="7"/>
                <c:pt idx="0">
                  <c:v>2020年一般公共预算财政拨款收入</c:v>
                </c:pt>
                <c:pt idx="1">
                  <c:v>2020年政府性基金预算财政拨款收入</c:v>
                </c:pt>
                <c:pt idx="2">
                  <c:v>2020年上级补助收入</c:v>
                </c:pt>
                <c:pt idx="3">
                  <c:v>2020年事业收入</c:v>
                </c:pt>
                <c:pt idx="4">
                  <c:v>2020年经营收入</c:v>
                </c:pt>
                <c:pt idx="5">
                  <c:v>2020年附属单位上缴收入</c:v>
                </c:pt>
                <c:pt idx="6">
                  <c:v>2020年其他收入</c:v>
                </c:pt>
              </c:strCache>
            </c:strRef>
          </c:cat>
          <c:val>
            <c:numRef>
              <c:f>{1247.11,0,0,0,0,0,0}</c:f>
              <c:numCache>
                <c:formatCode>General</c:formatCode>
                <c:ptCount val="7"/>
                <c:pt idx="0">
                  <c:v>1247.11</c:v>
                </c:pt>
                <c:pt idx="1">
                  <c:v>0</c:v>
                </c:pt>
                <c:pt idx="2">
                  <c:v>0</c:v>
                </c:pt>
                <c:pt idx="3">
                  <c:v>0</c:v>
                </c:pt>
                <c:pt idx="4">
                  <c:v>0</c:v>
                </c:pt>
                <c:pt idx="5">
                  <c:v>0</c:v>
                </c:pt>
                <c:pt idx="6">
                  <c:v>0</c:v>
                </c:pt>
              </c:numCache>
            </c:numRef>
          </c:val>
        </c:ser>
        <c:dLbls>
          <c:showLegendKey val="false"/>
          <c:showVal val="true"/>
          <c:showCatName val="false"/>
          <c:showSerName val="false"/>
          <c:showPercent val="true"/>
          <c:showBubbleSize val="false"/>
          <c:showLeaderLines val="true"/>
        </c:dLbls>
        <c:firstSliceAng val="0"/>
      </c:pieChart>
      <c:spPr>
        <a:noFill/>
        <a:ln>
          <a:noFill/>
        </a:ln>
      </c:spPr>
    </c:plotArea>
    <c:legend>
      <c:legendPos val="r"/>
      <c:layout/>
      <c:overlay val="false"/>
      <c:spPr>
        <a:solidFill>
          <a:srgbClr val="F2F2F2">
            <a:alpha val="39000"/>
          </a:srgbClr>
        </a:solidFill>
        <a:ln>
          <a:noFill/>
        </a:ln>
      </c:spPr>
      <c:txPr>
        <a:bodyPr rot="0" spcFirstLastPara="0" vertOverflow="ellipsis" vert="horz" wrap="square" anchor="ctr" anchorCtr="true"/>
        <a:lstStyle/>
        <a:p>
          <a:pPr>
            <a:defRPr lang="zh-CN" sz="900" b="0" i="0" u="none" strike="noStrike" kern="1200" baseline="0">
              <a:solidFill>
                <a:srgbClr val="404040"/>
              </a:solidFill>
              <a:latin typeface="AR PL UKai CN"/>
              <a:ea typeface="AR PL UKai CN"/>
              <a:cs typeface="Lucida Sans"/>
            </a:defRPr>
          </a:pPr>
        </a:p>
      </c:txPr>
    </c:legend>
    <c:plotVisOnly val="true"/>
    <c:dispBlanksAs val="gap"/>
    <c:showDLblsOverMax val="false"/>
  </c:chart>
  <c:spPr>
    <a:gradFill rotWithShape="true">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AR PL UKai CN"/>
          <a:ea typeface="AR PL UKai CN"/>
          <a:cs typeface="Lucida Sans"/>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404040"/>
                </a:solidFill>
                <a:latin typeface="AR PL UKai CN"/>
                <a:ea typeface="AR PL UKai CN"/>
                <a:cs typeface="Lucida Sans"/>
              </a:defRPr>
            </a:pPr>
            <a:r>
              <a:rPr lang="zh-CN"/>
              <a:t>2020年支出决算结构图</a:t>
            </a:r>
            <a:endParaRPr lang="zh-CN"/>
          </a:p>
        </c:rich>
      </c:tx>
      <c:layout/>
      <c:overlay val="false"/>
      <c:spPr>
        <a:noFill/>
        <a:ln>
          <a:noFill/>
        </a:ln>
      </c:spPr>
    </c:title>
    <c:autoTitleDeleted val="false"/>
    <c:plotArea>
      <c:layout/>
      <c:pieChart>
        <c:varyColors val="true"/>
        <c:ser>
          <c:idx val="0"/>
          <c:order val="0"/>
          <c:spPr>
            <a:ln>
              <a:noFill/>
            </a:ln>
          </c:spPr>
          <c:explosion val="0"/>
          <c:dPt>
            <c:idx val="0"/>
            <c:bubble3D val="false"/>
            <c:spPr>
              <a:solidFill>
                <a:srgbClr val="4F81BD"/>
              </a:solidFill>
              <a:ln>
                <a:noFill/>
              </a:ln>
              <a:effectLst>
                <a:outerShdw dist="35921" dir="2700000" algn="br">
                  <a:srgbClr val="000000"/>
                </a:outerShdw>
              </a:effectLst>
            </c:spPr>
          </c:dPt>
          <c:dLbls>
            <c:dLbl>
              <c:idx val="0"/>
              <c:layout/>
              <c:tx>
                <c:rich>
                  <a:bodyPr rot="0" spcFirstLastPara="0" vertOverflow="ellipsis" vert="horz" wrap="square" lIns="38100" tIns="19050" rIns="38100" bIns="19050" anchor="ctr" anchorCtr="true"/>
                  <a:lstStyle/>
                  <a:p>
                    <a:pPr>
                      <a:defRPr lang="zh-CN" sz="1000" b="1" i="0" u="none" strike="noStrike" kern="1200" baseline="0">
                        <a:solidFill>
                          <a:srgbClr val="FFFFFF"/>
                        </a:solidFill>
                        <a:latin typeface="AR PL UKai CN"/>
                        <a:ea typeface="AR PL UKai CN"/>
                        <a:cs typeface="Lucida Sans"/>
                      </a:defRPr>
                    </a:pPr>
                    <a:r>
                      <a:rPr lang="zh-CN"/>
                      <a:t>270.57, 100%</a:t>
                    </a:r>
                    <a:endParaRPr lang="zh-CN"/>
                  </a:p>
                </c:rich>
              </c:tx>
              <c:numFmt formatCode="0%" sourceLinked="false"/>
              <c:spPr>
                <a:pattFill prst="pct75">
                  <a:fgClr>
                    <a:srgbClr val="404040"/>
                  </a:fgClr>
                  <a:bgClr>
                    <a:srgbClr val="595959"/>
                  </a:bgClr>
                </a:patt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rgbClr val="FFFFFF"/>
                      </a:solidFill>
                      <a:latin typeface="AR PL UKai CN"/>
                      <a:ea typeface="AR PL UKai CN"/>
                      <a:cs typeface="Lucida Sans"/>
                    </a:defRPr>
                  </a:pPr>
                </a:p>
              </c:txPr>
              <c:dLblPos val="ctr"/>
              <c:showLegendKey val="false"/>
              <c:showVal val="true"/>
              <c:showCatName val="false"/>
              <c:showSerName val="false"/>
              <c:showPercent val="true"/>
              <c:showBubbleSize val="false"/>
              <c:extLst>
                <c:ext xmlns:c15="http://schemas.microsoft.com/office/drawing/2012/chart" uri="{CE6537A1-D6FC-4f65-9D91-7224C49458BB}"/>
              </c:extLst>
            </c:dLbl>
            <c:numFmt formatCode="0%" sourceLinked="false"/>
            <c:spPr>
              <a:pattFill prst="pct75">
                <a:fgClr>
                  <a:srgbClr val="404040"/>
                </a:fgClr>
                <a:bgClr>
                  <a:srgbClr val="595959"/>
                </a:bgClr>
              </a:patt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rgbClr val="FFFFFF"/>
                    </a:solidFill>
                    <a:latin typeface="AR PL UKai CN"/>
                    <a:ea typeface="AR PL UKai CN"/>
                    <a:cs typeface="Lucida Sans"/>
                  </a:defRPr>
                </a:pPr>
              </a:p>
            </c:txPr>
            <c:dLblPos val="ctr"/>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val>
            <c:numRef>
              <c:f>{1562.09}</c:f>
              <c:numCache>
                <c:formatCode>General</c:formatCode>
                <c:ptCount val="1"/>
                <c:pt idx="0">
                  <c:v>1562.09</c:v>
                </c:pt>
              </c:numCache>
            </c:numRef>
          </c:val>
        </c:ser>
        <c:dLbls>
          <c:showLegendKey val="false"/>
          <c:showVal val="true"/>
          <c:showCatName val="false"/>
          <c:showSerName val="false"/>
          <c:showPercent val="true"/>
          <c:showBubbleSize val="false"/>
          <c:showLeaderLines val="true"/>
        </c:dLbls>
        <c:firstSliceAng val="0"/>
      </c:pieChart>
      <c:spPr>
        <a:noFill/>
        <a:ln>
          <a:noFill/>
        </a:ln>
      </c:spPr>
    </c:plotArea>
    <c:legend>
      <c:legendPos val="r"/>
      <c:layout/>
      <c:overlay val="false"/>
      <c:spPr>
        <a:solidFill>
          <a:srgbClr val="F2F2F2">
            <a:alpha val="39000"/>
          </a:srgbClr>
        </a:solidFill>
        <a:ln>
          <a:noFill/>
        </a:ln>
      </c:spPr>
      <c:txPr>
        <a:bodyPr rot="0" spcFirstLastPara="0" vertOverflow="ellipsis" vert="horz" wrap="square" anchor="ctr" anchorCtr="true"/>
        <a:lstStyle/>
        <a:p>
          <a:pPr>
            <a:defRPr lang="zh-CN" sz="900" b="0" i="0" u="none" strike="noStrike" kern="1200" baseline="0">
              <a:solidFill>
                <a:srgbClr val="404040"/>
              </a:solidFill>
              <a:latin typeface="AR PL UKai CN"/>
              <a:ea typeface="AR PL UKai CN"/>
              <a:cs typeface="Lucida Sans"/>
            </a:defRPr>
          </a:pPr>
        </a:p>
      </c:txPr>
    </c:legend>
    <c:plotVisOnly val="true"/>
    <c:dispBlanksAs val="gap"/>
    <c:showDLblsOverMax val="false"/>
  </c:chart>
  <c:spPr>
    <a:gradFill rotWithShape="true">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AR PL UKai CN"/>
          <a:ea typeface="AR PL UKai CN"/>
          <a:cs typeface="Lucida Sans"/>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600" b="1" i="0" u="none" strike="noStrike" kern="1200" baseline="0">
                <a:solidFill>
                  <a:srgbClr val="F2F2F2"/>
                </a:solidFill>
                <a:latin typeface="AR PL UKai CN"/>
                <a:ea typeface="AR PL UKai CN"/>
                <a:cs typeface="Lucida Sans"/>
              </a:defRPr>
            </a:pPr>
            <a:r>
              <a:rPr lang="zh-CN"/>
              <a:t>财政拨款收、支决算变动情况图</a:t>
            </a:r>
            <a:endParaRPr lang="zh-CN"/>
          </a:p>
        </c:rich>
      </c:tx>
      <c:layout/>
      <c:overlay val="false"/>
      <c:spPr>
        <a:noFill/>
        <a:ln>
          <a:noFill/>
        </a:ln>
      </c:spPr>
    </c:title>
    <c:autoTitleDeleted val="false"/>
    <c:plotArea>
      <c:layout/>
      <c:barChart>
        <c:barDir val="col"/>
        <c:grouping val="clustered"/>
        <c:varyColors val="false"/>
        <c:ser>
          <c:idx val="0"/>
          <c:order val="0"/>
          <c:spPr>
            <a:gradFill rotWithShape="true">
              <a:gsLst>
                <a:gs pos="0">
                  <a:srgbClr val="2C5D98">
                    <a:alpha val="100000"/>
                  </a:srgbClr>
                </a:gs>
                <a:gs pos="80000">
                  <a:srgbClr val="3C7BC7">
                    <a:alpha val="100000"/>
                  </a:srgbClr>
                </a:gs>
                <a:gs pos="100000">
                  <a:srgbClr val="3A7CCB">
                    <a:alpha val="100000"/>
                  </a:srgbClr>
                </a:gs>
              </a:gsLst>
              <a:lin ang="16200000" scaled="true"/>
            </a:gradFill>
            <a:ln>
              <a:noFill/>
            </a:ln>
            <a:effectLst>
              <a:outerShdw dist="35921" dir="2700000" algn="br">
                <a:srgbClr val="000000"/>
              </a:outerShdw>
            </a:effectLst>
          </c:spPr>
          <c:invertIfNegative val="false"/>
          <c:dLbls>
            <c:numFmt formatCode="General"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D9D9D9"/>
                    </a:solidFill>
                    <a:latin typeface="AR PL UKai CN"/>
                    <a:ea typeface="AR PL UKai CN"/>
                    <a:cs typeface="Lucida San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{"2019年收入","2019年支出","2020年收入","2020年支出"}</c:f>
              <c:strCache>
                <c:ptCount val="4"/>
                <c:pt idx="0">
                  <c:v>2019年收入</c:v>
                </c:pt>
                <c:pt idx="1">
                  <c:v>2019年支出</c:v>
                </c:pt>
                <c:pt idx="2">
                  <c:v>2020年收入</c:v>
                </c:pt>
                <c:pt idx="3">
                  <c:v>2020年支出</c:v>
                </c:pt>
              </c:strCache>
            </c:strRef>
          </c:cat>
          <c:val>
            <c:numRef>
              <c:f>{244.73,244.73,270.57,270.57}</c:f>
              <c:numCache>
                <c:formatCode>General</c:formatCode>
                <c:ptCount val="4"/>
                <c:pt idx="0">
                  <c:v>244.73</c:v>
                </c:pt>
                <c:pt idx="1">
                  <c:v>244.73</c:v>
                </c:pt>
                <c:pt idx="2">
                  <c:v>270.57</c:v>
                </c:pt>
                <c:pt idx="3">
                  <c:v>270.57</c:v>
                </c:pt>
              </c:numCache>
            </c:numRef>
          </c:val>
        </c:ser>
        <c:dLbls>
          <c:showLegendKey val="false"/>
          <c:showVal val="true"/>
          <c:showCatName val="false"/>
          <c:showSerName val="false"/>
          <c:showPercent val="false"/>
          <c:showBubbleSize val="false"/>
        </c:dLbls>
        <c:gapWidth val="100"/>
        <c:overlap val="-24"/>
        <c:axId val="0"/>
        <c:axId val="1"/>
      </c:barChart>
      <c:catAx>
        <c:axId val="0"/>
        <c:scaling>
          <c:orientation val="minMax"/>
        </c:scaling>
        <c:delete val="false"/>
        <c:axPos val="b"/>
        <c:numFmt formatCode="General" sourceLinked="true"/>
        <c:majorTickMark val="none"/>
        <c:minorTickMark val="none"/>
        <c:tickLblPos val="nextTo"/>
        <c:spPr>
          <a:ln w="6350" cap="flat" cmpd="sng" algn="ctr">
            <a:solidFill>
              <a:srgbClr val="F2F2F2"/>
            </a:solidFill>
            <a:prstDash val="solid"/>
            <a:round/>
          </a:ln>
        </c:spPr>
        <c:txPr>
          <a:bodyPr rot="-60000000" spcFirstLastPara="0" vertOverflow="ellipsis" vert="horz" wrap="square" anchor="ctr" anchorCtr="true"/>
          <a:lstStyle/>
          <a:p>
            <a:pPr>
              <a:defRPr lang="zh-CN" sz="900" b="0" i="0" u="none" strike="noStrike" kern="1200" baseline="0">
                <a:solidFill>
                  <a:srgbClr val="D9D9D9"/>
                </a:solidFill>
                <a:latin typeface="AR PL UKai CN"/>
                <a:ea typeface="AR PL UKai CN"/>
                <a:cs typeface="Lucida Sans"/>
              </a:defRPr>
            </a:pPr>
          </a:p>
        </c:txPr>
        <c:crossAx val="1"/>
        <c:crosses val="autoZero"/>
        <c:auto val="true"/>
        <c:lblAlgn val="ctr"/>
        <c:lblOffset val="100"/>
        <c:noMultiLvlLbl val="false"/>
      </c:catAx>
      <c:valAx>
        <c:axId val="1"/>
        <c:scaling>
          <c:orientation val="minMax"/>
        </c:scaling>
        <c:delete val="false"/>
        <c:axPos val="l"/>
        <c:majorGridlines>
          <c:spPr>
            <a:ln w="6350" cap="flat" cmpd="sng" algn="ctr">
              <a:solidFill>
                <a:srgbClr val="F2F2F2"/>
              </a:solidFill>
              <a:prstDash val="solid"/>
              <a:round/>
            </a:ln>
          </c:spPr>
        </c:majorGridlines>
        <c:numFmt formatCode="General" sourceLinked="true"/>
        <c:majorTickMark val="none"/>
        <c:minorTickMark val="none"/>
        <c:tickLblPos val="nextTo"/>
        <c:spPr>
          <a:ln w="9525" cap="flat" cmpd="sng" algn="ctr">
            <a:noFill/>
            <a:prstDash val="solid"/>
            <a:round/>
          </a:ln>
        </c:spPr>
        <c:txPr>
          <a:bodyPr rot="-60000000" spcFirstLastPara="0" vertOverflow="ellipsis" vert="horz" wrap="square" anchor="ctr" anchorCtr="true"/>
          <a:lstStyle/>
          <a:p>
            <a:pPr>
              <a:defRPr lang="zh-CN" sz="900" b="0" i="0" u="none" strike="noStrike" kern="1200" baseline="0">
                <a:solidFill>
                  <a:srgbClr val="D9D9D9"/>
                </a:solidFill>
                <a:latin typeface="AR PL UKai CN"/>
                <a:ea typeface="AR PL UKai CN"/>
                <a:cs typeface="Lucida Sans"/>
              </a:defRPr>
            </a:pPr>
          </a:p>
        </c:txPr>
        <c:crossAx val="0"/>
        <c:crossesAt val="1"/>
        <c:crossBetween val="between"/>
      </c:valAx>
      <c:spPr>
        <a:noFill/>
        <a:ln>
          <a:noFill/>
        </a:ln>
      </c:spPr>
    </c:plotArea>
    <c:plotVisOnly val="true"/>
    <c:dispBlanksAs val="gap"/>
    <c:showDLblsOverMax val="false"/>
  </c:chart>
  <c:spPr>
    <a:gradFill rotWithShape="true">
      <a:gsLst>
        <a:gs pos="0">
          <a:srgbClr val="595959">
            <a:alpha val="100000"/>
          </a:srgbClr>
        </a:gs>
        <a:gs pos="100000">
          <a:srgbClr val="262626">
            <a:alpha val="100000"/>
          </a:srgbClr>
        </a:gs>
      </a:gsLst>
      <a:path path="circle">
        <a:fillToRect l="50000" t="50000" r="50000" b="50000"/>
      </a:path>
      <a:tileRect/>
    </a:gradFill>
    <a:ln w="9525" cap="flat" cmpd="sng" algn="ctr">
      <a:noFill/>
      <a:prstDash val="solid"/>
      <a:round/>
    </a:ln>
  </c:spPr>
  <c:txPr>
    <a:bodyPr/>
    <a:lstStyle/>
    <a:p>
      <a:pPr>
        <a:defRPr lang="zh-CN" sz="1000" b="0" i="0" u="none" strike="noStrike" baseline="0">
          <a:solidFill>
            <a:srgbClr val="000000"/>
          </a:solidFill>
          <a:latin typeface="AR PL UKai CN"/>
          <a:ea typeface="AR PL UKai CN"/>
          <a:cs typeface="Lucida Sans"/>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0" i="0" u="none" strike="noStrike" kern="1200" baseline="0">
                <a:solidFill>
                  <a:srgbClr val="595959"/>
                </a:solidFill>
                <a:latin typeface="AR PL UKai CN"/>
                <a:ea typeface="AR PL UKai CN"/>
                <a:cs typeface="Lucida Sans"/>
              </a:defRPr>
            </a:pPr>
            <a:r>
              <a:rPr lang="zh-CN"/>
              <a:t>一般公共预算财政拨款支出决算变动图</a:t>
            </a:r>
            <a:endParaRPr lang="zh-CN"/>
          </a:p>
        </c:rich>
      </c:tx>
      <c:layout/>
      <c:overlay val="false"/>
      <c:spPr>
        <a:noFill/>
        <a:ln>
          <a:noFill/>
        </a:ln>
      </c:spPr>
    </c:title>
    <c:autoTitleDeleted val="false"/>
    <c:plotArea>
      <c:layout/>
      <c:barChart>
        <c:barDir val="col"/>
        <c:grouping val="clustered"/>
        <c:varyColors val="false"/>
        <c:ser>
          <c:idx val="0"/>
          <c:order val="0"/>
          <c:spPr>
            <a:solidFill>
              <a:srgbClr val="4F81BD"/>
            </a:solidFill>
            <a:ln>
              <a:noFill/>
            </a:ln>
          </c:spPr>
          <c:invertIfNegative val="false"/>
          <c:dLbls>
            <c:numFmt formatCode="General"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solidFill>
                    <a:latin typeface="AR PL UKai CN"/>
                    <a:ea typeface="AR PL UKai CN"/>
                    <a:cs typeface="Lucida San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{"2019年一般公共预算财政拨款支出","2020年一般公共预算财政拨款支出"}</c:f>
              <c:strCache>
                <c:ptCount val="2"/>
                <c:pt idx="0">
                  <c:v>2019年一般公共预算财政拨款支出</c:v>
                </c:pt>
                <c:pt idx="1">
                  <c:v>2020年一般公共预算财政拨款支出</c:v>
                </c:pt>
              </c:strCache>
            </c:strRef>
          </c:cat>
          <c:val>
            <c:numRef>
              <c:f>{244.73,270.57}</c:f>
              <c:numCache>
                <c:formatCode>General</c:formatCode>
                <c:ptCount val="2"/>
                <c:pt idx="0">
                  <c:v>244.73</c:v>
                </c:pt>
                <c:pt idx="1">
                  <c:v>270.57</c:v>
                </c:pt>
              </c:numCache>
            </c:numRef>
          </c:val>
        </c:ser>
        <c:dLbls>
          <c:showLegendKey val="false"/>
          <c:showVal val="true"/>
          <c:showCatName val="false"/>
          <c:showSerName val="false"/>
          <c:showPercent val="false"/>
          <c:showBubbleSize val="false"/>
        </c:dLbls>
        <c:gapWidth val="219"/>
        <c:overlap val="-27"/>
        <c:axId val="0"/>
        <c:axId val="1"/>
      </c:barChart>
      <c:catAx>
        <c:axId val="0"/>
        <c:scaling>
          <c:orientation val="minMax"/>
        </c:scaling>
        <c:delete val="false"/>
        <c:axPos val="b"/>
        <c:numFmt formatCode="General" sourceLinked="true"/>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AR PL UKai CN"/>
                <a:ea typeface="AR PL UKai CN"/>
                <a:cs typeface="Lucida Sans"/>
              </a:defRPr>
            </a:pPr>
          </a:p>
        </c:txPr>
        <c:crossAx val="1"/>
        <c:crosses val="autoZero"/>
        <c:auto val="true"/>
        <c:lblAlgn val="ctr"/>
        <c:lblOffset val="100"/>
        <c:noMultiLvlLbl val="false"/>
      </c:catAx>
      <c:valAx>
        <c:axId val="1"/>
        <c:scaling>
          <c:orientation val="minMax"/>
        </c:scaling>
        <c:delete val="false"/>
        <c:axPos val="l"/>
        <c:majorGridlines>
          <c:spPr>
            <a:ln w="6350" cap="flat" cmpd="sng" algn="ctr">
              <a:solidFill>
                <a:srgbClr val="D9D9D9"/>
              </a:solidFill>
              <a:prstDash val="solid"/>
              <a:round/>
            </a:ln>
          </c:spPr>
        </c:majorGridlines>
        <c:numFmt formatCode="General" sourceLinked="true"/>
        <c:majorTickMark val="none"/>
        <c:minorTickMark val="none"/>
        <c:tickLblPos val="nextTo"/>
        <c:spPr>
          <a:ln w="9525" cap="flat" cmpd="sng" algn="ctr">
            <a:no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AR PL UKai CN"/>
                <a:ea typeface="AR PL UKai CN"/>
                <a:cs typeface="Lucida Sans"/>
              </a:defRPr>
            </a:pPr>
          </a:p>
        </c:txPr>
        <c:crossAx val="0"/>
        <c:crossesAt val="1"/>
        <c:crossBetween val="between"/>
      </c:valAx>
      <c:spPr>
        <a:noFill/>
        <a:ln>
          <a:noFill/>
        </a:ln>
      </c:spPr>
    </c:plotArea>
    <c:plotVisOnly val="true"/>
    <c:dispBlanksAs val="gap"/>
    <c:showDLblsOverMax val="false"/>
  </c:chart>
  <c:spPr>
    <a:solidFill>
      <a:srgbClr val="FDEADA"/>
    </a:solidFill>
    <a:ln w="6350" cap="flat" cmpd="sng" algn="ctr">
      <a:solidFill>
        <a:srgbClr val="376092"/>
      </a:solidFill>
      <a:prstDash val="solid"/>
      <a:round/>
    </a:ln>
  </c:spPr>
  <c:txPr>
    <a:bodyPr/>
    <a:lstStyle/>
    <a:p>
      <a:pPr>
        <a:defRPr lang="zh-CN" sz="1000" b="0" i="0" u="none" strike="noStrike" baseline="0">
          <a:solidFill>
            <a:srgbClr val="000000"/>
          </a:solidFill>
          <a:latin typeface="AR PL UKai CN"/>
          <a:ea typeface="AR PL UKai CN"/>
          <a:cs typeface="Lucida Sans"/>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0" i="0" u="none" strike="noStrike" kern="1200" baseline="0">
                <a:solidFill>
                  <a:srgbClr val="595959"/>
                </a:solidFill>
                <a:latin typeface="AR PL UKai CN"/>
                <a:ea typeface="AR PL UKai CN"/>
                <a:cs typeface="Lucida Sans"/>
              </a:defRPr>
            </a:pPr>
            <a:r>
              <a:rPr lang="zh-CN"/>
              <a:t>一般公共预算财政拨款支出决算结构图</a:t>
            </a:r>
            <a:endParaRPr lang="zh-CN"/>
          </a:p>
        </c:rich>
      </c:tx>
      <c:layout>
        <c:manualLayout>
          <c:xMode val="edge"/>
          <c:yMode val="edge"/>
          <c:x val="0.15194444"/>
          <c:y val="0.017361112"/>
        </c:manualLayout>
      </c:layout>
      <c:overlay val="false"/>
      <c:spPr>
        <a:noFill/>
        <a:ln>
          <a:noFill/>
        </a:ln>
      </c:spPr>
    </c:title>
    <c:autoTitleDeleted val="false"/>
    <c:plotArea>
      <c:layout/>
      <c:pieChart>
        <c:varyColors val="true"/>
        <c:ser>
          <c:idx val="0"/>
          <c:order val="0"/>
          <c:spPr>
            <a:ln>
              <a:noFill/>
            </a:ln>
          </c:spPr>
          <c:explosion val="0"/>
          <c:dPt>
            <c:idx val="0"/>
            <c:bubble3D val="false"/>
            <c:spPr>
              <a:solidFill>
                <a:srgbClr val="4F81BD"/>
              </a:solidFill>
              <a:ln w="19050">
                <a:solidFill>
                  <a:srgbClr val="FFFFFF"/>
                </a:solidFill>
                <a:prstDash val="solid"/>
              </a:ln>
            </c:spPr>
          </c:dPt>
          <c:dPt>
            <c:idx val="1"/>
            <c:bubble3D val="false"/>
            <c:spPr>
              <a:solidFill>
                <a:srgbClr val="C0504D"/>
              </a:solidFill>
              <a:ln w="19050">
                <a:solidFill>
                  <a:srgbClr val="FFFFFF"/>
                </a:solidFill>
                <a:prstDash val="solid"/>
              </a:ln>
            </c:spPr>
          </c:dPt>
          <c:dPt>
            <c:idx val="2"/>
            <c:bubble3D val="false"/>
            <c:spPr>
              <a:solidFill>
                <a:srgbClr val="9BBB59"/>
              </a:solidFill>
              <a:ln w="19050">
                <a:solidFill>
                  <a:srgbClr val="FFFFFF"/>
                </a:solidFill>
                <a:prstDash val="solid"/>
              </a:ln>
            </c:spPr>
          </c:dPt>
          <c:dPt>
            <c:idx val="3"/>
            <c:bubble3D val="false"/>
            <c:spPr>
              <a:solidFill>
                <a:srgbClr val="8064A2"/>
              </a:solidFill>
              <a:ln w="19050">
                <a:solidFill>
                  <a:srgbClr val="FFFFFF"/>
                </a:solidFill>
                <a:prstDash val="solid"/>
              </a:ln>
            </c:spPr>
          </c:dPt>
          <c:dLbls>
            <c:numFmt formatCode="General"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solidFill>
                    <a:latin typeface="AR PL UKai CN"/>
                    <a:ea typeface="AR PL UKai CN"/>
                    <a:cs typeface="Lucida San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{"2020年一般公共服务支出","2020年社会保障和就业支出","2020年卫生健康支出","2020年住房保障支出"}</c:f>
              <c:strCache>
                <c:ptCount val="4"/>
                <c:pt idx="0">
                  <c:v>2020年一般公共服务支出</c:v>
                </c:pt>
                <c:pt idx="1">
                  <c:v>2020年社会保障和就业支出</c:v>
                </c:pt>
                <c:pt idx="2">
                  <c:v>2020年卫生健康支出</c:v>
                </c:pt>
                <c:pt idx="3">
                  <c:v>2020年住房保障支出</c:v>
                </c:pt>
              </c:strCache>
            </c:strRef>
          </c:cat>
          <c:val>
            <c:numRef>
              <c:f>{227.6,21.91,7.13,13.93}</c:f>
              <c:numCache>
                <c:formatCode>General</c:formatCode>
                <c:ptCount val="4"/>
                <c:pt idx="0">
                  <c:v>227.6</c:v>
                </c:pt>
                <c:pt idx="1">
                  <c:v>21.91</c:v>
                </c:pt>
                <c:pt idx="2">
                  <c:v>7.13</c:v>
                </c:pt>
                <c:pt idx="3">
                  <c:v>13.93</c:v>
                </c:pt>
              </c:numCache>
            </c:numRef>
          </c:val>
        </c:ser>
        <c:dLbls>
          <c:showLegendKey val="false"/>
          <c:showVal val="true"/>
          <c:showCatName val="false"/>
          <c:showSerName val="false"/>
          <c:showPercent val="false"/>
          <c:showBubbleSize val="false"/>
          <c:showLeaderLines val="true"/>
        </c:dLbls>
        <c:firstSliceAng val="0"/>
      </c:pieChart>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AR PL UKai CN"/>
              <a:ea typeface="AR PL UKai CN"/>
              <a:cs typeface="Lucida Sans"/>
            </a:defRPr>
          </a:pPr>
        </a:p>
      </c:txPr>
    </c:legend>
    <c:plotVisOnly val="true"/>
    <c:dispBlanksAs val="gap"/>
    <c:showDLblsOverMax val="false"/>
  </c:chart>
  <c:spPr>
    <a:solidFill>
      <a:srgbClr val="E46C0A"/>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a:defRPr>
      </a:pPr>
    </a:p>
  </c:txPr>
  <c:externalData r:id="rId1">
    <c:autoUpdate val="false"/>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16</Pages>
  <Words>4665</Words>
  <Characters>5074</Characters>
  <Lines>310</Lines>
  <Paragraphs>168</Paragraphs>
  <TotalTime>18</TotalTime>
  <ScaleCrop>false</ScaleCrop>
  <LinksUpToDate>false</LinksUpToDate>
  <CharactersWithSpaces>5165</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2021-08-07T01:38:00Z</dcterms:created>
  <dc:creator>曹颖</dc:creator>
  <cp:lastModifiedBy>碧落  </cp:lastModifiedBy>
  <cp:lastPrinted>2021-10-20T18:21:00Z</cp:lastPrinted>
  <dcterms:modified xsi:type="dcterms:W3CDTF">2021-10-20T11:55:07Z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