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color w:val="000000"/>
          <w:sz w:val="72"/>
          <w:szCs w:val="72"/>
        </w:rPr>
      </w:pPr>
      <w:bookmarkStart w:id="1" w:name="_Toc15377425"/>
      <w:bookmarkStart w:id="2" w:name="_Toc15377193"/>
      <w:bookmarkStart w:id="3" w:name="_Toc15378441"/>
      <w:bookmarkStart w:id="4" w:name="_Toc15396597"/>
      <w:bookmarkStart w:id="5" w:name="_Toc15396475"/>
      <w:r>
        <w:rPr>
          <w:rFonts w:ascii="黑体" w:eastAsia="黑体"/>
          <w:color w:val="000000"/>
          <w:sz w:val="72"/>
          <w:szCs w:val="72"/>
        </w:rPr>
        <w:t>201</w:t>
      </w:r>
      <w:r>
        <w:rPr>
          <w:rFonts w:ascii="黑体" w:eastAsia="黑体" w:hint="eastAsia"/>
          <w:color w:val="000000"/>
          <w:sz w:val="72"/>
          <w:szCs w:val="72"/>
        </w:rPr>
        <w:t>9</w:t>
      </w:r>
      <w:r>
        <w:rPr>
          <w:rFonts w:ascii="方正小标宋简体" w:eastAsia="方正小标宋简体" w:hint="eastAsia"/>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hint="eastAsia"/>
          <w:color w:val="000000"/>
          <w:sz w:val="72"/>
          <w:szCs w:val="72"/>
          <w:lang w:eastAsia="zh-CN"/>
        </w:rPr>
      </w:pPr>
      <w:bookmarkStart w:id="6" w:name="_Toc15378442"/>
      <w:bookmarkStart w:id="7" w:name="_Toc15396476"/>
      <w:bookmarkStart w:id="8" w:name="_Toc15377426"/>
      <w:bookmarkStart w:id="9" w:name="_Toc15377194"/>
      <w:bookmarkStart w:id="10" w:name="_Toc15396598"/>
      <w:r>
        <w:rPr>
          <w:rFonts w:ascii="方正小标宋简体" w:eastAsia="方正小标宋简体" w:hint="eastAsia"/>
          <w:color w:val="000000"/>
          <w:sz w:val="72"/>
          <w:szCs w:val="72"/>
        </w:rPr>
        <w:t>四川省阿坝州</w:t>
      </w:r>
      <w:r>
        <w:rPr>
          <w:rFonts w:ascii="方正小标宋简体" w:eastAsia="方正小标宋简体" w:hint="eastAsia"/>
          <w:color w:val="000000"/>
          <w:sz w:val="72"/>
          <w:szCs w:val="72"/>
          <w:lang w:eastAsia="zh-CN"/>
        </w:rPr>
        <w:t>壤塘县</w:t>
      </w:r>
    </w:p>
    <w:p>
      <w:pPr>
        <w:adjustRightInd w:val="0"/>
        <w:snapToGrid w:val="0"/>
        <w:spacing w:line="360" w:lineRule="auto"/>
        <w:jc w:val="center"/>
        <w:outlineLvl w:val="0"/>
        <w:rPr>
          <w:rFonts w:ascii="方正小标宋简体" w:eastAsia="方正小标宋简体"/>
          <w:color w:val="000000"/>
          <w:sz w:val="72"/>
          <w:szCs w:val="72"/>
        </w:rPr>
      </w:pPr>
      <w:bookmarkStart w:id="11" w:name="_Toc15306268"/>
      <w:bookmarkEnd w:id="0"/>
      <w:r>
        <w:rPr>
          <w:rFonts w:ascii="方正小标宋简体" w:eastAsia="方正小标宋简体" w:hint="eastAsia"/>
          <w:color w:val="000000"/>
          <w:sz w:val="72"/>
          <w:szCs w:val="72"/>
          <w:lang w:eastAsia="zh-CN"/>
        </w:rPr>
        <w:t>人民政府办公室</w:t>
      </w:r>
      <w:r>
        <w:rPr>
          <w:rFonts w:ascii="方正小标宋简体" w:eastAsia="方正小标宋简体" w:hint="eastAsia"/>
          <w:color w:val="000000"/>
          <w:sz w:val="72"/>
          <w:szCs w:val="72"/>
        </w:rPr>
        <w:t>部门决算</w:t>
      </w:r>
      <w:bookmarkEnd w:id="6"/>
      <w:bookmarkEnd w:id="7"/>
      <w:bookmarkEnd w:id="8"/>
      <w:bookmarkEnd w:id="9"/>
      <w:bookmarkEnd w:id="10"/>
      <w:bookmarkEnd w:id="11"/>
    </w:p>
    <w:p>
      <w:pPr>
        <w:widowControl/>
        <w:jc w:val="center"/>
        <w:rPr>
          <w:rFonts w:ascii="方正小标宋简体" w:eastAsia="方正小标宋简体"/>
          <w:color w:val="000000"/>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rPr>
          <w:rFonts w:ascii="方正小标宋简体" w:eastAsia="方正小标宋简体"/>
          <w:sz w:val="36"/>
          <w:szCs w:val="36"/>
        </w:rPr>
      </w:pPr>
    </w:p>
    <w:p>
      <w:pPr>
        <w:widowControl/>
        <w:jc w:val="center"/>
        <w:rPr>
          <w:rFonts w:ascii="方正小标宋简体" w:eastAsia="方正小标宋简体"/>
          <w:sz w:val="36"/>
          <w:szCs w:val="36"/>
        </w:rPr>
      </w:pPr>
    </w:p>
    <w:p>
      <w:pPr>
        <w:widowControl/>
        <w:jc w:val="center"/>
        <w:rPr>
          <w:rFonts w:ascii="黑体" w:eastAsia="黑体"/>
          <w:color w:val="000000"/>
          <w:sz w:val="48"/>
          <w:szCs w:val="48"/>
        </w:rPr>
      </w:pPr>
      <w:r>
        <w:rPr>
          <w:rFonts w:ascii="方正小标宋简体" w:eastAsia="方正小标宋简体"/>
          <w:sz w:val="36"/>
          <w:szCs w:val="36"/>
        </w:rPr>
        <w:br w:type="page"/>
      </w:r>
      <w:r>
        <w:rPr>
          <w:rFonts w:ascii="黑体" w:eastAsia="黑体" w:hint="eastAsia"/>
          <w:color w:val="000000"/>
          <w:sz w:val="48"/>
          <w:szCs w:val="48"/>
        </w:rPr>
        <w:t>目录</w:t>
      </w:r>
    </w:p>
    <w:p>
      <w:pPr>
        <w:widowControl/>
        <w:jc w:val="center"/>
        <w:rPr>
          <w:rFonts w:ascii="黑体" w:eastAsia="黑体" w:cs="Arial"/>
          <w:sz w:val="28"/>
          <w:szCs w:val="28"/>
        </w:rPr>
      </w:pPr>
    </w:p>
    <w:p/>
    <w:p>
      <w:pPr>
        <w:pStyle w:val="21"/>
        <w:tabs>
          <w:tab w:val="right" w:leader="dot" w:pos="8296"/>
        </w:tabs>
        <w:adjustRightInd w:val="0"/>
        <w:snapToGrid w:val="0"/>
        <w:spacing w:before="0" w:line="440" w:lineRule="exact"/>
        <w:jc w:val="left"/>
        <w:rPr>
          <w:rFonts w:eastAsia="仿宋" w:cs="Arial"/>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...........................................4</w:t>
      </w:r>
    </w:p>
    <w:p>
      <w:pPr>
        <w:pStyle w:val="22"/>
        <w:tabs>
          <w:tab w:val="right" w:leader="dot" w:pos="8296"/>
        </w:tabs>
        <w:adjustRightInd w:val="0"/>
        <w:snapToGrid w:val="0"/>
        <w:spacing w:line="440" w:lineRule="exact"/>
        <w:jc w:val="left"/>
        <w:rPr>
          <w:rFonts w:ascii="仿宋" w:eastAsia="宋体" w:hAnsi="仿宋"/>
          <w:sz w:val="24"/>
          <w:lang w:val="en-US" w:eastAsia="zh-CN"/>
        </w:rPr>
      </w:pPr>
      <w:r>
        <w:rPr>
          <w:rFonts w:hint="eastAsia"/>
          <w:sz w:val="24"/>
        </w:rPr>
        <w:t>一、基本职能及主要工作</w:t>
      </w:r>
      <w:r>
        <w:rPr>
          <w:rFonts w:hint="eastAsia"/>
          <w:sz w:val="24"/>
          <w:lang w:val="en-US" w:eastAsia="zh-CN"/>
        </w:rPr>
        <w:t>....................................................................4</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hint="eastAsia"/>
          <w:sz w:val="24"/>
        </w:rPr>
        <w:t>二、机构设置</w:t>
      </w:r>
      <w:r>
        <w:rPr>
          <w:rFonts w:hint="eastAsia"/>
          <w:sz w:val="24"/>
          <w:lang w:val="en-US" w:eastAsia="zh-CN"/>
        </w:rPr>
        <w:t>........................................................................................7</w:t>
      </w:r>
    </w:p>
    <w:p>
      <w:pPr>
        <w:pStyle w:val="21"/>
        <w:tabs>
          <w:tab w:val="right" w:leader="dot" w:pos="8296"/>
        </w:tabs>
        <w:adjustRightInd w:val="0"/>
        <w:snapToGrid w:val="0"/>
        <w:spacing w:before="0" w:line="440" w:lineRule="exact"/>
        <w:jc w:val="left"/>
        <w:rPr>
          <w:rFonts w:eastAsia="仿宋"/>
          <w:sz w:val="24"/>
          <w:szCs w:val="24"/>
          <w:lang w:val="en-US" w:eastAsia="zh-CN"/>
        </w:rPr>
      </w:pPr>
      <w:r>
        <w:rPr>
          <w:rFonts w:hint="eastAsia"/>
          <w:sz w:val="24"/>
        </w:rPr>
        <w:t>第二部分度部门决算情况说明</w:t>
      </w:r>
      <w:r>
        <w:rPr>
          <w:rFonts w:hint="eastAsia"/>
          <w:sz w:val="24"/>
          <w:lang w:val="en-US" w:eastAsia="zh-CN"/>
        </w:rPr>
        <w:t>..................................7</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hint="eastAsia"/>
          <w:sz w:val="24"/>
        </w:rPr>
        <w:t>一、收入支出决算总体情况说明</w:t>
      </w:r>
      <w:r>
        <w:rPr>
          <w:rFonts w:hint="eastAsia"/>
          <w:sz w:val="24"/>
          <w:lang w:val="en-US" w:eastAsia="zh-CN"/>
        </w:rPr>
        <w:t>........................................................7</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hint="eastAsia"/>
          <w:sz w:val="24"/>
        </w:rPr>
        <w:t>二、收入决算情况说明</w:t>
      </w:r>
      <w:r>
        <w:rPr>
          <w:rFonts w:hint="eastAsia"/>
          <w:sz w:val="24"/>
          <w:lang w:val="en-US" w:eastAsia="zh-CN"/>
        </w:rPr>
        <w:t>........................................................................8</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hint="eastAsia"/>
          <w:sz w:val="24"/>
        </w:rPr>
        <w:t>三、支出决算情况说明</w:t>
      </w:r>
      <w:r>
        <w:rPr>
          <w:rFonts w:hint="eastAsia"/>
          <w:sz w:val="24"/>
          <w:lang w:val="en-US" w:eastAsia="zh-CN"/>
        </w:rPr>
        <w:t>........................................................................9</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hint="eastAsia"/>
          <w:sz w:val="24"/>
        </w:rPr>
        <w:t>四、财政拨款收入支出决算总体情况说明</w:t>
      </w:r>
      <w:r>
        <w:rPr>
          <w:rFonts w:hint="eastAsia"/>
          <w:sz w:val="24"/>
          <w:lang w:val="en-US" w:eastAsia="zh-CN"/>
        </w:rPr>
        <w:t>.........................................9</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hint="eastAsia"/>
          <w:sz w:val="24"/>
        </w:rPr>
        <w:t>五、一般公共预算财政拨款支出决算情况说明</w:t>
      </w:r>
      <w:r>
        <w:rPr>
          <w:rFonts w:hint="eastAsia"/>
          <w:sz w:val="24"/>
          <w:lang w:val="en-US" w:eastAsia="zh-CN"/>
        </w:rPr>
        <w:t>.................................10</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hint="eastAsia"/>
          <w:sz w:val="24"/>
        </w:rPr>
        <w:t>六、一般公共预算财政拨款基本支出决算情况说明</w:t>
      </w:r>
      <w:r>
        <w:rPr>
          <w:rFonts w:hint="eastAsia"/>
          <w:sz w:val="24"/>
          <w:lang w:val="en-US" w:eastAsia="zh-CN"/>
        </w:rPr>
        <w:t>.........................11</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...................................13</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hint="eastAsia"/>
          <w:sz w:val="24"/>
        </w:rPr>
        <w:t>八、政府性基金预算支出决算情况说明</w:t>
      </w:r>
      <w:r>
        <w:rPr>
          <w:rFonts w:hint="eastAsia"/>
          <w:sz w:val="24"/>
          <w:lang w:val="en-US" w:eastAsia="zh-CN"/>
        </w:rPr>
        <w:t>.............................................14</w:t>
      </w:r>
    </w:p>
    <w:p>
      <w:pPr>
        <w:pStyle w:val="22"/>
        <w:tabs>
          <w:tab w:val="right" w:leader="dot" w:pos="8296"/>
        </w:tabs>
        <w:adjustRightInd w:val="0"/>
        <w:snapToGrid w:val="0"/>
        <w:spacing w:line="440" w:lineRule="exact"/>
        <w:ind w:leftChars="0" w:left="0"/>
        <w:jc w:val="left"/>
        <w:rPr>
          <w:rFonts w:ascii="仿宋" w:eastAsia="宋体" w:hAnsi="仿宋"/>
          <w:sz w:val="24"/>
          <w:lang w:val="en-US" w:eastAsia="zh-CN"/>
        </w:rPr>
      </w:pPr>
      <w:r>
        <w:rPr>
          <w:rFonts w:ascii="仿宋" w:eastAsia="仿宋" w:hint="eastAsia"/>
          <w:sz w:val="24"/>
        </w:rPr>
        <w:t>九、</w:t>
      </w:r>
      <w:r>
        <w:rPr>
          <w:sz w:val="24"/>
        </w:rPr>
        <w:t xml:space="preserve"> 国</w:t>
      </w:r>
      <w:r>
        <w:rPr>
          <w:rFonts w:hint="eastAsia"/>
          <w:sz w:val="24"/>
        </w:rPr>
        <w:t>有资本经营预算支出决算情况说明</w:t>
      </w:r>
      <w:r>
        <w:rPr>
          <w:rFonts w:hint="eastAsia"/>
          <w:sz w:val="24"/>
          <w:lang w:val="en-US" w:eastAsia="zh-CN"/>
        </w:rPr>
        <w:t>.......................................14</w:t>
      </w:r>
    </w:p>
    <w:p>
      <w:pPr>
        <w:adjustRightInd w:val="0"/>
        <w:snapToGrid w:val="0"/>
        <w:spacing w:line="440" w:lineRule="exact"/>
        <w:ind w:firstLineChars="200" w:firstLine="480"/>
        <w:jc w:val="left"/>
        <w:rPr>
          <w:rFonts w:ascii="仿宋" w:eastAsia="仿宋" w:cs="Arial"/>
          <w:sz w:val="24"/>
        </w:rPr>
      </w:pPr>
      <w:r>
        <w:rPr>
          <w:rStyle w:val="24"/>
          <w:rFonts w:ascii="仿宋" w:eastAsia="仿宋" w:hint="eastAsia"/>
          <w:color w:val="000000"/>
          <w:sz w:val="24"/>
          <w:u w:val="none"/>
        </w:rPr>
        <w:t>十、</w:t>
      </w:r>
      <w:r>
        <w:rPr>
          <w:rFonts w:hint="eastAsia"/>
          <w:sz w:val="24"/>
        </w:rPr>
        <w:t>其他重要事项的情况说明</w:t>
      </w:r>
      <w:r>
        <w:rPr>
          <w:rFonts w:hint="eastAsia"/>
          <w:sz w:val="24"/>
          <w:lang w:val="en-US" w:eastAsia="zh-CN"/>
        </w:rPr>
        <w:t>............................................................15</w:t>
      </w:r>
      <w:r>
        <w:rPr>
          <w:rFonts w:ascii="仿宋" w:eastAsia="仿宋"/>
          <w:sz w:val="24"/>
        </w:rPr>
        <w:tab/>
      </w:r>
    </w:p>
    <w:p>
      <w:pPr>
        <w:pStyle w:val="21"/>
        <w:tabs>
          <w:tab w:val="right" w:leader="dot" w:pos="8296"/>
        </w:tabs>
        <w:adjustRightInd w:val="0"/>
        <w:snapToGrid w:val="0"/>
        <w:spacing w:before="0" w:line="440" w:lineRule="exact"/>
        <w:jc w:val="left"/>
        <w:rPr>
          <w:rFonts w:cs="Arial"/>
          <w:sz w:val="24"/>
          <w:szCs w:val="24"/>
          <w:lang w:val="en-US"/>
        </w:rPr>
      </w:pPr>
      <w:r>
        <w:rPr>
          <w:rFonts w:hint="eastAsia"/>
          <w:sz w:val="24"/>
        </w:rPr>
        <w:t>第三部分</w:t>
      </w:r>
      <w:r>
        <w:rPr>
          <w:sz w:val="24"/>
        </w:rPr>
        <w:t xml:space="preserve"> </w:t>
      </w:r>
      <w:r>
        <w:rPr>
          <w:rFonts w:hint="eastAsia"/>
          <w:sz w:val="24"/>
        </w:rPr>
        <w:t>名词解释</w:t>
      </w:r>
      <w:r>
        <w:rPr>
          <w:rFonts w:cs="Arial" w:hint="eastAsia"/>
          <w:sz w:val="24"/>
          <w:szCs w:val="24"/>
          <w:lang w:val="en-US" w:eastAsia="zh-CN"/>
        </w:rPr>
        <w:t>...........................................17</w:t>
      </w:r>
    </w:p>
    <w:p>
      <w:pPr>
        <w:pStyle w:val="22"/>
        <w:tabs>
          <w:tab w:val="right" w:leader="dot" w:pos="8296"/>
        </w:tabs>
        <w:adjustRightInd w:val="0"/>
        <w:snapToGrid w:val="0"/>
        <w:spacing w:line="440" w:lineRule="exact"/>
        <w:ind w:leftChars="0" w:left="0" w:firstLine="0"/>
        <w:jc w:val="left"/>
        <w:rPr>
          <w:rFonts w:ascii="仿宋_GB2312" w:eastAsia="仿宋_GB2312" w:cs="仿宋_GB2312" w:hint="eastAsia"/>
          <w:sz w:val="24"/>
          <w:szCs w:val="24"/>
        </w:rPr>
      </w:pPr>
      <w:r>
        <w:rPr>
          <w:rFonts w:ascii="仿宋_GB2312" w:eastAsia="仿宋_GB2312" w:cs="仿宋_GB2312" w:hint="eastAsia"/>
          <w:sz w:val="24"/>
          <w:szCs w:val="24"/>
        </w:rPr>
        <w:t>第</w:t>
      </w:r>
      <w:r>
        <w:rPr>
          <w:rFonts w:ascii="仿宋_GB2312" w:eastAsia="仿宋_GB2312" w:cs="仿宋_GB2312" w:hint="eastAsia"/>
          <w:sz w:val="24"/>
          <w:szCs w:val="24"/>
          <w:lang w:eastAsia="zh-CN"/>
        </w:rPr>
        <w:t>四</w:t>
      </w:r>
      <w:r>
        <w:rPr>
          <w:rFonts w:ascii="仿宋_GB2312" w:eastAsia="仿宋_GB2312" w:cs="仿宋_GB2312" w:hint="eastAsia"/>
          <w:sz w:val="24"/>
          <w:szCs w:val="24"/>
        </w:rPr>
        <w:t>部分</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hint="eastAsia"/>
          <w:sz w:val="24"/>
        </w:rPr>
        <w:t>附件</w:t>
      </w:r>
      <w:r>
        <w:rPr>
          <w:sz w:val="24"/>
        </w:rPr>
        <w:t>1</w:t>
      </w:r>
      <w:r>
        <w:rPr>
          <w:rFonts w:hint="eastAsia"/>
          <w:sz w:val="24"/>
          <w:lang w:val="en-US" w:eastAsia="zh-CN"/>
        </w:rPr>
        <w:t>.....................................................................................................20</w:t>
      </w:r>
    </w:p>
    <w:p>
      <w:pPr>
        <w:pStyle w:val="21"/>
        <w:tabs>
          <w:tab w:val="right" w:leader="dot" w:pos="8296"/>
        </w:tabs>
        <w:adjustRightInd w:val="0"/>
        <w:snapToGrid w:val="0"/>
        <w:spacing w:before="0" w:line="440" w:lineRule="exact"/>
        <w:jc w:val="left"/>
        <w:rPr>
          <w:rFonts w:eastAsia="仿宋" w:cs="Arial"/>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...............................................23</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ascii="仿宋" w:eastAsia="仿宋" w:hint="eastAsia"/>
          <w:sz w:val="24"/>
        </w:rPr>
        <w:t>一、</w:t>
      </w:r>
      <w:r>
        <w:rPr>
          <w:rFonts w:hint="eastAsia"/>
          <w:sz w:val="24"/>
        </w:rPr>
        <w:t>收入支出决算总表</w:t>
      </w:r>
      <w:r>
        <w:rPr>
          <w:rFonts w:hint="eastAsia"/>
          <w:sz w:val="24"/>
          <w:lang w:val="en-US" w:eastAsia="zh-CN"/>
        </w:rPr>
        <w:t>..........................................................................23</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ascii="仿宋" w:eastAsia="仿宋" w:hint="eastAsia"/>
          <w:sz w:val="24"/>
        </w:rPr>
        <w:t>二、</w:t>
      </w:r>
      <w:r>
        <w:rPr>
          <w:rFonts w:hint="eastAsia"/>
          <w:sz w:val="24"/>
        </w:rPr>
        <w:t>收入</w:t>
      </w:r>
      <w:r>
        <w:rPr>
          <w:rFonts w:ascii="仿宋" w:eastAsia="仿宋" w:hint="eastAsia"/>
          <w:sz w:val="24"/>
        </w:rPr>
        <w:t>决算</w:t>
      </w:r>
      <w:r>
        <w:rPr>
          <w:rFonts w:hint="eastAsia"/>
          <w:sz w:val="24"/>
        </w:rPr>
        <w:t>表</w:t>
      </w:r>
      <w:r>
        <w:rPr>
          <w:rFonts w:hint="eastAsia"/>
          <w:sz w:val="24"/>
          <w:lang w:val="en-US" w:eastAsia="zh-CN"/>
        </w:rPr>
        <w:t>......................................................................................23</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ascii="仿宋" w:eastAsia="仿宋" w:hint="eastAsia"/>
          <w:sz w:val="24"/>
        </w:rPr>
        <w:t>三、</w:t>
      </w:r>
      <w:r>
        <w:rPr>
          <w:rFonts w:hint="eastAsia"/>
          <w:sz w:val="24"/>
        </w:rPr>
        <w:t>支出</w:t>
      </w:r>
      <w:r>
        <w:rPr>
          <w:rFonts w:ascii="仿宋" w:eastAsia="仿宋" w:hint="eastAsia"/>
          <w:sz w:val="24"/>
        </w:rPr>
        <w:t>决算</w:t>
      </w:r>
      <w:r>
        <w:rPr>
          <w:rFonts w:hint="eastAsia"/>
          <w:sz w:val="24"/>
        </w:rPr>
        <w:t>表</w:t>
      </w:r>
      <w:r>
        <w:rPr>
          <w:rFonts w:hint="eastAsia"/>
          <w:sz w:val="24"/>
          <w:lang w:val="en-US" w:eastAsia="zh-CN"/>
        </w:rPr>
        <w:t>........................................................................................23</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ascii="仿宋" w:eastAsia="仿宋" w:hint="eastAsia"/>
          <w:sz w:val="24"/>
        </w:rPr>
        <w:t>四、</w:t>
      </w:r>
      <w:r>
        <w:rPr>
          <w:rFonts w:hint="eastAsia"/>
          <w:sz w:val="24"/>
        </w:rPr>
        <w:t>财政拨款收入支出决算总表</w:t>
      </w:r>
      <w:r>
        <w:rPr>
          <w:rFonts w:hint="eastAsia"/>
          <w:sz w:val="24"/>
          <w:lang w:val="en-US" w:eastAsia="zh-CN"/>
        </w:rPr>
        <w:t>............................................................23</w:t>
      </w:r>
    </w:p>
    <w:p>
      <w:pPr>
        <w:pStyle w:val="22"/>
        <w:tabs>
          <w:tab w:val="right" w:leader="dot" w:pos="8296"/>
        </w:tabs>
        <w:adjustRightInd w:val="0"/>
        <w:snapToGrid w:val="0"/>
        <w:spacing w:line="440" w:lineRule="exact"/>
        <w:jc w:val="left"/>
        <w:rPr>
          <w:rFonts w:ascii="仿宋" w:eastAsia="仿宋" w:hint="eastAsia"/>
          <w:sz w:val="24"/>
          <w:lang w:val="en-US" w:eastAsia="zh-CN"/>
        </w:rPr>
      </w:pPr>
      <w:r>
        <w:rPr>
          <w:rFonts w:ascii="仿宋" w:eastAsia="仿宋" w:hint="eastAsia"/>
          <w:sz w:val="24"/>
        </w:rPr>
        <w:t>五、财政拨款支出决算明细表</w:t>
      </w:r>
      <w:r>
        <w:rPr>
          <w:rFonts w:ascii="仿宋" w:eastAsia="仿宋" w:hint="eastAsia"/>
          <w:sz w:val="24"/>
          <w:lang w:val="en-US" w:eastAsia="zh-CN"/>
        </w:rPr>
        <w:t>................................23</w:t>
      </w:r>
    </w:p>
    <w:p>
      <w:pPr>
        <w:pStyle w:val="22"/>
        <w:tabs>
          <w:tab w:val="right" w:leader="dot" w:pos="8296"/>
        </w:tabs>
        <w:adjustRightInd w:val="0"/>
        <w:snapToGrid w:val="0"/>
        <w:spacing w:line="440" w:lineRule="exact"/>
        <w:jc w:val="left"/>
        <w:rPr>
          <w:rFonts w:hint="eastAsia"/>
          <w:sz w:val="24"/>
          <w:lang w:val="en-US" w:eastAsia="zh-CN"/>
        </w:rPr>
      </w:pPr>
      <w:r>
        <w:rPr>
          <w:rFonts w:ascii="仿宋" w:eastAsia="仿宋" w:hint="eastAsia"/>
          <w:sz w:val="24"/>
        </w:rPr>
        <w:t>六、</w:t>
      </w:r>
      <w:r>
        <w:rPr>
          <w:rFonts w:hint="eastAsia"/>
          <w:sz w:val="24"/>
        </w:rPr>
        <w:t>一般公共预算财政拨款支出决算表</w:t>
      </w:r>
      <w:r>
        <w:rPr>
          <w:rFonts w:hint="eastAsia"/>
          <w:sz w:val="24"/>
          <w:lang w:val="en-US" w:eastAsia="zh-CN"/>
        </w:rPr>
        <w:t>.....................................................23</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ascii="仿宋" w:eastAsia="仿宋" w:hint="eastAsia"/>
          <w:sz w:val="24"/>
        </w:rPr>
        <w:t>七、</w:t>
      </w:r>
      <w:r>
        <w:rPr>
          <w:rFonts w:hint="eastAsia"/>
          <w:sz w:val="24"/>
        </w:rPr>
        <w:t>一般公共预算财政拨款支出决算明细表</w:t>
      </w:r>
      <w:r>
        <w:rPr>
          <w:rFonts w:hint="eastAsia"/>
          <w:sz w:val="24"/>
          <w:lang w:val="en-US" w:eastAsia="zh-CN"/>
        </w:rPr>
        <w:t>..............................................23</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ascii="仿宋" w:eastAsia="仿宋" w:hint="eastAsia"/>
          <w:sz w:val="24"/>
        </w:rPr>
        <w:t>八、</w:t>
      </w:r>
      <w:r>
        <w:rPr>
          <w:rFonts w:hint="eastAsia"/>
          <w:sz w:val="24"/>
        </w:rPr>
        <w:t>一般公共预算财政拨款基本支出决算表</w:t>
      </w:r>
      <w:r>
        <w:rPr>
          <w:rFonts w:hint="eastAsia"/>
          <w:sz w:val="24"/>
          <w:lang w:val="en-US" w:eastAsia="zh-CN"/>
        </w:rPr>
        <w:t>...............................................23</w:t>
      </w:r>
    </w:p>
    <w:p>
      <w:pPr>
        <w:pStyle w:val="22"/>
        <w:tabs>
          <w:tab w:val="right" w:leader="dot" w:pos="8296"/>
        </w:tabs>
        <w:adjustRightInd w:val="0"/>
        <w:snapToGrid w:val="0"/>
        <w:spacing w:line="440" w:lineRule="exact"/>
        <w:jc w:val="left"/>
        <w:rPr>
          <w:rFonts w:hint="eastAsia"/>
          <w:sz w:val="24"/>
          <w:lang w:val="en-US" w:eastAsia="zh-CN"/>
        </w:rPr>
      </w:pPr>
      <w:r>
        <w:rPr>
          <w:rFonts w:ascii="仿宋" w:eastAsia="仿宋" w:hint="eastAsia"/>
          <w:sz w:val="24"/>
        </w:rPr>
        <w:t>九、</w:t>
      </w:r>
      <w:r>
        <w:rPr>
          <w:rFonts w:hint="eastAsia"/>
          <w:sz w:val="24"/>
        </w:rPr>
        <w:t>一般公共预算财政拨款项目支出决算表</w:t>
      </w:r>
      <w:r>
        <w:rPr>
          <w:rFonts w:hint="eastAsia"/>
          <w:sz w:val="24"/>
          <w:lang w:val="en-US" w:eastAsia="zh-CN"/>
        </w:rPr>
        <w:t>...............................................23</w:t>
      </w:r>
    </w:p>
    <w:p>
      <w:pPr>
        <w:pStyle w:val="22"/>
        <w:tabs>
          <w:tab w:val="right" w:leader="dot" w:pos="8296"/>
        </w:tabs>
        <w:adjustRightInd w:val="0"/>
        <w:snapToGrid w:val="0"/>
        <w:spacing w:line="440" w:lineRule="exact"/>
        <w:jc w:val="left"/>
        <w:rPr>
          <w:rFonts w:hint="eastAsia"/>
          <w:sz w:val="24"/>
          <w:lang w:val="en-US" w:eastAsia="zh-CN"/>
        </w:rPr>
      </w:pPr>
      <w:r>
        <w:rPr>
          <w:rFonts w:ascii="仿宋" w:eastAsia="仿宋" w:hint="eastAsia"/>
          <w:sz w:val="24"/>
        </w:rPr>
        <w:t>十、</w:t>
      </w:r>
      <w:r>
        <w:rPr>
          <w:rFonts w:hint="eastAsia"/>
          <w:sz w:val="24"/>
        </w:rPr>
        <w:t>一般公共预算财政拨款“三公”经费支出决算表</w:t>
      </w:r>
      <w:r>
        <w:rPr>
          <w:rFonts w:hint="eastAsia"/>
          <w:sz w:val="24"/>
          <w:lang w:val="en-US" w:eastAsia="zh-CN"/>
        </w:rPr>
        <w:t>...............................23</w:t>
      </w:r>
    </w:p>
    <w:p>
      <w:pPr>
        <w:pStyle w:val="22"/>
        <w:tabs>
          <w:tab w:val="right" w:leader="dot" w:pos="8296"/>
        </w:tabs>
        <w:adjustRightInd w:val="0"/>
        <w:snapToGrid w:val="0"/>
        <w:spacing w:line="440" w:lineRule="exact"/>
        <w:jc w:val="left"/>
        <w:rPr>
          <w:rFonts w:hint="eastAsia"/>
          <w:sz w:val="24"/>
          <w:lang w:val="en-US" w:eastAsia="zh-CN"/>
        </w:rPr>
      </w:pPr>
      <w:r>
        <w:rPr>
          <w:rFonts w:ascii="仿宋" w:eastAsia="仿宋" w:hint="eastAsia"/>
          <w:sz w:val="24"/>
        </w:rPr>
        <w:t>十一、</w:t>
      </w:r>
      <w:r>
        <w:rPr>
          <w:rFonts w:hint="eastAsia"/>
          <w:sz w:val="24"/>
        </w:rPr>
        <w:t>政府性基金预算财政拨款收入支出决算表</w:t>
      </w:r>
      <w:r>
        <w:rPr>
          <w:rFonts w:hint="eastAsia"/>
          <w:sz w:val="24"/>
          <w:lang w:val="en-US" w:eastAsia="zh-CN"/>
        </w:rPr>
        <w:t>.......................................23</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ascii="仿宋" w:eastAsia="仿宋" w:hint="eastAsia"/>
          <w:sz w:val="24"/>
        </w:rPr>
        <w:t>十二、</w:t>
      </w:r>
      <w:r>
        <w:rPr>
          <w:rFonts w:hint="eastAsia"/>
          <w:sz w:val="24"/>
        </w:rPr>
        <w:t>政府性基金预算财政拨款“三公”经费支出决算表</w:t>
      </w:r>
      <w:r>
        <w:rPr>
          <w:rFonts w:hint="eastAsia"/>
          <w:sz w:val="24"/>
          <w:lang w:val="en-US" w:eastAsia="zh-CN"/>
        </w:rPr>
        <w:t>.........................23</w:t>
      </w:r>
    </w:p>
    <w:p>
      <w:pPr>
        <w:pStyle w:val="22"/>
        <w:tabs>
          <w:tab w:val="right" w:leader="dot" w:pos="8296"/>
        </w:tabs>
        <w:adjustRightInd w:val="0"/>
        <w:snapToGrid w:val="0"/>
        <w:spacing w:line="440" w:lineRule="exact"/>
        <w:jc w:val="left"/>
        <w:rPr>
          <w:rFonts w:ascii="仿宋" w:eastAsia="宋体" w:cs="Arial" w:hAnsi="仿宋"/>
          <w:sz w:val="24"/>
          <w:lang w:val="en-US" w:eastAsia="zh-CN"/>
        </w:rPr>
      </w:pPr>
      <w:r>
        <w:rPr>
          <w:rFonts w:ascii="仿宋" w:eastAsia="仿宋" w:hint="eastAsia"/>
          <w:sz w:val="24"/>
        </w:rPr>
        <w:t>十三、</w:t>
      </w:r>
      <w:r>
        <w:rPr>
          <w:rFonts w:hint="eastAsia"/>
          <w:sz w:val="24"/>
        </w:rPr>
        <w:t>国有资本经营预算支出决算表</w:t>
      </w:r>
      <w:r>
        <w:rPr>
          <w:rFonts w:hint="eastAsia"/>
          <w:sz w:val="24"/>
          <w:lang w:val="en-US" w:eastAsia="zh-CN"/>
        </w:rPr>
        <w:t>..............................................................23</w:t>
      </w:r>
    </w:p>
    <w:p>
      <w:pPr>
        <w:widowControl/>
        <w:spacing w:line="440" w:lineRule="exact"/>
        <w:jc w:val="left"/>
        <w:rPr>
          <w:rFonts w:ascii="仿宋" w:eastAsia="仿宋"/>
          <w:bCs/>
          <w:kern w:val="44"/>
          <w:sz w:val="24"/>
        </w:rPr>
      </w:pPr>
      <w:bookmarkStart w:id="12" w:name="_Toc15396599"/>
      <w:bookmarkStart w:id="13" w:name="_Toc15377196"/>
      <w:r>
        <w:rPr>
          <w:rFonts w:ascii="仿宋" w:eastAsia="仿宋"/>
          <w:b/>
          <w:sz w:val="24"/>
        </w:rPr>
        <w:br w:type="page"/>
      </w:r>
    </w:p>
    <w:p>
      <w:pPr>
        <w:pStyle w:val="1"/>
        <w:jc w:val="center"/>
        <w:rPr>
          <w:rStyle w:val="1Char"/>
          <w:rFonts w:ascii="黑体" w:eastAsia="黑体"/>
          <w:b/>
          <w:bCs w:val="0"/>
        </w:rPr>
      </w:pPr>
      <w:r>
        <w:rPr>
          <w:rFonts w:ascii="黑体" w:eastAsia="黑体" w:hint="eastAsia"/>
          <w:b w:val="0"/>
        </w:rPr>
        <w:t xml:space="preserve">第一部分 </w:t>
      </w:r>
      <w:r>
        <w:rPr>
          <w:rStyle w:val="1Char"/>
          <w:rFonts w:ascii="黑体" w:eastAsia="黑体" w:hint="eastAsia"/>
          <w:b w:val="0"/>
          <w:bCs w:val="0"/>
        </w:rPr>
        <w:t>部门概况</w:t>
      </w:r>
      <w:bookmarkEnd w:id="12"/>
      <w:bookmarkEnd w:id="13"/>
    </w:p>
    <w:p>
      <w:pPr>
        <w:widowControl/>
        <w:jc w:val="left"/>
        <w:rPr>
          <w:rFonts w:ascii="黑体" w:eastAsia="黑体"/>
          <w:color w:val="000000"/>
          <w:sz w:val="32"/>
          <w:szCs w:val="32"/>
        </w:rPr>
      </w:pPr>
    </w:p>
    <w:p>
      <w:pPr>
        <w:pStyle w:val="2"/>
        <w:rPr>
          <w:rStyle w:val="2Char"/>
          <w:rFonts w:ascii="仿宋" w:eastAsia="仿宋"/>
          <w:b w:val="0"/>
          <w:bCs w:val="0"/>
        </w:rPr>
      </w:pPr>
      <w:bookmarkStart w:id="14" w:name="_Toc15377197"/>
      <w:bookmarkStart w:id="15" w:name="_Toc15396600"/>
      <w:r>
        <w:rPr>
          <w:rFonts w:ascii="黑体" w:eastAsia="黑体" w:hint="eastAsia"/>
          <w:b w:val="0"/>
          <w:color w:val="000000"/>
        </w:rPr>
        <w:t>一、基</w:t>
      </w:r>
      <w:r>
        <w:rPr>
          <w:rStyle w:val="2Char"/>
          <w:rFonts w:ascii="黑体" w:eastAsia="黑体" w:hint="eastAsia"/>
          <w:b w:val="0"/>
          <w:bCs w:val="0"/>
        </w:rPr>
        <w:t>本职能及主要工作</w:t>
      </w:r>
      <w:bookmarkEnd w:id="14"/>
      <w:bookmarkEnd w:id="15"/>
    </w:p>
    <w:p>
      <w:pPr>
        <w:pStyle w:val="15"/>
        <w:adjustRightInd w:val="0"/>
        <w:snapToGrid w:val="0"/>
        <w:spacing w:beforeLines="0" w:before="93" w:line="600" w:lineRule="exact"/>
        <w:ind w:firstLineChars="208" w:firstLine="669"/>
        <w:outlineLvl w:val="2"/>
        <w:rPr>
          <w:rFonts w:ascii="仿宋" w:eastAsia="仿宋" w:hint="eastAsia"/>
          <w:bCs/>
          <w:color w:val="000000"/>
          <w:sz w:val="32"/>
          <w:szCs w:val="32"/>
        </w:rPr>
      </w:pPr>
      <w:bookmarkStart w:id="16" w:name="_Toc15377198"/>
      <w:bookmarkStart w:id="17" w:name="_Toc15378445"/>
      <w:r>
        <w:rPr>
          <w:rFonts w:ascii="仿宋" w:eastAsia="仿宋" w:hint="eastAsia"/>
          <w:bCs/>
          <w:color w:val="000000"/>
          <w:sz w:val="32"/>
          <w:szCs w:val="32"/>
        </w:rPr>
        <w:t>（一）主要职能。</w:t>
      </w:r>
      <w:bookmarkEnd w:id="16"/>
      <w:bookmarkEnd w:id="17"/>
    </w:p>
    <w:p>
      <w:pPr>
        <w:spacing w:line="560" w:lineRule="exact"/>
        <w:ind w:firstLineChars="200" w:firstLine="640"/>
        <w:rPr>
          <w:rFonts w:eastAsia="仿宋_GB2312" w:cs="仿宋_GB2312"/>
          <w:sz w:val="32"/>
          <w:szCs w:val="32"/>
        </w:rPr>
      </w:pPr>
      <w:r>
        <w:rPr>
          <w:rFonts w:ascii="仿宋_GB2312" w:eastAsia="仿宋_GB2312" w:hint="eastAsia"/>
          <w:bCs/>
          <w:color w:val="000000"/>
          <w:sz w:val="32"/>
          <w:szCs w:val="32"/>
        </w:rPr>
        <w:t>主要职能</w:t>
      </w:r>
      <w:r>
        <w:rPr>
          <w:rFonts w:ascii="仿宋_GB2312" w:eastAsia="仿宋_GB2312" w:hint="eastAsia"/>
          <w:sz w:val="32"/>
          <w:szCs w:val="32"/>
        </w:rPr>
        <w:t>：</w:t>
      </w:r>
      <w:r>
        <w:rPr>
          <w:rFonts w:eastAsia="仿宋_GB2312" w:cs="仿宋_GB2312" w:hint="eastAsia"/>
          <w:sz w:val="32"/>
          <w:szCs w:val="32"/>
        </w:rPr>
        <w:t>负责县政府、县政府办公室日常文书处理和事务工作</w:t>
      </w:r>
      <w:r>
        <w:rPr>
          <w:rFonts w:eastAsia="仿宋_GB2312" w:hint="eastAsia"/>
          <w:sz w:val="32"/>
          <w:szCs w:val="32"/>
        </w:rPr>
        <w:t>，组织起草或审核以县政府、县政府办公室名义发布的公文，</w:t>
      </w:r>
      <w:r>
        <w:rPr>
          <w:rFonts w:eastAsia="仿宋_GB2312" w:cs="仿宋_GB2312" w:hint="eastAsia"/>
          <w:sz w:val="32"/>
          <w:szCs w:val="32"/>
        </w:rPr>
        <w:t>负责县政府办各种会议的会务工作，负责全县政府系统政务信息收集和编报工作，反映各方面动态，负责县政府办的行政后勤保障工作，完成县委和县政府领导交办的其他工作。</w:t>
      </w:r>
    </w:p>
    <w:p>
      <w:pPr>
        <w:pStyle w:val="16"/>
        <w:tabs>
          <w:tab w:val="left" w:pos="533"/>
        </w:tabs>
        <w:ind w:leftChars="0" w:left="0" w:firstLine="0"/>
        <w:jc w:val="left"/>
        <w:rPr>
          <w:rFonts w:ascii="仿宋" w:eastAsia="仿宋" w:hint="eastAsia"/>
          <w:bCs/>
          <w:color w:val="000000"/>
          <w:sz w:val="32"/>
          <w:szCs w:val="32"/>
        </w:rPr>
      </w:pPr>
      <w:r>
        <w:rPr>
          <w:rFonts w:hint="eastAsia"/>
          <w:lang w:eastAsia="zh-CN"/>
        </w:rPr>
        <w:tab/>
      </w:r>
      <w:bookmarkStart w:id="18" w:name="_Toc15378446"/>
      <w:bookmarkStart w:id="19" w:name="_Toc15377199"/>
      <w:r>
        <w:rPr>
          <w:rFonts w:ascii="仿宋" w:eastAsia="仿宋" w:hint="eastAsia"/>
          <w:bCs/>
          <w:color w:val="000000"/>
          <w:sz w:val="32"/>
          <w:szCs w:val="32"/>
        </w:rPr>
        <w:t>（二）</w:t>
      </w:r>
      <w:r>
        <w:rPr>
          <w:rFonts w:ascii="仿宋" w:eastAsia="仿宋"/>
          <w:bCs/>
          <w:color w:val="000000"/>
          <w:sz w:val="32"/>
          <w:szCs w:val="32"/>
        </w:rPr>
        <w:t>201</w:t>
      </w:r>
      <w:r>
        <w:rPr>
          <w:rFonts w:ascii="仿宋" w:eastAsia="仿宋" w:hint="eastAsia"/>
          <w:bCs/>
          <w:color w:val="000000"/>
          <w:sz w:val="32"/>
          <w:szCs w:val="32"/>
        </w:rPr>
        <w:t>9年重点工作完成情况。</w:t>
      </w:r>
      <w:bookmarkEnd w:id="18"/>
      <w:bookmarkEnd w:id="19"/>
    </w:p>
    <w:p>
      <w:pPr>
        <w:keepNext w:val="0"/>
        <w:keepLines w:val="0"/>
        <w:pageBreakBefore w:val="0"/>
        <w:widowControl w:val="0"/>
        <w:kinsoku/>
        <w:wordWrap/>
        <w:overflowPunct/>
        <w:topLinePunct w:val="0"/>
        <w:autoSpaceDE/>
        <w:autoSpaceDN/>
        <w:bidi w:val="0"/>
        <w:spacing w:line="520" w:lineRule="exact"/>
        <w:ind w:firstLineChars="200" w:firstLine="640"/>
        <w:textAlignment w:val="auto"/>
        <w:rPr>
          <w:rFonts w:ascii="Times New Roman" w:eastAsia="仿宋_GB2312" w:cs="Times New Roman" w:hAnsi="Times New Roman"/>
          <w:sz w:val="32"/>
          <w:szCs w:val="32"/>
        </w:rPr>
      </w:pPr>
      <w:r>
        <w:rPr>
          <w:rFonts w:ascii="Times New Roman" w:eastAsia="仿宋_GB2312" w:cs="Times New Roman" w:hAnsi="Times New Roman"/>
          <w:sz w:val="32"/>
          <w:szCs w:val="32"/>
        </w:rPr>
        <w:t>围绕县委政府加快建设川西北阿坝生态示范区“美丽壤巴拉家园”决定，在坚持生态优先、实现绿色崛起、打赢脱贫攻坚</w:t>
      </w:r>
      <w:r>
        <w:rPr>
          <w:rFonts w:ascii="Times New Roman" w:eastAsia="仿宋_GB2312" w:cs="Times New Roman" w:hAnsi="Times New Roman"/>
          <w:sz w:val="32"/>
          <w:szCs w:val="32"/>
          <w:lang w:eastAsia="zh-CN"/>
        </w:rPr>
        <w:t>仗</w:t>
      </w:r>
      <w:r>
        <w:rPr>
          <w:rFonts w:ascii="Times New Roman" w:eastAsia="仿宋_GB2312" w:cs="Times New Roman" w:hAnsi="Times New Roman"/>
          <w:sz w:val="32"/>
          <w:szCs w:val="32"/>
        </w:rPr>
        <w:t>的大局中，坚决贯彻县委、县政府的重大决策和工作部署，以促进全县发展民生稳定工作为出发点和落脚点，高效发挥职能作用。</w:t>
      </w:r>
    </w:p>
    <w:p>
      <w:pPr>
        <w:keepNext w:val="0"/>
        <w:keepLines w:val="0"/>
        <w:pageBreakBefore w:val="0"/>
        <w:widowControl w:val="0"/>
        <w:kinsoku/>
        <w:wordWrap/>
        <w:overflowPunct/>
        <w:topLinePunct w:val="0"/>
        <w:autoSpaceDE/>
        <w:autoSpaceDN/>
        <w:bidi w:val="0"/>
        <w:spacing w:line="52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bCs/>
          <w:color w:val="000000"/>
          <w:sz w:val="32"/>
          <w:szCs w:val="32"/>
          <w:lang w:val="en-US" w:eastAsia="zh-CN"/>
        </w:rPr>
        <w:t>1.</w:t>
      </w:r>
      <w:r>
        <w:rPr>
          <w:rFonts w:ascii="Times New Roman" w:eastAsia="楷体_GB2312" w:cs="Times New Roman" w:hAnsi="Times New Roman"/>
          <w:b/>
          <w:bCs/>
          <w:color w:val="000000"/>
          <w:sz w:val="32"/>
          <w:szCs w:val="32"/>
        </w:rPr>
        <w:t>发挥综合协调作用。</w:t>
      </w:r>
      <w:r>
        <w:rPr>
          <w:rFonts w:ascii="Times New Roman" w:eastAsia="仿宋_GB2312" w:cs="Times New Roman" w:hAnsi="Times New Roman"/>
          <w:sz w:val="32"/>
          <w:szCs w:val="32"/>
        </w:rPr>
        <w:t>坚持“围绕中心、步调一致、上下贯通、左右照应”，构建顺畅有序的内外协调协商协作机制</w:t>
      </w:r>
      <w:r>
        <w:rPr>
          <w:rFonts w:ascii="Times New Roman" w:eastAsia="仿宋_GB2312" w:cs="Times New Roman" w:hAnsi="Times New Roman"/>
          <w:sz w:val="32"/>
          <w:szCs w:val="32"/>
          <w:lang w:eastAsia="zh-CN"/>
        </w:rPr>
        <w:t>，</w:t>
      </w:r>
      <w:r>
        <w:rPr>
          <w:rFonts w:ascii="Times New Roman" w:eastAsia="仿宋_GB2312" w:cs="Times New Roman" w:hAnsi="Times New Roman"/>
          <w:sz w:val="32"/>
          <w:szCs w:val="32"/>
        </w:rPr>
        <w:t>加强与上级相关部门和友邻县市沟通联系、保持联络协调，争取更多的指导与帮助；深化党建引领，加强党政群一体联动，激发向心力、凝聚力。做到统筹有力、协调有方，形成</w:t>
      </w:r>
      <w:r>
        <w:rPr>
          <w:rFonts w:ascii="Times New Roman" w:eastAsia="仿宋_GB2312" w:cs="Times New Roman" w:hAnsi="Times New Roman"/>
          <w:sz w:val="32"/>
          <w:szCs w:val="32"/>
          <w:lang w:eastAsia="zh-CN"/>
        </w:rPr>
        <w:t>“</w:t>
      </w:r>
      <w:r>
        <w:rPr>
          <w:rFonts w:ascii="Times New Roman" w:eastAsia="仿宋_GB2312" w:cs="Times New Roman" w:hAnsi="Times New Roman"/>
          <w:sz w:val="32"/>
          <w:szCs w:val="32"/>
        </w:rPr>
        <w:t>上下一盘棋</w:t>
      </w:r>
      <w:r>
        <w:rPr>
          <w:rFonts w:ascii="Times New Roman" w:eastAsia="仿宋_GB2312" w:cs="Times New Roman" w:hAnsi="Times New Roman"/>
          <w:sz w:val="32"/>
          <w:szCs w:val="32"/>
          <w:lang w:eastAsia="zh-CN"/>
        </w:rPr>
        <w:t>”</w:t>
      </w:r>
      <w:r>
        <w:rPr>
          <w:rFonts w:ascii="Times New Roman" w:eastAsia="仿宋_GB2312" w:cs="Times New Roman" w:hAnsi="Times New Roman"/>
          <w:sz w:val="32"/>
          <w:szCs w:val="32"/>
        </w:rPr>
        <w:t>工作格局，全力为领导服好务、对群众负好责。与县委办、人大办、政协办密切配合，筹办了县人代会、县政协会，壤巴拉节系列活动等大型会议</w:t>
      </w:r>
      <w:r>
        <w:rPr>
          <w:rFonts w:ascii="Times New Roman" w:eastAsia="仿宋_GB2312" w:cs="Times New Roman" w:hAnsi="Times New Roman"/>
          <w:sz w:val="32"/>
          <w:szCs w:val="32"/>
          <w:lang w:eastAsia="zh-CN"/>
        </w:rPr>
        <w:t>和大型活动</w:t>
      </w:r>
      <w:r>
        <w:rPr>
          <w:rFonts w:ascii="Times New Roman" w:eastAsia="仿宋_GB2312" w:cs="Times New Roman" w:hAnsi="Times New Roman"/>
          <w:sz w:val="32"/>
          <w:szCs w:val="32"/>
        </w:rPr>
        <w:t>，</w:t>
      </w:r>
      <w:r>
        <w:rPr>
          <w:rFonts w:ascii="Times New Roman" w:eastAsia="仿宋_GB2312" w:cs="Times New Roman" w:hAnsi="Times New Roman"/>
          <w:sz w:val="32"/>
          <w:szCs w:val="32"/>
          <w:lang w:eastAsia="zh-CN"/>
        </w:rPr>
        <w:t>大力</w:t>
      </w:r>
      <w:r>
        <w:rPr>
          <w:rFonts w:ascii="Times New Roman" w:eastAsia="仿宋_GB2312" w:cs="Times New Roman" w:hAnsi="Times New Roman"/>
          <w:sz w:val="32"/>
          <w:szCs w:val="32"/>
        </w:rPr>
        <w:t>提升了</w:t>
      </w:r>
      <w:r>
        <w:rPr>
          <w:rFonts w:ascii="Times New Roman" w:eastAsia="仿宋_GB2312" w:cs="Times New Roman" w:hAnsi="Times New Roman"/>
          <w:sz w:val="32"/>
          <w:szCs w:val="32"/>
          <w:lang w:eastAsia="zh-CN"/>
        </w:rPr>
        <w:t>我们的办文办会水品</w:t>
      </w:r>
      <w:r>
        <w:rPr>
          <w:rFonts w:ascii="Times New Roman" w:eastAsia="仿宋_GB2312" w:cs="Times New Roman" w:hAnsi="Times New Roman"/>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Chars="200" w:firstLine="640"/>
        <w:textAlignment w:val="auto"/>
        <w:outlineLvl w:val="9"/>
        <w:rPr>
          <w:rFonts w:ascii="Times New Roman" w:eastAsia="仿宋_GB2312" w:cs="Times New Roman" w:hAnsi="Times New Roman"/>
          <w:sz w:val="32"/>
          <w:szCs w:val="32"/>
          <w:lang w:eastAsia="zh-CN"/>
        </w:rPr>
      </w:pPr>
      <w:r>
        <w:rPr>
          <w:rFonts w:eastAsia="楷体_GB2312" w:cs="Times New Roman" w:hint="eastAsia"/>
          <w:b/>
          <w:bCs/>
          <w:color w:val="000000"/>
          <w:sz w:val="32"/>
          <w:szCs w:val="32"/>
          <w:lang w:val="en-US" w:eastAsia="zh-CN"/>
        </w:rPr>
        <w:t>2.</w:t>
      </w:r>
      <w:r>
        <w:rPr>
          <w:rFonts w:ascii="Times New Roman" w:eastAsia="楷体_GB2312" w:cs="Times New Roman" w:hAnsi="Times New Roman"/>
          <w:b/>
          <w:bCs/>
          <w:color w:val="000000"/>
          <w:sz w:val="32"/>
          <w:szCs w:val="32"/>
        </w:rPr>
        <w:t>履行参谋助手职责。</w:t>
      </w:r>
      <w:r>
        <w:rPr>
          <w:rFonts w:ascii="Times New Roman" w:eastAsia="仿宋_GB2312" w:cs="Times New Roman" w:hAnsi="Times New Roman"/>
          <w:sz w:val="32"/>
          <w:szCs w:val="32"/>
        </w:rPr>
        <w:t>立足县情实际，围绕决胜全面小康、建设川西北生态示范区、壤塘“一城两县三地”定位，奋力推动“一州两区三家园”和“美丽壤巴拉家园”建设，献实招、出良策。</w:t>
      </w:r>
      <w:r>
        <w:rPr>
          <w:rFonts w:ascii="Times New Roman" w:eastAsia="仿宋_GB2312" w:cs="Times New Roman" w:hAnsi="Times New Roman"/>
          <w:b/>
          <w:bCs/>
          <w:sz w:val="32"/>
          <w:szCs w:val="32"/>
          <w:lang w:eastAsia="zh-CN"/>
        </w:rPr>
        <w:t>一</w:t>
      </w:r>
      <w:r>
        <w:rPr>
          <w:rFonts w:ascii="Times New Roman" w:eastAsia="仿宋_GB2312" w:cs="Times New Roman" w:hAnsi="Times New Roman"/>
          <w:b/>
          <w:bCs/>
          <w:sz w:val="32"/>
          <w:szCs w:val="32"/>
        </w:rPr>
        <w:t>是调研参谋取得新成绩。</w:t>
      </w:r>
      <w:r>
        <w:rPr>
          <w:rFonts w:ascii="Times New Roman" w:eastAsia="仿宋_GB2312" w:cs="Times New Roman" w:hAnsi="Times New Roman"/>
          <w:sz w:val="32"/>
          <w:szCs w:val="32"/>
        </w:rPr>
        <w:t>配合协调县政府领导和县政府部门，统筹推进“五位一体”总体布局，协调推进“四个全面”战略布局，在全县实施</w:t>
      </w:r>
      <w:r>
        <w:rPr>
          <w:rFonts w:ascii="Times New Roman" w:eastAsia="仿宋_GB2312" w:cs="Times New Roman" w:hAnsi="Times New Roman"/>
          <w:sz w:val="32"/>
          <w:szCs w:val="32"/>
          <w:lang w:eastAsia="zh-CN"/>
        </w:rPr>
        <w:t>土地增减挂钩、“</w:t>
      </w:r>
      <w:r>
        <w:rPr>
          <w:rFonts w:ascii="Times New Roman" w:eastAsia="仿宋_GB2312" w:cs="Times New Roman" w:hAnsi="Times New Roman"/>
          <w:sz w:val="32"/>
          <w:szCs w:val="32"/>
          <w:lang w:val="en-US" w:eastAsia="zh-CN"/>
        </w:rPr>
        <w:t>7+3</w:t>
      </w:r>
      <w:r>
        <w:rPr>
          <w:rFonts w:ascii="Times New Roman" w:eastAsia="仿宋_GB2312" w:cs="Times New Roman" w:hAnsi="Times New Roman"/>
          <w:sz w:val="32"/>
          <w:szCs w:val="32"/>
          <w:lang w:eastAsia="zh-CN"/>
        </w:rPr>
        <w:t>”环境整治等工作，</w:t>
      </w:r>
      <w:r>
        <w:rPr>
          <w:rFonts w:ascii="Times New Roman" w:eastAsia="仿宋_GB2312" w:cs="Times New Roman" w:hAnsi="Times New Roman"/>
          <w:sz w:val="32"/>
          <w:szCs w:val="32"/>
        </w:rPr>
        <w:t>成功</w:t>
      </w:r>
      <w:r>
        <w:rPr>
          <w:rFonts w:ascii="Times New Roman" w:eastAsia="仿宋_GB2312" w:cs="Times New Roman" w:hAnsi="Times New Roman"/>
          <w:sz w:val="32"/>
          <w:szCs w:val="32"/>
          <w:lang w:eastAsia="zh-CN"/>
        </w:rPr>
        <w:t>实现</w:t>
      </w:r>
      <w:r>
        <w:rPr>
          <w:rFonts w:ascii="Times New Roman" w:eastAsia="仿宋_GB2312" w:cs="Times New Roman" w:hAnsi="Times New Roman"/>
          <w:bCs/>
          <w:sz w:val="32"/>
          <w:szCs w:val="32"/>
        </w:rPr>
        <w:t>壤巴拉文化旅游景区、棒托石刻公园旅游景区国家AAA创建</w:t>
      </w:r>
      <w:r>
        <w:rPr>
          <w:rFonts w:ascii="Times New Roman" w:eastAsia="仿宋_GB2312" w:cs="Times New Roman" w:hAnsi="Times New Roman"/>
          <w:bCs/>
          <w:sz w:val="32"/>
          <w:szCs w:val="32"/>
          <w:lang w:eastAsia="zh-CN"/>
        </w:rPr>
        <w:t>工作，</w:t>
      </w:r>
      <w:r>
        <w:rPr>
          <w:rFonts w:ascii="Times New Roman" w:eastAsia="仿宋_GB2312" w:cs="Times New Roman" w:hAnsi="Times New Roman"/>
          <w:sz w:val="32"/>
          <w:szCs w:val="32"/>
        </w:rPr>
        <w:t>脱贫攻坚战连战连捷</w:t>
      </w:r>
      <w:r>
        <w:rPr>
          <w:rFonts w:ascii="Times New Roman" w:eastAsia="仿宋_GB2312" w:cs="Times New Roman" w:hAnsi="Times New Roman"/>
          <w:sz w:val="32"/>
          <w:szCs w:val="32"/>
          <w:lang w:eastAsia="zh-CN"/>
        </w:rPr>
        <w:t>，目前正在备战省检国检工作</w:t>
      </w:r>
      <w:r>
        <w:rPr>
          <w:rFonts w:ascii="Times New Roman" w:eastAsia="仿宋_GB2312" w:cs="Times New Roman" w:hAnsi="Times New Roman"/>
          <w:sz w:val="32"/>
          <w:szCs w:val="32"/>
        </w:rPr>
        <w:t>。</w:t>
      </w:r>
      <w:r>
        <w:rPr>
          <w:rFonts w:ascii="Times New Roman" w:eastAsia="仿宋_GB2312" w:cs="Times New Roman" w:hAnsi="Times New Roman"/>
          <w:b/>
          <w:bCs/>
          <w:sz w:val="32"/>
          <w:szCs w:val="32"/>
          <w:lang w:eastAsia="zh-CN"/>
        </w:rPr>
        <w:t>二</w:t>
      </w:r>
      <w:r>
        <w:rPr>
          <w:rFonts w:ascii="Times New Roman" w:eastAsia="仿宋_GB2312" w:cs="Times New Roman" w:hAnsi="Times New Roman"/>
          <w:b/>
          <w:bCs/>
          <w:sz w:val="32"/>
          <w:szCs w:val="32"/>
        </w:rPr>
        <w:t>是内外宣传实现新提升。</w:t>
      </w:r>
      <w:r>
        <w:rPr>
          <w:rFonts w:ascii="Times New Roman" w:eastAsia="仿宋_GB2312" w:cs="Times New Roman" w:hAnsi="Times New Roman"/>
          <w:sz w:val="32"/>
          <w:szCs w:val="32"/>
        </w:rPr>
        <w:t>完成</w:t>
      </w:r>
      <w:r>
        <w:rPr>
          <w:rFonts w:ascii="Times New Roman" w:eastAsia="仿宋_GB2312" w:cs="Times New Roman" w:hAnsi="Times New Roman"/>
          <w:sz w:val="32"/>
          <w:szCs w:val="32"/>
          <w:lang w:eastAsia="zh-CN"/>
        </w:rPr>
        <w:t>“</w:t>
      </w:r>
      <w:r>
        <w:rPr>
          <w:rFonts w:ascii="Times New Roman" w:eastAsia="仿宋_GB2312" w:cs="Times New Roman" w:hAnsi="Times New Roman"/>
          <w:sz w:val="32"/>
          <w:szCs w:val="32"/>
        </w:rPr>
        <w:t>壤塘县人民政府</w:t>
      </w:r>
      <w:r>
        <w:rPr>
          <w:rFonts w:ascii="Times New Roman" w:eastAsia="仿宋_GB2312" w:cs="Times New Roman" w:hAnsi="Times New Roman"/>
          <w:sz w:val="32"/>
          <w:szCs w:val="32"/>
          <w:lang w:eastAsia="zh-CN"/>
        </w:rPr>
        <w:t>”</w:t>
      </w:r>
      <w:r>
        <w:rPr>
          <w:rFonts w:ascii="Times New Roman" w:eastAsia="仿宋_GB2312" w:cs="Times New Roman" w:hAnsi="Times New Roman"/>
          <w:sz w:val="32"/>
          <w:szCs w:val="32"/>
        </w:rPr>
        <w:t>门户网站集约化改版升级改造工作，进一步规范和完善</w:t>
      </w:r>
      <w:r>
        <w:rPr>
          <w:rFonts w:ascii="Times New Roman" w:eastAsia="仿宋_GB2312" w:cs="Times New Roman" w:hAnsi="Times New Roman"/>
          <w:sz w:val="32"/>
          <w:szCs w:val="32"/>
          <w:lang w:eastAsia="zh-CN"/>
        </w:rPr>
        <w:t>了</w:t>
      </w:r>
      <w:r>
        <w:rPr>
          <w:rFonts w:ascii="Times New Roman" w:eastAsia="仿宋_GB2312" w:cs="Times New Roman" w:hAnsi="Times New Roman"/>
          <w:sz w:val="32"/>
          <w:szCs w:val="32"/>
        </w:rPr>
        <w:t>网站栏目，增加</w:t>
      </w:r>
      <w:r>
        <w:rPr>
          <w:rFonts w:ascii="Times New Roman" w:eastAsia="仿宋_GB2312" w:cs="Times New Roman" w:hAnsi="Times New Roman"/>
          <w:sz w:val="32"/>
          <w:szCs w:val="32"/>
          <w:lang w:eastAsia="zh-CN"/>
        </w:rPr>
        <w:t>了</w:t>
      </w:r>
      <w:r>
        <w:rPr>
          <w:rFonts w:ascii="Times New Roman" w:eastAsia="仿宋_GB2312" w:cs="Times New Roman" w:hAnsi="Times New Roman"/>
          <w:sz w:val="32"/>
          <w:szCs w:val="32"/>
        </w:rPr>
        <w:t>网站便民服务功能</w:t>
      </w:r>
      <w:r>
        <w:rPr>
          <w:rFonts w:ascii="Times New Roman" w:eastAsia="仿宋_GB2312" w:cs="Times New Roman" w:hAnsi="Times New Roman"/>
          <w:sz w:val="32"/>
          <w:szCs w:val="32"/>
          <w:lang w:eastAsia="zh-CN"/>
        </w:rPr>
        <w:t>，截至</w:t>
      </w:r>
      <w:r>
        <w:rPr>
          <w:rFonts w:ascii="Times New Roman" w:eastAsia="仿宋_GB2312" w:cs="Times New Roman" w:hAnsi="Times New Roman"/>
          <w:sz w:val="32"/>
          <w:szCs w:val="32"/>
          <w:lang w:val="en-US" w:eastAsia="zh-CN"/>
        </w:rPr>
        <w:t>11月底，累计</w:t>
      </w:r>
      <w:r>
        <w:rPr>
          <w:rFonts w:ascii="Times New Roman" w:eastAsia="仿宋_GB2312" w:cs="Times New Roman" w:hAnsi="Times New Roman"/>
          <w:sz w:val="32"/>
          <w:szCs w:val="32"/>
        </w:rPr>
        <w:t>采编信息1500余条，上报省州并被采用169条，推动全县政府系统主动</w:t>
      </w:r>
      <w:r>
        <w:rPr>
          <w:rFonts w:ascii="Times New Roman" w:eastAsia="仿宋_GB2312" w:cs="Times New Roman" w:hAnsi="Times New Roman"/>
          <w:sz w:val="32"/>
          <w:szCs w:val="32"/>
          <w:lang w:eastAsia="zh-CN"/>
        </w:rPr>
        <w:t>公开</w:t>
      </w:r>
      <w:r>
        <w:rPr>
          <w:rFonts w:ascii="Times New Roman" w:eastAsia="仿宋_GB2312" w:cs="Times New Roman" w:hAnsi="Times New Roman"/>
          <w:sz w:val="32"/>
          <w:szCs w:val="32"/>
        </w:rPr>
        <w:t>政府信息6090条，提前并超额完成州下达的6000条的目标任务</w:t>
      </w:r>
      <w:r>
        <w:rPr>
          <w:rFonts w:ascii="Times New Roman" w:eastAsia="仿宋_GB2312" w:cs="Times New Roman" w:hAnsi="Times New Roman"/>
          <w:sz w:val="32"/>
          <w:szCs w:val="32"/>
          <w:lang w:eastAsia="zh-CN"/>
        </w:rPr>
        <w:t>，处理县长信箱</w:t>
      </w:r>
      <w:r>
        <w:rPr>
          <w:rFonts w:ascii="Times New Roman" w:eastAsia="仿宋_GB2312" w:cs="Times New Roman" w:hAnsi="Times New Roman"/>
          <w:sz w:val="32"/>
          <w:szCs w:val="32"/>
          <w:lang w:val="en-US" w:eastAsia="zh-CN"/>
        </w:rPr>
        <w:t>21</w:t>
      </w:r>
      <w:r>
        <w:rPr>
          <w:rFonts w:ascii="Times New Roman" w:eastAsia="仿宋_GB2312" w:cs="Times New Roman" w:hAnsi="Times New Roman"/>
          <w:sz w:val="32"/>
          <w:szCs w:val="32"/>
        </w:rPr>
        <w:t>件，</w:t>
      </w:r>
      <w:r>
        <w:rPr>
          <w:rFonts w:ascii="Times New Roman" w:eastAsia="仿宋_GB2312" w:cs="Times New Roman" w:hAnsi="Times New Roman"/>
          <w:sz w:val="32"/>
          <w:szCs w:val="32"/>
          <w:lang w:eastAsia="zh-CN"/>
        </w:rPr>
        <w:t>办结率</w:t>
      </w:r>
      <w:r>
        <w:rPr>
          <w:rFonts w:ascii="Times New Roman" w:eastAsia="仿宋_GB2312" w:cs="Times New Roman" w:hAnsi="Times New Roman"/>
          <w:sz w:val="32"/>
          <w:szCs w:val="32"/>
          <w:lang w:val="en-US" w:eastAsia="zh-CN"/>
        </w:rPr>
        <w:t>100%，</w:t>
      </w:r>
      <w:r>
        <w:rPr>
          <w:rFonts w:ascii="Times New Roman" w:eastAsia="仿宋_GB2312" w:cs="Times New Roman" w:hAnsi="Times New Roman"/>
          <w:sz w:val="32"/>
          <w:szCs w:val="32"/>
        </w:rPr>
        <w:t>做到</w:t>
      </w:r>
      <w:r>
        <w:rPr>
          <w:rFonts w:ascii="Times New Roman" w:eastAsia="仿宋_GB2312" w:cs="Times New Roman" w:hAnsi="Times New Roman"/>
          <w:sz w:val="32"/>
          <w:szCs w:val="32"/>
          <w:lang w:eastAsia="zh-CN"/>
        </w:rPr>
        <w:t>了</w:t>
      </w:r>
      <w:r>
        <w:rPr>
          <w:rFonts w:ascii="Times New Roman" w:eastAsia="仿宋_GB2312" w:cs="Times New Roman" w:hAnsi="Times New Roman"/>
          <w:sz w:val="32"/>
          <w:szCs w:val="32"/>
        </w:rPr>
        <w:t>事事有回音、件件有回复。</w:t>
      </w:r>
      <w:r>
        <w:rPr>
          <w:rFonts w:ascii="Times New Roman" w:eastAsia="仿宋_GB2312" w:cs="Times New Roman" w:hAnsi="Times New Roman"/>
          <w:b/>
          <w:bCs/>
          <w:sz w:val="32"/>
          <w:szCs w:val="32"/>
          <w:lang w:eastAsia="zh-CN"/>
        </w:rPr>
        <w:t>三</w:t>
      </w:r>
      <w:r>
        <w:rPr>
          <w:rFonts w:ascii="Times New Roman" w:eastAsia="仿宋_GB2312" w:cs="Times New Roman" w:hAnsi="Times New Roman"/>
          <w:b/>
          <w:bCs/>
          <w:sz w:val="32"/>
          <w:szCs w:val="32"/>
        </w:rPr>
        <w:t>是舆情监管获得新成效。</w:t>
      </w:r>
      <w:r>
        <w:rPr>
          <w:rFonts w:ascii="Times New Roman" w:eastAsia="仿宋_GB2312" w:cs="Times New Roman" w:hAnsi="Times New Roman"/>
          <w:sz w:val="32"/>
          <w:szCs w:val="32"/>
        </w:rPr>
        <w:t>进一步健全信息工作领导机制、报送采用机制、审核机制、全员信息机制，加强与宣传部网宣办协作，有效推动信息工作提能升效。</w:t>
      </w:r>
    </w:p>
    <w:p>
      <w:pPr>
        <w:keepNext w:val="0"/>
        <w:keepLines w:val="0"/>
        <w:pageBreakBefore w:val="0"/>
        <w:widowControl w:val="0"/>
        <w:kinsoku/>
        <w:wordWrap/>
        <w:overflowPunct/>
        <w:topLinePunct w:val="0"/>
        <w:autoSpaceDE/>
        <w:autoSpaceDN/>
        <w:bidi w:val="0"/>
        <w:spacing w:line="52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bCs/>
          <w:color w:val="000000"/>
          <w:sz w:val="32"/>
          <w:szCs w:val="32"/>
          <w:lang w:val="en-US" w:eastAsia="zh-CN"/>
        </w:rPr>
        <w:t>3.</w:t>
      </w:r>
      <w:r>
        <w:rPr>
          <w:rFonts w:ascii="Times New Roman" w:eastAsia="楷体_GB2312" w:cs="Times New Roman" w:hAnsi="Times New Roman"/>
          <w:b/>
          <w:bCs/>
          <w:color w:val="000000"/>
          <w:sz w:val="32"/>
          <w:szCs w:val="32"/>
        </w:rPr>
        <w:t>突出督促检查职能。</w:t>
      </w:r>
      <w:r>
        <w:rPr>
          <w:rFonts w:ascii="Times New Roman" w:eastAsia="仿宋_GB2312" w:cs="Times New Roman" w:hAnsi="Times New Roman"/>
          <w:sz w:val="32"/>
          <w:szCs w:val="32"/>
        </w:rPr>
        <w:t>健全督查制度，规范督查程序，突出督查重点，把握好每个时期的工作重点、每个阶段的大事要事、每一项工作中关系全局的热点难点问题，主动做好领导同志的批示、交办事项的督查，形成书面督查通报，发挥好督查推动工作、落实决策的作用。</w:t>
      </w:r>
    </w:p>
    <w:p>
      <w:pPr>
        <w:keepNext w:val="0"/>
        <w:keepLines w:val="0"/>
        <w:pageBreakBefore w:val="0"/>
        <w:widowControl w:val="0"/>
        <w:kinsoku/>
        <w:wordWrap/>
        <w:overflowPunct/>
        <w:topLinePunct w:val="0"/>
        <w:autoSpaceDE/>
        <w:autoSpaceDN/>
        <w:bidi w:val="0"/>
        <w:spacing w:line="52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bCs/>
          <w:sz w:val="32"/>
          <w:szCs w:val="32"/>
          <w:lang w:val="en-US" w:eastAsia="zh-CN"/>
        </w:rPr>
        <w:t>4.</w:t>
      </w:r>
      <w:r>
        <w:rPr>
          <w:rFonts w:ascii="Times New Roman" w:eastAsia="楷体_GB2312" w:cs="Times New Roman" w:hAnsi="Times New Roman"/>
          <w:b/>
          <w:bCs/>
          <w:sz w:val="32"/>
          <w:szCs w:val="32"/>
        </w:rPr>
        <w:t>着力推行科学化管理。</w:t>
      </w:r>
      <w:r>
        <w:rPr>
          <w:rFonts w:ascii="Times New Roman" w:eastAsia="仿宋_GB2312" w:cs="Times New Roman" w:hAnsi="Times New Roman"/>
          <w:sz w:val="32"/>
          <w:szCs w:val="32"/>
          <w:lang w:eastAsia="zh-CN"/>
        </w:rPr>
        <w:t>用好</w:t>
      </w:r>
      <w:r>
        <w:rPr>
          <w:rFonts w:ascii="Times New Roman" w:eastAsia="仿宋_GB2312" w:cs="Times New Roman" w:hAnsi="Times New Roman"/>
          <w:sz w:val="32"/>
          <w:szCs w:val="32"/>
        </w:rPr>
        <w:t>政府常务会议题电子系统，高清和电信两套视频会议系统，</w:t>
      </w:r>
      <w:r>
        <w:rPr>
          <w:rFonts w:ascii="Times New Roman" w:eastAsia="仿宋_GB2312" w:cs="Times New Roman" w:hAnsi="Times New Roman"/>
          <w:sz w:val="32"/>
          <w:szCs w:val="32"/>
          <w:lang w:eastAsia="zh-CN"/>
        </w:rPr>
        <w:t>指导好、服务好</w:t>
      </w:r>
      <w:r>
        <w:rPr>
          <w:rFonts w:ascii="Times New Roman" w:eastAsia="仿宋_GB2312" w:cs="Times New Roman" w:hAnsi="Times New Roman"/>
          <w:sz w:val="32"/>
          <w:szCs w:val="32"/>
        </w:rPr>
        <w:t>各乡镇</w:t>
      </w:r>
      <w:r>
        <w:rPr>
          <w:rFonts w:ascii="Times New Roman" w:eastAsia="仿宋_GB2312" w:cs="Times New Roman" w:hAnsi="Times New Roman"/>
          <w:sz w:val="32"/>
          <w:szCs w:val="32"/>
          <w:lang w:eastAsia="zh-CN"/>
        </w:rPr>
        <w:t>。</w:t>
      </w:r>
      <w:r>
        <w:rPr>
          <w:rFonts w:ascii="Times New Roman" w:eastAsia="仿宋_GB2312" w:cs="Times New Roman" w:hAnsi="Times New Roman"/>
          <w:sz w:val="32"/>
          <w:szCs w:val="32"/>
        </w:rPr>
        <w:t>着力精简会议，降低运行成本</w:t>
      </w:r>
      <w:r>
        <w:rPr>
          <w:rFonts w:ascii="Times New Roman" w:eastAsia="仿宋_GB2312" w:cs="Times New Roman" w:hAnsi="Times New Roman"/>
          <w:sz w:val="32"/>
          <w:szCs w:val="32"/>
          <w:lang w:eastAsia="zh-CN"/>
        </w:rPr>
        <w:t>，</w:t>
      </w:r>
      <w:r>
        <w:rPr>
          <w:rFonts w:ascii="Times New Roman" w:eastAsia="仿宋_GB2312" w:cs="Times New Roman" w:hAnsi="Times New Roman"/>
          <w:sz w:val="32"/>
          <w:szCs w:val="32"/>
        </w:rPr>
        <w:t>在全县率先推行OA办公</w:t>
      </w:r>
      <w:r>
        <w:rPr>
          <w:rFonts w:ascii="Times New Roman" w:eastAsia="仿宋_GB2312" w:cs="Times New Roman" w:hAnsi="Times New Roman"/>
          <w:sz w:val="32"/>
          <w:szCs w:val="32"/>
          <w:lang w:eastAsia="zh-CN"/>
        </w:rPr>
        <w:t>改版</w:t>
      </w:r>
      <w:r>
        <w:rPr>
          <w:rFonts w:ascii="Times New Roman" w:eastAsia="仿宋_GB2312" w:cs="Times New Roman" w:hAnsi="Times New Roman"/>
          <w:sz w:val="32"/>
          <w:szCs w:val="32"/>
        </w:rPr>
        <w:t>系统，</w:t>
      </w:r>
      <w:r>
        <w:rPr>
          <w:rFonts w:ascii="Times New Roman" w:eastAsia="仿宋_GB2312" w:cs="Times New Roman" w:hAnsi="Times New Roman"/>
          <w:sz w:val="32"/>
          <w:szCs w:val="32"/>
          <w:lang w:eastAsia="zh-CN"/>
        </w:rPr>
        <w:t>升级</w:t>
      </w:r>
      <w:r>
        <w:rPr>
          <w:rFonts w:ascii="Times New Roman" w:eastAsia="仿宋_GB2312" w:cs="Times New Roman" w:hAnsi="Times New Roman"/>
          <w:sz w:val="32"/>
          <w:szCs w:val="32"/>
        </w:rPr>
        <w:t>台式电脑、E人E本和智能手机功能，</w:t>
      </w:r>
      <w:r>
        <w:rPr>
          <w:rFonts w:ascii="Times New Roman" w:eastAsia="仿宋_GB2312" w:cs="Times New Roman" w:hAnsi="Times New Roman"/>
          <w:sz w:val="32"/>
          <w:szCs w:val="32"/>
          <w:lang w:eastAsia="zh-CN"/>
        </w:rPr>
        <w:t>严格</w:t>
      </w:r>
      <w:r>
        <w:rPr>
          <w:rFonts w:ascii="Times New Roman" w:eastAsia="仿宋_GB2312" w:cs="Times New Roman" w:hAnsi="Times New Roman"/>
          <w:sz w:val="32"/>
          <w:szCs w:val="32"/>
        </w:rPr>
        <w:t>密级外的公文均在系统内运转、签批和办理，</w:t>
      </w:r>
      <w:r>
        <w:rPr>
          <w:rFonts w:ascii="Times New Roman" w:eastAsia="仿宋_GB2312" w:cs="Times New Roman" w:hAnsi="Times New Roman"/>
          <w:sz w:val="32"/>
          <w:szCs w:val="32"/>
          <w:lang w:eastAsia="zh-CN"/>
        </w:rPr>
        <w:t>进一步</w:t>
      </w:r>
      <w:r>
        <w:rPr>
          <w:rFonts w:ascii="Times New Roman" w:eastAsia="仿宋_GB2312" w:cs="Times New Roman" w:hAnsi="Times New Roman"/>
          <w:sz w:val="32"/>
          <w:szCs w:val="32"/>
        </w:rPr>
        <w:t>规避了领导学习、出差、下乡签批文件的弊端，引领全县各乡镇和部门提高行政效率。</w:t>
      </w:r>
    </w:p>
    <w:p>
      <w:pPr>
        <w:keepNext w:val="0"/>
        <w:keepLines w:val="0"/>
        <w:pageBreakBefore w:val="0"/>
        <w:widowControl w:val="0"/>
        <w:kinsoku/>
        <w:wordWrap/>
        <w:overflowPunct/>
        <w:topLinePunct w:val="0"/>
        <w:autoSpaceDE/>
        <w:autoSpaceDN/>
        <w:bidi w:val="0"/>
        <w:spacing w:line="520" w:lineRule="exact"/>
        <w:ind w:firstLineChars="200" w:firstLine="640"/>
        <w:textAlignment w:val="auto"/>
        <w:rPr>
          <w:rFonts w:ascii="Times New Roman" w:eastAsia="仿宋_GB2312" w:cs="Times New Roman" w:hAnsi="Times New Roman"/>
          <w:sz w:val="32"/>
          <w:szCs w:val="32"/>
        </w:rPr>
      </w:pPr>
      <w:r>
        <w:rPr>
          <w:rFonts w:eastAsia="楷体_GB2312" w:cs="Times New Roman" w:hint="eastAsia"/>
          <w:b/>
          <w:bCs/>
          <w:sz w:val="32"/>
          <w:szCs w:val="32"/>
          <w:lang w:val="en-US" w:eastAsia="zh-CN"/>
        </w:rPr>
        <w:t>5.</w:t>
      </w:r>
      <w:r>
        <w:rPr>
          <w:rFonts w:ascii="Times New Roman" w:eastAsia="楷体_GB2312" w:cs="Times New Roman" w:hAnsi="Times New Roman"/>
          <w:b/>
          <w:bCs/>
          <w:sz w:val="32"/>
          <w:szCs w:val="32"/>
        </w:rPr>
        <w:t>着力推行规范化管理。</w:t>
      </w:r>
      <w:r>
        <w:rPr>
          <w:rFonts w:ascii="Times New Roman" w:eastAsia="仿宋_GB2312" w:cs="Times New Roman" w:hAnsi="Times New Roman"/>
          <w:sz w:val="32"/>
          <w:szCs w:val="32"/>
        </w:rPr>
        <w:t>严格按照《党政机关公文处理工作条例》，州政府信息办和政策研究室的规定，严格办文程序和质量、及时公布政务信息，全面加强政府门户网站建设，近三年来，县政府办上报国家部委、省政府办、州政府办的文稿没有被通报过，完成了州政府下达的政务信息调研任务，电子政务取得较好效果。严格制度、标准和纪律，固化会前材料准备、会议审定、会议通知、会前检查，会间会议签到、材料分发、会议记录、内外联系，会后会议精神的传达贯彻、催办督查、信息反馈等规定，切实提高会议质量。按照中央八项规定要求，努力精文简会，文字差错率控制在万分之一以下，比201</w:t>
      </w:r>
      <w:r>
        <w:rPr>
          <w:rFonts w:ascii="Times New Roman" w:eastAsia="仿宋_GB2312" w:cs="Times New Roman" w:hAnsi="Times New Roman"/>
          <w:sz w:val="32"/>
          <w:szCs w:val="32"/>
          <w:lang w:val="en-US" w:eastAsia="zh-CN"/>
        </w:rPr>
        <w:t>8</w:t>
      </w:r>
      <w:r>
        <w:rPr>
          <w:rFonts w:ascii="Times New Roman" w:eastAsia="仿宋_GB2312" w:cs="Times New Roman" w:hAnsi="Times New Roman"/>
          <w:sz w:val="32"/>
          <w:szCs w:val="32"/>
        </w:rPr>
        <w:t>年下降</w:t>
      </w:r>
      <w:r>
        <w:rPr>
          <w:rFonts w:ascii="Times New Roman" w:eastAsia="仿宋_GB2312" w:cs="Times New Roman" w:hAnsi="Times New Roman"/>
          <w:sz w:val="32"/>
          <w:szCs w:val="32"/>
          <w:lang w:eastAsia="zh-CN"/>
        </w:rPr>
        <w:t>近</w:t>
      </w:r>
      <w:r>
        <w:rPr>
          <w:rFonts w:ascii="Times New Roman" w:eastAsia="仿宋_GB2312" w:cs="Times New Roman" w:hAnsi="Times New Roman"/>
          <w:sz w:val="32"/>
          <w:szCs w:val="32"/>
          <w:lang w:val="en-US" w:eastAsia="zh-CN"/>
        </w:rPr>
        <w:t>30</w:t>
      </w:r>
      <w:r>
        <w:rPr>
          <w:rFonts w:ascii="Times New Roman" w:eastAsia="仿宋_GB2312" w:cs="Times New Roman" w:hAnsi="Times New Roman"/>
          <w:sz w:val="32"/>
          <w:szCs w:val="32"/>
        </w:rPr>
        <w:t>%</w:t>
      </w:r>
      <w:r>
        <w:rPr>
          <w:rFonts w:ascii="Times New Roman" w:eastAsia="仿宋_GB2312" w:cs="Times New Roman" w:hAnsi="Times New Roman"/>
          <w:sz w:val="32"/>
          <w:szCs w:val="32"/>
          <w:lang w:eastAsia="zh-CN"/>
        </w:rPr>
        <w:t>，</w:t>
      </w:r>
      <w:r>
        <w:rPr>
          <w:rFonts w:ascii="Times New Roman" w:eastAsia="仿宋_GB2312" w:cs="Times New Roman" w:hAnsi="Times New Roman"/>
          <w:sz w:val="32"/>
          <w:szCs w:val="32"/>
        </w:rPr>
        <w:t>办理《常务会议纪要》1</w:t>
      </w:r>
      <w:r>
        <w:rPr>
          <w:rFonts w:ascii="Times New Roman" w:eastAsia="仿宋_GB2312" w:cs="Times New Roman" w:hAnsi="Times New Roman"/>
          <w:sz w:val="32"/>
          <w:szCs w:val="32"/>
          <w:lang w:val="en-US" w:eastAsia="zh-CN"/>
        </w:rPr>
        <w:t>0</w:t>
      </w:r>
      <w:r>
        <w:rPr>
          <w:rFonts w:ascii="Times New Roman" w:eastAsia="仿宋_GB2312" w:cs="Times New Roman" w:hAnsi="Times New Roman"/>
          <w:sz w:val="32"/>
          <w:szCs w:val="32"/>
        </w:rPr>
        <w:t>期，登记、办理中央、省、州三级机要文件</w:t>
      </w:r>
      <w:r>
        <w:rPr>
          <w:rFonts w:ascii="Times New Roman" w:eastAsia="仿宋_GB2312" w:cs="Times New Roman" w:hAnsi="Times New Roman"/>
          <w:sz w:val="32"/>
          <w:szCs w:val="32"/>
          <w:lang w:val="en-US" w:eastAsia="zh-CN"/>
        </w:rPr>
        <w:t>178件</w:t>
      </w:r>
      <w:r>
        <w:rPr>
          <w:rFonts w:ascii="Times New Roman" w:eastAsia="仿宋_GB2312" w:cs="Times New Roman" w:hAnsi="Times New Roman"/>
          <w:sz w:val="32"/>
          <w:szCs w:val="32"/>
        </w:rPr>
        <w:t>，县级部门、乡镇的请示、报告等2</w:t>
      </w:r>
      <w:r>
        <w:rPr>
          <w:rFonts w:ascii="Times New Roman" w:eastAsia="仿宋_GB2312" w:cs="Times New Roman" w:hAnsi="Times New Roman"/>
          <w:sz w:val="32"/>
          <w:szCs w:val="32"/>
          <w:lang w:val="en-US" w:eastAsia="zh-CN"/>
        </w:rPr>
        <w:t>500</w:t>
      </w:r>
      <w:r>
        <w:rPr>
          <w:rFonts w:ascii="Times New Roman" w:eastAsia="仿宋_GB2312" w:cs="Times New Roman" w:hAnsi="Times New Roman"/>
          <w:sz w:val="32"/>
          <w:szCs w:val="32"/>
        </w:rPr>
        <w:t>余个。完成</w:t>
      </w:r>
      <w:r>
        <w:rPr>
          <w:rFonts w:ascii="Times New Roman" w:eastAsia="仿宋_GB2312" w:cs="Times New Roman" w:hAnsi="Times New Roman"/>
          <w:sz w:val="32"/>
          <w:szCs w:val="32"/>
          <w:lang w:val="en-US" w:eastAsia="zh-CN"/>
        </w:rPr>
        <w:t>57件</w:t>
      </w:r>
      <w:r>
        <w:rPr>
          <w:rFonts w:ascii="Times New Roman" w:eastAsia="仿宋_GB2312" w:cs="Times New Roman" w:hAnsi="Times New Roman"/>
          <w:sz w:val="32"/>
          <w:szCs w:val="32"/>
        </w:rPr>
        <w:t>县政府及其办公室规范性文件清理工作</w:t>
      </w:r>
      <w:r>
        <w:rPr>
          <w:rFonts w:ascii="Times New Roman" w:eastAsia="仿宋_GB2312" w:cs="Times New Roman" w:hAnsi="Times New Roman"/>
          <w:sz w:val="32"/>
          <w:szCs w:val="32"/>
          <w:lang w:eastAsia="zh-CN"/>
        </w:rPr>
        <w:t>，切实贯彻了中央关于基层减负年的决定，落实了精文减会的要求</w:t>
      </w:r>
      <w:r>
        <w:rPr>
          <w:rFonts w:ascii="Times New Roman" w:eastAsia="仿宋_GB2312" w:cs="Times New Roman" w:hAnsi="Times New Roman"/>
          <w:sz w:val="32"/>
          <w:szCs w:val="32"/>
        </w:rPr>
        <w:t>。</w:t>
      </w:r>
    </w:p>
    <w:p>
      <w:pPr>
        <w:keepNext w:val="0"/>
        <w:keepLines w:val="0"/>
        <w:pageBreakBefore w:val="0"/>
        <w:widowControl w:val="0"/>
        <w:kinsoku/>
        <w:wordWrap/>
        <w:overflowPunct/>
        <w:topLinePunct w:val="0"/>
        <w:autoSpaceDE/>
        <w:autoSpaceDN/>
        <w:bidi w:val="0"/>
        <w:spacing w:line="520" w:lineRule="exact"/>
        <w:ind w:firstLineChars="200" w:firstLine="640"/>
        <w:textAlignment w:val="auto"/>
        <w:rPr>
          <w:rFonts w:ascii="Times New Roman" w:eastAsia="仿宋_GB2312" w:cs="Times New Roman" w:hAnsi="Times New Roman"/>
          <w:sz w:val="32"/>
          <w:szCs w:val="32"/>
          <w:lang w:eastAsia="zh-CN"/>
        </w:rPr>
      </w:pPr>
      <w:r>
        <w:rPr>
          <w:rFonts w:eastAsia="楷体_GB2312" w:cs="Times New Roman" w:hint="eastAsia"/>
          <w:b/>
          <w:bCs/>
          <w:sz w:val="32"/>
          <w:szCs w:val="32"/>
          <w:lang w:val="en-US" w:eastAsia="zh-CN"/>
        </w:rPr>
        <w:t>6.</w:t>
      </w:r>
      <w:r>
        <w:rPr>
          <w:rFonts w:ascii="Times New Roman" w:eastAsia="楷体_GB2312" w:cs="Times New Roman" w:hAnsi="Times New Roman"/>
          <w:b/>
          <w:bCs/>
          <w:sz w:val="32"/>
          <w:szCs w:val="32"/>
        </w:rPr>
        <w:t>着力推行精细化管理。</w:t>
      </w:r>
      <w:r>
        <w:rPr>
          <w:rFonts w:ascii="Times New Roman" w:eastAsia="仿宋_GB2312" w:cs="Times New Roman" w:hAnsi="Times New Roman"/>
          <w:sz w:val="32"/>
          <w:szCs w:val="32"/>
          <w:lang w:eastAsia="zh-CN"/>
        </w:rPr>
        <w:t>切实贯彻县委工作要求，以三月群众工作月、脱贫攻坚大排查等为契机，深入开展“两联一进”工作全覆盖，积极宣传党的十九大精神及扶贫相关政策法规，着力在改善民生、化解矛盾和维护稳定方面下苦工实工。进一步制订和完善了自然灾害、事故灾难、突发公共卫生事件和社会安全事件的应急处置预案，建立了应急管理决策机制，提高对公共突发事件全过程的综合管理水平，严密监测吾依八格都寨地灾隐患，成功处置、应对了石里乡上达石沟高位垮塌和</w:t>
      </w:r>
      <w:r>
        <w:rPr>
          <w:rFonts w:ascii="Times New Roman" w:eastAsia="仿宋_GB2312" w:cs="Times New Roman" w:hAnsi="Times New Roman"/>
          <w:sz w:val="32"/>
          <w:szCs w:val="32"/>
          <w:lang w:val="en-US" w:eastAsia="zh-CN"/>
        </w:rPr>
        <w:t>G227茸木达牙格车村上体滑坡等事件。</w:t>
      </w:r>
      <w:r>
        <w:rPr>
          <w:rFonts w:ascii="Times New Roman" w:eastAsia="仿宋_GB2312" w:cs="Times New Roman" w:hAnsi="Times New Roman"/>
          <w:sz w:val="32"/>
          <w:szCs w:val="32"/>
          <w:lang w:eastAsia="zh-CN"/>
        </w:rPr>
        <w:t>厉行节约、注重细节、保障安全，完善了财务、车辆、工勤人员管理制度，规范了财会纪律，配合县人民政府顺利通过省委第十巡视组的巡视巡察工作。</w:t>
      </w:r>
    </w:p>
    <w:p>
      <w:pPr>
        <w:pStyle w:val="2"/>
        <w:rPr>
          <w:rStyle w:val="2Char"/>
          <w:b w:val="0"/>
          <w:bCs w:val="0"/>
        </w:rPr>
      </w:pPr>
      <w:bookmarkStart w:id="20" w:name="_Toc15377200"/>
      <w:bookmarkStart w:id="21" w:name="_Toc15396601"/>
      <w:r>
        <w:rPr>
          <w:rFonts w:ascii="黑体" w:eastAsia="黑体" w:hint="eastAsia"/>
          <w:b w:val="0"/>
          <w:color w:val="000000"/>
        </w:rPr>
        <w:t>二、机</w:t>
      </w:r>
      <w:r>
        <w:rPr>
          <w:rStyle w:val="2Char"/>
          <w:rFonts w:ascii="黑体" w:eastAsia="黑体" w:hint="eastAsia"/>
          <w:b w:val="0"/>
          <w:bCs w:val="0"/>
        </w:rPr>
        <w:t>构设置</w:t>
      </w:r>
      <w:bookmarkEnd w:id="20"/>
      <w:bookmarkEnd w:id="21"/>
    </w:p>
    <w:p>
      <w:pPr>
        <w:ind w:firstLineChars="200" w:firstLine="640"/>
        <w:rPr>
          <w:rFonts w:ascii="仿宋" w:eastAsia="仿宋"/>
          <w:sz w:val="32"/>
          <w:szCs w:val="32"/>
        </w:rPr>
      </w:pPr>
      <w:r>
        <w:rPr>
          <w:rFonts w:ascii="仿宋" w:eastAsia="仿宋" w:hint="eastAsia"/>
          <w:sz w:val="32"/>
          <w:szCs w:val="32"/>
        </w:rPr>
        <w:t>壤塘县人民政府办公室为一级行政单位。</w:t>
      </w:r>
      <w:r>
        <w:rPr>
          <w:rFonts w:eastAsia="仿宋_GB2312" w:cs="仿宋_GB2312" w:hint="eastAsia"/>
          <w:sz w:val="32"/>
          <w:szCs w:val="32"/>
        </w:rPr>
        <w:t>我办</w:t>
      </w:r>
      <w:r>
        <w:rPr>
          <w:rFonts w:eastAsia="仿宋_GB2312"/>
          <w:sz w:val="32"/>
          <w:szCs w:val="32"/>
        </w:rPr>
        <w:t>201</w:t>
      </w:r>
      <w:r>
        <w:rPr>
          <w:rFonts w:eastAsia="仿宋_GB2312" w:hint="eastAsia"/>
          <w:sz w:val="32"/>
          <w:szCs w:val="32"/>
          <w:lang w:val="en-US" w:eastAsia="zh-CN"/>
        </w:rPr>
        <w:t>9</w:t>
      </w:r>
      <w:r>
        <w:rPr>
          <w:rFonts w:eastAsia="仿宋_GB2312" w:cs="仿宋_GB2312" w:hint="eastAsia"/>
          <w:sz w:val="32"/>
          <w:szCs w:val="32"/>
        </w:rPr>
        <w:t>年纳入部门决算编报范围的为本级财政预算管理范围的行政单位。</w:t>
      </w:r>
    </w:p>
    <w:p>
      <w:pPr>
        <w:pStyle w:val="1"/>
        <w:ind w:right="440"/>
        <w:jc w:val="right"/>
        <w:rPr>
          <w:rStyle w:val="1Char"/>
          <w:rFonts w:ascii="黑体" w:eastAsia="黑体"/>
          <w:b w:val="0"/>
          <w:bCs w:val="0"/>
        </w:rPr>
      </w:pPr>
      <w:bookmarkStart w:id="22" w:name="_Toc15377204"/>
      <w:bookmarkStart w:id="23" w:name="_Toc15396602"/>
      <w:r>
        <w:rPr>
          <w:rFonts w:ascii="黑体" w:eastAsia="黑体" w:hint="eastAsia"/>
          <w:b w:val="0"/>
          <w:color w:val="000000"/>
        </w:rPr>
        <w:t>第二部分</w:t>
      </w:r>
      <w:r>
        <w:rPr>
          <w:rFonts w:ascii="黑体" w:eastAsia="黑体" w:hint="eastAsia"/>
          <w:color w:val="000000"/>
        </w:rPr>
        <w:t xml:space="preserve"> </w:t>
      </w:r>
      <w:r>
        <w:rPr>
          <w:rStyle w:val="1Char"/>
          <w:rFonts w:ascii="黑体" w:eastAsia="黑体" w:hint="eastAsia"/>
          <w:b w:val="0"/>
          <w:bCs w:val="0"/>
        </w:rPr>
        <w:t>2019年度部门决算情况说明</w:t>
      </w:r>
      <w:bookmarkEnd w:id="22"/>
      <w:bookmarkEnd w:id="23"/>
    </w:p>
    <w:p/>
    <w:p>
      <w:pPr>
        <w:pStyle w:val="29"/>
        <w:numPr>
          <w:ilvl w:val="0"/>
          <w:numId w:val="1"/>
        </w:numPr>
        <w:spacing w:line="600" w:lineRule="exact"/>
        <w:ind w:firstLineChars="0"/>
        <w:outlineLvl w:val="1"/>
        <w:rPr>
          <w:rStyle w:val="2Char"/>
          <w:rFonts w:ascii="黑体" w:eastAsia="黑体"/>
          <w:b w:val="0"/>
        </w:rPr>
      </w:pPr>
      <w:bookmarkStart w:id="24" w:name="_Toc15396603"/>
      <w:bookmarkStart w:id="25" w:name="_Toc15377205"/>
      <w:r>
        <w:rPr>
          <w:rFonts w:ascii="黑体" w:eastAsia="黑体" w:hint="eastAsia"/>
          <w:color w:val="000000"/>
          <w:sz w:val="32"/>
          <w:szCs w:val="32"/>
        </w:rPr>
        <w:t>收</w:t>
      </w:r>
      <w:r>
        <w:rPr>
          <w:rStyle w:val="2Char"/>
          <w:rFonts w:ascii="黑体" w:eastAsia="黑体" w:hint="eastAsia"/>
          <w:b w:val="0"/>
        </w:rPr>
        <w:t>入支出决算总体情况说明</w:t>
      </w:r>
      <w:bookmarkEnd w:id="24"/>
      <w:bookmarkEnd w:id="25"/>
    </w:p>
    <w:p>
      <w:pPr>
        <w:spacing w:line="600" w:lineRule="exact"/>
        <w:ind w:firstLineChars="200" w:firstLine="640"/>
        <w:rPr>
          <w:rFonts w:ascii="仿宋" w:eastAsia="仿宋" w:hint="eastAsia"/>
          <w:color w:val="000000"/>
          <w:sz w:val="32"/>
          <w:szCs w:val="32"/>
          <w:lang w:eastAsia="zh-CN"/>
        </w:rPr>
      </w:pPr>
      <w:r>
        <w:rPr>
          <w:rFonts w:ascii="仿宋" w:eastAsia="仿宋" w:hint="eastAsia"/>
          <w:color w:val="000000"/>
          <w:sz w:val="32"/>
          <w:szCs w:val="32"/>
        </w:rPr>
        <w:t>2019年度收、支总计</w:t>
      </w:r>
      <w:r>
        <w:rPr>
          <w:rFonts w:ascii="仿宋" w:eastAsia="仿宋" w:hint="eastAsia"/>
          <w:color w:val="000000"/>
          <w:sz w:val="32"/>
          <w:szCs w:val="32"/>
          <w:lang w:eastAsia="zh-CN"/>
        </w:rPr>
        <w:t>各</w:t>
      </w:r>
      <w:r>
        <w:rPr>
          <w:rFonts w:ascii="仿宋" w:eastAsia="仿宋" w:hint="eastAsia"/>
          <w:color w:val="000000"/>
          <w:sz w:val="32"/>
          <w:szCs w:val="32"/>
          <w:lang w:val="en-US" w:eastAsia="zh-CN"/>
        </w:rPr>
        <w:t>1325.50</w:t>
      </w:r>
      <w:r>
        <w:rPr>
          <w:rFonts w:ascii="仿宋" w:eastAsia="仿宋" w:hint="eastAsia"/>
          <w:color w:val="000000"/>
          <w:sz w:val="32"/>
          <w:szCs w:val="32"/>
        </w:rPr>
        <w:t>万元</w:t>
      </w:r>
      <w:r>
        <w:rPr>
          <w:rFonts w:ascii="仿宋" w:eastAsia="仿宋" w:hint="eastAsia"/>
          <w:color w:val="000000"/>
          <w:sz w:val="32"/>
          <w:szCs w:val="32"/>
          <w:lang w:eastAsia="zh-CN"/>
        </w:rPr>
        <w:t>，</w:t>
      </w:r>
      <w:r>
        <w:rPr>
          <w:rFonts w:ascii="仿宋" w:eastAsia="仿宋" w:hint="eastAsia"/>
          <w:color w:val="000000"/>
          <w:sz w:val="32"/>
          <w:szCs w:val="32"/>
          <w:lang w:val="en-US" w:eastAsia="zh-CN"/>
        </w:rPr>
        <w:t>,1325.50万元</w:t>
      </w:r>
      <w:r>
        <w:rPr>
          <w:rFonts w:ascii="仿宋" w:eastAsia="仿宋" w:hint="eastAsia"/>
          <w:color w:val="000000"/>
          <w:sz w:val="32"/>
          <w:szCs w:val="32"/>
        </w:rPr>
        <w:t>。与2018年相比，收、支总计各减少</w:t>
      </w:r>
      <w:r>
        <w:rPr>
          <w:rFonts w:ascii="仿宋" w:eastAsia="仿宋" w:hint="eastAsia"/>
          <w:color w:val="000000"/>
          <w:sz w:val="32"/>
          <w:szCs w:val="32"/>
          <w:lang w:val="en-US" w:eastAsia="zh-CN"/>
        </w:rPr>
        <w:t>464.57</w:t>
      </w:r>
      <w:r>
        <w:rPr>
          <w:rFonts w:ascii="仿宋" w:eastAsia="仿宋" w:hint="eastAsia"/>
          <w:color w:val="000000"/>
          <w:sz w:val="32"/>
          <w:szCs w:val="32"/>
        </w:rPr>
        <w:t>万元，</w:t>
      </w:r>
      <w:r>
        <w:rPr>
          <w:rFonts w:ascii="仿宋" w:eastAsia="仿宋" w:hint="eastAsia"/>
          <w:color w:val="000000"/>
          <w:sz w:val="32"/>
          <w:szCs w:val="32"/>
          <w:lang w:val="en-US" w:eastAsia="zh-CN"/>
        </w:rPr>
        <w:t>464.57万元，分别</w:t>
      </w:r>
      <w:r>
        <w:rPr>
          <w:rFonts w:ascii="仿宋" w:eastAsia="仿宋" w:hint="eastAsia"/>
          <w:color w:val="000000"/>
          <w:sz w:val="32"/>
          <w:szCs w:val="32"/>
        </w:rPr>
        <w:t>下降</w:t>
      </w:r>
      <w:r>
        <w:rPr>
          <w:rFonts w:ascii="仿宋" w:eastAsia="仿宋" w:hint="eastAsia"/>
          <w:color w:val="000000"/>
          <w:sz w:val="32"/>
          <w:szCs w:val="32"/>
          <w:lang w:val="en-US" w:eastAsia="zh-CN"/>
        </w:rPr>
        <w:t>25.95%</w:t>
      </w:r>
      <w:r>
        <w:rPr>
          <w:rFonts w:ascii="仿宋" w:eastAsia="仿宋" w:hint="eastAsia"/>
          <w:color w:val="000000"/>
          <w:sz w:val="32"/>
          <w:szCs w:val="32"/>
          <w:lang w:eastAsia="zh-CN"/>
        </w:rPr>
        <w:t>，</w:t>
      </w:r>
      <w:r>
        <w:rPr>
          <w:rFonts w:ascii="仿宋" w:eastAsia="仿宋" w:hint="eastAsia"/>
          <w:color w:val="000000"/>
          <w:sz w:val="32"/>
          <w:szCs w:val="32"/>
          <w:lang w:val="en-US" w:eastAsia="zh-CN"/>
        </w:rPr>
        <w:t>25.95%</w:t>
      </w:r>
      <w:r>
        <w:rPr>
          <w:rFonts w:ascii="仿宋" w:eastAsia="仿宋" w:hint="eastAsia"/>
          <w:color w:val="000000"/>
          <w:sz w:val="32"/>
          <w:szCs w:val="32"/>
        </w:rPr>
        <w:t>。主要变动原因是</w:t>
      </w:r>
      <w:r>
        <w:rPr>
          <w:rFonts w:ascii="仿宋" w:eastAsia="仿宋" w:hint="eastAsia"/>
          <w:color w:val="000000"/>
          <w:sz w:val="32"/>
          <w:szCs w:val="32"/>
          <w:lang w:eastAsia="zh-CN"/>
        </w:rPr>
        <w:t>减少了项目支出。</w:t>
      </w:r>
    </w:p>
    <w:p>
      <w:pPr>
        <w:rPr>
          <w:rFonts w:ascii="仿宋_GB2312" w:eastAsia="仿宋_GB2312" w:cs="仿宋_GB2312" w:hint="eastAsia"/>
          <w:sz w:val="32"/>
          <w:szCs w:val="32"/>
        </w:rPr>
      </w:pPr>
      <w:r>
        <w:rPr>
          <w:rFonts w:ascii="仿宋_GB2312" w:eastAsia="仿宋_GB2312" w:cs="仿宋_GB2312" w:hint="eastAsia"/>
          <w:sz w:val="32"/>
          <w:szCs w:val="32"/>
        </w:rPr>
        <w:t>（图1：收、支决算总计变动情况图）（柱状图）</w:t>
      </w:r>
    </w:p>
    <w:p>
      <w:pPr>
        <w:rPr>
          <w:rFonts w:hint="eastAsia"/>
        </w:rPr>
      </w:pPr>
      <w:r>
        <w:drawing>
          <wp:inline distT="0" distB="0" distL="114300" distR="114300">
            <wp:extent cx="4486275" cy="2714625"/>
            <wp:effectExtent l="0" t="0" r="0" b="0"/>
            <wp:docPr id="1" name="图表 2"/>
            <wp:cNvGraphicFramePr>
              <a:graphicFrameLocks noChangeAspect="0"/>
            </wp:cNvGraphicFramePr>
            <a:graphic>
              <a:graphicData uri="http://schemas.openxmlformats.org/drawingml/2006/chart">
                <c:chart xmlns:c="http://schemas.openxmlformats.org/drawingml/2006/chart" r:id="rId4"/>
              </a:graphicData>
            </a:graphic>
          </wp:inline>
        </w:drawing>
      </w:r>
    </w:p>
    <w:p>
      <w:pPr>
        <w:spacing w:line="600" w:lineRule="exact"/>
        <w:ind w:firstLineChars="200" w:firstLine="640"/>
        <w:rPr>
          <w:rFonts w:ascii="仿宋" w:eastAsia="仿宋" w:hint="eastAsia"/>
          <w:color w:val="000000"/>
          <w:sz w:val="32"/>
          <w:szCs w:val="32"/>
        </w:rPr>
      </w:pPr>
    </w:p>
    <w:p>
      <w:pPr>
        <w:spacing w:line="600" w:lineRule="exact"/>
        <w:ind w:firstLineChars="200" w:firstLine="640"/>
        <w:rPr>
          <w:rStyle w:val="2Char"/>
          <w:rFonts w:ascii="黑体" w:eastAsia="黑体"/>
          <w:b w:val="0"/>
        </w:rPr>
      </w:pPr>
      <w:bookmarkStart w:id="26" w:name="_Toc15377206"/>
      <w:bookmarkStart w:id="27" w:name="_Toc15396604"/>
      <w:r>
        <w:rPr>
          <w:rFonts w:ascii="黑体" w:eastAsia="黑体" w:cs="黑体" w:hint="eastAsia"/>
          <w:sz w:val="32"/>
          <w:szCs w:val="32"/>
          <w:lang w:eastAsia="zh-CN"/>
        </w:rPr>
        <w:t>二、</w:t>
      </w:r>
      <w:r>
        <w:rPr>
          <w:rFonts w:ascii="黑体" w:eastAsia="黑体" w:hint="eastAsia"/>
          <w:color w:val="000000"/>
          <w:sz w:val="32"/>
          <w:szCs w:val="32"/>
        </w:rPr>
        <w:t>收</w:t>
      </w:r>
      <w:r>
        <w:rPr>
          <w:rStyle w:val="2Char"/>
          <w:rFonts w:ascii="黑体" w:eastAsia="黑体" w:hint="eastAsia"/>
          <w:b w:val="0"/>
        </w:rPr>
        <w:t>入决算情况说明</w:t>
      </w:r>
      <w:bookmarkEnd w:id="26"/>
      <w:bookmarkEnd w:id="27"/>
    </w:p>
    <w:p>
      <w:pPr>
        <w:spacing w:line="600" w:lineRule="exact"/>
        <w:ind w:firstLineChars="200" w:firstLine="640"/>
        <w:outlineLvl w:val="1"/>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9年本年收入合计</w:t>
      </w:r>
      <w:r>
        <w:rPr>
          <w:rFonts w:ascii="仿宋" w:eastAsia="仿宋" w:hint="eastAsia"/>
          <w:color w:val="000000"/>
          <w:sz w:val="32"/>
          <w:szCs w:val="32"/>
          <w:lang w:val="en-US" w:eastAsia="zh-CN"/>
        </w:rPr>
        <w:t>1317.36</w:t>
      </w:r>
      <w:r>
        <w:rPr>
          <w:rFonts w:ascii="仿宋" w:eastAsia="仿宋" w:hint="eastAsia"/>
          <w:color w:val="000000"/>
          <w:sz w:val="32"/>
          <w:szCs w:val="32"/>
        </w:rPr>
        <w:t>万元，其中：一般公共预算财政拨款收入</w:t>
      </w:r>
      <w:r>
        <w:rPr>
          <w:rFonts w:ascii="仿宋" w:eastAsia="仿宋" w:hint="eastAsia"/>
          <w:color w:val="000000"/>
          <w:sz w:val="32"/>
          <w:szCs w:val="32"/>
          <w:lang w:val="en-US" w:eastAsia="zh-CN"/>
        </w:rPr>
        <w:t>1317.36</w:t>
      </w:r>
      <w:r>
        <w:rPr>
          <w:rFonts w:ascii="仿宋" w:eastAsia="仿宋" w:hint="eastAsia"/>
          <w:color w:val="000000"/>
          <w:sz w:val="32"/>
          <w:szCs w:val="32"/>
        </w:rPr>
        <w:t>万元，占</w:t>
      </w:r>
      <w:r>
        <w:rPr>
          <w:rFonts w:ascii="仿宋" w:eastAsia="仿宋" w:hint="eastAsia"/>
          <w:color w:val="000000"/>
          <w:sz w:val="32"/>
          <w:szCs w:val="32"/>
          <w:lang w:val="en-US" w:eastAsia="zh-CN"/>
        </w:rPr>
        <w:t>100</w:t>
      </w:r>
      <w:r>
        <w:rPr>
          <w:rFonts w:ascii="仿宋" w:eastAsia="仿宋"/>
          <w:color w:val="000000"/>
          <w:sz w:val="32"/>
          <w:szCs w:val="32"/>
        </w:rPr>
        <w:t>%</w:t>
      </w:r>
      <w:r>
        <w:rPr>
          <w:rFonts w:ascii="仿宋" w:eastAsia="仿宋" w:hint="eastAsia"/>
          <w:color w:val="000000"/>
          <w:sz w:val="32"/>
          <w:szCs w:val="32"/>
        </w:rPr>
        <w:t>；政府性基金预算财政拨款收入</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；上级补助收入</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；事业收入</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；经营收入</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；附属单位上缴收入</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；其他收入</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w:t>
      </w:r>
    </w:p>
    <w:p>
      <w:pPr>
        <w:spacing w:line="600" w:lineRule="exact"/>
        <w:ind w:firstLineChars="200" w:firstLine="640"/>
        <w:outlineLvl w:val="1"/>
        <w:rPr>
          <w:rFonts w:ascii="仿宋" w:eastAsia="仿宋"/>
          <w:color w:val="000000"/>
          <w:sz w:val="32"/>
          <w:szCs w:val="32"/>
        </w:rPr>
      </w:pPr>
    </w:p>
    <w:p>
      <w:pPr>
        <w:rPr>
          <w:rFonts w:ascii="仿宋_GB2312" w:eastAsia="仿宋_GB2312" w:cs="仿宋_GB2312" w:hint="eastAsia"/>
          <w:sz w:val="32"/>
          <w:szCs w:val="32"/>
        </w:rPr>
      </w:pPr>
      <w:r>
        <w:rPr>
          <w:rFonts w:ascii="仿宋_GB2312" w:eastAsia="仿宋_GB2312" w:cs="仿宋_GB2312" w:hint="eastAsia"/>
          <w:sz w:val="32"/>
          <w:szCs w:val="32"/>
        </w:rPr>
        <w:t>（图2：收入决算结构图）（饼状图）</w:t>
      </w:r>
    </w:p>
    <w:p>
      <w:r>
        <w:drawing>
          <wp:inline distT="0" distB="0" distL="114300" distR="114300">
            <wp:extent cx="4572000" cy="2743200"/>
            <wp:effectExtent l="0" t="0" r="0" b="0"/>
            <wp:docPr id="2" name="图表 3"/>
            <wp:cNvGraphicFramePr>
              <a:graphicFrameLocks noChangeAspect="0"/>
            </wp:cNvGraphicFramePr>
            <a:graphic>
              <a:graphicData uri="http://schemas.openxmlformats.org/drawingml/2006/chart">
                <c:chart xmlns:c="http://schemas.openxmlformats.org/drawingml/2006/chart" r:id="rId5"/>
              </a:graphicData>
            </a:graphic>
          </wp:inline>
        </w:drawing>
      </w:r>
    </w:p>
    <w:p>
      <w:pPr>
        <w:pStyle w:val="29"/>
        <w:numPr>
          <w:ilvl w:val="0"/>
          <w:numId w:val="1"/>
        </w:numPr>
        <w:spacing w:line="600" w:lineRule="exact"/>
        <w:ind w:firstLineChars="0"/>
        <w:outlineLvl w:val="1"/>
        <w:rPr>
          <w:rStyle w:val="2Char"/>
          <w:rFonts w:ascii="黑体" w:eastAsia="黑体"/>
          <w:b w:val="0"/>
        </w:rPr>
      </w:pPr>
      <w:bookmarkStart w:id="28" w:name="_Toc15377207"/>
      <w:bookmarkStart w:id="29" w:name="_Toc15396605"/>
      <w:r>
        <w:rPr>
          <w:rFonts w:ascii="黑体" w:eastAsia="黑体" w:hint="eastAsia"/>
          <w:color w:val="000000"/>
          <w:sz w:val="32"/>
          <w:szCs w:val="32"/>
        </w:rPr>
        <w:t>支</w:t>
      </w:r>
      <w:r>
        <w:rPr>
          <w:rStyle w:val="2Char"/>
          <w:rFonts w:ascii="黑体" w:eastAsia="黑体" w:hint="eastAsia"/>
          <w:b w:val="0"/>
        </w:rPr>
        <w:t>出决算情况说明</w:t>
      </w:r>
      <w:bookmarkEnd w:id="28"/>
      <w:bookmarkEnd w:id="29"/>
    </w:p>
    <w:p>
      <w:pPr>
        <w:spacing w:line="600" w:lineRule="exact"/>
        <w:ind w:firstLineChars="200" w:firstLine="640"/>
        <w:outlineLvl w:val="1"/>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9年本年支出合计</w:t>
      </w:r>
      <w:r>
        <w:rPr>
          <w:rFonts w:ascii="仿宋" w:eastAsia="仿宋" w:hint="eastAsia"/>
          <w:color w:val="000000"/>
          <w:sz w:val="32"/>
          <w:szCs w:val="32"/>
          <w:lang w:val="en-US" w:eastAsia="zh-CN"/>
        </w:rPr>
        <w:t>1325.43</w:t>
      </w:r>
      <w:r>
        <w:rPr>
          <w:rFonts w:ascii="仿宋" w:eastAsia="仿宋" w:hint="eastAsia"/>
          <w:color w:val="000000"/>
          <w:sz w:val="32"/>
          <w:szCs w:val="32"/>
        </w:rPr>
        <w:t>万元，其中：基本支出</w:t>
      </w:r>
      <w:r>
        <w:rPr>
          <w:rFonts w:ascii="仿宋" w:eastAsia="仿宋" w:hint="eastAsia"/>
          <w:color w:val="000000"/>
          <w:sz w:val="32"/>
          <w:szCs w:val="32"/>
          <w:lang w:val="en-US" w:eastAsia="zh-CN"/>
        </w:rPr>
        <w:t>1184.51</w:t>
      </w:r>
      <w:r>
        <w:rPr>
          <w:rFonts w:ascii="仿宋" w:eastAsia="仿宋" w:hint="eastAsia"/>
          <w:color w:val="000000"/>
          <w:sz w:val="32"/>
          <w:szCs w:val="32"/>
        </w:rPr>
        <w:t>万元，占</w:t>
      </w:r>
      <w:r>
        <w:rPr>
          <w:rFonts w:ascii="仿宋" w:eastAsia="仿宋" w:hint="eastAsia"/>
          <w:color w:val="000000"/>
          <w:sz w:val="32"/>
          <w:szCs w:val="32"/>
          <w:lang w:val="en-US" w:eastAsia="zh-CN"/>
        </w:rPr>
        <w:t>89.37</w:t>
      </w:r>
      <w:r>
        <w:rPr>
          <w:rFonts w:ascii="仿宋" w:eastAsia="仿宋"/>
          <w:color w:val="000000"/>
          <w:sz w:val="32"/>
          <w:szCs w:val="32"/>
        </w:rPr>
        <w:t>%</w:t>
      </w:r>
      <w:r>
        <w:rPr>
          <w:rFonts w:ascii="仿宋" w:eastAsia="仿宋" w:hint="eastAsia"/>
          <w:color w:val="000000"/>
          <w:sz w:val="32"/>
          <w:szCs w:val="32"/>
        </w:rPr>
        <w:t>；项目支出</w:t>
      </w:r>
      <w:r>
        <w:rPr>
          <w:rFonts w:ascii="仿宋" w:eastAsia="仿宋" w:hint="eastAsia"/>
          <w:color w:val="000000"/>
          <w:sz w:val="32"/>
          <w:szCs w:val="32"/>
          <w:lang w:val="en-US" w:eastAsia="zh-CN"/>
        </w:rPr>
        <w:t>140.92</w:t>
      </w:r>
      <w:r>
        <w:rPr>
          <w:rFonts w:ascii="仿宋" w:eastAsia="仿宋" w:hint="eastAsia"/>
          <w:color w:val="000000"/>
          <w:sz w:val="32"/>
          <w:szCs w:val="32"/>
        </w:rPr>
        <w:t>万元，占</w:t>
      </w:r>
      <w:r>
        <w:rPr>
          <w:rFonts w:ascii="仿宋" w:eastAsia="仿宋" w:hint="eastAsia"/>
          <w:color w:val="000000"/>
          <w:sz w:val="32"/>
          <w:szCs w:val="32"/>
          <w:lang w:val="en-US" w:eastAsia="zh-CN"/>
        </w:rPr>
        <w:t>10.63</w:t>
      </w:r>
      <w:r>
        <w:rPr>
          <w:rFonts w:ascii="仿宋" w:eastAsia="仿宋"/>
          <w:color w:val="000000"/>
          <w:sz w:val="32"/>
          <w:szCs w:val="32"/>
        </w:rPr>
        <w:t>%</w:t>
      </w:r>
      <w:r>
        <w:rPr>
          <w:rFonts w:ascii="仿宋" w:eastAsia="仿宋" w:hint="eastAsia"/>
          <w:color w:val="000000"/>
          <w:sz w:val="32"/>
          <w:szCs w:val="32"/>
        </w:rPr>
        <w:t>；上缴上级支出</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；经营支出</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；对附属单位补助支出</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w:t>
      </w:r>
    </w:p>
    <w:p>
      <w:pPr>
        <w:rPr>
          <w:rFonts w:ascii="仿宋_GB2312" w:eastAsia="仿宋_GB2312" w:cs="仿宋_GB2312" w:hint="eastAsia"/>
          <w:sz w:val="32"/>
          <w:szCs w:val="32"/>
        </w:rPr>
      </w:pPr>
      <w:r>
        <w:rPr>
          <w:rFonts w:ascii="仿宋_GB2312" w:eastAsia="仿宋_GB2312" w:cs="仿宋_GB2312" w:hint="eastAsia"/>
          <w:sz w:val="32"/>
          <w:szCs w:val="32"/>
        </w:rPr>
        <w:t>（图3：支出决算结构图）（饼状图）</w:t>
      </w:r>
    </w:p>
    <w:p>
      <w:pPr>
        <w:rPr>
          <w:rFonts w:hint="eastAsia"/>
        </w:rPr>
      </w:pPr>
      <w:r>
        <w:drawing>
          <wp:inline distT="0" distB="0" distL="114300" distR="114300">
            <wp:extent cx="4572000" cy="2743200"/>
            <wp:effectExtent l="0" t="0" r="0" b="0"/>
            <wp:docPr id="3" name="图表 4"/>
            <wp:cNvGraphicFramePr>
              <a:graphicFrameLocks noChangeAspect="0"/>
            </wp:cNvGraphicFramePr>
            <a:graphic>
              <a:graphicData uri="http://schemas.openxmlformats.org/drawingml/2006/chart">
                <c:chart xmlns:c="http://schemas.openxmlformats.org/drawingml/2006/chart" r:id="rId6"/>
              </a:graphicData>
            </a:graphic>
          </wp:inline>
        </w:drawing>
      </w:r>
    </w:p>
    <w:p>
      <w:pPr>
        <w:spacing w:line="600" w:lineRule="exact"/>
        <w:ind w:firstLineChars="200" w:firstLine="640"/>
        <w:rPr>
          <w:rFonts w:ascii="仿宋_GB2312" w:eastAsia="仿宋_GB2312"/>
          <w:color w:val="FF0000"/>
          <w:sz w:val="32"/>
          <w:szCs w:val="32"/>
        </w:rPr>
      </w:pPr>
    </w:p>
    <w:p>
      <w:pPr>
        <w:spacing w:line="600" w:lineRule="exact"/>
        <w:ind w:firstLineChars="200" w:firstLine="640"/>
        <w:outlineLvl w:val="1"/>
        <w:rPr>
          <w:rStyle w:val="2Char"/>
          <w:rFonts w:ascii="黑体" w:eastAsia="黑体"/>
          <w:b w:val="0"/>
        </w:rPr>
      </w:pPr>
      <w:bookmarkStart w:id="30" w:name="_Toc15377208"/>
      <w:bookmarkStart w:id="31" w:name="_Toc15396606"/>
      <w:r>
        <w:rPr>
          <w:rFonts w:ascii="黑体" w:eastAsia="黑体" w:hint="eastAsia"/>
          <w:color w:val="000000"/>
          <w:sz w:val="32"/>
          <w:szCs w:val="32"/>
        </w:rPr>
        <w:t>四、财</w:t>
      </w:r>
      <w:r>
        <w:rPr>
          <w:rStyle w:val="2Char"/>
          <w:rFonts w:ascii="黑体" w:eastAsia="黑体" w:hint="eastAsia"/>
          <w:b w:val="0"/>
        </w:rPr>
        <w:t>政拨款收入支出决算总体情况说明</w:t>
      </w:r>
      <w:bookmarkEnd w:id="30"/>
      <w:bookmarkEnd w:id="31"/>
    </w:p>
    <w:p>
      <w:pPr>
        <w:spacing w:line="600" w:lineRule="exact"/>
        <w:ind w:firstLine="640"/>
        <w:rPr>
          <w:rFonts w:ascii="仿宋" w:eastAsia="仿宋" w:hint="eastAsia"/>
          <w:color w:val="000000"/>
          <w:sz w:val="32"/>
          <w:szCs w:val="32"/>
          <w:lang w:eastAsia="zh-CN"/>
        </w:rPr>
      </w:pPr>
      <w:r>
        <w:rPr>
          <w:rFonts w:ascii="仿宋" w:eastAsia="仿宋"/>
          <w:color w:val="000000"/>
          <w:sz w:val="32"/>
          <w:szCs w:val="32"/>
        </w:rPr>
        <w:t>201</w:t>
      </w:r>
      <w:r>
        <w:rPr>
          <w:rFonts w:ascii="仿宋" w:eastAsia="仿宋" w:hint="eastAsia"/>
          <w:color w:val="000000"/>
          <w:sz w:val="32"/>
          <w:szCs w:val="32"/>
        </w:rPr>
        <w:t>9年财政拨款收、支总计</w:t>
      </w:r>
      <w:r>
        <w:rPr>
          <w:rFonts w:ascii="仿宋" w:eastAsia="仿宋" w:hint="eastAsia"/>
          <w:color w:val="000000"/>
          <w:sz w:val="32"/>
          <w:szCs w:val="32"/>
          <w:lang w:eastAsia="zh-CN"/>
        </w:rPr>
        <w:t>各</w:t>
      </w:r>
      <w:r>
        <w:rPr>
          <w:rFonts w:ascii="仿宋" w:eastAsia="仿宋" w:hint="eastAsia"/>
          <w:color w:val="000000"/>
          <w:sz w:val="32"/>
          <w:szCs w:val="32"/>
          <w:lang w:val="en-US" w:eastAsia="zh-CN"/>
        </w:rPr>
        <w:t>1325.44</w:t>
      </w:r>
      <w:r>
        <w:rPr>
          <w:rFonts w:ascii="仿宋" w:eastAsia="仿宋" w:hint="eastAsia"/>
          <w:color w:val="000000"/>
          <w:sz w:val="32"/>
          <w:szCs w:val="32"/>
        </w:rPr>
        <w:t>万元</w:t>
      </w:r>
      <w:r>
        <w:rPr>
          <w:rFonts w:ascii="仿宋" w:eastAsia="仿宋" w:hint="eastAsia"/>
          <w:color w:val="000000"/>
          <w:sz w:val="32"/>
          <w:szCs w:val="32"/>
          <w:lang w:eastAsia="zh-CN"/>
        </w:rPr>
        <w:t>，</w:t>
      </w:r>
      <w:r>
        <w:rPr>
          <w:rFonts w:ascii="仿宋" w:eastAsia="仿宋" w:hint="eastAsia"/>
          <w:color w:val="000000"/>
          <w:sz w:val="32"/>
          <w:szCs w:val="32"/>
          <w:lang w:val="en-US" w:eastAsia="zh-CN"/>
        </w:rPr>
        <w:t>1325.44万元</w:t>
      </w:r>
      <w:r>
        <w:rPr>
          <w:rFonts w:ascii="仿宋" w:eastAsia="仿宋" w:hint="eastAsia"/>
          <w:color w:val="000000"/>
          <w:sz w:val="32"/>
          <w:szCs w:val="32"/>
        </w:rPr>
        <w:t>。与</w:t>
      </w:r>
      <w:r>
        <w:rPr>
          <w:rFonts w:ascii="仿宋" w:eastAsia="仿宋"/>
          <w:color w:val="000000"/>
          <w:sz w:val="32"/>
          <w:szCs w:val="32"/>
        </w:rPr>
        <w:t>201</w:t>
      </w:r>
      <w:r>
        <w:rPr>
          <w:rFonts w:ascii="仿宋" w:eastAsia="仿宋" w:hint="eastAsia"/>
          <w:color w:val="000000"/>
          <w:sz w:val="32"/>
          <w:szCs w:val="32"/>
        </w:rPr>
        <w:t>8年相比，财政拨款收、支总计各减少</w:t>
      </w:r>
      <w:r>
        <w:rPr>
          <w:rFonts w:ascii="仿宋" w:eastAsia="仿宋" w:hint="eastAsia"/>
          <w:color w:val="000000"/>
          <w:sz w:val="32"/>
          <w:szCs w:val="32"/>
          <w:lang w:val="en-US" w:eastAsia="zh-CN"/>
        </w:rPr>
        <w:t>464.57</w:t>
      </w:r>
      <w:r>
        <w:rPr>
          <w:rFonts w:ascii="仿宋" w:eastAsia="仿宋" w:hint="eastAsia"/>
          <w:color w:val="000000"/>
          <w:sz w:val="32"/>
          <w:szCs w:val="32"/>
        </w:rPr>
        <w:t>万元，</w:t>
      </w:r>
      <w:r>
        <w:rPr>
          <w:rFonts w:ascii="仿宋" w:eastAsia="仿宋" w:hint="eastAsia"/>
          <w:color w:val="000000"/>
          <w:sz w:val="32"/>
          <w:szCs w:val="32"/>
          <w:lang w:val="en-US" w:eastAsia="zh-CN"/>
        </w:rPr>
        <w:t>464.57万元</w:t>
      </w:r>
      <w:r>
        <w:rPr>
          <w:rFonts w:ascii="仿宋" w:eastAsia="仿宋" w:hint="eastAsia"/>
          <w:color w:val="000000"/>
          <w:sz w:val="32"/>
          <w:szCs w:val="32"/>
          <w:lang w:eastAsia="zh-CN"/>
        </w:rPr>
        <w:t>各</w:t>
      </w:r>
      <w:r>
        <w:rPr>
          <w:rFonts w:ascii="仿宋" w:eastAsia="仿宋" w:hint="eastAsia"/>
          <w:color w:val="000000"/>
          <w:sz w:val="32"/>
          <w:szCs w:val="32"/>
        </w:rPr>
        <w:t>下降</w:t>
      </w:r>
      <w:r>
        <w:rPr>
          <w:rFonts w:ascii="仿宋" w:eastAsia="仿宋" w:hint="eastAsia"/>
          <w:color w:val="000000"/>
          <w:sz w:val="32"/>
          <w:szCs w:val="32"/>
          <w:lang w:eastAsia="zh-CN"/>
        </w:rPr>
        <w:t>了</w:t>
      </w:r>
      <w:r>
        <w:rPr>
          <w:rFonts w:ascii="仿宋" w:eastAsia="仿宋" w:hint="eastAsia"/>
          <w:color w:val="000000"/>
          <w:sz w:val="32"/>
          <w:szCs w:val="32"/>
          <w:lang w:val="en-US" w:eastAsia="zh-CN"/>
        </w:rPr>
        <w:t>25.95</w:t>
      </w:r>
      <w:r>
        <w:rPr>
          <w:rFonts w:ascii="仿宋" w:eastAsia="仿宋"/>
          <w:color w:val="000000"/>
          <w:sz w:val="32"/>
          <w:szCs w:val="32"/>
        </w:rPr>
        <w:t>%</w:t>
      </w:r>
      <w:r>
        <w:rPr>
          <w:rFonts w:ascii="仿宋" w:eastAsia="仿宋" w:hint="eastAsia"/>
          <w:color w:val="000000"/>
          <w:sz w:val="32"/>
          <w:szCs w:val="32"/>
          <w:lang w:val="en-US" w:eastAsia="zh-CN"/>
        </w:rPr>
        <w:t>,25.95%</w:t>
      </w:r>
      <w:r>
        <w:rPr>
          <w:rFonts w:ascii="仿宋" w:eastAsia="仿宋" w:hint="eastAsia"/>
          <w:color w:val="000000"/>
          <w:sz w:val="32"/>
          <w:szCs w:val="32"/>
        </w:rPr>
        <w:t>。主要变动原因是</w:t>
      </w:r>
      <w:r>
        <w:rPr>
          <w:rFonts w:ascii="仿宋" w:eastAsia="仿宋" w:hint="eastAsia"/>
          <w:color w:val="000000"/>
          <w:sz w:val="32"/>
          <w:szCs w:val="32"/>
          <w:lang w:eastAsia="zh-CN"/>
        </w:rPr>
        <w:t>减少了项目支出。</w:t>
      </w:r>
    </w:p>
    <w:p>
      <w:pPr>
        <w:spacing w:line="600" w:lineRule="exact"/>
        <w:rPr>
          <w:rFonts w:ascii="仿宋" w:eastAsia="仿宋"/>
          <w:color w:val="000000"/>
          <w:sz w:val="32"/>
          <w:szCs w:val="32"/>
        </w:rPr>
      </w:pPr>
    </w:p>
    <w:p>
      <w:pPr>
        <w:rPr>
          <w:rFonts w:hint="eastAsia"/>
        </w:rPr>
      </w:pPr>
      <w:r>
        <w:rPr>
          <w:rFonts w:hint="eastAsia"/>
        </w:rPr>
        <w:t>（图4：财政拨款收、支决算总计变动情况）（柱状图）</w:t>
      </w:r>
    </w:p>
    <w:p>
      <w:pPr>
        <w:rPr>
          <w:rFonts w:hint="eastAsia"/>
        </w:rPr>
      </w:pPr>
      <w:r>
        <w:drawing>
          <wp:inline distT="0" distB="0" distL="114300" distR="114300">
            <wp:extent cx="4572000" cy="2743200"/>
            <wp:effectExtent l="0" t="0" r="0" b="0"/>
            <wp:docPr id="4" name="图表 5"/>
            <wp:cNvGraphicFramePr>
              <a:graphicFrameLocks noChangeAspect="0"/>
            </wp:cNvGraphicFramePr>
            <a:graphic>
              <a:graphicData uri="http://schemas.openxmlformats.org/drawingml/2006/chart">
                <c:chart xmlns:c="http://schemas.openxmlformats.org/drawingml/2006/chart" r:id="rId7"/>
              </a:graphicData>
            </a:graphic>
          </wp:inline>
        </w:drawing>
      </w:r>
    </w:p>
    <w:p/>
    <w:p>
      <w:pPr>
        <w:spacing w:line="600" w:lineRule="exact"/>
        <w:ind w:firstLineChars="200" w:firstLine="640"/>
        <w:outlineLvl w:val="1"/>
        <w:rPr>
          <w:rStyle w:val="2Char"/>
          <w:rFonts w:ascii="黑体" w:eastAsia="黑体"/>
          <w:b w:val="0"/>
        </w:rPr>
      </w:pPr>
      <w:bookmarkStart w:id="32" w:name="_Toc15377209"/>
      <w:bookmarkStart w:id="33" w:name="_Toc15396607"/>
      <w:r>
        <w:rPr>
          <w:rFonts w:ascii="黑体" w:eastAsia="黑体" w:hint="eastAsia"/>
          <w:color w:val="000000"/>
          <w:sz w:val="32"/>
          <w:szCs w:val="32"/>
        </w:rPr>
        <w:t>五、</w:t>
      </w:r>
      <w:r>
        <w:rPr>
          <w:rFonts w:ascii="黑体" w:eastAsia="黑体" w:hint="eastAsia"/>
          <w:b/>
          <w:color w:val="000000"/>
          <w:sz w:val="32"/>
          <w:szCs w:val="32"/>
        </w:rPr>
        <w:t>一</w:t>
      </w:r>
      <w:r>
        <w:rPr>
          <w:rStyle w:val="2Char"/>
          <w:rFonts w:ascii="黑体" w:eastAsia="黑体" w:hint="eastAsia"/>
          <w:b w:val="0"/>
        </w:rPr>
        <w:t>般公共预算财政拨款支出决算情况说明</w:t>
      </w:r>
      <w:bookmarkEnd w:id="32"/>
      <w:bookmarkEnd w:id="33"/>
    </w:p>
    <w:p>
      <w:pPr>
        <w:spacing w:line="600" w:lineRule="exact"/>
        <w:ind w:firstLineChars="200" w:firstLine="640"/>
        <w:outlineLvl w:val="2"/>
        <w:rPr>
          <w:rFonts w:ascii="仿宋" w:eastAsia="仿宋"/>
          <w:b/>
          <w:color w:val="000000"/>
          <w:sz w:val="32"/>
          <w:szCs w:val="32"/>
        </w:rPr>
      </w:pPr>
      <w:bookmarkStart w:id="34" w:name="_Toc15377210"/>
      <w:r>
        <w:rPr>
          <w:rFonts w:ascii="仿宋" w:eastAsia="仿宋" w:hint="eastAsia"/>
          <w:b/>
          <w:color w:val="000000"/>
          <w:sz w:val="32"/>
          <w:szCs w:val="32"/>
        </w:rPr>
        <w:t>（一）一般公共预算财政拨款支出决算总体情况</w:t>
      </w:r>
      <w:bookmarkEnd w:id="34"/>
    </w:p>
    <w:p>
      <w:pPr>
        <w:spacing w:line="600" w:lineRule="exact"/>
        <w:ind w:firstLineChars="200" w:firstLine="640"/>
        <w:rPr>
          <w:rFonts w:ascii="仿宋" w:eastAsia="仿宋" w:hint="eastAsia"/>
          <w:color w:val="000000"/>
          <w:sz w:val="32"/>
          <w:szCs w:val="32"/>
          <w:lang w:eastAsia="zh-CN"/>
        </w:rPr>
      </w:pPr>
      <w:r>
        <w:rPr>
          <w:rFonts w:ascii="仿宋" w:eastAsia="仿宋"/>
          <w:color w:val="000000"/>
          <w:sz w:val="32"/>
          <w:szCs w:val="32"/>
        </w:rPr>
        <w:t>201</w:t>
      </w:r>
      <w:r>
        <w:rPr>
          <w:rFonts w:ascii="仿宋" w:eastAsia="仿宋" w:hint="eastAsia"/>
          <w:color w:val="000000"/>
          <w:sz w:val="32"/>
          <w:szCs w:val="32"/>
        </w:rPr>
        <w:t>9年一般公共预算财政拨款支出</w:t>
      </w:r>
      <w:r>
        <w:rPr>
          <w:rFonts w:ascii="仿宋" w:eastAsia="仿宋" w:hint="eastAsia"/>
          <w:color w:val="000000"/>
          <w:sz w:val="32"/>
          <w:szCs w:val="32"/>
          <w:lang w:val="en-US" w:eastAsia="zh-CN"/>
        </w:rPr>
        <w:t>1325.43</w:t>
      </w:r>
      <w:r>
        <w:rPr>
          <w:rFonts w:ascii="仿宋" w:eastAsia="仿宋" w:hint="eastAsia"/>
          <w:color w:val="000000"/>
          <w:sz w:val="32"/>
          <w:szCs w:val="32"/>
        </w:rPr>
        <w:t>万元，占本年支出合计的</w:t>
      </w:r>
      <w:r>
        <w:rPr>
          <w:rFonts w:ascii="仿宋" w:eastAsia="仿宋" w:hint="eastAsia"/>
          <w:color w:val="000000"/>
          <w:sz w:val="32"/>
          <w:szCs w:val="32"/>
          <w:lang w:val="en-US" w:eastAsia="zh-CN"/>
        </w:rPr>
        <w:t>100</w:t>
      </w:r>
      <w:r>
        <w:rPr>
          <w:rFonts w:ascii="仿宋" w:eastAsia="仿宋"/>
          <w:color w:val="000000"/>
          <w:sz w:val="32"/>
          <w:szCs w:val="32"/>
        </w:rPr>
        <w:t>%</w:t>
      </w:r>
      <w:r>
        <w:rPr>
          <w:rFonts w:ascii="仿宋" w:eastAsia="仿宋" w:hint="eastAsia"/>
          <w:color w:val="000000"/>
          <w:sz w:val="32"/>
          <w:szCs w:val="32"/>
        </w:rPr>
        <w:t>。与</w:t>
      </w:r>
      <w:r>
        <w:rPr>
          <w:rFonts w:ascii="仿宋" w:eastAsia="仿宋"/>
          <w:color w:val="000000"/>
          <w:sz w:val="32"/>
          <w:szCs w:val="32"/>
        </w:rPr>
        <w:t>201</w:t>
      </w:r>
      <w:r>
        <w:rPr>
          <w:rFonts w:ascii="仿宋" w:eastAsia="仿宋" w:hint="eastAsia"/>
          <w:color w:val="000000"/>
          <w:sz w:val="32"/>
          <w:szCs w:val="32"/>
        </w:rPr>
        <w:t>8年相比，一般公共预算财政拨</w:t>
      </w:r>
      <w:r>
        <w:rPr>
          <w:rFonts w:ascii="仿宋" w:eastAsia="仿宋" w:hint="eastAsia"/>
          <w:color w:val="000000"/>
          <w:sz w:val="32"/>
          <w:szCs w:val="32"/>
          <w:lang w:eastAsia="zh-CN"/>
        </w:rPr>
        <w:t>款支出</w:t>
      </w:r>
      <w:r>
        <w:rPr>
          <w:rFonts w:ascii="仿宋" w:eastAsia="仿宋" w:hint="eastAsia"/>
          <w:color w:val="000000"/>
          <w:sz w:val="32"/>
          <w:szCs w:val="32"/>
        </w:rPr>
        <w:t>减少</w:t>
      </w:r>
      <w:r>
        <w:rPr>
          <w:rFonts w:ascii="仿宋" w:eastAsia="仿宋" w:hint="eastAsia"/>
          <w:color w:val="000000"/>
          <w:sz w:val="32"/>
          <w:szCs w:val="32"/>
          <w:lang w:val="en-US" w:eastAsia="zh-CN"/>
        </w:rPr>
        <w:t>214.67</w:t>
      </w:r>
      <w:r>
        <w:rPr>
          <w:rFonts w:ascii="仿宋" w:eastAsia="仿宋" w:hint="eastAsia"/>
          <w:color w:val="000000"/>
          <w:sz w:val="32"/>
          <w:szCs w:val="32"/>
        </w:rPr>
        <w:t>万元，下降</w:t>
      </w:r>
      <w:r>
        <w:rPr>
          <w:rFonts w:ascii="仿宋" w:eastAsia="仿宋" w:hint="eastAsia"/>
          <w:color w:val="000000"/>
          <w:sz w:val="32"/>
          <w:szCs w:val="32"/>
          <w:lang w:val="en-US" w:eastAsia="zh-CN"/>
        </w:rPr>
        <w:t>13.94</w:t>
      </w:r>
      <w:r>
        <w:rPr>
          <w:rFonts w:ascii="仿宋" w:eastAsia="仿宋"/>
          <w:color w:val="000000"/>
          <w:sz w:val="32"/>
          <w:szCs w:val="32"/>
        </w:rPr>
        <w:t>%</w:t>
      </w:r>
      <w:r>
        <w:rPr>
          <w:rFonts w:ascii="仿宋" w:eastAsia="仿宋" w:hint="eastAsia"/>
          <w:color w:val="000000"/>
          <w:sz w:val="32"/>
          <w:szCs w:val="32"/>
        </w:rPr>
        <w:t>。主要变动原因是</w:t>
      </w:r>
      <w:r>
        <w:rPr>
          <w:rFonts w:ascii="仿宋" w:eastAsia="仿宋" w:hint="eastAsia"/>
          <w:color w:val="000000"/>
          <w:sz w:val="32"/>
          <w:szCs w:val="32"/>
          <w:lang w:eastAsia="zh-CN"/>
        </w:rPr>
        <w:t>减少了项目支出。</w:t>
      </w:r>
    </w:p>
    <w:p>
      <w:pPr>
        <w:spacing w:line="600" w:lineRule="exact"/>
        <w:ind w:firstLineChars="200" w:firstLine="640"/>
        <w:rPr>
          <w:rFonts w:ascii="仿宋" w:eastAsia="仿宋"/>
          <w:color w:val="000000"/>
          <w:sz w:val="32"/>
          <w:szCs w:val="32"/>
        </w:rPr>
      </w:pPr>
    </w:p>
    <w:p>
      <w:pPr>
        <w:rPr>
          <w:rFonts w:ascii="仿宋_GB2312" w:eastAsia="仿宋_GB2312" w:cs="仿宋_GB2312" w:hint="eastAsia"/>
          <w:sz w:val="32"/>
          <w:szCs w:val="32"/>
        </w:rPr>
      </w:pPr>
      <w:r>
        <w:rPr>
          <w:rFonts w:ascii="仿宋_GB2312" w:eastAsia="仿宋_GB2312" w:cs="仿宋_GB2312" w:hint="eastAsia"/>
          <w:sz w:val="32"/>
          <w:szCs w:val="32"/>
        </w:rPr>
        <w:t>（图5：一般公共预算财政拨款支出决算变动情况）（柱状图）</w:t>
      </w:r>
    </w:p>
    <w:p>
      <w:pPr>
        <w:pStyle w:val="15"/>
        <w:rPr>
          <w:rFonts w:hint="eastAsia"/>
        </w:rPr>
      </w:pPr>
      <w:r>
        <w:drawing>
          <wp:inline distT="0" distB="0" distL="114300" distR="114300">
            <wp:extent cx="4572000" cy="2743200"/>
            <wp:effectExtent l="0" t="0" r="0" b="0"/>
            <wp:docPr id="5" name="图表 8"/>
            <wp:cNvGraphicFramePr>
              <a:graphicFrameLocks noChangeAspect="0"/>
            </wp:cNvGraphicFramePr>
            <a:graphic>
              <a:graphicData uri="http://schemas.openxmlformats.org/drawingml/2006/chart">
                <c:chart xmlns:c="http://schemas.openxmlformats.org/drawingml/2006/chart" r:id="rId8"/>
              </a:graphicData>
            </a:graphic>
          </wp:inline>
        </w:drawing>
      </w:r>
    </w:p>
    <w:p>
      <w:pPr>
        <w:rPr>
          <w:rFonts w:hint="eastAsia"/>
        </w:rPr>
      </w:pPr>
    </w:p>
    <w:p>
      <w:pPr>
        <w:spacing w:line="600" w:lineRule="exact"/>
        <w:ind w:firstLineChars="200" w:firstLine="640"/>
        <w:rPr>
          <w:rFonts w:ascii="仿宋" w:eastAsia="仿宋"/>
          <w:color w:val="000000"/>
          <w:sz w:val="32"/>
          <w:szCs w:val="32"/>
        </w:rPr>
      </w:pPr>
    </w:p>
    <w:p>
      <w:pPr>
        <w:spacing w:line="600" w:lineRule="exact"/>
        <w:ind w:firstLineChars="200" w:firstLine="640"/>
        <w:outlineLvl w:val="2"/>
        <w:rPr>
          <w:rFonts w:ascii="仿宋" w:eastAsia="仿宋"/>
          <w:b/>
          <w:color w:val="000000"/>
          <w:sz w:val="32"/>
          <w:szCs w:val="32"/>
        </w:rPr>
      </w:pPr>
      <w:bookmarkStart w:id="35" w:name="_Toc15377211"/>
      <w:r>
        <w:rPr>
          <w:rFonts w:ascii="仿宋" w:eastAsia="仿宋" w:hint="eastAsia"/>
          <w:b/>
          <w:color w:val="000000"/>
          <w:sz w:val="32"/>
          <w:szCs w:val="32"/>
        </w:rPr>
        <w:t>（二）一般公共预算财政拨款支出决算结构情况</w:t>
      </w:r>
      <w:bookmarkEnd w:id="35"/>
    </w:p>
    <w:p>
      <w:pPr>
        <w:spacing w:line="600" w:lineRule="exact"/>
        <w:ind w:firstLine="640"/>
        <w:rPr>
          <w:rFonts w:ascii="仿宋" w:eastAsia="仿宋"/>
          <w:b/>
          <w:color w:val="000000"/>
          <w:sz w:val="32"/>
          <w:szCs w:val="32"/>
        </w:rPr>
      </w:pPr>
      <w:r>
        <w:rPr>
          <w:rFonts w:ascii="仿宋" w:eastAsia="仿宋"/>
          <w:color w:val="000000"/>
          <w:sz w:val="32"/>
          <w:szCs w:val="32"/>
        </w:rPr>
        <w:t>201</w:t>
      </w:r>
      <w:r>
        <w:rPr>
          <w:rFonts w:ascii="仿宋" w:eastAsia="仿宋" w:hint="eastAsia"/>
          <w:color w:val="000000"/>
          <w:sz w:val="32"/>
          <w:szCs w:val="32"/>
        </w:rPr>
        <w:t>9年一般公共预算财政拨款支出</w:t>
      </w:r>
      <w:r>
        <w:rPr>
          <w:rFonts w:ascii="仿宋" w:eastAsia="仿宋" w:hint="eastAsia"/>
          <w:color w:val="000000"/>
          <w:sz w:val="32"/>
          <w:szCs w:val="32"/>
          <w:lang w:val="en-US" w:eastAsia="zh-CN"/>
        </w:rPr>
        <w:t>1325.43</w:t>
      </w:r>
      <w:r>
        <w:rPr>
          <w:rFonts w:ascii="仿宋" w:eastAsia="仿宋" w:hint="eastAsia"/>
          <w:color w:val="000000"/>
          <w:sz w:val="32"/>
          <w:szCs w:val="32"/>
        </w:rPr>
        <w:t>万元，主要用于以下方面</w:t>
      </w:r>
      <w:r>
        <w:rPr>
          <w:rFonts w:ascii="仿宋" w:eastAsia="仿宋"/>
          <w:color w:val="000000"/>
          <w:sz w:val="32"/>
          <w:szCs w:val="32"/>
        </w:rPr>
        <w:t>:</w:t>
      </w:r>
      <w:r>
        <w:rPr>
          <w:rFonts w:ascii="仿宋" w:eastAsia="仿宋" w:hint="eastAsia"/>
          <w:b/>
          <w:color w:val="000000"/>
          <w:sz w:val="32"/>
          <w:szCs w:val="32"/>
        </w:rPr>
        <w:t>一般公共服务（类）</w:t>
      </w:r>
      <w:r>
        <w:rPr>
          <w:rFonts w:ascii="仿宋" w:eastAsia="仿宋" w:hint="eastAsia"/>
          <w:color w:val="000000"/>
          <w:sz w:val="32"/>
          <w:szCs w:val="32"/>
        </w:rPr>
        <w:t>支出</w:t>
      </w:r>
      <w:r>
        <w:rPr>
          <w:rFonts w:ascii="仿宋" w:eastAsia="仿宋" w:hint="eastAsia"/>
          <w:color w:val="000000"/>
          <w:sz w:val="32"/>
          <w:szCs w:val="32"/>
          <w:lang w:val="en-US" w:eastAsia="zh-CN"/>
        </w:rPr>
        <w:t>1069.28</w:t>
      </w:r>
      <w:r>
        <w:rPr>
          <w:rFonts w:ascii="仿宋" w:eastAsia="仿宋" w:hint="eastAsia"/>
          <w:color w:val="000000"/>
          <w:sz w:val="32"/>
          <w:szCs w:val="32"/>
        </w:rPr>
        <w:t>万元，占</w:t>
      </w:r>
      <w:r>
        <w:rPr>
          <w:rFonts w:ascii="仿宋" w:eastAsia="仿宋" w:hint="eastAsia"/>
          <w:color w:val="000000"/>
          <w:sz w:val="32"/>
          <w:szCs w:val="32"/>
          <w:lang w:val="en-US" w:eastAsia="zh-CN"/>
        </w:rPr>
        <w:t>80.60</w:t>
      </w:r>
      <w:r>
        <w:rPr>
          <w:rFonts w:ascii="仿宋" w:eastAsia="仿宋"/>
          <w:color w:val="000000"/>
          <w:sz w:val="32"/>
          <w:szCs w:val="32"/>
        </w:rPr>
        <w:t>%</w:t>
      </w:r>
      <w:r>
        <w:rPr>
          <w:rFonts w:ascii="仿宋" w:eastAsia="仿宋" w:hint="eastAsia"/>
          <w:color w:val="000000"/>
          <w:sz w:val="32"/>
          <w:szCs w:val="32"/>
        </w:rPr>
        <w:t>；</w:t>
      </w:r>
      <w:r>
        <w:rPr>
          <w:rFonts w:ascii="仿宋" w:eastAsia="仿宋" w:hint="eastAsia"/>
          <w:b/>
          <w:color w:val="000000"/>
          <w:sz w:val="32"/>
          <w:szCs w:val="32"/>
        </w:rPr>
        <w:t>教育支出（类）</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w:t>
      </w:r>
      <w:r>
        <w:rPr>
          <w:rFonts w:ascii="仿宋" w:eastAsia="仿宋" w:hint="eastAsia"/>
          <w:b/>
          <w:color w:val="000000"/>
          <w:sz w:val="32"/>
          <w:szCs w:val="32"/>
        </w:rPr>
        <w:t>科学技术（类）</w:t>
      </w:r>
      <w:r>
        <w:rPr>
          <w:rFonts w:ascii="仿宋" w:eastAsia="仿宋" w:hint="eastAsia"/>
          <w:color w:val="000000"/>
          <w:sz w:val="32"/>
          <w:szCs w:val="32"/>
        </w:rPr>
        <w:t>支出</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w:t>
      </w:r>
      <w:r>
        <w:rPr>
          <w:rFonts w:ascii="仿宋" w:eastAsia="仿宋" w:hint="eastAsia"/>
          <w:b/>
          <w:bCs/>
          <w:color w:val="000000"/>
          <w:sz w:val="32"/>
          <w:szCs w:val="32"/>
        </w:rPr>
        <w:t>文化旅游体育与传媒（类）支出</w:t>
      </w:r>
      <w:r>
        <w:rPr>
          <w:rFonts w:ascii="仿宋" w:eastAsia="仿宋" w:hint="eastAsia"/>
          <w:b/>
          <w:bCs/>
          <w:color w:val="000000"/>
          <w:sz w:val="32"/>
          <w:szCs w:val="32"/>
          <w:lang w:val="en-US" w:eastAsia="zh-CN"/>
        </w:rPr>
        <w:t>0</w:t>
      </w:r>
      <w:r>
        <w:rPr>
          <w:rFonts w:ascii="仿宋" w:eastAsia="仿宋" w:hint="eastAsia"/>
          <w:b/>
          <w:bCs/>
          <w:color w:val="000000"/>
          <w:sz w:val="32"/>
          <w:szCs w:val="32"/>
        </w:rPr>
        <w:t>万元，占</w:t>
      </w:r>
      <w:r>
        <w:rPr>
          <w:rFonts w:ascii="仿宋" w:eastAsia="仿宋" w:hint="eastAsia"/>
          <w:b/>
          <w:bCs/>
          <w:color w:val="000000"/>
          <w:sz w:val="32"/>
          <w:szCs w:val="32"/>
          <w:lang w:val="en-US" w:eastAsia="zh-CN"/>
        </w:rPr>
        <w:t>0</w:t>
      </w:r>
      <w:r>
        <w:rPr>
          <w:rFonts w:ascii="仿宋" w:eastAsia="仿宋"/>
          <w:b/>
          <w:bCs/>
          <w:color w:val="000000"/>
          <w:sz w:val="32"/>
          <w:szCs w:val="32"/>
        </w:rPr>
        <w:t>%</w:t>
      </w:r>
      <w:r>
        <w:rPr>
          <w:rFonts w:ascii="仿宋" w:eastAsia="仿宋" w:hint="eastAsia"/>
          <w:color w:val="000000"/>
          <w:sz w:val="32"/>
          <w:szCs w:val="32"/>
        </w:rPr>
        <w:t>；</w:t>
      </w:r>
      <w:r>
        <w:rPr>
          <w:rFonts w:ascii="仿宋" w:eastAsia="仿宋" w:hint="eastAsia"/>
          <w:b/>
          <w:color w:val="000000"/>
          <w:sz w:val="32"/>
          <w:szCs w:val="32"/>
        </w:rPr>
        <w:t>社会保障和就业（类）</w:t>
      </w:r>
      <w:r>
        <w:rPr>
          <w:rFonts w:ascii="仿宋" w:eastAsia="仿宋" w:hint="eastAsia"/>
          <w:color w:val="000000"/>
          <w:sz w:val="32"/>
          <w:szCs w:val="32"/>
        </w:rPr>
        <w:t>支出</w:t>
      </w:r>
      <w:r>
        <w:rPr>
          <w:rFonts w:ascii="仿宋" w:eastAsia="仿宋" w:hint="eastAsia"/>
          <w:color w:val="000000"/>
          <w:sz w:val="32"/>
          <w:szCs w:val="32"/>
          <w:lang w:val="en-US" w:eastAsia="zh-CN"/>
        </w:rPr>
        <w:t>105.37</w:t>
      </w:r>
      <w:r>
        <w:rPr>
          <w:rFonts w:ascii="仿宋" w:eastAsia="仿宋" w:hint="eastAsia"/>
          <w:color w:val="000000"/>
          <w:sz w:val="32"/>
          <w:szCs w:val="32"/>
        </w:rPr>
        <w:t>万元，占</w:t>
      </w:r>
      <w:r>
        <w:rPr>
          <w:rFonts w:ascii="仿宋" w:eastAsia="仿宋" w:hint="eastAsia"/>
          <w:color w:val="000000"/>
          <w:sz w:val="32"/>
          <w:szCs w:val="32"/>
          <w:lang w:val="en-US" w:eastAsia="zh-CN"/>
        </w:rPr>
        <w:t>7.95</w:t>
      </w:r>
      <w:r>
        <w:rPr>
          <w:rFonts w:ascii="仿宋" w:eastAsia="仿宋"/>
          <w:color w:val="000000"/>
          <w:sz w:val="32"/>
          <w:szCs w:val="32"/>
        </w:rPr>
        <w:t>%</w:t>
      </w:r>
      <w:r>
        <w:rPr>
          <w:rFonts w:ascii="仿宋" w:eastAsia="仿宋" w:hint="eastAsia"/>
          <w:color w:val="000000"/>
          <w:sz w:val="32"/>
          <w:szCs w:val="32"/>
        </w:rPr>
        <w:t>；</w:t>
      </w:r>
      <w:r>
        <w:rPr>
          <w:rFonts w:ascii="仿宋" w:eastAsia="仿宋" w:hint="eastAsia"/>
          <w:b/>
          <w:bCs/>
          <w:color w:val="000000"/>
          <w:sz w:val="32"/>
          <w:szCs w:val="32"/>
        </w:rPr>
        <w:t>卫生健康支出</w:t>
      </w:r>
      <w:r>
        <w:rPr>
          <w:rFonts w:ascii="仿宋" w:eastAsia="仿宋" w:hint="eastAsia"/>
          <w:color w:val="000000"/>
          <w:sz w:val="32"/>
          <w:szCs w:val="32"/>
          <w:lang w:val="en-US" w:eastAsia="zh-CN"/>
        </w:rPr>
        <w:t>34.74</w:t>
      </w:r>
      <w:r>
        <w:rPr>
          <w:rFonts w:ascii="仿宋" w:eastAsia="仿宋" w:hint="eastAsia"/>
          <w:color w:val="000000"/>
          <w:sz w:val="32"/>
          <w:szCs w:val="32"/>
        </w:rPr>
        <w:t>万元，占</w:t>
      </w:r>
      <w:r>
        <w:rPr>
          <w:rFonts w:ascii="仿宋" w:eastAsia="仿宋" w:hint="eastAsia"/>
          <w:color w:val="000000"/>
          <w:sz w:val="32"/>
          <w:szCs w:val="32"/>
          <w:lang w:val="en-US" w:eastAsia="zh-CN"/>
        </w:rPr>
        <w:t>2.62</w:t>
      </w:r>
      <w:r>
        <w:rPr>
          <w:rFonts w:ascii="仿宋" w:eastAsia="仿宋"/>
          <w:color w:val="000000"/>
          <w:sz w:val="32"/>
          <w:szCs w:val="32"/>
        </w:rPr>
        <w:t>%</w:t>
      </w:r>
      <w:r>
        <w:rPr>
          <w:rFonts w:ascii="仿宋" w:eastAsia="仿宋" w:hint="eastAsia"/>
          <w:color w:val="000000"/>
          <w:sz w:val="32"/>
          <w:szCs w:val="32"/>
        </w:rPr>
        <w:t>；住房保障支出</w:t>
      </w:r>
      <w:r>
        <w:rPr>
          <w:rFonts w:ascii="仿宋" w:eastAsia="仿宋" w:hint="eastAsia"/>
          <w:color w:val="000000"/>
          <w:sz w:val="32"/>
          <w:szCs w:val="32"/>
          <w:lang w:val="en-US" w:eastAsia="zh-CN"/>
        </w:rPr>
        <w:t>66.04</w:t>
      </w:r>
      <w:r>
        <w:rPr>
          <w:rFonts w:ascii="仿宋" w:eastAsia="仿宋" w:hint="eastAsia"/>
          <w:color w:val="000000"/>
          <w:sz w:val="32"/>
          <w:szCs w:val="32"/>
        </w:rPr>
        <w:t>万元，占</w:t>
      </w:r>
      <w:r>
        <w:rPr>
          <w:rFonts w:ascii="仿宋" w:eastAsia="仿宋" w:hint="eastAsia"/>
          <w:color w:val="000000"/>
          <w:sz w:val="32"/>
          <w:szCs w:val="32"/>
          <w:lang w:val="en-US" w:eastAsia="zh-CN"/>
        </w:rPr>
        <w:t>4.98</w:t>
      </w:r>
      <w:r>
        <w:rPr>
          <w:rFonts w:ascii="仿宋" w:eastAsia="仿宋"/>
          <w:color w:val="000000"/>
          <w:sz w:val="32"/>
          <w:szCs w:val="32"/>
        </w:rPr>
        <w:t>%</w:t>
      </w:r>
      <w:r>
        <w:rPr>
          <w:rFonts w:ascii="仿宋" w:eastAsia="仿宋" w:hint="eastAsia"/>
          <w:color w:val="000000"/>
          <w:sz w:val="32"/>
          <w:szCs w:val="32"/>
          <w:lang w:eastAsia="zh-CN"/>
        </w:rPr>
        <w:t>；</w:t>
      </w:r>
      <w:r>
        <w:rPr>
          <w:rFonts w:ascii="仿宋" w:eastAsia="仿宋" w:hint="eastAsia"/>
          <w:b/>
          <w:bCs/>
          <w:color w:val="000000"/>
          <w:sz w:val="32"/>
          <w:szCs w:val="32"/>
        </w:rPr>
        <w:t>公共安全</w:t>
      </w:r>
      <w:r>
        <w:rPr>
          <w:rFonts w:ascii="仿宋" w:eastAsia="仿宋" w:hint="eastAsia"/>
          <w:b/>
          <w:bCs/>
          <w:color w:val="000000"/>
          <w:sz w:val="32"/>
          <w:szCs w:val="32"/>
          <w:lang w:eastAsia="zh-CN"/>
        </w:rPr>
        <w:t>支出</w:t>
      </w:r>
      <w:r>
        <w:rPr>
          <w:rFonts w:ascii="仿宋" w:eastAsia="仿宋" w:hint="eastAsia"/>
          <w:b/>
          <w:bCs/>
          <w:color w:val="000000"/>
          <w:sz w:val="32"/>
          <w:szCs w:val="32"/>
        </w:rPr>
        <w:t>（类）</w:t>
      </w:r>
      <w:r>
        <w:rPr>
          <w:rFonts w:ascii="仿宋" w:eastAsia="仿宋" w:hint="eastAsia"/>
          <w:color w:val="000000"/>
          <w:sz w:val="32"/>
          <w:szCs w:val="32"/>
        </w:rPr>
        <w:t>5</w:t>
      </w:r>
      <w:r>
        <w:rPr>
          <w:rFonts w:ascii="仿宋" w:eastAsia="仿宋" w:hint="eastAsia"/>
          <w:color w:val="000000"/>
          <w:sz w:val="32"/>
          <w:szCs w:val="32"/>
          <w:lang w:val="en-US" w:eastAsia="zh-CN"/>
        </w:rPr>
        <w:t>0.00万元</w:t>
      </w:r>
      <w:r>
        <w:rPr>
          <w:rFonts w:ascii="仿宋" w:eastAsia="仿宋" w:hint="eastAsia"/>
          <w:color w:val="000000"/>
          <w:sz w:val="32"/>
          <w:szCs w:val="32"/>
        </w:rPr>
        <w:t>，占</w:t>
      </w:r>
      <w:r>
        <w:rPr>
          <w:rFonts w:ascii="仿宋" w:eastAsia="仿宋" w:hint="eastAsia"/>
          <w:color w:val="000000"/>
          <w:sz w:val="32"/>
          <w:szCs w:val="32"/>
          <w:lang w:val="en-US" w:eastAsia="zh-CN"/>
        </w:rPr>
        <w:t>3.77</w:t>
      </w:r>
      <w:r>
        <w:rPr>
          <w:rFonts w:ascii="仿宋" w:eastAsia="仿宋"/>
          <w:color w:val="000000"/>
          <w:sz w:val="32"/>
          <w:szCs w:val="32"/>
        </w:rPr>
        <w:t>%</w:t>
      </w:r>
      <w:r>
        <w:rPr>
          <w:rFonts w:ascii="仿宋" w:eastAsia="仿宋" w:hint="eastAsia"/>
          <w:color w:val="000000"/>
          <w:sz w:val="32"/>
          <w:szCs w:val="32"/>
        </w:rPr>
        <w:t>。</w:t>
      </w:r>
    </w:p>
    <w:p>
      <w:pPr>
        <w:spacing w:line="600" w:lineRule="exact"/>
        <w:ind w:firstLine="640"/>
        <w:rPr>
          <w:rFonts w:ascii="仿宋" w:eastAsia="仿宋"/>
          <w:color w:val="000000"/>
          <w:sz w:val="32"/>
          <w:szCs w:val="32"/>
        </w:rPr>
      </w:pPr>
    </w:p>
    <w:p>
      <w:pPr>
        <w:rPr>
          <w:rFonts w:hint="eastAsia"/>
        </w:rPr>
      </w:pPr>
      <w:r>
        <w:rPr>
          <w:rFonts w:ascii="仿宋_GB2312" w:eastAsia="仿宋_GB2312" w:cs="仿宋_GB2312" w:hint="eastAsia"/>
          <w:sz w:val="32"/>
          <w:szCs w:val="32"/>
        </w:rPr>
        <w:t>（图6：一般公共预算财政拨款支出决算结构）（饼状图）</w:t>
      </w:r>
    </w:p>
    <w:p>
      <w:pPr>
        <w:rPr>
          <w:rFonts w:hint="eastAsia"/>
        </w:rPr>
      </w:pPr>
      <w:r>
        <w:drawing>
          <wp:inline distT="0" distB="0" distL="114300" distR="114300">
            <wp:extent cx="4572000" cy="2743200"/>
            <wp:effectExtent l="0" t="0" r="0" b="0"/>
            <wp:docPr id="6" name="图表 4"/>
            <wp:cNvGraphicFramePr>
              <a:graphicFrameLocks noChangeAspect="0"/>
            </wp:cNvGraphicFramePr>
            <a:graphic>
              <a:graphicData uri="http://schemas.openxmlformats.org/drawingml/2006/chart">
                <c:chart xmlns:c="http://schemas.openxmlformats.org/drawingml/2006/chart" r:id="rId9"/>
              </a:graphicData>
            </a:graphic>
          </wp:inline>
        </w:drawing>
      </w:r>
    </w:p>
    <w:p>
      <w:pPr>
        <w:rPr>
          <w:rFonts w:hint="eastAsia"/>
        </w:rPr>
      </w:pPr>
    </w:p>
    <w:p/>
    <w:p>
      <w:pPr>
        <w:spacing w:line="600" w:lineRule="exact"/>
        <w:ind w:firstLineChars="200" w:firstLine="640"/>
        <w:outlineLvl w:val="2"/>
        <w:rPr>
          <w:rFonts w:ascii="仿宋" w:eastAsia="仿宋"/>
          <w:b/>
          <w:color w:val="000000"/>
          <w:sz w:val="32"/>
          <w:szCs w:val="32"/>
        </w:rPr>
      </w:pPr>
      <w:bookmarkStart w:id="36" w:name="_Toc15377212"/>
      <w:r>
        <w:rPr>
          <w:rFonts w:ascii="仿宋" w:eastAsia="仿宋" w:hint="eastAsia"/>
          <w:b/>
          <w:color w:val="000000"/>
          <w:sz w:val="32"/>
          <w:szCs w:val="32"/>
        </w:rPr>
        <w:t>（三）一般公共预算财政拨款支出决算具体情况</w:t>
      </w:r>
      <w:bookmarkEnd w:id="36"/>
    </w:p>
    <w:p>
      <w:pPr>
        <w:spacing w:line="600" w:lineRule="exact"/>
        <w:ind w:firstLineChars="200" w:firstLine="640"/>
        <w:outlineLvl w:val="2"/>
        <w:rPr>
          <w:rFonts w:ascii="仿宋" w:eastAsia="仿宋"/>
          <w:color w:val="FF0000"/>
          <w:sz w:val="32"/>
          <w:szCs w:val="32"/>
        </w:rPr>
      </w:pPr>
      <w:bookmarkStart w:id="37" w:name="_Toc15378460"/>
      <w:bookmarkStart w:id="38" w:name="_Toc15377213"/>
      <w:bookmarkStart w:id="39" w:name="_Toc15377444"/>
      <w:r>
        <w:rPr>
          <w:rFonts w:ascii="仿宋" w:eastAsia="仿宋" w:hint="eastAsia"/>
          <w:b/>
          <w:color w:val="000000"/>
          <w:sz w:val="32"/>
          <w:szCs w:val="32"/>
        </w:rPr>
        <w:t>2019年</w:t>
      </w:r>
      <w:r>
        <w:rPr>
          <w:rFonts w:ascii="仿宋" w:eastAsia="仿宋" w:hint="eastAsia"/>
          <w:b/>
          <w:color w:val="000000"/>
          <w:sz w:val="32"/>
          <w:szCs w:val="32"/>
          <w:lang w:eastAsia="zh-CN"/>
        </w:rPr>
        <w:t>一</w:t>
      </w:r>
      <w:r>
        <w:rPr>
          <w:rFonts w:ascii="仿宋" w:eastAsia="仿宋" w:hint="eastAsia"/>
          <w:b/>
          <w:color w:val="000000"/>
          <w:sz w:val="32"/>
          <w:szCs w:val="32"/>
        </w:rPr>
        <w:t>般公共预算支出决算数为</w:t>
      </w:r>
      <w:r>
        <w:rPr>
          <w:rFonts w:ascii="仿宋" w:eastAsia="仿宋" w:hint="eastAsia"/>
          <w:b/>
          <w:color w:val="000000"/>
          <w:sz w:val="32"/>
          <w:szCs w:val="32"/>
          <w:lang w:val="en-US" w:eastAsia="zh-CN"/>
        </w:rPr>
        <w:t>1325.43万元</w:t>
      </w:r>
      <w:r>
        <w:rPr>
          <w:rFonts w:ascii="仿宋" w:eastAsia="仿宋" w:hint="eastAsia"/>
          <w:color w:val="000000"/>
          <w:sz w:val="32"/>
          <w:szCs w:val="32"/>
        </w:rPr>
        <w:t>，</w:t>
      </w:r>
      <w:r>
        <w:rPr>
          <w:rStyle w:val="23"/>
          <w:rFonts w:ascii="仿宋" w:eastAsia="仿宋" w:hint="eastAsia"/>
          <w:bCs/>
          <w:color w:val="000000"/>
          <w:sz w:val="32"/>
          <w:szCs w:val="32"/>
        </w:rPr>
        <w:t>完成预算</w:t>
      </w:r>
      <w:r>
        <w:rPr>
          <w:rStyle w:val="23"/>
          <w:rFonts w:ascii="仿宋" w:eastAsia="仿宋" w:hint="eastAsia"/>
          <w:bCs/>
          <w:color w:val="000000"/>
          <w:sz w:val="32"/>
          <w:szCs w:val="32"/>
          <w:lang w:val="en-US" w:eastAsia="zh-CN"/>
        </w:rPr>
        <w:t>100</w:t>
      </w:r>
      <w:r>
        <w:rPr>
          <w:rStyle w:val="23"/>
          <w:rFonts w:ascii="仿宋" w:eastAsia="仿宋"/>
          <w:bCs/>
          <w:color w:val="000000"/>
          <w:sz w:val="32"/>
          <w:szCs w:val="32"/>
        </w:rPr>
        <w:t>%</w:t>
      </w:r>
      <w:r>
        <w:rPr>
          <w:rStyle w:val="23"/>
          <w:rFonts w:ascii="仿宋" w:eastAsia="仿宋" w:hint="eastAsia"/>
          <w:bCs/>
          <w:color w:val="000000"/>
          <w:sz w:val="32"/>
          <w:szCs w:val="32"/>
        </w:rPr>
        <w:t>。其中：</w:t>
      </w:r>
      <w:bookmarkEnd w:id="37"/>
      <w:bookmarkEnd w:id="38"/>
      <w:bookmarkEnd w:id="39"/>
    </w:p>
    <w:p>
      <w:pPr>
        <w:numPr>
          <w:ilvl w:val="0"/>
          <w:numId w:val="2"/>
        </w:numPr>
        <w:spacing w:line="600" w:lineRule="exact"/>
        <w:ind w:left="0" w:firstLineChars="200" w:firstLine="640"/>
        <w:rPr>
          <w:rFonts w:ascii="仿宋" w:eastAsia="仿宋"/>
          <w:b/>
          <w:color w:val="000000"/>
          <w:sz w:val="32"/>
          <w:szCs w:val="32"/>
        </w:rPr>
      </w:pPr>
      <w:r>
        <w:rPr>
          <w:rStyle w:val="23"/>
          <w:rFonts w:ascii="仿宋" w:eastAsia="仿宋" w:hint="eastAsia"/>
          <w:bCs/>
          <w:color w:val="000000"/>
          <w:sz w:val="32"/>
          <w:szCs w:val="32"/>
        </w:rPr>
        <w:t>一般公共服务</w:t>
      </w:r>
      <w:r>
        <w:rPr>
          <w:rStyle w:val="23"/>
          <w:rFonts w:ascii="仿宋" w:eastAsia="仿宋" w:hint="eastAsia"/>
          <w:bCs/>
          <w:color w:val="000000"/>
          <w:sz w:val="32"/>
          <w:szCs w:val="32"/>
          <w:lang w:val="en-US" w:eastAsia="zh-CN"/>
        </w:rPr>
        <w:t>201</w:t>
      </w:r>
      <w:r>
        <w:rPr>
          <w:rStyle w:val="23"/>
          <w:rFonts w:ascii="仿宋" w:eastAsia="仿宋" w:hint="eastAsia"/>
          <w:bCs/>
          <w:color w:val="000000"/>
          <w:sz w:val="32"/>
          <w:szCs w:val="32"/>
        </w:rPr>
        <w:t>（类）</w:t>
      </w:r>
      <w:r>
        <w:rPr>
          <w:rStyle w:val="23"/>
          <w:rFonts w:ascii="仿宋" w:eastAsia="仿宋" w:hint="eastAsia"/>
          <w:bCs/>
          <w:color w:val="000000"/>
          <w:sz w:val="32"/>
          <w:szCs w:val="32"/>
          <w:lang w:val="en-US" w:eastAsia="zh-CN"/>
        </w:rPr>
        <w:t>03</w:t>
      </w:r>
      <w:r>
        <w:rPr>
          <w:rStyle w:val="23"/>
          <w:rFonts w:ascii="仿宋" w:eastAsia="仿宋" w:hint="eastAsia"/>
          <w:bCs/>
          <w:color w:val="000000"/>
          <w:sz w:val="32"/>
          <w:szCs w:val="32"/>
        </w:rPr>
        <w:t>（款）</w:t>
      </w:r>
      <w:r>
        <w:rPr>
          <w:rStyle w:val="23"/>
          <w:rFonts w:ascii="仿宋" w:eastAsia="仿宋" w:hint="eastAsia"/>
          <w:bCs/>
          <w:color w:val="000000"/>
          <w:sz w:val="32"/>
          <w:szCs w:val="32"/>
          <w:lang w:val="en-US" w:eastAsia="zh-CN"/>
        </w:rPr>
        <w:t>01</w:t>
      </w:r>
      <w:r>
        <w:rPr>
          <w:rStyle w:val="23"/>
          <w:rFonts w:ascii="仿宋" w:eastAsia="仿宋" w:hint="eastAsia"/>
          <w:bCs/>
          <w:color w:val="000000"/>
          <w:sz w:val="32"/>
          <w:szCs w:val="32"/>
        </w:rPr>
        <w:t>（项）</w:t>
      </w:r>
      <w:r>
        <w:rPr>
          <w:rStyle w:val="23"/>
          <w:rFonts w:ascii="仿宋" w:eastAsia="仿宋"/>
          <w:bCs/>
          <w:color w:val="000000"/>
          <w:sz w:val="32"/>
          <w:szCs w:val="32"/>
        </w:rPr>
        <w:t>:</w:t>
      </w:r>
      <w:r>
        <w:rPr>
          <w:rStyle w:val="23"/>
          <w:rFonts w:ascii="仿宋" w:eastAsia="仿宋"/>
          <w:b w:val="0"/>
          <w:bCs/>
          <w:color w:val="000000"/>
          <w:sz w:val="32"/>
          <w:szCs w:val="32"/>
        </w:rPr>
        <w:t xml:space="preserve"> </w:t>
      </w:r>
      <w:r>
        <w:rPr>
          <w:rStyle w:val="23"/>
          <w:rFonts w:ascii="仿宋" w:eastAsia="仿宋" w:hint="eastAsia"/>
          <w:b w:val="0"/>
          <w:bCs/>
          <w:color w:val="000000"/>
          <w:sz w:val="32"/>
          <w:szCs w:val="32"/>
        </w:rPr>
        <w:t>支出决算为</w:t>
      </w:r>
      <w:r>
        <w:rPr>
          <w:rStyle w:val="23"/>
          <w:rFonts w:ascii="仿宋" w:eastAsia="仿宋" w:hint="eastAsia"/>
          <w:b w:val="0"/>
          <w:bCs/>
          <w:color w:val="000000"/>
          <w:sz w:val="32"/>
          <w:szCs w:val="32"/>
          <w:lang w:val="en-US" w:eastAsia="zh-CN"/>
        </w:rPr>
        <w:t>978.36</w:t>
      </w:r>
      <w:r>
        <w:rPr>
          <w:rStyle w:val="23"/>
          <w:rFonts w:ascii="仿宋" w:eastAsia="仿宋" w:hint="eastAsia"/>
          <w:b w:val="0"/>
          <w:bCs/>
          <w:color w:val="000000"/>
          <w:sz w:val="32"/>
          <w:szCs w:val="32"/>
        </w:rPr>
        <w:t>万元，完成预算</w:t>
      </w:r>
      <w:r>
        <w:rPr>
          <w:rStyle w:val="23"/>
          <w:rFonts w:ascii="仿宋" w:eastAsia="仿宋" w:hint="eastAsia"/>
          <w:b w:val="0"/>
          <w:bCs/>
          <w:color w:val="000000"/>
          <w:sz w:val="32"/>
          <w:szCs w:val="32"/>
          <w:lang w:val="en-US" w:eastAsia="zh-CN"/>
        </w:rPr>
        <w:t>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r>
        <w:rPr>
          <w:rStyle w:val="23"/>
          <w:rFonts w:ascii="仿宋" w:eastAsia="仿宋" w:hint="eastAsia"/>
          <w:bCs/>
          <w:color w:val="000000"/>
          <w:sz w:val="32"/>
          <w:szCs w:val="32"/>
        </w:rPr>
        <w:t>一般公共服务</w:t>
      </w:r>
      <w:r>
        <w:rPr>
          <w:rStyle w:val="23"/>
          <w:rFonts w:ascii="仿宋" w:eastAsia="仿宋" w:hint="eastAsia"/>
          <w:bCs/>
          <w:color w:val="000000"/>
          <w:sz w:val="32"/>
          <w:szCs w:val="32"/>
          <w:lang w:val="en-US" w:eastAsia="zh-CN"/>
        </w:rPr>
        <w:t>201</w:t>
      </w:r>
      <w:r>
        <w:rPr>
          <w:rStyle w:val="23"/>
          <w:rFonts w:ascii="仿宋" w:eastAsia="仿宋" w:hint="eastAsia"/>
          <w:bCs/>
          <w:color w:val="000000"/>
          <w:sz w:val="32"/>
          <w:szCs w:val="32"/>
        </w:rPr>
        <w:t>（类）</w:t>
      </w:r>
      <w:r>
        <w:rPr>
          <w:rStyle w:val="23"/>
          <w:rFonts w:ascii="仿宋" w:eastAsia="仿宋" w:hint="eastAsia"/>
          <w:bCs/>
          <w:color w:val="000000"/>
          <w:sz w:val="32"/>
          <w:szCs w:val="32"/>
          <w:lang w:val="en-US" w:eastAsia="zh-CN"/>
        </w:rPr>
        <w:t>03</w:t>
      </w:r>
      <w:r>
        <w:rPr>
          <w:rStyle w:val="23"/>
          <w:rFonts w:ascii="仿宋" w:eastAsia="仿宋" w:hint="eastAsia"/>
          <w:bCs/>
          <w:color w:val="000000"/>
          <w:sz w:val="32"/>
          <w:szCs w:val="32"/>
        </w:rPr>
        <w:t>（款）</w:t>
      </w:r>
      <w:r>
        <w:rPr>
          <w:rStyle w:val="23"/>
          <w:rFonts w:ascii="仿宋" w:eastAsia="仿宋" w:hint="eastAsia"/>
          <w:bCs/>
          <w:color w:val="000000"/>
          <w:sz w:val="32"/>
          <w:szCs w:val="32"/>
          <w:lang w:val="en-US" w:eastAsia="zh-CN"/>
        </w:rPr>
        <w:t>02</w:t>
      </w:r>
      <w:r>
        <w:rPr>
          <w:rStyle w:val="23"/>
          <w:rFonts w:ascii="仿宋" w:eastAsia="仿宋" w:hint="eastAsia"/>
          <w:bCs/>
          <w:color w:val="000000"/>
          <w:sz w:val="32"/>
          <w:szCs w:val="32"/>
        </w:rPr>
        <w:t>（项）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w:t>
      </w:r>
      <w:r>
        <w:rPr>
          <w:rStyle w:val="23"/>
          <w:rFonts w:ascii="仿宋" w:eastAsia="仿宋" w:hint="eastAsia"/>
          <w:b w:val="0"/>
          <w:bCs/>
          <w:color w:val="000000"/>
          <w:sz w:val="32"/>
          <w:szCs w:val="32"/>
          <w:lang w:val="en-US" w:eastAsia="zh-CN"/>
        </w:rPr>
        <w:t>9.07</w:t>
      </w:r>
      <w:r>
        <w:rPr>
          <w:rStyle w:val="23"/>
          <w:rFonts w:ascii="仿宋" w:eastAsia="仿宋" w:hint="eastAsia"/>
          <w:b w:val="0"/>
          <w:bCs/>
          <w:color w:val="000000"/>
          <w:sz w:val="32"/>
          <w:szCs w:val="32"/>
        </w:rPr>
        <w:t>万元，完成预算</w:t>
      </w:r>
      <w:r>
        <w:rPr>
          <w:rStyle w:val="23"/>
          <w:rFonts w:ascii="仿宋" w:eastAsia="仿宋" w:hint="eastAsia"/>
          <w:b w:val="0"/>
          <w:bCs/>
          <w:color w:val="000000"/>
          <w:sz w:val="32"/>
          <w:szCs w:val="32"/>
          <w:lang w:val="en-US" w:eastAsia="zh-CN"/>
        </w:rPr>
        <w:t>100</w:t>
      </w:r>
      <w:r>
        <w:rPr>
          <w:rStyle w:val="23"/>
          <w:rFonts w:ascii="仿宋" w:eastAsia="仿宋"/>
          <w:b w:val="0"/>
          <w:bCs/>
          <w:color w:val="000000"/>
          <w:sz w:val="32"/>
          <w:szCs w:val="32"/>
        </w:rPr>
        <w:t>%</w:t>
      </w:r>
      <w:r>
        <w:rPr>
          <w:rStyle w:val="23"/>
          <w:rFonts w:ascii="仿宋" w:eastAsia="仿宋" w:hint="eastAsia"/>
          <w:b w:val="0"/>
          <w:bCs/>
          <w:color w:val="000000"/>
          <w:sz w:val="32"/>
          <w:szCs w:val="32"/>
          <w:lang w:eastAsia="zh-CN"/>
        </w:rPr>
        <w:t>，</w:t>
      </w:r>
      <w:r>
        <w:rPr>
          <w:rStyle w:val="23"/>
          <w:rFonts w:ascii="仿宋" w:eastAsia="仿宋" w:hint="eastAsia"/>
          <w:bCs/>
          <w:color w:val="000000"/>
          <w:sz w:val="32"/>
          <w:szCs w:val="32"/>
        </w:rPr>
        <w:t>一般公共服务</w:t>
      </w:r>
      <w:r>
        <w:rPr>
          <w:rStyle w:val="23"/>
          <w:rFonts w:ascii="仿宋" w:eastAsia="仿宋" w:hint="eastAsia"/>
          <w:bCs/>
          <w:color w:val="000000"/>
          <w:sz w:val="32"/>
          <w:szCs w:val="32"/>
          <w:lang w:val="en-US" w:eastAsia="zh-CN"/>
        </w:rPr>
        <w:t>201</w:t>
      </w:r>
      <w:r>
        <w:rPr>
          <w:rStyle w:val="23"/>
          <w:rFonts w:ascii="仿宋" w:eastAsia="仿宋" w:hint="eastAsia"/>
          <w:bCs/>
          <w:color w:val="000000"/>
          <w:sz w:val="32"/>
          <w:szCs w:val="32"/>
        </w:rPr>
        <w:t>（类）</w:t>
      </w:r>
      <w:r>
        <w:rPr>
          <w:rStyle w:val="23"/>
          <w:rFonts w:ascii="仿宋" w:eastAsia="仿宋" w:hint="eastAsia"/>
          <w:bCs/>
          <w:color w:val="000000"/>
          <w:sz w:val="32"/>
          <w:szCs w:val="32"/>
          <w:lang w:val="en-US" w:eastAsia="zh-CN"/>
        </w:rPr>
        <w:t>03</w:t>
      </w:r>
      <w:r>
        <w:rPr>
          <w:rStyle w:val="23"/>
          <w:rFonts w:ascii="仿宋" w:eastAsia="仿宋" w:hint="eastAsia"/>
          <w:bCs/>
          <w:color w:val="000000"/>
          <w:sz w:val="32"/>
          <w:szCs w:val="32"/>
        </w:rPr>
        <w:t>（款）</w:t>
      </w:r>
      <w:r>
        <w:rPr>
          <w:rStyle w:val="23"/>
          <w:rFonts w:ascii="仿宋" w:eastAsia="仿宋" w:hint="eastAsia"/>
          <w:bCs/>
          <w:color w:val="000000"/>
          <w:sz w:val="32"/>
          <w:szCs w:val="32"/>
          <w:lang w:val="en-US" w:eastAsia="zh-CN"/>
        </w:rPr>
        <w:t>99</w:t>
      </w:r>
      <w:r>
        <w:rPr>
          <w:rStyle w:val="23"/>
          <w:rFonts w:ascii="仿宋" w:eastAsia="仿宋" w:hint="eastAsia"/>
          <w:bCs/>
          <w:color w:val="000000"/>
          <w:sz w:val="32"/>
          <w:szCs w:val="32"/>
        </w:rPr>
        <w:t>（项）</w:t>
      </w:r>
      <w:r>
        <w:rPr>
          <w:rStyle w:val="23"/>
          <w:rFonts w:ascii="仿宋" w:eastAsia="仿宋"/>
          <w:bCs/>
          <w:color w:val="000000"/>
          <w:sz w:val="32"/>
          <w:szCs w:val="32"/>
        </w:rPr>
        <w:t>:</w:t>
      </w:r>
      <w:r>
        <w:rPr>
          <w:rStyle w:val="23"/>
          <w:rFonts w:ascii="仿宋" w:eastAsia="仿宋"/>
          <w:b w:val="0"/>
          <w:bCs/>
          <w:color w:val="000000"/>
          <w:sz w:val="32"/>
          <w:szCs w:val="32"/>
        </w:rPr>
        <w:t xml:space="preserve"> </w:t>
      </w:r>
      <w:r>
        <w:rPr>
          <w:rStyle w:val="23"/>
          <w:rFonts w:ascii="仿宋" w:eastAsia="仿宋" w:hint="eastAsia"/>
          <w:b w:val="0"/>
          <w:bCs/>
          <w:color w:val="000000"/>
          <w:sz w:val="32"/>
          <w:szCs w:val="32"/>
        </w:rPr>
        <w:t>支出决算为</w:t>
      </w:r>
      <w:r>
        <w:rPr>
          <w:rStyle w:val="23"/>
          <w:rFonts w:ascii="仿宋" w:eastAsia="仿宋" w:hint="eastAsia"/>
          <w:b w:val="0"/>
          <w:bCs/>
          <w:color w:val="000000"/>
          <w:sz w:val="32"/>
          <w:szCs w:val="32"/>
          <w:lang w:val="en-US" w:eastAsia="zh-CN"/>
        </w:rPr>
        <w:t>81.85</w:t>
      </w:r>
      <w:r>
        <w:rPr>
          <w:rStyle w:val="23"/>
          <w:rFonts w:ascii="仿宋" w:eastAsia="仿宋" w:hint="eastAsia"/>
          <w:b w:val="0"/>
          <w:bCs/>
          <w:color w:val="000000"/>
          <w:sz w:val="32"/>
          <w:szCs w:val="32"/>
        </w:rPr>
        <w:t>万元，完成预算</w:t>
      </w:r>
      <w:r>
        <w:rPr>
          <w:rStyle w:val="23"/>
          <w:rFonts w:ascii="仿宋" w:eastAsia="仿宋" w:hint="eastAsia"/>
          <w:b w:val="0"/>
          <w:bCs/>
          <w:color w:val="000000"/>
          <w:sz w:val="32"/>
          <w:szCs w:val="32"/>
          <w:lang w:val="en-US" w:eastAsia="zh-CN"/>
        </w:rPr>
        <w:t>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spacing w:line="600" w:lineRule="exact"/>
        <w:ind w:firstLineChars="200" w:firstLine="640"/>
        <w:rPr>
          <w:rStyle w:val="23"/>
          <w:rFonts w:ascii="仿宋" w:eastAsia="仿宋" w:hint="eastAsia"/>
          <w:b w:val="0"/>
          <w:bCs/>
          <w:color w:val="000000"/>
          <w:sz w:val="32"/>
          <w:szCs w:val="32"/>
          <w:lang w:eastAsia="zh-CN"/>
        </w:rPr>
      </w:pPr>
      <w:r>
        <w:rPr>
          <w:rStyle w:val="23"/>
          <w:rFonts w:ascii="仿宋" w:eastAsia="仿宋"/>
          <w:bCs/>
          <w:color w:val="000000"/>
          <w:sz w:val="32"/>
          <w:szCs w:val="32"/>
        </w:rPr>
        <w:t>2.</w:t>
      </w:r>
      <w:r>
        <w:rPr>
          <w:rFonts w:ascii="仿宋" w:eastAsia="仿宋" w:hint="eastAsia"/>
          <w:b/>
          <w:bCs/>
          <w:color w:val="000000"/>
          <w:sz w:val="32"/>
          <w:szCs w:val="32"/>
        </w:rPr>
        <w:t>公共安全204</w:t>
      </w:r>
      <w:r>
        <w:rPr>
          <w:rStyle w:val="23"/>
          <w:rFonts w:ascii="仿宋" w:eastAsia="仿宋" w:hint="eastAsia"/>
          <w:bCs/>
          <w:color w:val="000000"/>
          <w:sz w:val="32"/>
          <w:szCs w:val="32"/>
        </w:rPr>
        <w:t>（类）</w:t>
      </w:r>
      <w:r>
        <w:rPr>
          <w:rStyle w:val="23"/>
          <w:rFonts w:ascii="仿宋" w:eastAsia="仿宋" w:hint="eastAsia"/>
          <w:bCs/>
          <w:color w:val="000000"/>
          <w:sz w:val="32"/>
          <w:szCs w:val="32"/>
          <w:lang w:val="en-US" w:eastAsia="zh-CN"/>
        </w:rPr>
        <w:t>06</w:t>
      </w:r>
      <w:r>
        <w:rPr>
          <w:rStyle w:val="23"/>
          <w:rFonts w:ascii="仿宋" w:eastAsia="仿宋" w:hint="eastAsia"/>
          <w:bCs/>
          <w:color w:val="000000"/>
          <w:sz w:val="32"/>
          <w:szCs w:val="32"/>
        </w:rPr>
        <w:t>（款）0</w:t>
      </w:r>
      <w:r>
        <w:rPr>
          <w:rStyle w:val="23"/>
          <w:rFonts w:ascii="仿宋" w:eastAsia="仿宋" w:hint="eastAsia"/>
          <w:bCs/>
          <w:color w:val="000000"/>
          <w:sz w:val="32"/>
          <w:szCs w:val="32"/>
          <w:lang w:val="en-US" w:eastAsia="zh-CN"/>
        </w:rPr>
        <w:t>7</w:t>
      </w:r>
      <w:r>
        <w:rPr>
          <w:rStyle w:val="23"/>
          <w:rFonts w:ascii="仿宋" w:eastAsia="仿宋" w:hint="eastAsia"/>
          <w:bCs/>
          <w:color w:val="000000"/>
          <w:sz w:val="32"/>
          <w:szCs w:val="32"/>
        </w:rPr>
        <w:t>（项）</w:t>
      </w:r>
      <w:r>
        <w:rPr>
          <w:rStyle w:val="23"/>
          <w:rFonts w:ascii="仿宋" w:eastAsia="仿宋"/>
          <w:bCs/>
          <w:color w:val="000000"/>
          <w:sz w:val="32"/>
          <w:szCs w:val="32"/>
        </w:rPr>
        <w:t>:</w:t>
      </w:r>
      <w:r>
        <w:rPr>
          <w:rStyle w:val="23"/>
          <w:rFonts w:ascii="仿宋" w:eastAsia="仿宋"/>
          <w:b w:val="0"/>
          <w:bCs/>
          <w:color w:val="000000"/>
          <w:sz w:val="32"/>
          <w:szCs w:val="32"/>
        </w:rPr>
        <w:t xml:space="preserve"> </w:t>
      </w:r>
      <w:r>
        <w:rPr>
          <w:rStyle w:val="23"/>
          <w:rFonts w:ascii="仿宋" w:eastAsia="仿宋" w:hint="eastAsia"/>
          <w:b w:val="0"/>
          <w:bCs/>
          <w:color w:val="000000"/>
          <w:sz w:val="32"/>
          <w:szCs w:val="32"/>
        </w:rPr>
        <w:t>支出决算为</w:t>
      </w:r>
      <w:r>
        <w:rPr>
          <w:rStyle w:val="23"/>
          <w:rFonts w:ascii="仿宋" w:eastAsia="仿宋" w:hint="eastAsia"/>
          <w:b w:val="0"/>
          <w:bCs/>
          <w:color w:val="000000"/>
          <w:sz w:val="32"/>
          <w:szCs w:val="32"/>
          <w:lang w:val="en-US" w:eastAsia="zh-CN"/>
        </w:rPr>
        <w:t>6</w:t>
      </w:r>
      <w:r>
        <w:rPr>
          <w:rStyle w:val="23"/>
          <w:rFonts w:ascii="仿宋" w:eastAsia="仿宋" w:hint="eastAsia"/>
          <w:b w:val="0"/>
          <w:bCs/>
          <w:color w:val="000000"/>
          <w:sz w:val="32"/>
          <w:szCs w:val="32"/>
        </w:rPr>
        <w:t>万元，完成预算</w:t>
      </w:r>
      <w:r>
        <w:rPr>
          <w:rStyle w:val="23"/>
          <w:rFonts w:ascii="仿宋" w:eastAsia="仿宋" w:hint="eastAsia"/>
          <w:b w:val="0"/>
          <w:bCs/>
          <w:color w:val="000000"/>
          <w:sz w:val="32"/>
          <w:szCs w:val="32"/>
          <w:lang w:val="en-US" w:eastAsia="zh-CN"/>
        </w:rPr>
        <w:t>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r>
        <w:rPr>
          <w:rFonts w:ascii="仿宋" w:eastAsia="仿宋" w:hint="eastAsia"/>
          <w:b/>
          <w:bCs/>
          <w:color w:val="000000"/>
          <w:sz w:val="32"/>
          <w:szCs w:val="32"/>
        </w:rPr>
        <w:t>公共安全204</w:t>
      </w:r>
      <w:r>
        <w:rPr>
          <w:rStyle w:val="23"/>
          <w:rFonts w:ascii="仿宋" w:eastAsia="仿宋" w:hint="eastAsia"/>
          <w:bCs/>
          <w:color w:val="000000"/>
          <w:sz w:val="32"/>
          <w:szCs w:val="32"/>
        </w:rPr>
        <w:t>（类）99（款）01（项）</w:t>
      </w:r>
      <w:r>
        <w:rPr>
          <w:rStyle w:val="23"/>
          <w:rFonts w:ascii="仿宋" w:eastAsia="仿宋"/>
          <w:bCs/>
          <w:color w:val="000000"/>
          <w:sz w:val="32"/>
          <w:szCs w:val="32"/>
        </w:rPr>
        <w:t>:</w:t>
      </w:r>
      <w:r>
        <w:rPr>
          <w:rStyle w:val="23"/>
          <w:rFonts w:ascii="仿宋" w:eastAsia="仿宋"/>
          <w:b w:val="0"/>
          <w:bCs/>
          <w:color w:val="000000"/>
          <w:sz w:val="32"/>
          <w:szCs w:val="32"/>
        </w:rPr>
        <w:t xml:space="preserve"> </w:t>
      </w:r>
      <w:r>
        <w:rPr>
          <w:rStyle w:val="23"/>
          <w:rFonts w:ascii="仿宋" w:eastAsia="仿宋" w:hint="eastAsia"/>
          <w:b w:val="0"/>
          <w:bCs/>
          <w:color w:val="000000"/>
          <w:sz w:val="32"/>
          <w:szCs w:val="32"/>
        </w:rPr>
        <w:t>支出决算为</w:t>
      </w:r>
      <w:r>
        <w:rPr>
          <w:rStyle w:val="23"/>
          <w:rFonts w:ascii="仿宋" w:eastAsia="仿宋" w:hint="eastAsia"/>
          <w:b w:val="0"/>
          <w:bCs/>
          <w:color w:val="000000"/>
          <w:sz w:val="32"/>
          <w:szCs w:val="32"/>
          <w:lang w:val="en-US" w:eastAsia="zh-CN"/>
        </w:rPr>
        <w:t>44</w:t>
      </w:r>
      <w:r>
        <w:rPr>
          <w:rStyle w:val="23"/>
          <w:rFonts w:ascii="仿宋" w:eastAsia="仿宋" w:hint="eastAsia"/>
          <w:b w:val="0"/>
          <w:bCs/>
          <w:color w:val="000000"/>
          <w:sz w:val="32"/>
          <w:szCs w:val="32"/>
        </w:rPr>
        <w:t>万元，完成预算</w:t>
      </w:r>
      <w:r>
        <w:rPr>
          <w:rStyle w:val="23"/>
          <w:rFonts w:ascii="仿宋" w:eastAsia="仿宋" w:hint="eastAsia"/>
          <w:b w:val="0"/>
          <w:bCs/>
          <w:color w:val="000000"/>
          <w:sz w:val="32"/>
          <w:szCs w:val="32"/>
          <w:lang w:val="en-US" w:eastAsia="zh-CN"/>
        </w:rPr>
        <w:t>100</w:t>
      </w:r>
      <w:r>
        <w:rPr>
          <w:rStyle w:val="23"/>
          <w:rFonts w:ascii="仿宋" w:eastAsia="仿宋"/>
          <w:b w:val="0"/>
          <w:bCs/>
          <w:color w:val="000000"/>
          <w:sz w:val="32"/>
          <w:szCs w:val="32"/>
        </w:rPr>
        <w:t>%</w:t>
      </w:r>
      <w:r>
        <w:rPr>
          <w:rStyle w:val="23"/>
          <w:rFonts w:ascii="仿宋" w:eastAsia="仿宋" w:hint="eastAsia"/>
          <w:b w:val="0"/>
          <w:bCs/>
          <w:color w:val="000000"/>
          <w:sz w:val="32"/>
          <w:szCs w:val="32"/>
          <w:lang w:eastAsia="zh-CN"/>
        </w:rPr>
        <w:t>。</w:t>
      </w:r>
    </w:p>
    <w:p>
      <w:pPr>
        <w:spacing w:line="600" w:lineRule="exact"/>
        <w:ind w:firstLineChars="200" w:firstLine="640"/>
        <w:rPr>
          <w:rFonts w:ascii="仿宋" w:eastAsia="仿宋"/>
          <w:b/>
          <w:color w:val="000000"/>
          <w:sz w:val="32"/>
          <w:szCs w:val="32"/>
        </w:rPr>
      </w:pPr>
      <w:r>
        <w:rPr>
          <w:rStyle w:val="23"/>
          <w:rFonts w:ascii="仿宋" w:eastAsia="仿宋"/>
          <w:bCs/>
          <w:color w:val="000000"/>
          <w:sz w:val="32"/>
          <w:szCs w:val="32"/>
        </w:rPr>
        <w:t>3.</w:t>
      </w:r>
      <w:r>
        <w:rPr>
          <w:rStyle w:val="23"/>
          <w:rFonts w:ascii="仿宋" w:eastAsia="仿宋" w:hint="eastAsia"/>
          <w:bCs/>
          <w:color w:val="000000"/>
          <w:sz w:val="32"/>
          <w:szCs w:val="32"/>
        </w:rPr>
        <w:t>社会保障和就业208（类）05（款）05（项）</w:t>
      </w:r>
      <w:r>
        <w:rPr>
          <w:rStyle w:val="23"/>
          <w:rFonts w:ascii="仿宋" w:eastAsia="仿宋"/>
          <w:bCs/>
          <w:color w:val="000000"/>
          <w:sz w:val="32"/>
          <w:szCs w:val="32"/>
        </w:rPr>
        <w:t>:</w:t>
      </w:r>
      <w:r>
        <w:rPr>
          <w:rStyle w:val="23"/>
          <w:rFonts w:ascii="仿宋" w:eastAsia="仿宋"/>
          <w:b w:val="0"/>
          <w:bCs/>
          <w:color w:val="000000"/>
          <w:sz w:val="32"/>
          <w:szCs w:val="32"/>
        </w:rPr>
        <w:t xml:space="preserve"> </w:t>
      </w:r>
      <w:r>
        <w:rPr>
          <w:rStyle w:val="23"/>
          <w:rFonts w:ascii="仿宋" w:eastAsia="仿宋" w:hint="eastAsia"/>
          <w:b w:val="0"/>
          <w:bCs/>
          <w:color w:val="000000"/>
          <w:sz w:val="32"/>
          <w:szCs w:val="32"/>
        </w:rPr>
        <w:t>支出决算为</w:t>
      </w:r>
      <w:r>
        <w:rPr>
          <w:rStyle w:val="23"/>
          <w:rFonts w:ascii="仿宋" w:eastAsia="仿宋" w:hint="eastAsia"/>
          <w:b w:val="0"/>
          <w:bCs/>
          <w:color w:val="000000"/>
          <w:sz w:val="32"/>
          <w:szCs w:val="32"/>
          <w:lang w:val="en-US" w:eastAsia="zh-CN"/>
        </w:rPr>
        <w:t>70.85</w:t>
      </w:r>
      <w:r>
        <w:rPr>
          <w:rStyle w:val="23"/>
          <w:rFonts w:ascii="仿宋" w:eastAsia="仿宋" w:hint="eastAsia"/>
          <w:b w:val="0"/>
          <w:bCs/>
          <w:color w:val="000000"/>
          <w:sz w:val="32"/>
          <w:szCs w:val="32"/>
        </w:rPr>
        <w:t>万元，完成预算</w:t>
      </w:r>
      <w:r>
        <w:rPr>
          <w:rStyle w:val="23"/>
          <w:rFonts w:ascii="仿宋" w:eastAsia="仿宋" w:hint="eastAsia"/>
          <w:b w:val="0"/>
          <w:bCs/>
          <w:color w:val="000000"/>
          <w:sz w:val="32"/>
          <w:szCs w:val="32"/>
          <w:lang w:val="en-US" w:eastAsia="zh-CN"/>
        </w:rPr>
        <w:t>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r>
        <w:rPr>
          <w:rStyle w:val="23"/>
          <w:rFonts w:ascii="仿宋" w:eastAsia="仿宋" w:hint="eastAsia"/>
          <w:bCs/>
          <w:color w:val="000000"/>
          <w:sz w:val="32"/>
          <w:szCs w:val="32"/>
        </w:rPr>
        <w:t>社会保障和就业208（类）05（款）06（项）</w:t>
      </w:r>
      <w:r>
        <w:rPr>
          <w:rStyle w:val="23"/>
          <w:rFonts w:ascii="仿宋" w:eastAsia="仿宋"/>
          <w:bCs/>
          <w:color w:val="000000"/>
          <w:sz w:val="32"/>
          <w:szCs w:val="32"/>
        </w:rPr>
        <w:t>:</w:t>
      </w:r>
      <w:r>
        <w:rPr>
          <w:rStyle w:val="23"/>
          <w:rFonts w:ascii="仿宋" w:eastAsia="仿宋" w:hint="eastAsia"/>
          <w:b w:val="0"/>
          <w:bCs/>
          <w:color w:val="000000"/>
          <w:sz w:val="32"/>
          <w:szCs w:val="32"/>
        </w:rPr>
        <w:t>支出决算为</w:t>
      </w:r>
      <w:r>
        <w:rPr>
          <w:rStyle w:val="23"/>
          <w:rFonts w:ascii="仿宋" w:eastAsia="仿宋" w:hint="eastAsia"/>
          <w:b w:val="0"/>
          <w:bCs/>
          <w:color w:val="000000"/>
          <w:sz w:val="32"/>
          <w:szCs w:val="32"/>
          <w:lang w:val="en-US" w:eastAsia="zh-CN"/>
        </w:rPr>
        <w:t>34.52</w:t>
      </w:r>
      <w:r>
        <w:rPr>
          <w:rStyle w:val="23"/>
          <w:rFonts w:ascii="仿宋" w:eastAsia="仿宋" w:hint="eastAsia"/>
          <w:b w:val="0"/>
          <w:bCs/>
          <w:color w:val="000000"/>
          <w:sz w:val="32"/>
          <w:szCs w:val="32"/>
        </w:rPr>
        <w:t>万元，完成预算</w:t>
      </w:r>
      <w:r>
        <w:rPr>
          <w:rStyle w:val="23"/>
          <w:rFonts w:ascii="仿宋" w:eastAsia="仿宋" w:hint="eastAsia"/>
          <w:b w:val="0"/>
          <w:bCs/>
          <w:color w:val="000000"/>
          <w:sz w:val="32"/>
          <w:szCs w:val="32"/>
          <w:lang w:val="en-US" w:eastAsia="zh-CN"/>
        </w:rPr>
        <w:t>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spacing w:line="600" w:lineRule="exact"/>
        <w:ind w:firstLineChars="200" w:firstLine="640"/>
        <w:rPr>
          <w:rStyle w:val="23"/>
          <w:rFonts w:ascii="仿宋" w:eastAsia="仿宋" w:hint="eastAsia"/>
          <w:b w:val="0"/>
          <w:bCs/>
          <w:color w:val="000000"/>
          <w:sz w:val="32"/>
          <w:szCs w:val="32"/>
          <w:lang w:val="en-US" w:eastAsia="zh-CN"/>
        </w:rPr>
      </w:pPr>
      <w:r>
        <w:rPr>
          <w:rStyle w:val="23"/>
          <w:rFonts w:ascii="仿宋" w:eastAsia="仿宋"/>
          <w:bCs/>
          <w:color w:val="000000"/>
          <w:sz w:val="32"/>
          <w:szCs w:val="32"/>
        </w:rPr>
        <w:t>4.</w:t>
      </w:r>
      <w:r>
        <w:rPr>
          <w:rFonts w:ascii="仿宋" w:eastAsia="仿宋" w:hint="eastAsia"/>
          <w:b/>
          <w:bCs/>
          <w:color w:val="000000"/>
          <w:sz w:val="32"/>
          <w:szCs w:val="32"/>
        </w:rPr>
        <w:t>卫生健康</w:t>
      </w:r>
      <w:r>
        <w:rPr>
          <w:rFonts w:ascii="仿宋" w:eastAsia="仿宋" w:hint="eastAsia"/>
          <w:b/>
          <w:bCs/>
          <w:color w:val="000000"/>
          <w:sz w:val="32"/>
          <w:szCs w:val="32"/>
          <w:lang w:val="en-US" w:eastAsia="zh-CN"/>
        </w:rPr>
        <w:t>210</w:t>
      </w:r>
      <w:r>
        <w:rPr>
          <w:rStyle w:val="23"/>
          <w:rFonts w:ascii="仿宋" w:eastAsia="仿宋" w:hint="eastAsia"/>
          <w:bCs/>
          <w:color w:val="000000"/>
          <w:sz w:val="32"/>
          <w:szCs w:val="32"/>
        </w:rPr>
        <w:t>（类）</w:t>
      </w:r>
      <w:r>
        <w:rPr>
          <w:rStyle w:val="23"/>
          <w:rFonts w:ascii="仿宋" w:eastAsia="仿宋" w:hint="eastAsia"/>
          <w:bCs/>
          <w:color w:val="000000"/>
          <w:sz w:val="32"/>
          <w:szCs w:val="32"/>
          <w:lang w:val="en-US" w:eastAsia="zh-CN"/>
        </w:rPr>
        <w:t>11</w:t>
      </w:r>
      <w:r>
        <w:rPr>
          <w:rStyle w:val="23"/>
          <w:rFonts w:ascii="仿宋" w:eastAsia="仿宋" w:hint="eastAsia"/>
          <w:bCs/>
          <w:color w:val="000000"/>
          <w:sz w:val="32"/>
          <w:szCs w:val="32"/>
        </w:rPr>
        <w:t>（款）</w:t>
      </w:r>
      <w:r>
        <w:rPr>
          <w:rStyle w:val="23"/>
          <w:rFonts w:ascii="仿宋" w:eastAsia="仿宋" w:hint="eastAsia"/>
          <w:bCs/>
          <w:color w:val="000000"/>
          <w:sz w:val="32"/>
          <w:szCs w:val="32"/>
          <w:lang w:val="en-US" w:eastAsia="zh-CN"/>
        </w:rPr>
        <w:t>01</w:t>
      </w:r>
      <w:r>
        <w:rPr>
          <w:rStyle w:val="23"/>
          <w:rFonts w:ascii="仿宋" w:eastAsia="仿宋" w:hint="eastAsia"/>
          <w:bCs/>
          <w:color w:val="000000"/>
          <w:sz w:val="32"/>
          <w:szCs w:val="32"/>
        </w:rPr>
        <w:t>（项）</w:t>
      </w:r>
      <w:r>
        <w:rPr>
          <w:rStyle w:val="23"/>
          <w:rFonts w:ascii="仿宋" w:eastAsia="仿宋"/>
          <w:bCs/>
          <w:color w:val="000000"/>
          <w:sz w:val="32"/>
          <w:szCs w:val="32"/>
        </w:rPr>
        <w:t>:</w:t>
      </w:r>
      <w:r>
        <w:rPr>
          <w:rStyle w:val="23"/>
          <w:rFonts w:ascii="仿宋" w:eastAsia="仿宋"/>
          <w:b w:val="0"/>
          <w:bCs/>
          <w:color w:val="000000"/>
          <w:sz w:val="32"/>
          <w:szCs w:val="32"/>
        </w:rPr>
        <w:t xml:space="preserve"> </w:t>
      </w:r>
      <w:r>
        <w:rPr>
          <w:rStyle w:val="23"/>
          <w:rFonts w:ascii="仿宋" w:eastAsia="仿宋" w:hint="eastAsia"/>
          <w:b w:val="0"/>
          <w:bCs/>
          <w:color w:val="000000"/>
          <w:sz w:val="32"/>
          <w:szCs w:val="32"/>
        </w:rPr>
        <w:t>支出决算为</w:t>
      </w:r>
      <w:r>
        <w:rPr>
          <w:rStyle w:val="23"/>
          <w:rFonts w:ascii="仿宋" w:eastAsia="仿宋" w:hint="eastAsia"/>
          <w:b w:val="0"/>
          <w:bCs/>
          <w:color w:val="000000"/>
          <w:sz w:val="32"/>
          <w:szCs w:val="32"/>
          <w:lang w:val="en-US" w:eastAsia="zh-CN"/>
        </w:rPr>
        <w:t>34.74</w:t>
      </w:r>
      <w:r>
        <w:rPr>
          <w:rStyle w:val="23"/>
          <w:rFonts w:ascii="仿宋" w:eastAsia="仿宋" w:hint="eastAsia"/>
          <w:b w:val="0"/>
          <w:bCs/>
          <w:color w:val="000000"/>
          <w:sz w:val="32"/>
          <w:szCs w:val="32"/>
        </w:rPr>
        <w:t>万元，完成预算</w:t>
      </w:r>
      <w:r>
        <w:rPr>
          <w:rStyle w:val="23"/>
          <w:rFonts w:ascii="仿宋" w:eastAsia="仿宋" w:hint="eastAsia"/>
          <w:b w:val="0"/>
          <w:bCs/>
          <w:color w:val="000000"/>
          <w:sz w:val="32"/>
          <w:szCs w:val="32"/>
          <w:lang w:val="en-US" w:eastAsia="zh-CN"/>
        </w:rPr>
        <w:t>100</w:t>
      </w:r>
      <w:r>
        <w:rPr>
          <w:rStyle w:val="23"/>
          <w:rFonts w:ascii="仿宋" w:eastAsia="仿宋"/>
          <w:b w:val="0"/>
          <w:bCs/>
          <w:color w:val="000000"/>
          <w:sz w:val="32"/>
          <w:szCs w:val="32"/>
        </w:rPr>
        <w:t>%</w:t>
      </w:r>
      <w:r>
        <w:rPr>
          <w:rStyle w:val="23"/>
          <w:rFonts w:ascii="仿宋" w:eastAsia="仿宋" w:hint="eastAsia"/>
          <w:b w:val="0"/>
          <w:bCs/>
          <w:color w:val="000000"/>
          <w:sz w:val="32"/>
          <w:szCs w:val="32"/>
          <w:lang w:eastAsia="zh-CN"/>
        </w:rPr>
        <w:t>。</w:t>
      </w:r>
    </w:p>
    <w:p>
      <w:pPr>
        <w:spacing w:line="600" w:lineRule="exact"/>
        <w:ind w:firstLineChars="200" w:firstLine="640"/>
        <w:rPr>
          <w:rFonts w:ascii="仿宋" w:eastAsia="仿宋"/>
          <w:b/>
          <w:color w:val="000000"/>
          <w:sz w:val="32"/>
          <w:szCs w:val="32"/>
        </w:rPr>
      </w:pPr>
      <w:r>
        <w:rPr>
          <w:rStyle w:val="23"/>
          <w:rFonts w:ascii="仿宋" w:eastAsia="仿宋"/>
          <w:bCs/>
          <w:color w:val="000000"/>
          <w:sz w:val="32"/>
          <w:szCs w:val="32"/>
        </w:rPr>
        <w:t>5.</w:t>
      </w:r>
      <w:r>
        <w:rPr>
          <w:rFonts w:ascii="仿宋" w:eastAsia="仿宋" w:hint="eastAsia"/>
          <w:b/>
          <w:bCs/>
          <w:color w:val="000000"/>
          <w:sz w:val="32"/>
          <w:szCs w:val="32"/>
        </w:rPr>
        <w:t>住房保障支出221</w:t>
      </w:r>
      <w:r>
        <w:rPr>
          <w:rStyle w:val="23"/>
          <w:rFonts w:ascii="仿宋" w:eastAsia="仿宋" w:hint="eastAsia"/>
          <w:bCs/>
          <w:color w:val="000000"/>
          <w:sz w:val="32"/>
          <w:szCs w:val="32"/>
        </w:rPr>
        <w:t>（类）02（款）01（项）</w:t>
      </w:r>
      <w:r>
        <w:rPr>
          <w:rStyle w:val="23"/>
          <w:rFonts w:ascii="仿宋" w:eastAsia="仿宋"/>
          <w:bCs/>
          <w:color w:val="000000"/>
          <w:sz w:val="32"/>
          <w:szCs w:val="32"/>
        </w:rPr>
        <w:t>:</w:t>
      </w:r>
      <w:r>
        <w:rPr>
          <w:rStyle w:val="23"/>
          <w:rFonts w:ascii="仿宋" w:eastAsia="仿宋"/>
          <w:b w:val="0"/>
          <w:bCs/>
          <w:color w:val="000000"/>
          <w:sz w:val="32"/>
          <w:szCs w:val="32"/>
        </w:rPr>
        <w:t xml:space="preserve"> </w:t>
      </w:r>
      <w:r>
        <w:rPr>
          <w:rStyle w:val="23"/>
          <w:rFonts w:ascii="仿宋" w:eastAsia="仿宋" w:hint="eastAsia"/>
          <w:b w:val="0"/>
          <w:bCs/>
          <w:color w:val="000000"/>
          <w:sz w:val="32"/>
          <w:szCs w:val="32"/>
        </w:rPr>
        <w:t>支出决算为</w:t>
      </w:r>
      <w:r>
        <w:rPr>
          <w:rStyle w:val="23"/>
          <w:rFonts w:ascii="仿宋" w:eastAsia="仿宋" w:hint="eastAsia"/>
          <w:b w:val="0"/>
          <w:bCs/>
          <w:color w:val="000000"/>
          <w:sz w:val="32"/>
          <w:szCs w:val="32"/>
          <w:lang w:val="en-US" w:eastAsia="zh-CN"/>
        </w:rPr>
        <w:t>66.04</w:t>
      </w:r>
      <w:r>
        <w:rPr>
          <w:rStyle w:val="23"/>
          <w:rFonts w:ascii="仿宋" w:eastAsia="仿宋" w:hint="eastAsia"/>
          <w:b w:val="0"/>
          <w:bCs/>
          <w:color w:val="000000"/>
          <w:sz w:val="32"/>
          <w:szCs w:val="32"/>
        </w:rPr>
        <w:t>万元，完成预算</w:t>
      </w:r>
      <w:r>
        <w:rPr>
          <w:rStyle w:val="23"/>
          <w:rFonts w:ascii="仿宋" w:eastAsia="仿宋" w:hint="eastAsia"/>
          <w:b w:val="0"/>
          <w:bCs/>
          <w:color w:val="000000"/>
          <w:sz w:val="32"/>
          <w:szCs w:val="32"/>
          <w:lang w:val="en-US" w:eastAsia="zh-CN"/>
        </w:rPr>
        <w:t>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p>
    <w:p>
      <w:pPr>
        <w:tabs>
          <w:tab w:val="right" w:pos="8306"/>
        </w:tabs>
        <w:spacing w:line="600" w:lineRule="exact"/>
        <w:ind w:firstLineChars="200" w:firstLine="640"/>
        <w:outlineLvl w:val="1"/>
        <w:rPr>
          <w:rFonts w:ascii="黑体" w:eastAsia="黑体" w:hint="eastAsia"/>
          <w:color w:val="000000"/>
          <w:sz w:val="32"/>
          <w:szCs w:val="32"/>
        </w:rPr>
      </w:pPr>
      <w:bookmarkStart w:id="40" w:name="_Toc15396608"/>
      <w:bookmarkStart w:id="41" w:name="_Toc15377214"/>
    </w:p>
    <w:p>
      <w:pPr>
        <w:tabs>
          <w:tab w:val="right" w:pos="8306"/>
        </w:tabs>
        <w:spacing w:line="600" w:lineRule="exact"/>
        <w:ind w:firstLineChars="200" w:firstLine="640"/>
        <w:outlineLvl w:val="1"/>
        <w:rPr>
          <w:rStyle w:val="2Char"/>
        </w:rPr>
      </w:pPr>
      <w:r>
        <w:rPr>
          <w:rFonts w:ascii="黑体" w:eastAsia="黑体" w:hint="eastAsia"/>
          <w:color w:val="000000"/>
          <w:sz w:val="32"/>
          <w:szCs w:val="32"/>
        </w:rPr>
        <w:t>六</w:t>
      </w:r>
      <w:r>
        <w:rPr>
          <w:rFonts w:ascii="黑体" w:eastAsia="黑体" w:hint="eastAsia"/>
          <w:b/>
          <w:color w:val="000000"/>
          <w:sz w:val="32"/>
          <w:szCs w:val="32"/>
        </w:rPr>
        <w:t>、一</w:t>
      </w:r>
      <w:r>
        <w:rPr>
          <w:rStyle w:val="2Char"/>
          <w:rFonts w:ascii="黑体" w:eastAsia="黑体" w:hint="eastAsia"/>
          <w:b w:val="0"/>
        </w:rPr>
        <w:t>般公共预算财政拨款基本支出决算情况说明</w:t>
      </w:r>
      <w:bookmarkEnd w:id="40"/>
      <w:bookmarkEnd w:id="41"/>
      <w:r>
        <w:rPr>
          <w:rStyle w:val="2Char"/>
          <w:rFonts w:ascii="黑体" w:eastAsia="黑体"/>
          <w:b w:val="0"/>
        </w:rPr>
        <w:tab/>
      </w:r>
    </w:p>
    <w:p>
      <w:pPr>
        <w:spacing w:line="600" w:lineRule="exact"/>
        <w:ind w:firstLine="645"/>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9年一般公共预算财政拨款基本支出</w:t>
      </w:r>
      <w:r>
        <w:rPr>
          <w:rFonts w:ascii="仿宋" w:eastAsia="仿宋" w:hint="eastAsia"/>
          <w:color w:val="000000"/>
          <w:sz w:val="32"/>
          <w:szCs w:val="32"/>
          <w:lang w:val="en-US" w:eastAsia="zh-CN"/>
        </w:rPr>
        <w:t>1184.50</w:t>
      </w:r>
      <w:r>
        <w:rPr>
          <w:rFonts w:ascii="仿宋" w:eastAsia="仿宋" w:hint="eastAsia"/>
          <w:color w:val="000000"/>
          <w:sz w:val="32"/>
          <w:szCs w:val="32"/>
        </w:rPr>
        <w:t>万元，其中：</w:t>
      </w:r>
    </w:p>
    <w:p>
      <w:pPr>
        <w:spacing w:line="600" w:lineRule="exact"/>
        <w:ind w:firstLine="645"/>
        <w:rPr>
          <w:rFonts w:ascii="仿宋" w:eastAsia="仿宋" w:hint="eastAsia"/>
          <w:color w:val="000000"/>
          <w:sz w:val="32"/>
          <w:szCs w:val="32"/>
          <w:lang w:eastAsia="zh-CN"/>
        </w:rPr>
      </w:pPr>
      <w:r>
        <w:rPr>
          <w:rFonts w:ascii="仿宋" w:eastAsia="仿宋" w:hint="eastAsia"/>
          <w:color w:val="000000"/>
          <w:sz w:val="32"/>
          <w:szCs w:val="32"/>
        </w:rPr>
        <w:t>人员经费</w:t>
      </w:r>
      <w:r>
        <w:rPr>
          <w:rFonts w:ascii="仿宋" w:eastAsia="仿宋" w:hint="eastAsia"/>
          <w:color w:val="000000"/>
          <w:sz w:val="32"/>
          <w:szCs w:val="32"/>
          <w:lang w:val="en-US" w:eastAsia="zh-CN"/>
        </w:rPr>
        <w:t>796.81</w:t>
      </w:r>
      <w:r>
        <w:rPr>
          <w:rFonts w:ascii="仿宋" w:eastAsia="仿宋" w:hint="eastAsia"/>
          <w:color w:val="000000"/>
          <w:sz w:val="32"/>
          <w:szCs w:val="32"/>
        </w:rPr>
        <w:t>万元，主要包括：基本工资、津贴补贴、奖金、绩效工资、机关事业单位基本养老保险缴费、职业年金缴费、医疗费补助、</w:t>
      </w:r>
      <w:r>
        <w:rPr>
          <w:rFonts w:ascii="仿宋" w:eastAsia="仿宋" w:hint="eastAsia"/>
          <w:color w:val="000000"/>
          <w:sz w:val="32"/>
          <w:szCs w:val="32"/>
          <w:lang w:eastAsia="zh-CN"/>
        </w:rPr>
        <w:t>生活补助、</w:t>
      </w:r>
      <w:r>
        <w:rPr>
          <w:rFonts w:ascii="仿宋" w:eastAsia="仿宋" w:hint="eastAsia"/>
          <w:color w:val="000000"/>
          <w:sz w:val="32"/>
          <w:szCs w:val="32"/>
        </w:rPr>
        <w:t>奖励金、住房公积金。</w:t>
      </w:r>
      <w:r>
        <w:rPr>
          <w:rFonts w:ascii="仿宋" w:eastAsia="仿宋"/>
          <w:color w:val="000000"/>
          <w:sz w:val="32"/>
          <w:szCs w:val="32"/>
        </w:rPr>
        <w:br/>
      </w:r>
      <w:r>
        <w:rPr>
          <w:rFonts w:ascii="仿宋" w:eastAsia="仿宋" w:hint="eastAsia"/>
          <w:color w:val="000000"/>
          <w:sz w:val="32"/>
          <w:szCs w:val="32"/>
        </w:rPr>
        <w:t>　　日常公用经费</w:t>
      </w:r>
      <w:r>
        <w:rPr>
          <w:rFonts w:ascii="仿宋" w:eastAsia="仿宋" w:hint="eastAsia"/>
          <w:color w:val="000000"/>
          <w:sz w:val="32"/>
          <w:szCs w:val="32"/>
          <w:lang w:val="en-US" w:eastAsia="zh-CN"/>
        </w:rPr>
        <w:t>387.69</w:t>
      </w:r>
      <w:r>
        <w:rPr>
          <w:rFonts w:ascii="仿宋" w:eastAsia="仿宋" w:hint="eastAsia"/>
          <w:color w:val="000000"/>
          <w:sz w:val="32"/>
          <w:szCs w:val="32"/>
        </w:rPr>
        <w:t>万元，主要包括：办公费、印刷费、电费、差旅费、因公出国（境）费用、维修（护）费、会议费、公务用车运行维护费、其他商品和服务支出</w:t>
      </w:r>
      <w:r>
        <w:rPr>
          <w:rFonts w:ascii="仿宋" w:eastAsia="仿宋" w:hint="eastAsia"/>
          <w:color w:val="000000"/>
          <w:sz w:val="32"/>
          <w:szCs w:val="32"/>
          <w:lang w:eastAsia="zh-CN"/>
        </w:rPr>
        <w:t>。</w:t>
      </w:r>
    </w:p>
    <w:p>
      <w:pPr>
        <w:spacing w:line="600" w:lineRule="exact"/>
        <w:ind w:firstLine="640"/>
        <w:outlineLvl w:val="1"/>
        <w:rPr>
          <w:rStyle w:val="2Char"/>
          <w:rFonts w:ascii="黑体" w:eastAsia="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42"/>
      <w:bookmarkEnd w:id="43"/>
    </w:p>
    <w:p>
      <w:pPr>
        <w:spacing w:line="600" w:lineRule="exact"/>
        <w:ind w:firstLine="640"/>
        <w:outlineLvl w:val="2"/>
        <w:rPr>
          <w:rFonts w:ascii="仿宋" w:eastAsia="仿宋"/>
          <w:b/>
          <w:color w:val="000000"/>
          <w:sz w:val="32"/>
          <w:szCs w:val="32"/>
        </w:rPr>
      </w:pPr>
      <w:bookmarkStart w:id="44" w:name="_Toc15377216"/>
      <w:r>
        <w:rPr>
          <w:rFonts w:ascii="仿宋" w:eastAsia="仿宋" w:hint="eastAsia"/>
          <w:b/>
          <w:color w:val="000000"/>
          <w:sz w:val="32"/>
          <w:szCs w:val="32"/>
        </w:rPr>
        <w:t>（一）“三公”经费财政拨款支出决算总体情况说明</w:t>
      </w:r>
      <w:bookmarkEnd w:id="44"/>
    </w:p>
    <w:p>
      <w:pPr>
        <w:spacing w:line="600" w:lineRule="exact"/>
        <w:ind w:firstLine="640"/>
        <w:rPr>
          <w:rFonts w:ascii="仿宋" w:eastAsia="仿宋" w:hint="eastAsia"/>
          <w:b/>
          <w:color w:val="FF0000"/>
          <w:sz w:val="32"/>
          <w:szCs w:val="32"/>
          <w:lang w:eastAsia="zh-CN"/>
        </w:rPr>
      </w:pPr>
      <w:r>
        <w:rPr>
          <w:rFonts w:ascii="仿宋" w:eastAsia="仿宋"/>
          <w:color w:val="000000"/>
          <w:sz w:val="32"/>
          <w:szCs w:val="32"/>
        </w:rPr>
        <w:t>201</w:t>
      </w:r>
      <w:r>
        <w:rPr>
          <w:rFonts w:ascii="仿宋" w:eastAsia="仿宋" w:hint="eastAsia"/>
          <w:color w:val="000000"/>
          <w:sz w:val="32"/>
          <w:szCs w:val="32"/>
        </w:rPr>
        <w:t>9年“三公”经费财政拨款支出决算为</w:t>
      </w:r>
      <w:r>
        <w:rPr>
          <w:rFonts w:ascii="仿宋" w:eastAsia="仿宋" w:hint="eastAsia"/>
          <w:color w:val="000000"/>
          <w:sz w:val="32"/>
          <w:szCs w:val="32"/>
          <w:lang w:val="en-US" w:eastAsia="zh-CN"/>
        </w:rPr>
        <w:t>104.69</w:t>
      </w:r>
      <w:r>
        <w:rPr>
          <w:rFonts w:ascii="仿宋" w:eastAsia="仿宋" w:hint="eastAsia"/>
          <w:color w:val="000000"/>
          <w:sz w:val="32"/>
          <w:szCs w:val="32"/>
        </w:rPr>
        <w:t>万元，完成预算</w:t>
      </w:r>
      <w:r>
        <w:rPr>
          <w:rFonts w:ascii="仿宋" w:eastAsia="仿宋" w:hint="eastAsia"/>
          <w:color w:val="000000"/>
          <w:sz w:val="32"/>
          <w:szCs w:val="32"/>
          <w:lang w:val="en-US" w:eastAsia="zh-CN"/>
        </w:rPr>
        <w:t>100</w:t>
      </w:r>
      <w:r>
        <w:rPr>
          <w:rFonts w:ascii="仿宋" w:eastAsia="仿宋"/>
          <w:color w:val="000000"/>
          <w:sz w:val="32"/>
          <w:szCs w:val="32"/>
        </w:rPr>
        <w:t>%</w:t>
      </w:r>
      <w:r>
        <w:rPr>
          <w:rFonts w:ascii="仿宋" w:eastAsia="仿宋" w:hint="eastAsia"/>
          <w:color w:val="000000"/>
          <w:sz w:val="32"/>
          <w:szCs w:val="32"/>
        </w:rPr>
        <w:t>，决算数与预算数持平</w:t>
      </w:r>
      <w:r>
        <w:rPr>
          <w:rFonts w:ascii="仿宋" w:eastAsia="仿宋" w:hint="eastAsia"/>
          <w:color w:val="000000"/>
          <w:sz w:val="32"/>
          <w:szCs w:val="32"/>
          <w:lang w:eastAsia="zh-CN"/>
        </w:rPr>
        <w:t>。</w:t>
      </w:r>
    </w:p>
    <w:p>
      <w:pPr>
        <w:spacing w:line="600" w:lineRule="exact"/>
        <w:ind w:firstLine="640"/>
        <w:outlineLvl w:val="2"/>
        <w:rPr>
          <w:rFonts w:ascii="仿宋" w:eastAsia="仿宋"/>
          <w:b/>
          <w:color w:val="000000"/>
          <w:sz w:val="32"/>
          <w:szCs w:val="32"/>
        </w:rPr>
      </w:pPr>
      <w:bookmarkStart w:id="45" w:name="_Toc15377217"/>
      <w:r>
        <w:rPr>
          <w:rFonts w:ascii="仿宋" w:eastAsia="仿宋" w:hint="eastAsia"/>
          <w:b/>
          <w:color w:val="000000"/>
          <w:sz w:val="32"/>
          <w:szCs w:val="32"/>
        </w:rPr>
        <w:t>（二）“三公”经费财政拨款支出决算具体情况说明</w:t>
      </w:r>
      <w:bookmarkEnd w:id="45"/>
    </w:p>
    <w:p>
      <w:pPr>
        <w:spacing w:line="600" w:lineRule="exact"/>
        <w:ind w:firstLine="640"/>
        <w:rPr>
          <w:rFonts w:ascii="仿宋" w:eastAsia="仿宋"/>
          <w:color w:val="000000"/>
          <w:sz w:val="32"/>
          <w:szCs w:val="32"/>
        </w:rPr>
      </w:pPr>
      <w:r>
        <w:rPr>
          <w:rFonts w:ascii="仿宋" w:eastAsia="仿宋"/>
          <w:color w:val="000000"/>
          <w:sz w:val="32"/>
          <w:szCs w:val="32"/>
        </w:rPr>
        <w:t>201</w:t>
      </w:r>
      <w:r>
        <w:rPr>
          <w:rFonts w:ascii="仿宋" w:eastAsia="仿宋" w:hint="eastAsia"/>
          <w:color w:val="000000"/>
          <w:sz w:val="32"/>
          <w:szCs w:val="32"/>
        </w:rPr>
        <w:t>9年“三公”经费财政拨款支出决算中，因公出国（境）费支出决算</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；公务用车购置及运行维护费支出决算</w:t>
      </w:r>
      <w:r>
        <w:rPr>
          <w:rFonts w:ascii="仿宋" w:eastAsia="仿宋" w:hint="eastAsia"/>
          <w:color w:val="000000"/>
          <w:sz w:val="32"/>
          <w:szCs w:val="32"/>
          <w:lang w:val="en-US" w:eastAsia="zh-CN"/>
        </w:rPr>
        <w:t>104.69</w:t>
      </w:r>
      <w:r>
        <w:rPr>
          <w:rFonts w:ascii="仿宋" w:eastAsia="仿宋" w:hint="eastAsia"/>
          <w:color w:val="000000"/>
          <w:sz w:val="32"/>
          <w:szCs w:val="32"/>
        </w:rPr>
        <w:t>万元，占</w:t>
      </w:r>
      <w:r>
        <w:rPr>
          <w:rFonts w:ascii="仿宋" w:eastAsia="仿宋" w:hint="eastAsia"/>
          <w:color w:val="000000"/>
          <w:sz w:val="32"/>
          <w:szCs w:val="32"/>
          <w:lang w:val="en-US" w:eastAsia="zh-CN"/>
        </w:rPr>
        <w:t>100</w:t>
      </w:r>
      <w:r>
        <w:rPr>
          <w:rFonts w:ascii="仿宋" w:eastAsia="仿宋"/>
          <w:color w:val="000000"/>
          <w:sz w:val="32"/>
          <w:szCs w:val="32"/>
        </w:rPr>
        <w:t>%</w:t>
      </w:r>
      <w:r>
        <w:rPr>
          <w:rFonts w:ascii="仿宋" w:eastAsia="仿宋" w:hint="eastAsia"/>
          <w:color w:val="000000"/>
          <w:sz w:val="32"/>
          <w:szCs w:val="32"/>
        </w:rPr>
        <w:t>；公务接待费支出决算</w:t>
      </w:r>
      <w:r>
        <w:rPr>
          <w:rFonts w:ascii="仿宋" w:eastAsia="仿宋" w:hint="eastAsia"/>
          <w:color w:val="000000"/>
          <w:sz w:val="32"/>
          <w:szCs w:val="32"/>
          <w:lang w:val="en-US" w:eastAsia="zh-CN"/>
        </w:rPr>
        <w:t>0</w:t>
      </w:r>
      <w:r>
        <w:rPr>
          <w:rFonts w:ascii="仿宋" w:eastAsia="仿宋" w:hint="eastAsia"/>
          <w:color w:val="000000"/>
          <w:sz w:val="32"/>
          <w:szCs w:val="32"/>
        </w:rPr>
        <w:t>万元，占</w:t>
      </w:r>
      <w:r>
        <w:rPr>
          <w:rFonts w:ascii="仿宋" w:eastAsia="仿宋" w:hint="eastAsia"/>
          <w:color w:val="000000"/>
          <w:sz w:val="32"/>
          <w:szCs w:val="32"/>
          <w:lang w:val="en-US" w:eastAsia="zh-CN"/>
        </w:rPr>
        <w:t>0</w:t>
      </w:r>
      <w:r>
        <w:rPr>
          <w:rFonts w:ascii="仿宋" w:eastAsia="仿宋"/>
          <w:color w:val="000000"/>
          <w:sz w:val="32"/>
          <w:szCs w:val="32"/>
        </w:rPr>
        <w:t>%</w:t>
      </w:r>
      <w:r>
        <w:rPr>
          <w:rFonts w:ascii="仿宋" w:eastAsia="仿宋" w:hint="eastAsia"/>
          <w:color w:val="000000"/>
          <w:sz w:val="32"/>
          <w:szCs w:val="32"/>
        </w:rPr>
        <w:t>。具体情况如下：</w:t>
      </w:r>
    </w:p>
    <w:p>
      <w:pPr>
        <w:rPr>
          <w:rFonts w:ascii="仿宋_GB2312" w:eastAsia="仿宋_GB2312" w:cs="仿宋_GB2312" w:hint="eastAsia"/>
          <w:sz w:val="32"/>
          <w:szCs w:val="32"/>
        </w:rPr>
      </w:pPr>
      <w:r>
        <w:rPr>
          <w:rFonts w:ascii="仿宋_GB2312" w:eastAsia="仿宋_GB2312" w:cs="仿宋_GB2312" w:hint="eastAsia"/>
          <w:sz w:val="32"/>
          <w:szCs w:val="32"/>
        </w:rPr>
        <w:t>（图7：“三公”经费财政拨款支出结构）（饼状图）</w:t>
      </w:r>
    </w:p>
    <w:p>
      <w:pPr>
        <w:rPr>
          <w:rFonts w:hint="eastAsia"/>
        </w:rPr>
      </w:pPr>
      <w:r>
        <w:drawing>
          <wp:inline distT="0" distB="0" distL="114300" distR="114300">
            <wp:extent cx="4572000" cy="2743200"/>
            <wp:effectExtent l="0" t="0" r="0" b="0"/>
            <wp:docPr id="7" name="图表 5"/>
            <wp:cNvGraphicFramePr>
              <a:graphicFrameLocks noChangeAspect="0"/>
            </wp:cNvGraphicFramePr>
            <a:graphic>
              <a:graphicData uri="http://schemas.openxmlformats.org/drawingml/2006/chart">
                <c:chart xmlns:c="http://schemas.openxmlformats.org/drawingml/2006/chart" r:id="rId10"/>
              </a:graphicData>
            </a:graphic>
          </wp:inline>
        </w:drawing>
      </w:r>
    </w:p>
    <w:p>
      <w:pPr>
        <w:spacing w:line="600" w:lineRule="exact"/>
        <w:ind w:firstLine="640"/>
        <w:rPr>
          <w:rFonts w:ascii="仿宋_GB2312" w:eastAsia="仿宋_GB2312"/>
          <w:b/>
          <w:color w:val="000000"/>
          <w:sz w:val="32"/>
          <w:szCs w:val="32"/>
        </w:rPr>
      </w:pPr>
      <w:r>
        <w:rPr>
          <w:rFonts w:ascii="仿宋_GB2312" w:eastAsia="仿宋_GB2312" w:hint="eastAsia"/>
          <w:b/>
          <w:color w:val="000000"/>
          <w:sz w:val="32"/>
          <w:szCs w:val="32"/>
          <w:lang w:val="en-US" w:eastAsia="zh-CN"/>
        </w:rPr>
        <w:t>1</w:t>
      </w:r>
      <w:r>
        <w:rPr>
          <w:rFonts w:ascii="仿宋_GB2312" w:eastAsia="仿宋_GB2312"/>
          <w:b/>
          <w:color w:val="000000"/>
          <w:sz w:val="32"/>
          <w:szCs w:val="32"/>
        </w:rPr>
        <w:t>.</w:t>
      </w:r>
      <w:r>
        <w:rPr>
          <w:rFonts w:ascii="仿宋_GB2312" w:eastAsia="仿宋_GB2312" w:hint="eastAsia"/>
          <w:b/>
          <w:color w:val="000000"/>
          <w:sz w:val="32"/>
          <w:szCs w:val="32"/>
        </w:rPr>
        <w:t>公务用车购置及运行维护费支出</w:t>
      </w:r>
      <w:r>
        <w:rPr>
          <w:rFonts w:ascii="仿宋_GB2312" w:eastAsia="仿宋_GB2312" w:hint="eastAsia"/>
          <w:color w:val="000000"/>
          <w:sz w:val="32"/>
          <w:szCs w:val="32"/>
          <w:lang w:val="en-US" w:eastAsia="zh-CN"/>
        </w:rPr>
        <w:t>104.69</w:t>
      </w:r>
      <w:r>
        <w:rPr>
          <w:rFonts w:ascii="仿宋_GB2312" w:eastAsia="仿宋_GB2312" w:hint="eastAsia"/>
          <w:color w:val="000000"/>
          <w:sz w:val="32"/>
          <w:szCs w:val="32"/>
        </w:rPr>
        <w:t>万元,</w:t>
      </w:r>
      <w:r>
        <w:rPr>
          <w:rStyle w:val="23"/>
          <w:rFonts w:ascii="仿宋" w:eastAsia="仿宋" w:hint="eastAsia"/>
          <w:b w:val="0"/>
          <w:bCs/>
          <w:color w:val="000000"/>
          <w:sz w:val="32"/>
          <w:szCs w:val="32"/>
        </w:rPr>
        <w:t>完成预算</w:t>
      </w:r>
      <w:r>
        <w:rPr>
          <w:rStyle w:val="23"/>
          <w:rFonts w:ascii="仿宋" w:eastAsia="仿宋" w:hint="eastAsia"/>
          <w:b w:val="0"/>
          <w:bCs/>
          <w:color w:val="000000"/>
          <w:sz w:val="32"/>
          <w:szCs w:val="32"/>
          <w:lang w:val="en-US" w:eastAsia="zh-CN"/>
        </w:rPr>
        <w:t>100</w:t>
      </w:r>
      <w:r>
        <w:rPr>
          <w:rStyle w:val="23"/>
          <w:rFonts w:ascii="仿宋" w:eastAsia="仿宋"/>
          <w:b w:val="0"/>
          <w:bCs/>
          <w:color w:val="000000"/>
          <w:sz w:val="32"/>
          <w:szCs w:val="32"/>
        </w:rPr>
        <w:t>%</w:t>
      </w:r>
      <w:r>
        <w:rPr>
          <w:rStyle w:val="23"/>
          <w:rFonts w:ascii="仿宋" w:eastAsia="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8年减少</w:t>
      </w:r>
      <w:r>
        <w:rPr>
          <w:rFonts w:ascii="仿宋_GB2312" w:eastAsia="仿宋_GB2312" w:hint="eastAsia"/>
          <w:color w:val="000000"/>
          <w:sz w:val="32"/>
          <w:szCs w:val="32"/>
          <w:lang w:val="en-US" w:eastAsia="zh-CN"/>
        </w:rPr>
        <w:t>72.77</w:t>
      </w:r>
      <w:r>
        <w:rPr>
          <w:rFonts w:ascii="仿宋_GB2312" w:eastAsia="仿宋_GB2312" w:hint="eastAsia"/>
          <w:color w:val="000000"/>
          <w:sz w:val="32"/>
          <w:szCs w:val="32"/>
        </w:rPr>
        <w:t>万元，下降</w:t>
      </w:r>
      <w:r>
        <w:rPr>
          <w:rFonts w:ascii="仿宋_GB2312" w:eastAsia="仿宋_GB2312" w:hint="eastAsia"/>
          <w:color w:val="000000"/>
          <w:sz w:val="32"/>
          <w:szCs w:val="32"/>
          <w:lang w:val="en-US" w:eastAsia="zh-CN"/>
        </w:rPr>
        <w:t>41.01</w:t>
      </w:r>
      <w:r>
        <w:rPr>
          <w:rFonts w:ascii="仿宋_GB2312" w:eastAsia="仿宋_GB2312"/>
          <w:color w:val="000000"/>
          <w:sz w:val="32"/>
          <w:szCs w:val="32"/>
        </w:rPr>
        <w:t>%</w:t>
      </w:r>
      <w:r>
        <w:rPr>
          <w:rFonts w:ascii="仿宋_GB2312" w:eastAsia="仿宋_GB2312" w:hint="eastAsia"/>
          <w:color w:val="000000"/>
          <w:sz w:val="32"/>
          <w:szCs w:val="32"/>
        </w:rPr>
        <w:t>。</w:t>
      </w:r>
    </w:p>
    <w:p>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公务用车运行维护费支出</w:t>
      </w:r>
      <w:r>
        <w:rPr>
          <w:rFonts w:ascii="仿宋_GB2312" w:eastAsia="仿宋_GB2312" w:hint="eastAsia"/>
          <w:color w:val="000000"/>
          <w:sz w:val="32"/>
          <w:szCs w:val="32"/>
          <w:lang w:val="en-US" w:eastAsia="zh-CN"/>
        </w:rPr>
        <w:t>104.69</w:t>
      </w:r>
      <w:r>
        <w:rPr>
          <w:rFonts w:ascii="仿宋_GB2312" w:eastAsia="仿宋_GB2312" w:hint="eastAsia"/>
          <w:color w:val="000000"/>
          <w:sz w:val="32"/>
          <w:szCs w:val="32"/>
        </w:rPr>
        <w:t>万元。主要用于</w:t>
      </w:r>
      <w:r>
        <w:rPr>
          <w:rFonts w:ascii="仿宋_GB2312" w:eastAsia="仿宋_GB2312"/>
          <w:color w:val="000000"/>
          <w:sz w:val="32"/>
          <w:szCs w:val="32"/>
        </w:rPr>
        <w:t>…</w:t>
      </w:r>
      <w:r>
        <w:rPr>
          <w:rFonts w:ascii="仿宋_GB2312" w:eastAsia="仿宋_GB2312" w:hint="eastAsia"/>
          <w:color w:val="000000"/>
          <w:sz w:val="32"/>
          <w:szCs w:val="32"/>
        </w:rPr>
        <w:t>（具体工作）等所需的公务用车燃料费、维修费、过路过桥费、保险费等支出。</w:t>
      </w:r>
    </w:p>
    <w:p>
      <w:pPr>
        <w:spacing w:line="600" w:lineRule="exact"/>
        <w:ind w:firstLine="640"/>
        <w:outlineLvl w:val="1"/>
        <w:rPr>
          <w:rFonts w:ascii="黑体" w:eastAsia="黑体"/>
          <w:color w:val="000000"/>
          <w:sz w:val="32"/>
          <w:szCs w:val="32"/>
        </w:rPr>
      </w:pPr>
      <w:bookmarkStart w:id="46" w:name="_Toc15377218"/>
      <w:bookmarkStart w:id="47" w:name="_Toc15396610"/>
      <w:bookmarkStart w:id="48" w:name="_GoBack"/>
      <w:bookmarkEnd w:id="48"/>
      <w:r>
        <w:rPr>
          <w:rFonts w:ascii="仿宋_GB2312" w:eastAsia="仿宋_GB2312"/>
          <w:color w:val="000000"/>
          <w:sz w:val="32"/>
          <w:szCs w:val="32"/>
        </w:rPr>
        <w:t>无公务用车购置费。</w:t>
      </w:r>
    </w:p>
    <w:p>
      <w:pPr>
        <w:spacing w:line="600" w:lineRule="exact"/>
        <w:ind w:firstLine="640"/>
        <w:outlineLvl w:val="1"/>
        <w:rPr>
          <w:rStyle w:val="2Char"/>
          <w:rFonts w:ascii="黑体" w:eastAsia="黑体"/>
        </w:rPr>
      </w:pPr>
      <w:r>
        <w:rPr>
          <w:rFonts w:ascii="黑体" w:eastAsia="黑体" w:hint="eastAsia"/>
          <w:color w:val="000000"/>
          <w:sz w:val="32"/>
          <w:szCs w:val="32"/>
        </w:rPr>
        <w:t>八、</w:t>
      </w:r>
      <w:r>
        <w:rPr>
          <w:rStyle w:val="2Char"/>
          <w:rFonts w:ascii="黑体" w:eastAsia="黑体" w:hint="eastAsia"/>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left="0" w:firstLine="640"/>
        <w:outlineLvl w:val="1"/>
        <w:rPr>
          <w:rStyle w:val="2Char"/>
          <w:rFonts w:ascii="黑体" w:eastAsia="黑体"/>
          <w:b w:val="0"/>
        </w:rPr>
      </w:pPr>
      <w:bookmarkStart w:id="49" w:name="_Toc15377219"/>
      <w:bookmarkStart w:id="50" w:name="_Toc15396611"/>
      <w:r>
        <w:rPr>
          <w:rStyle w:val="2Char"/>
          <w:rFonts w:ascii="黑体" w:eastAsia="黑体" w:hint="eastAsia"/>
          <w:b w:val="0"/>
        </w:rPr>
        <w:t>国有资本经营预算支出决算情况说明</w:t>
      </w:r>
      <w:bookmarkEnd w:id="49"/>
      <w:bookmarkEnd w:id="5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w:t>
      </w:r>
    </w:p>
    <w:p>
      <w:pPr>
        <w:spacing w:line="580" w:lineRule="exact"/>
        <w:jc w:val="center"/>
        <w:rPr>
          <w:rFonts w:ascii="方正小标宋简体" w:eastAsia="方正小标宋简体" w:cs="方正小标宋简体"/>
          <w:sz w:val="44"/>
          <w:szCs w:val="44"/>
        </w:rPr>
      </w:pPr>
    </w:p>
    <w:p>
      <w:pPr>
        <w:spacing w:line="600" w:lineRule="exact"/>
        <w:ind w:firstLineChars="250" w:firstLine="800"/>
        <w:outlineLvl w:val="1"/>
        <w:rPr>
          <w:rStyle w:val="2Char"/>
          <w:rFonts w:ascii="黑体" w:eastAsia="黑体"/>
        </w:rPr>
      </w:pPr>
      <w:bookmarkStart w:id="51" w:name="_Toc15396612"/>
      <w:bookmarkStart w:id="52" w:name="_Toc15377221"/>
      <w:r>
        <w:rPr>
          <w:rFonts w:ascii="黑体" w:eastAsia="黑体" w:hint="eastAsia"/>
          <w:color w:val="000000"/>
          <w:sz w:val="32"/>
          <w:szCs w:val="32"/>
        </w:rPr>
        <w:t>十</w:t>
      </w:r>
      <w:r>
        <w:rPr>
          <w:rStyle w:val="2Char"/>
          <w:rFonts w:ascii="黑体" w:eastAsia="黑体" w:hint="eastAsia"/>
        </w:rPr>
        <w:t>、</w:t>
      </w:r>
      <w:r>
        <w:rPr>
          <w:rStyle w:val="2Char"/>
          <w:rFonts w:ascii="黑体" w:eastAsia="黑体" w:hint="eastAsia"/>
          <w:b w:val="0"/>
        </w:rPr>
        <w:t>其他重要事项的情况说明</w:t>
      </w:r>
      <w:bookmarkEnd w:id="51"/>
      <w:bookmarkEnd w:id="52"/>
    </w:p>
    <w:p>
      <w:pPr>
        <w:spacing w:line="600" w:lineRule="exact"/>
        <w:ind w:firstLineChars="200" w:firstLine="640"/>
        <w:outlineLvl w:val="2"/>
        <w:rPr>
          <w:rFonts w:ascii="仿宋" w:eastAsia="仿宋"/>
          <w:color w:val="000000"/>
          <w:sz w:val="32"/>
          <w:szCs w:val="32"/>
        </w:rPr>
      </w:pPr>
      <w:bookmarkStart w:id="53" w:name="_Toc15377222"/>
      <w:r>
        <w:rPr>
          <w:rFonts w:ascii="仿宋" w:eastAsia="仿宋" w:hint="eastAsia"/>
          <w:b/>
          <w:color w:val="000000"/>
          <w:sz w:val="32"/>
          <w:szCs w:val="32"/>
        </w:rPr>
        <w:t>（一）机关运行经费支出情况</w:t>
      </w:r>
      <w:bookmarkEnd w:id="53"/>
    </w:p>
    <w:p>
      <w:pPr>
        <w:spacing w:line="600" w:lineRule="exact"/>
        <w:ind w:firstLineChars="200" w:firstLine="640"/>
        <w:rPr>
          <w:rFonts w:ascii="仿宋_GB2312" w:eastAsia="仿宋_GB2312" w:hint="eastAsia"/>
          <w:color w:val="000000"/>
          <w:sz w:val="32"/>
          <w:szCs w:val="32"/>
          <w:lang w:eastAsia="zh-CN"/>
        </w:rPr>
      </w:pP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hint="eastAsia"/>
          <w:color w:val="000000"/>
          <w:sz w:val="32"/>
          <w:szCs w:val="32"/>
          <w:lang w:eastAsia="zh-CN"/>
        </w:rPr>
        <w:t>我办</w:t>
      </w:r>
      <w:r>
        <w:rPr>
          <w:rFonts w:ascii="仿宋_GB2312" w:eastAsia="仿宋_GB2312" w:hint="eastAsia"/>
          <w:color w:val="000000"/>
          <w:sz w:val="32"/>
          <w:szCs w:val="32"/>
        </w:rPr>
        <w:t>机关运行经费支出</w:t>
      </w:r>
      <w:r>
        <w:rPr>
          <w:rFonts w:ascii="仿宋_GB2312" w:eastAsia="仿宋_GB2312" w:hint="eastAsia"/>
          <w:color w:val="000000"/>
          <w:sz w:val="32"/>
          <w:szCs w:val="32"/>
          <w:lang w:val="en-US" w:eastAsia="zh-CN"/>
        </w:rPr>
        <w:t>387.69</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8减少</w:t>
      </w:r>
      <w:r>
        <w:rPr>
          <w:rFonts w:ascii="仿宋_GB2312" w:eastAsia="仿宋_GB2312" w:hint="eastAsia"/>
          <w:color w:val="000000"/>
          <w:sz w:val="32"/>
          <w:szCs w:val="32"/>
          <w:lang w:val="en-US" w:eastAsia="zh-CN"/>
        </w:rPr>
        <w:t>99.46</w:t>
      </w:r>
      <w:r>
        <w:rPr>
          <w:rFonts w:ascii="仿宋_GB2312" w:eastAsia="仿宋_GB2312" w:hint="eastAsia"/>
          <w:color w:val="000000"/>
          <w:sz w:val="32"/>
          <w:szCs w:val="32"/>
        </w:rPr>
        <w:t>万元下降</w:t>
      </w:r>
      <w:r>
        <w:rPr>
          <w:rFonts w:ascii="仿宋_GB2312" w:eastAsia="仿宋_GB2312" w:hint="eastAsia"/>
          <w:color w:val="000000"/>
          <w:sz w:val="32"/>
          <w:szCs w:val="32"/>
          <w:lang w:val="en-US" w:eastAsia="zh-CN"/>
        </w:rPr>
        <w:t>20.42</w:t>
      </w:r>
      <w:r>
        <w:rPr>
          <w:rFonts w:ascii="仿宋_GB2312" w:eastAsia="仿宋_GB2312"/>
          <w:color w:val="000000"/>
          <w:sz w:val="32"/>
          <w:szCs w:val="32"/>
        </w:rPr>
        <w:t>%</w:t>
      </w:r>
      <w:r>
        <w:rPr>
          <w:rFonts w:ascii="仿宋_GB2312" w:eastAsia="仿宋_GB2312" w:hint="eastAsia"/>
          <w:color w:val="000000"/>
          <w:sz w:val="32"/>
          <w:szCs w:val="32"/>
        </w:rPr>
        <w:t>。</w:t>
      </w:r>
    </w:p>
    <w:p>
      <w:pPr>
        <w:autoSpaceDE w:val="0"/>
        <w:autoSpaceDN w:val="0"/>
        <w:adjustRightInd w:val="0"/>
        <w:spacing w:line="600" w:lineRule="exact"/>
        <w:ind w:firstLineChars="200" w:firstLine="640"/>
        <w:jc w:val="left"/>
        <w:outlineLvl w:val="2"/>
        <w:rPr>
          <w:rFonts w:ascii="仿宋" w:eastAsia="仿宋"/>
          <w:b/>
          <w:color w:val="000000"/>
          <w:sz w:val="32"/>
          <w:szCs w:val="32"/>
        </w:rPr>
      </w:pPr>
      <w:bookmarkStart w:id="54" w:name="_Toc15377223"/>
      <w:r>
        <w:rPr>
          <w:rFonts w:ascii="仿宋" w:eastAsia="仿宋" w:hint="eastAsia"/>
          <w:b/>
          <w:color w:val="000000"/>
          <w:sz w:val="32"/>
          <w:szCs w:val="32"/>
        </w:rPr>
        <w:t>（二）政府采购支出情况</w:t>
      </w:r>
      <w:bookmarkEnd w:id="54"/>
    </w:p>
    <w:p>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hint="eastAsia"/>
          <w:color w:val="000000"/>
          <w:sz w:val="32"/>
          <w:szCs w:val="32"/>
          <w:lang w:eastAsia="zh-CN"/>
        </w:rPr>
        <w:t>我办</w:t>
      </w:r>
      <w:r>
        <w:rPr>
          <w:rFonts w:ascii="仿宋_GB2312" w:eastAsia="仿宋_GB2312" w:hint="eastAsia"/>
          <w:color w:val="000000"/>
          <w:sz w:val="32"/>
          <w:szCs w:val="32"/>
        </w:rPr>
        <w:t>政府采购支出总额</w:t>
      </w:r>
      <w:r>
        <w:rPr>
          <w:rFonts w:ascii="仿宋_GB2312" w:eastAsia="仿宋_GB2312" w:hint="eastAsia"/>
          <w:color w:val="000000"/>
          <w:sz w:val="32"/>
          <w:szCs w:val="32"/>
          <w:lang w:val="en-US" w:eastAsia="zh-CN"/>
        </w:rPr>
        <w:t>9.07</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lang w:val="en-US" w:eastAsia="zh-CN"/>
        </w:rPr>
        <w:t>9.07</w:t>
      </w:r>
      <w:r>
        <w:rPr>
          <w:rFonts w:ascii="仿宋_GB2312" w:eastAsia="仿宋_GB2312" w:hint="eastAsia"/>
          <w:color w:val="000000"/>
          <w:sz w:val="32"/>
          <w:szCs w:val="32"/>
        </w:rPr>
        <w:t>万元、政府采购工程支出</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万元、政府采购服务支出</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万元。主要用于</w:t>
      </w:r>
      <w:r>
        <w:rPr>
          <w:rFonts w:ascii="仿宋_GB2312" w:eastAsia="仿宋_GB2312" w:hint="eastAsia"/>
          <w:color w:val="000000"/>
          <w:sz w:val="32"/>
          <w:szCs w:val="32"/>
          <w:lang w:eastAsia="zh-CN"/>
        </w:rPr>
        <w:t>办公室日常工作开展</w:t>
      </w:r>
      <w:r>
        <w:rPr>
          <w:rFonts w:ascii="仿宋_GB2312" w:eastAsia="仿宋_GB2312" w:hint="eastAsia"/>
          <w:color w:val="000000"/>
          <w:sz w:val="32"/>
          <w:szCs w:val="32"/>
        </w:rPr>
        <w:t>。授予中小企业合同金额</w:t>
      </w:r>
      <w:r>
        <w:rPr>
          <w:rFonts w:ascii="仿宋_GB2312" w:eastAsia="仿宋_GB2312" w:hint="eastAsia"/>
          <w:color w:val="000000"/>
          <w:sz w:val="32"/>
          <w:szCs w:val="32"/>
          <w:lang w:val="en-US" w:eastAsia="zh-CN"/>
        </w:rPr>
        <w:t>9.07</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lang w:val="en-US" w:eastAsia="zh-CN"/>
        </w:rPr>
        <w:t>100</w:t>
      </w:r>
      <w:r>
        <w:rPr>
          <w:rFonts w:ascii="仿宋_GB2312" w:eastAsia="仿宋_GB2312"/>
          <w:color w:val="000000"/>
          <w:sz w:val="32"/>
          <w:szCs w:val="32"/>
        </w:rPr>
        <w:t>%</w:t>
      </w:r>
      <w:r>
        <w:rPr>
          <w:rFonts w:ascii="仿宋_GB2312" w:eastAsia="仿宋_GB2312" w:hint="eastAsia"/>
          <w:color w:val="000000"/>
          <w:sz w:val="32"/>
          <w:szCs w:val="32"/>
        </w:rPr>
        <w:t>，其中：授予小微企业合同金额</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lang w:val="en-US" w:eastAsia="zh-CN"/>
        </w:rPr>
        <w:t>0</w:t>
      </w:r>
      <w:r>
        <w:rPr>
          <w:rFonts w:ascii="仿宋_GB2312" w:eastAsia="仿宋_GB2312"/>
          <w:color w:val="000000"/>
          <w:sz w:val="32"/>
          <w:szCs w:val="32"/>
        </w:rPr>
        <w:t>%</w:t>
      </w:r>
      <w:r>
        <w:rPr>
          <w:rFonts w:ascii="仿宋_GB2312" w:eastAsia="仿宋_GB2312" w:hint="eastAsia"/>
          <w:color w:val="000000"/>
          <w:sz w:val="32"/>
          <w:szCs w:val="32"/>
        </w:rPr>
        <w:t>。</w:t>
      </w:r>
    </w:p>
    <w:p>
      <w:pPr>
        <w:autoSpaceDE w:val="0"/>
        <w:autoSpaceDN w:val="0"/>
        <w:adjustRightInd w:val="0"/>
        <w:spacing w:line="600" w:lineRule="exact"/>
        <w:ind w:firstLineChars="200" w:firstLine="640"/>
        <w:jc w:val="left"/>
        <w:outlineLvl w:val="2"/>
        <w:rPr>
          <w:rFonts w:ascii="仿宋" w:eastAsia="仿宋"/>
          <w:b/>
          <w:color w:val="000000"/>
          <w:sz w:val="32"/>
          <w:szCs w:val="32"/>
        </w:rPr>
      </w:pPr>
      <w:bookmarkStart w:id="55" w:name="_Toc15377224"/>
      <w:r>
        <w:rPr>
          <w:rFonts w:ascii="仿宋" w:eastAsia="仿宋" w:hint="eastAsia"/>
          <w:b/>
          <w:color w:val="000000"/>
          <w:sz w:val="32"/>
          <w:szCs w:val="32"/>
        </w:rPr>
        <w:t>（三）国有资产占有使用情况</w:t>
      </w:r>
      <w:bookmarkEnd w:id="55"/>
    </w:p>
    <w:p>
      <w:pPr>
        <w:autoSpaceDE w:val="0"/>
        <w:autoSpaceDN w:val="0"/>
        <w:adjustRightInd w:val="0"/>
        <w:spacing w:line="600" w:lineRule="exact"/>
        <w:ind w:firstLineChars="200" w:firstLine="640"/>
        <w:jc w:val="left"/>
        <w:rPr>
          <w:rFonts w:ascii="仿宋" w:eastAsia="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hint="eastAsia"/>
          <w:color w:val="000000"/>
          <w:sz w:val="32"/>
          <w:szCs w:val="32"/>
          <w:lang w:eastAsia="zh-CN"/>
        </w:rPr>
        <w:t>我办</w:t>
      </w:r>
      <w:r>
        <w:rPr>
          <w:rFonts w:ascii="仿宋_GB2312" w:eastAsia="仿宋_GB2312" w:hint="eastAsia"/>
          <w:color w:val="000000"/>
          <w:sz w:val="32"/>
          <w:szCs w:val="32"/>
        </w:rPr>
        <w:t>共有车辆</w:t>
      </w:r>
      <w:r>
        <w:rPr>
          <w:rFonts w:ascii="仿宋_GB2312" w:eastAsia="仿宋_GB2312" w:hint="eastAsia"/>
          <w:color w:val="000000"/>
          <w:sz w:val="32"/>
          <w:szCs w:val="32"/>
          <w:lang w:val="en-US" w:eastAsia="zh-CN"/>
        </w:rPr>
        <w:t>12</w:t>
      </w:r>
      <w:r>
        <w:rPr>
          <w:rFonts w:ascii="仿宋_GB2312" w:eastAsia="仿宋_GB2312" w:hint="eastAsia"/>
          <w:color w:val="000000"/>
          <w:sz w:val="32"/>
          <w:szCs w:val="32"/>
        </w:rPr>
        <w:t>辆，其中：主要领导干部用车</w:t>
      </w:r>
      <w:r>
        <w:rPr>
          <w:rFonts w:ascii="仿宋_GB2312" w:eastAsia="仿宋_GB2312" w:hint="eastAsia"/>
          <w:color w:val="000000"/>
          <w:sz w:val="32"/>
          <w:szCs w:val="32"/>
          <w:lang w:val="en-US" w:eastAsia="zh-CN"/>
        </w:rPr>
        <w:t>12</w:t>
      </w:r>
      <w:r>
        <w:rPr>
          <w:rFonts w:ascii="仿宋_GB2312" w:eastAsia="仿宋_GB2312" w:hint="eastAsia"/>
          <w:color w:val="000000"/>
          <w:sz w:val="32"/>
          <w:szCs w:val="32"/>
        </w:rPr>
        <w:t>辆、机要通信用车</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辆、应急保障用车</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辆、其他用车</w:t>
      </w:r>
      <w:r>
        <w:rPr>
          <w:rFonts w:ascii="仿宋_GB2312" w:eastAsia="仿宋_GB2312" w:hint="eastAsia"/>
          <w:color w:val="000000"/>
          <w:sz w:val="32"/>
          <w:szCs w:val="32"/>
          <w:lang w:val="en-US" w:eastAsia="zh-CN"/>
        </w:rPr>
        <w:t>12</w:t>
      </w:r>
      <w:r>
        <w:rPr>
          <w:rFonts w:ascii="仿宋_GB2312" w:eastAsia="仿宋_GB2312" w:hint="eastAsia"/>
          <w:color w:val="000000"/>
          <w:sz w:val="32"/>
          <w:szCs w:val="32"/>
        </w:rPr>
        <w:t>辆其他用车主要是用于</w:t>
      </w:r>
      <w:r>
        <w:rPr>
          <w:rFonts w:ascii="仿宋_GB2312" w:eastAsia="仿宋_GB2312" w:hint="eastAsia"/>
          <w:color w:val="000000"/>
          <w:sz w:val="32"/>
          <w:szCs w:val="32"/>
          <w:lang w:eastAsia="zh-CN"/>
        </w:rPr>
        <w:t>政府办日常工作的开展。</w:t>
      </w:r>
      <w:r>
        <w:rPr>
          <w:rFonts w:ascii="仿宋_GB2312" w:eastAsia="仿宋_GB2312" w:hint="eastAsia"/>
          <w:color w:val="000000"/>
          <w:sz w:val="32"/>
          <w:szCs w:val="32"/>
        </w:rPr>
        <w:t>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Pr>
          <w:rFonts w:ascii="仿宋_GB2312" w:eastAsia="仿宋_GB2312" w:hint="eastAsia"/>
          <w:color w:val="000000"/>
          <w:sz w:val="32"/>
          <w:szCs w:val="32"/>
          <w:lang w:val="en-US" w:eastAsia="zh-CN"/>
        </w:rPr>
        <w:t>1</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lang w:val="en-US" w:eastAsia="zh-CN"/>
        </w:rPr>
        <w:t>0</w:t>
      </w:r>
      <w:r>
        <w:rPr>
          <w:rFonts w:ascii="仿宋_GB2312" w:eastAsia="仿宋_GB2312" w:hint="eastAsia"/>
          <w:color w:val="000000"/>
          <w:sz w:val="32"/>
          <w:szCs w:val="32"/>
        </w:rPr>
        <w:t>台（套）。</w:t>
      </w:r>
    </w:p>
    <w:p>
      <w:pPr>
        <w:autoSpaceDE w:val="0"/>
        <w:autoSpaceDN w:val="0"/>
        <w:adjustRightInd w:val="0"/>
        <w:spacing w:line="600" w:lineRule="exact"/>
        <w:ind w:firstLineChars="200" w:firstLine="640"/>
        <w:jc w:val="left"/>
        <w:outlineLvl w:val="2"/>
        <w:rPr>
          <w:rFonts w:ascii="仿宋" w:eastAsia="仿宋"/>
          <w:b/>
          <w:color w:val="000000"/>
          <w:sz w:val="32"/>
          <w:szCs w:val="32"/>
        </w:rPr>
      </w:pPr>
      <w:r>
        <w:rPr>
          <w:rFonts w:ascii="仿宋" w:eastAsia="仿宋" w:hint="eastAsia"/>
          <w:b/>
          <w:color w:val="000000"/>
          <w:sz w:val="32"/>
          <w:szCs w:val="32"/>
        </w:rPr>
        <w:t>（四）预算绩效管理情况。</w:t>
      </w:r>
    </w:p>
    <w:p>
      <w:pPr>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根据预算绩效管理要求，本部门（单位）在年初预算编制阶段，组织对</w:t>
      </w:r>
      <w:r>
        <w:rPr>
          <w:rFonts w:ascii="仿宋_GB2312" w:eastAsia="仿宋_GB2312" w:cs="仿宋_GB2312" w:hint="eastAsia"/>
          <w:sz w:val="32"/>
          <w:szCs w:val="32"/>
          <w:lang w:val="en-US" w:eastAsia="zh-CN"/>
        </w:rPr>
        <w:t>0</w:t>
      </w:r>
      <w:r>
        <w:rPr>
          <w:rFonts w:ascii="仿宋_GB2312" w:eastAsia="仿宋_GB2312" w:cs="仿宋_GB2312" w:hint="eastAsia"/>
          <w:sz w:val="32"/>
          <w:szCs w:val="32"/>
        </w:rPr>
        <w:t>项目（项目名称）开展了预算事前绩效评估，对</w:t>
      </w:r>
      <w:r>
        <w:rPr>
          <w:rFonts w:ascii="仿宋_GB2312" w:eastAsia="仿宋_GB2312" w:cs="仿宋_GB2312" w:hint="eastAsia"/>
          <w:sz w:val="32"/>
          <w:szCs w:val="32"/>
          <w:lang w:val="en-US" w:eastAsia="zh-CN"/>
        </w:rPr>
        <w:t>0</w:t>
      </w:r>
      <w:r>
        <w:rPr>
          <w:rFonts w:ascii="仿宋_GB2312" w:eastAsia="仿宋_GB2312" w:cs="仿宋_GB2312" w:hint="eastAsia"/>
          <w:sz w:val="32"/>
          <w:szCs w:val="32"/>
        </w:rPr>
        <w:t>个项目编制了绩效目标，预算执行过程中，选取</w:t>
      </w:r>
      <w:r>
        <w:rPr>
          <w:rFonts w:ascii="仿宋_GB2312" w:eastAsia="仿宋_GB2312" w:cs="仿宋_GB2312" w:hint="eastAsia"/>
          <w:sz w:val="32"/>
          <w:szCs w:val="32"/>
          <w:lang w:val="en-US" w:eastAsia="zh-CN"/>
        </w:rPr>
        <w:t>0</w:t>
      </w:r>
      <w:r>
        <w:rPr>
          <w:rFonts w:ascii="仿宋_GB2312" w:eastAsia="仿宋_GB2312" w:cs="仿宋_GB2312" w:hint="eastAsia"/>
          <w:sz w:val="32"/>
          <w:szCs w:val="32"/>
        </w:rPr>
        <w:t>个项目开展绩效监控，年终执行完毕后，对</w:t>
      </w:r>
      <w:r>
        <w:rPr>
          <w:rFonts w:ascii="仿宋_GB2312" w:eastAsia="仿宋_GB2312" w:cs="仿宋_GB2312" w:hint="eastAsia"/>
          <w:sz w:val="32"/>
          <w:szCs w:val="32"/>
          <w:lang w:val="en-US" w:eastAsia="zh-CN"/>
        </w:rPr>
        <w:t>0</w:t>
      </w:r>
      <w:r>
        <w:rPr>
          <w:rFonts w:ascii="仿宋_GB2312" w:eastAsia="仿宋_GB2312" w:cs="仿宋_GB2312" w:hint="eastAsia"/>
          <w:sz w:val="32"/>
          <w:szCs w:val="32"/>
        </w:rPr>
        <w:t>个项目开展了绩效目标完成情况自评。</w:t>
      </w:r>
    </w:p>
    <w:p>
      <w:pPr>
        <w:spacing w:line="580" w:lineRule="exact"/>
        <w:ind w:left="630"/>
        <w:rPr>
          <w:rFonts w:ascii="仿宋_GB2312" w:eastAsia="仿宋_GB2312" w:cs="仿宋_GB2312"/>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left="0" w:firstLineChars="150" w:firstLine="660"/>
        <w:jc w:val="center"/>
        <w:outlineLvl w:val="0"/>
        <w:rPr>
          <w:rStyle w:val="1Char"/>
          <w:rFonts w:ascii="黑体" w:eastAsia="黑体"/>
          <w:b w:val="0"/>
        </w:rPr>
      </w:pPr>
      <w:bookmarkStart w:id="56" w:name="_Toc15377225"/>
      <w:bookmarkStart w:id="57" w:name="_Toc15396613"/>
      <w:r>
        <w:rPr>
          <w:rFonts w:ascii="黑体" w:eastAsia="黑体" w:hint="eastAsia"/>
          <w:color w:val="000000"/>
          <w:sz w:val="44"/>
          <w:szCs w:val="44"/>
        </w:rPr>
        <w:t>名</w:t>
      </w:r>
      <w:r>
        <w:rPr>
          <w:rStyle w:val="1Char"/>
          <w:rFonts w:ascii="黑体" w:eastAsia="黑体" w:hint="eastAsia"/>
          <w:b w:val="0"/>
        </w:rPr>
        <w:t>词解释</w:t>
      </w:r>
      <w:bookmarkEnd w:id="56"/>
      <w:bookmarkEnd w:id="57"/>
    </w:p>
    <w:p>
      <w:pPr>
        <w:spacing w:line="600" w:lineRule="exact"/>
        <w:jc w:val="left"/>
        <w:rPr>
          <w:rFonts w:ascii="宋体"/>
          <w:b/>
          <w:color w:val="000000"/>
          <w:sz w:val="44"/>
          <w:szCs w:val="44"/>
        </w:rPr>
      </w:pPr>
    </w:p>
    <w:p>
      <w:pPr>
        <w:pStyle w:val="28"/>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pPr>
        <w:pStyle w:val="28"/>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w:t>
      </w:r>
    </w:p>
    <w:p>
      <w:pPr>
        <w:pStyle w:val="28"/>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w:t>
      </w:r>
    </w:p>
    <w:p>
      <w:pPr>
        <w:pStyle w:val="28"/>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r>
        <w:rPr>
          <w:rFonts w:ascii="仿宋_GB2312" w:eastAsia="仿宋_GB2312"/>
          <w:sz w:val="32"/>
          <w:szCs w:val="32"/>
        </w:rPr>
        <w:t xml:space="preserve"> </w:t>
      </w:r>
    </w:p>
    <w:p>
      <w:pPr>
        <w:pStyle w:val="28"/>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8"/>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pPr>
        <w:pStyle w:val="28"/>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pPr>
        <w:pStyle w:val="28"/>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pPr>
        <w:ind w:firstLineChars="200" w:firstLine="640"/>
        <w:rPr>
          <w:rFonts w:ascii="仿宋_GB2312" w:eastAsia="仿宋_GB2312" w:hint="eastAsia"/>
          <w:color w:val="000000"/>
          <w:sz w:val="32"/>
          <w:szCs w:val="32"/>
        </w:rPr>
      </w:pPr>
      <w:r>
        <w:rPr>
          <w:rFonts w:ascii="仿宋_GB2312" w:eastAsia="仿宋_GB2312"/>
          <w:color w:val="000000"/>
          <w:sz w:val="32"/>
          <w:szCs w:val="32"/>
        </w:rPr>
        <w:t>9.</w:t>
      </w:r>
      <w:r>
        <w:rPr>
          <w:rFonts w:ascii="仿宋_GB2312" w:eastAsia="仿宋_GB2312" w:hint="eastAsia"/>
          <w:color w:val="000000"/>
          <w:sz w:val="32"/>
          <w:szCs w:val="32"/>
        </w:rPr>
        <w:t>一般公共服务</w:t>
      </w:r>
      <w:r>
        <w:rPr>
          <w:rFonts w:ascii="仿宋_GB2312" w:eastAsia="仿宋_GB2312" w:hint="eastAsia"/>
          <w:color w:val="000000"/>
          <w:sz w:val="32"/>
          <w:szCs w:val="32"/>
          <w:lang w:val="en-US" w:eastAsia="zh-CN"/>
        </w:rPr>
        <w:t>201</w:t>
      </w:r>
      <w:r>
        <w:rPr>
          <w:rFonts w:ascii="仿宋_GB2312" w:eastAsia="仿宋_GB2312" w:hint="eastAsia"/>
          <w:color w:val="000000"/>
          <w:sz w:val="32"/>
          <w:szCs w:val="32"/>
        </w:rPr>
        <w:t>（类）</w:t>
      </w:r>
      <w:r>
        <w:rPr>
          <w:rFonts w:ascii="仿宋_GB2312" w:eastAsia="仿宋_GB2312" w:hint="eastAsia"/>
          <w:color w:val="000000"/>
          <w:sz w:val="32"/>
          <w:szCs w:val="32"/>
          <w:lang w:val="en-US" w:eastAsia="zh-CN"/>
        </w:rPr>
        <w:t>03</w:t>
      </w:r>
      <w:r>
        <w:rPr>
          <w:rFonts w:ascii="仿宋_GB2312" w:eastAsia="仿宋_GB2312" w:hint="eastAsia"/>
          <w:color w:val="000000"/>
          <w:sz w:val="32"/>
          <w:szCs w:val="32"/>
        </w:rPr>
        <w:t>（款）</w:t>
      </w:r>
      <w:r>
        <w:rPr>
          <w:rFonts w:ascii="仿宋_GB2312" w:eastAsia="仿宋_GB2312" w:hint="eastAsia"/>
          <w:color w:val="000000"/>
          <w:sz w:val="32"/>
          <w:szCs w:val="32"/>
          <w:lang w:val="en-US" w:eastAsia="zh-CN"/>
        </w:rPr>
        <w:t>01</w:t>
      </w:r>
      <w:r>
        <w:rPr>
          <w:rFonts w:ascii="仿宋_GB2312" w:eastAsia="仿宋_GB2312" w:hint="eastAsia"/>
          <w:color w:val="000000"/>
          <w:sz w:val="32"/>
          <w:szCs w:val="32"/>
        </w:rPr>
        <w:t>（项）：指我办行政运行支出。</w:t>
      </w:r>
    </w:p>
    <w:p>
      <w:pPr>
        <w:ind w:firstLineChars="200" w:firstLine="640"/>
        <w:rPr>
          <w:rFonts w:ascii="仿宋_GB2312" w:eastAsia="仿宋_GB2312" w:hint="eastAsia"/>
          <w:color w:val="000000"/>
          <w:sz w:val="32"/>
          <w:szCs w:val="32"/>
        </w:rPr>
      </w:pPr>
      <w:r>
        <w:rPr>
          <w:rFonts w:ascii="仿宋_GB2312" w:eastAsia="仿宋_GB2312" w:hint="eastAsia"/>
          <w:color w:val="000000"/>
          <w:sz w:val="32"/>
          <w:szCs w:val="32"/>
          <w:lang w:val="en-US" w:eastAsia="zh-CN"/>
        </w:rPr>
        <w:t>10.</w:t>
      </w:r>
      <w:r>
        <w:rPr>
          <w:rFonts w:ascii="仿宋_GB2312" w:eastAsia="仿宋_GB2312" w:hint="eastAsia"/>
          <w:color w:val="000000"/>
          <w:sz w:val="32"/>
          <w:szCs w:val="32"/>
        </w:rPr>
        <w:t>一般公共服务</w:t>
      </w:r>
      <w:r>
        <w:rPr>
          <w:rFonts w:ascii="仿宋_GB2312" w:eastAsia="仿宋_GB2312" w:hint="eastAsia"/>
          <w:color w:val="000000"/>
          <w:sz w:val="32"/>
          <w:szCs w:val="32"/>
          <w:lang w:val="en-US" w:eastAsia="zh-CN"/>
        </w:rPr>
        <w:t>201</w:t>
      </w:r>
      <w:r>
        <w:rPr>
          <w:rFonts w:ascii="仿宋_GB2312" w:eastAsia="仿宋_GB2312" w:hint="eastAsia"/>
          <w:color w:val="000000"/>
          <w:sz w:val="32"/>
          <w:szCs w:val="32"/>
        </w:rPr>
        <w:t>（类）</w:t>
      </w:r>
      <w:r>
        <w:rPr>
          <w:rFonts w:ascii="仿宋_GB2312" w:eastAsia="仿宋_GB2312" w:hint="eastAsia"/>
          <w:color w:val="000000"/>
          <w:sz w:val="32"/>
          <w:szCs w:val="32"/>
          <w:lang w:val="en-US" w:eastAsia="zh-CN"/>
        </w:rPr>
        <w:t>03</w:t>
      </w:r>
      <w:r>
        <w:rPr>
          <w:rFonts w:ascii="仿宋_GB2312" w:eastAsia="仿宋_GB2312" w:hint="eastAsia"/>
          <w:color w:val="000000"/>
          <w:sz w:val="32"/>
          <w:szCs w:val="32"/>
        </w:rPr>
        <w:t>（款）</w:t>
      </w:r>
      <w:r>
        <w:rPr>
          <w:rFonts w:ascii="仿宋_GB2312" w:eastAsia="仿宋_GB2312" w:hint="eastAsia"/>
          <w:color w:val="000000"/>
          <w:sz w:val="32"/>
          <w:szCs w:val="32"/>
          <w:lang w:val="en-US" w:eastAsia="zh-CN"/>
        </w:rPr>
        <w:t>02</w:t>
      </w:r>
      <w:r>
        <w:rPr>
          <w:rFonts w:ascii="仿宋_GB2312" w:eastAsia="仿宋_GB2312" w:hint="eastAsia"/>
          <w:color w:val="000000"/>
          <w:sz w:val="32"/>
          <w:szCs w:val="32"/>
        </w:rPr>
        <w:t>（项）：指我办</w:t>
      </w:r>
      <w:r>
        <w:rPr>
          <w:rFonts w:ascii="仿宋_GB2312" w:eastAsia="仿宋_GB2312" w:hint="eastAsia"/>
          <w:color w:val="000000"/>
          <w:sz w:val="32"/>
          <w:szCs w:val="32"/>
          <w:lang w:eastAsia="zh-CN"/>
        </w:rPr>
        <w:t>办公设备购置支出</w:t>
      </w:r>
      <w:r>
        <w:rPr>
          <w:rFonts w:ascii="仿宋_GB2312" w:eastAsia="仿宋_GB2312" w:hint="eastAsia"/>
          <w:color w:val="000000"/>
          <w:sz w:val="32"/>
          <w:szCs w:val="32"/>
        </w:rPr>
        <w:t>。</w:t>
      </w:r>
    </w:p>
    <w:p>
      <w:pPr>
        <w:pStyle w:val="15"/>
        <w:rPr>
          <w:rFonts w:hint="eastAsia"/>
        </w:rPr>
      </w:pPr>
    </w:p>
    <w:p>
      <w:pPr>
        <w:numPr>
          <w:ilvl w:val="0"/>
          <w:numId w:val="5"/>
        </w:numPr>
        <w:ind w:left="0"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一般公共服务201（类）03（款）99（项）：指的是援藏干部经费支出。</w:t>
      </w:r>
    </w:p>
    <w:p>
      <w:pPr>
        <w:ind w:firstLineChars="200" w:firstLine="640"/>
      </w:pPr>
      <w:r>
        <w:rPr>
          <w:rFonts w:ascii="仿宋_GB2312" w:eastAsia="仿宋_GB2312" w:hint="eastAsia"/>
          <w:color w:val="000000"/>
          <w:sz w:val="32"/>
          <w:szCs w:val="32"/>
          <w:lang w:val="en-US" w:eastAsia="zh-CN"/>
        </w:rPr>
        <w:t>12.</w:t>
      </w:r>
      <w:r>
        <w:rPr>
          <w:rFonts w:ascii="仿宋_GB2312" w:eastAsia="仿宋_GB2312" w:hint="eastAsia"/>
          <w:color w:val="000000"/>
          <w:sz w:val="32"/>
          <w:szCs w:val="32"/>
        </w:rPr>
        <w:t>公共安全204（类）</w:t>
      </w:r>
      <w:r>
        <w:rPr>
          <w:rFonts w:ascii="仿宋_GB2312" w:eastAsia="仿宋_GB2312" w:hint="eastAsia"/>
          <w:color w:val="000000"/>
          <w:sz w:val="32"/>
          <w:szCs w:val="32"/>
          <w:lang w:val="en-US" w:eastAsia="zh-CN"/>
        </w:rPr>
        <w:t>06</w:t>
      </w:r>
      <w:r>
        <w:rPr>
          <w:rFonts w:ascii="仿宋_GB2312" w:eastAsia="仿宋_GB2312" w:hint="eastAsia"/>
          <w:color w:val="000000"/>
          <w:sz w:val="32"/>
          <w:szCs w:val="32"/>
        </w:rPr>
        <w:t>（款）0</w:t>
      </w:r>
      <w:r>
        <w:rPr>
          <w:rFonts w:ascii="仿宋_GB2312" w:eastAsia="仿宋_GB2312" w:hint="eastAsia"/>
          <w:color w:val="000000"/>
          <w:sz w:val="32"/>
          <w:szCs w:val="32"/>
          <w:lang w:val="en-US" w:eastAsia="zh-CN"/>
        </w:rPr>
        <w:t>7</w:t>
      </w:r>
      <w:r>
        <w:rPr>
          <w:rFonts w:ascii="仿宋_GB2312" w:eastAsia="仿宋_GB2312" w:hint="eastAsia"/>
          <w:color w:val="000000"/>
          <w:sz w:val="32"/>
          <w:szCs w:val="32"/>
        </w:rPr>
        <w:t>（项）：指我办</w:t>
      </w:r>
      <w:r>
        <w:rPr>
          <w:rFonts w:ascii="仿宋_GB2312" w:eastAsia="仿宋_GB2312" w:hint="eastAsia"/>
          <w:color w:val="000000"/>
          <w:sz w:val="32"/>
          <w:szCs w:val="32"/>
          <w:lang w:val="en-US" w:eastAsia="zh-CN"/>
        </w:rPr>
        <w:t>2019</w:t>
      </w:r>
      <w:r>
        <w:rPr>
          <w:rFonts w:ascii="仿宋_GB2312" w:eastAsia="仿宋_GB2312" w:hint="eastAsia"/>
          <w:color w:val="000000"/>
          <w:sz w:val="32"/>
          <w:szCs w:val="32"/>
        </w:rPr>
        <w:t>年维稳</w:t>
      </w:r>
      <w:r>
        <w:rPr>
          <w:rFonts w:ascii="仿宋_GB2312" w:eastAsia="仿宋_GB2312" w:hint="eastAsia"/>
          <w:color w:val="000000"/>
          <w:sz w:val="32"/>
          <w:szCs w:val="32"/>
          <w:lang w:eastAsia="zh-CN"/>
        </w:rPr>
        <w:t>法律援助</w:t>
      </w:r>
      <w:r>
        <w:rPr>
          <w:rFonts w:ascii="仿宋_GB2312" w:eastAsia="仿宋_GB2312" w:hint="eastAsia"/>
          <w:color w:val="000000"/>
          <w:sz w:val="32"/>
          <w:szCs w:val="32"/>
        </w:rPr>
        <w:t>费用支出。</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lang w:val="en-US" w:eastAsia="zh-CN"/>
        </w:rPr>
        <w:t>3</w:t>
      </w:r>
      <w:r>
        <w:rPr>
          <w:rFonts w:ascii="仿宋_GB2312" w:eastAsia="仿宋_GB2312"/>
          <w:color w:val="000000"/>
          <w:sz w:val="32"/>
          <w:szCs w:val="32"/>
        </w:rPr>
        <w:t>.</w:t>
      </w:r>
      <w:r>
        <w:rPr>
          <w:rFonts w:ascii="仿宋_GB2312" w:eastAsia="仿宋_GB2312" w:hint="eastAsia"/>
          <w:color w:val="000000"/>
          <w:sz w:val="32"/>
          <w:szCs w:val="32"/>
        </w:rPr>
        <w:t>公共安全204（类）99（款）01（项）：指我办20</w:t>
      </w:r>
      <w:r>
        <w:rPr>
          <w:rFonts w:ascii="仿宋_GB2312" w:eastAsia="仿宋_GB2312" w:hint="eastAsia"/>
          <w:color w:val="000000"/>
          <w:sz w:val="32"/>
          <w:szCs w:val="32"/>
          <w:lang w:val="en-US" w:eastAsia="zh-CN"/>
        </w:rPr>
        <w:t>19</w:t>
      </w:r>
      <w:r>
        <w:rPr>
          <w:rFonts w:ascii="仿宋_GB2312" w:eastAsia="仿宋_GB2312" w:hint="eastAsia"/>
          <w:color w:val="000000"/>
          <w:sz w:val="32"/>
          <w:szCs w:val="32"/>
        </w:rPr>
        <w:t>年维稳情报信息费用支出。</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4</w:t>
      </w:r>
      <w:r>
        <w:rPr>
          <w:rFonts w:ascii="仿宋_GB2312" w:eastAsia="仿宋_GB2312"/>
          <w:color w:val="000000"/>
          <w:sz w:val="32"/>
          <w:szCs w:val="32"/>
        </w:rPr>
        <w:t>.</w:t>
      </w:r>
      <w:r>
        <w:rPr>
          <w:rFonts w:ascii="仿宋_GB2312" w:eastAsia="仿宋_GB2312" w:hint="eastAsia"/>
          <w:color w:val="000000"/>
          <w:sz w:val="32"/>
          <w:szCs w:val="32"/>
        </w:rPr>
        <w:t>社会保障和就业208（类）05（款）05（项）：指我办201</w:t>
      </w:r>
      <w:r>
        <w:rPr>
          <w:rFonts w:ascii="仿宋_GB2312" w:eastAsia="仿宋_GB2312" w:hint="eastAsia"/>
          <w:color w:val="000000"/>
          <w:sz w:val="32"/>
          <w:szCs w:val="32"/>
          <w:lang w:val="en-US" w:eastAsia="zh-CN"/>
        </w:rPr>
        <w:t>9年</w:t>
      </w:r>
      <w:r>
        <w:rPr>
          <w:rFonts w:ascii="仿宋_GB2312" w:eastAsia="仿宋_GB2312" w:hint="eastAsia"/>
          <w:color w:val="000000"/>
          <w:sz w:val="32"/>
          <w:szCs w:val="32"/>
        </w:rPr>
        <w:t>养老保险的支出</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社会保障和就业208（类）05（款）06（项）：指我办201</w:t>
      </w:r>
      <w:r>
        <w:rPr>
          <w:rFonts w:ascii="仿宋_GB2312" w:eastAsia="仿宋_GB2312" w:hint="eastAsia"/>
          <w:color w:val="000000"/>
          <w:sz w:val="32"/>
          <w:szCs w:val="32"/>
          <w:lang w:val="en-US" w:eastAsia="zh-CN"/>
        </w:rPr>
        <w:t>9年</w:t>
      </w:r>
      <w:r>
        <w:rPr>
          <w:rFonts w:ascii="仿宋_GB2312" w:eastAsia="仿宋_GB2312" w:hint="eastAsia"/>
          <w:color w:val="000000"/>
          <w:sz w:val="32"/>
          <w:szCs w:val="32"/>
        </w:rPr>
        <w:t>职业年金的支出。</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6</w:t>
      </w:r>
      <w:r>
        <w:rPr>
          <w:rFonts w:ascii="仿宋_GB2312" w:eastAsia="仿宋_GB2312"/>
          <w:color w:val="000000"/>
          <w:sz w:val="32"/>
          <w:szCs w:val="32"/>
        </w:rPr>
        <w:t>.</w:t>
      </w:r>
      <w:r>
        <w:rPr>
          <w:rFonts w:ascii="仿宋_GB2312" w:eastAsia="仿宋_GB2312" w:hint="eastAsia"/>
          <w:color w:val="000000"/>
          <w:sz w:val="32"/>
          <w:szCs w:val="32"/>
          <w:lang w:eastAsia="zh-CN"/>
        </w:rPr>
        <w:t>卫生健康</w:t>
      </w:r>
      <w:r>
        <w:rPr>
          <w:rFonts w:ascii="仿宋_GB2312" w:eastAsia="仿宋_GB2312" w:hint="eastAsia"/>
          <w:color w:val="000000"/>
          <w:sz w:val="32"/>
          <w:szCs w:val="32"/>
        </w:rPr>
        <w:t>210（类）（款）11（项）01指201</w:t>
      </w:r>
      <w:r>
        <w:rPr>
          <w:rFonts w:ascii="仿宋_GB2312" w:eastAsia="仿宋_GB2312" w:hint="eastAsia"/>
          <w:color w:val="000000"/>
          <w:sz w:val="32"/>
          <w:szCs w:val="32"/>
          <w:lang w:val="en-US" w:eastAsia="zh-CN"/>
        </w:rPr>
        <w:t>9</w:t>
      </w:r>
      <w:r>
        <w:rPr>
          <w:rFonts w:ascii="仿宋_GB2312" w:eastAsia="仿宋_GB2312" w:hint="eastAsia"/>
          <w:color w:val="000000"/>
          <w:sz w:val="32"/>
          <w:szCs w:val="32"/>
        </w:rPr>
        <w:t>年我办医疗卫生方面的支出。。</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lang w:val="en-US" w:eastAsia="zh-CN"/>
        </w:rPr>
        <w:t>7</w:t>
      </w:r>
      <w:r>
        <w:rPr>
          <w:rFonts w:ascii="仿宋_GB2312" w:eastAsia="仿宋_GB2312"/>
          <w:color w:val="000000"/>
          <w:sz w:val="32"/>
          <w:szCs w:val="32"/>
        </w:rPr>
        <w:t>.</w:t>
      </w:r>
      <w:r>
        <w:rPr>
          <w:rFonts w:ascii="仿宋_GB2312" w:eastAsia="仿宋_GB2312" w:hint="eastAsia"/>
          <w:color w:val="000000"/>
          <w:sz w:val="32"/>
          <w:szCs w:val="32"/>
        </w:rPr>
        <w:t>住房保障221（类）02（款）01（项）：指201</w:t>
      </w:r>
      <w:r>
        <w:rPr>
          <w:rFonts w:ascii="仿宋_GB2312" w:eastAsia="仿宋_GB2312" w:hint="eastAsia"/>
          <w:color w:val="000000"/>
          <w:sz w:val="32"/>
          <w:szCs w:val="32"/>
          <w:lang w:val="en-US" w:eastAsia="zh-CN"/>
        </w:rPr>
        <w:t>9</w:t>
      </w:r>
      <w:r>
        <w:rPr>
          <w:rFonts w:ascii="仿宋_GB2312" w:eastAsia="仿宋_GB2312" w:hint="eastAsia"/>
          <w:color w:val="000000"/>
          <w:sz w:val="32"/>
          <w:szCs w:val="32"/>
        </w:rPr>
        <w:t>年我办住房公积金支出。</w:t>
      </w:r>
    </w:p>
    <w:p>
      <w:pPr>
        <w:spacing w:line="600" w:lineRule="exact"/>
        <w:ind w:firstLine="640"/>
        <w:rPr>
          <w:rFonts w:ascii="仿宋" w:eastAsia="仿宋"/>
          <w:b/>
          <w:color w:val="000000"/>
          <w:sz w:val="32"/>
          <w:szCs w:val="32"/>
        </w:rPr>
      </w:pPr>
      <w:r>
        <w:rPr>
          <w:rFonts w:ascii="仿宋" w:eastAsia="仿宋" w:hint="eastAsia"/>
          <w:b/>
          <w:color w:val="000000"/>
          <w:sz w:val="32"/>
          <w:szCs w:val="32"/>
        </w:rPr>
        <w:t>（解释本部门决算报表中全部功能分类科目至项级，请参照《</w:t>
      </w:r>
      <w:r>
        <w:rPr>
          <w:rFonts w:ascii="仿宋" w:eastAsia="仿宋"/>
          <w:b/>
          <w:color w:val="000000"/>
          <w:sz w:val="32"/>
          <w:szCs w:val="32"/>
        </w:rPr>
        <w:t>201</w:t>
      </w:r>
      <w:r>
        <w:rPr>
          <w:rFonts w:ascii="仿宋" w:eastAsia="仿宋" w:hint="eastAsia"/>
          <w:b/>
          <w:color w:val="000000"/>
          <w:sz w:val="32"/>
          <w:szCs w:val="32"/>
        </w:rPr>
        <w:t>9年政府收支分类科目》增减内容。）</w:t>
      </w:r>
    </w:p>
    <w:p>
      <w:pPr>
        <w:ind w:firstLineChars="200" w:firstLine="640"/>
        <w:rPr>
          <w:rFonts w:ascii="仿宋_GB2312" w:eastAsia="仿宋_GB2312"/>
          <w:color w:val="000000"/>
          <w:sz w:val="32"/>
          <w:szCs w:val="32"/>
        </w:rPr>
      </w:pPr>
      <w:r>
        <w:rPr>
          <w:rFonts w:ascii="仿宋_GB2312" w:eastAsia="仿宋_GB2312" w:hint="eastAsia"/>
          <w:color w:val="000000"/>
          <w:sz w:val="32"/>
          <w:szCs w:val="32"/>
          <w:lang w:val="en-US" w:eastAsia="zh-CN"/>
        </w:rPr>
        <w:t>18</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pPr>
        <w:ind w:firstLineChars="200" w:firstLine="640"/>
        <w:rPr>
          <w:rFonts w:ascii="仿宋_GB2312" w:eastAsia="仿宋_GB2312"/>
          <w:color w:val="000000"/>
          <w:sz w:val="32"/>
          <w:szCs w:val="32"/>
        </w:rPr>
      </w:pPr>
      <w:r>
        <w:rPr>
          <w:rFonts w:ascii="仿宋_GB2312" w:eastAsia="仿宋_GB2312" w:hint="eastAsia"/>
          <w:color w:val="000000"/>
          <w:sz w:val="32"/>
          <w:szCs w:val="32"/>
          <w:lang w:val="en-US" w:eastAsia="zh-CN"/>
        </w:rPr>
        <w:t>19</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Chars="200" w:firstLine="640"/>
        <w:rPr>
          <w:rFonts w:ascii="仿宋_GB2312" w:eastAsia="仿宋_GB2312"/>
          <w:color w:val="000000"/>
          <w:sz w:val="32"/>
          <w:szCs w:val="32"/>
        </w:rPr>
      </w:pPr>
      <w:r>
        <w:rPr>
          <w:rFonts w:ascii="仿宋_GB2312" w:eastAsia="仿宋_GB2312" w:hint="eastAsia"/>
          <w:color w:val="000000"/>
          <w:sz w:val="32"/>
          <w:szCs w:val="32"/>
          <w:lang w:val="en-US" w:eastAsia="zh-CN"/>
        </w:rPr>
        <w:t>20</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pPr>
        <w:pStyle w:val="28"/>
        <w:spacing w:line="560" w:lineRule="exact"/>
        <w:ind w:firstLineChars="200" w:firstLine="640"/>
        <w:rPr>
          <w:rFonts w:ascii="仿宋_GB2312" w:eastAsia="仿宋_GB2312"/>
          <w:sz w:val="32"/>
          <w:szCs w:val="32"/>
        </w:rPr>
      </w:pPr>
      <w:r>
        <w:rPr>
          <w:rFonts w:ascii="仿宋_GB2312" w:eastAsia="仿宋_GB2312" w:hint="eastAsia"/>
          <w:sz w:val="32"/>
          <w:szCs w:val="32"/>
          <w:lang w:val="en-US" w:eastAsia="zh-CN"/>
        </w:rPr>
        <w:t>21</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Chars="200" w:firstLine="640"/>
        <w:rPr>
          <w:rFonts w:ascii="仿宋_GB2312" w:eastAsia="仿宋_GB2312"/>
          <w:sz w:val="32"/>
          <w:szCs w:val="32"/>
        </w:rPr>
      </w:pPr>
      <w:r>
        <w:rPr>
          <w:rFonts w:ascii="仿宋_GB2312" w:eastAsia="仿宋_GB2312" w:hint="eastAsia"/>
          <w:sz w:val="32"/>
          <w:szCs w:val="32"/>
          <w:lang w:val="en-US" w:eastAsia="zh-CN"/>
        </w:rPr>
        <w:t>22</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8"/>
        <w:spacing w:line="560" w:lineRule="exact"/>
        <w:ind w:firstLineChars="200" w:firstLine="640"/>
        <w:rPr>
          <w:rFonts w:ascii="仿宋_GB2312" w:eastAsia="仿宋_GB2312" w:cs="黑体"/>
          <w:sz w:val="32"/>
          <w:szCs w:val="32"/>
        </w:rPr>
      </w:pPr>
    </w:p>
    <w:p>
      <w:pPr>
        <w:ind w:firstLineChars="200" w:firstLine="640"/>
        <w:rPr>
          <w:rFonts w:ascii="仿宋" w:eastAsia="仿宋"/>
          <w:b/>
          <w:color w:val="000000"/>
          <w:sz w:val="32"/>
          <w:szCs w:val="32"/>
        </w:rPr>
      </w:pPr>
      <w:r>
        <w:rPr>
          <w:rFonts w:ascii="仿宋" w:eastAsia="仿宋" w:hint="eastAsia"/>
          <w:b/>
          <w:color w:val="000000"/>
          <w:sz w:val="32"/>
          <w:szCs w:val="32"/>
        </w:rPr>
        <w:t>（名词解释部分请根据各部门实际列支情况罗列，并根据本部门职责职能增减名词解释内容。）</w:t>
      </w:r>
    </w:p>
    <w:p>
      <w:pPr>
        <w:spacing w:line="600" w:lineRule="exact"/>
        <w:jc w:val="center"/>
        <w:outlineLvl w:val="0"/>
        <w:rPr>
          <w:rStyle w:val="1Char"/>
          <w:rFonts w:ascii="黑体" w:eastAsia="黑体"/>
          <w:b w:val="0"/>
        </w:rPr>
      </w:pPr>
      <w:bookmarkStart w:id="58" w:name="_Toc15377226"/>
      <w:r>
        <w:rPr>
          <w:rFonts w:ascii="宋体"/>
          <w:b/>
          <w:color w:val="000000"/>
          <w:sz w:val="44"/>
          <w:szCs w:val="44"/>
        </w:rPr>
        <w:br w:type="page"/>
      </w:r>
      <w:bookmarkStart w:id="59" w:name="_Toc15396614"/>
      <w:r>
        <w:rPr>
          <w:rFonts w:ascii="黑体" w:eastAsia="黑体" w:hint="eastAsia"/>
          <w:color w:val="000000"/>
          <w:sz w:val="44"/>
          <w:szCs w:val="44"/>
        </w:rPr>
        <w:t>第</w:t>
      </w:r>
      <w:r>
        <w:rPr>
          <w:rStyle w:val="1Char"/>
          <w:rFonts w:ascii="黑体" w:eastAsia="黑体" w:hint="eastAsia"/>
          <w:b w:val="0"/>
        </w:rPr>
        <w:t>四部分 附件</w:t>
      </w:r>
      <w:bookmarkEnd w:id="59"/>
    </w:p>
    <w:p>
      <w:pPr>
        <w:spacing w:line="600" w:lineRule="exact"/>
        <w:jc w:val="left"/>
        <w:outlineLvl w:val="0"/>
        <w:rPr>
          <w:rFonts w:ascii="方正小标宋简体" w:eastAsia="方正小标宋简体" w:cs="方正小标宋简体"/>
          <w:sz w:val="32"/>
          <w:szCs w:val="32"/>
        </w:rPr>
      </w:pPr>
      <w:r>
        <w:rPr>
          <w:rFonts w:ascii="黑体" w:eastAsia="黑体" w:cs="黑体" w:hint="eastAsia"/>
          <w:sz w:val="32"/>
          <w:szCs w:val="32"/>
        </w:rPr>
        <w:t>附件1</w:t>
      </w:r>
    </w:p>
    <w:p>
      <w:pPr>
        <w:spacing w:line="580" w:lineRule="exact"/>
        <w:jc w:val="center"/>
        <w:rPr>
          <w:rFonts w:ascii="方正小标宋简体" w:eastAsia="方正小标宋简体" w:cs="方正小标宋简体"/>
          <w:sz w:val="44"/>
          <w:szCs w:val="44"/>
        </w:rPr>
      </w:pPr>
    </w:p>
    <w:p>
      <w:pPr>
        <w:spacing w:line="600" w:lineRule="exact"/>
        <w:jc w:val="center"/>
        <w:rPr>
          <w:rFonts w:ascii="方正小标宋简体" w:eastAsia="方正小标宋简体"/>
          <w:color w:val="000000"/>
          <w:kern w:val="0"/>
          <w:sz w:val="40"/>
          <w:szCs w:val="44"/>
          <w:lang w:val="zh-CN"/>
        </w:rPr>
      </w:pPr>
      <w:r>
        <w:rPr>
          <w:rFonts w:ascii="方正小标宋简体" w:eastAsia="方正小标宋简体" w:hint="eastAsia"/>
          <w:color w:val="000000"/>
          <w:kern w:val="0"/>
          <w:sz w:val="40"/>
          <w:szCs w:val="44"/>
          <w:lang w:val="zh-CN"/>
        </w:rPr>
        <w:t>壤塘县人民政府办公室</w:t>
      </w:r>
      <w:r>
        <w:rPr>
          <w:rFonts w:ascii="方正小标宋简体" w:eastAsia="方正小标宋简体"/>
          <w:color w:val="000000"/>
          <w:kern w:val="0"/>
          <w:sz w:val="40"/>
          <w:szCs w:val="44"/>
        </w:rPr>
        <w:t>2019年部门</w:t>
      </w:r>
      <w:r>
        <w:rPr>
          <w:rFonts w:ascii="方正小标宋简体" w:eastAsia="方正小标宋简体" w:hint="eastAsia"/>
          <w:color w:val="000000"/>
          <w:kern w:val="0"/>
          <w:sz w:val="40"/>
          <w:szCs w:val="44"/>
          <w:lang w:val="zh-CN"/>
        </w:rPr>
        <w:t>整体支出绩效评价报告</w:t>
      </w:r>
    </w:p>
    <w:p>
      <w:pPr>
        <w:widowControl/>
        <w:spacing w:line="580" w:lineRule="exact"/>
        <w:ind w:firstLineChars="200" w:firstLine="640"/>
        <w:contextualSpacing/>
        <w:jc w:val="center"/>
        <w:rPr>
          <w:rFonts w:ascii="仿宋_GB2312" w:eastAsia="仿宋_GB2312"/>
          <w:sz w:val="32"/>
          <w:szCs w:val="32"/>
          <w:shd w:val="clear" w:color="auto" w:fill="FFFFFF"/>
        </w:rPr>
      </w:pPr>
      <w:r>
        <w:rPr>
          <w:rFonts w:ascii="仿宋_GB2312" w:eastAsia="仿宋_GB2312" w:hint="eastAsia"/>
          <w:sz w:val="32"/>
          <w:szCs w:val="32"/>
          <w:shd w:val="clear" w:color="auto" w:fill="FFFFFF"/>
        </w:rPr>
        <w:t>（报告范围包括机关和下属单位）</w:t>
      </w:r>
    </w:p>
    <w:p>
      <w:pPr>
        <w:spacing w:line="580" w:lineRule="exact"/>
        <w:ind w:firstLineChars="200" w:firstLine="640"/>
        <w:rPr>
          <w:rFonts w:ascii="黑体" w:eastAsia="黑体" w:cs="黑体"/>
          <w:sz w:val="32"/>
          <w:szCs w:val="32"/>
        </w:rPr>
      </w:pPr>
      <w:r>
        <w:rPr>
          <w:rFonts w:ascii="黑体" w:eastAsia="黑体" w:cs="黑体" w:hint="eastAsia"/>
          <w:sz w:val="32"/>
          <w:szCs w:val="32"/>
        </w:rPr>
        <w:t>一、部门（单位）概况</w:t>
      </w:r>
    </w:p>
    <w:p>
      <w:pPr>
        <w:spacing w:line="560" w:lineRule="exact"/>
        <w:ind w:firstLineChars="200" w:firstLine="640"/>
        <w:rPr>
          <w:rFonts w:ascii="仿宋" w:eastAsia="仿宋" w:cs="仿宋_GB2312"/>
          <w:sz w:val="32"/>
          <w:szCs w:val="32"/>
        </w:rPr>
      </w:pPr>
      <w:r>
        <w:rPr>
          <w:rFonts w:ascii="仿宋" w:eastAsia="仿宋" w:cs="仿宋_GB2312"/>
          <w:sz w:val="32"/>
          <w:szCs w:val="32"/>
        </w:rPr>
        <w:t>（一）机构组成。</w:t>
      </w:r>
    </w:p>
    <w:p>
      <w:pPr>
        <w:spacing w:line="560" w:lineRule="exact"/>
        <w:ind w:firstLineChars="200" w:firstLine="640"/>
        <w:rPr>
          <w:rFonts w:eastAsia="仿宋_GB2312"/>
          <w:sz w:val="32"/>
          <w:szCs w:val="32"/>
        </w:rPr>
      </w:pPr>
      <w:r>
        <w:rPr>
          <w:rFonts w:ascii="仿宋" w:eastAsia="仿宋" w:cs="仿宋_GB2312" w:hint="eastAsia"/>
          <w:sz w:val="32"/>
          <w:szCs w:val="32"/>
        </w:rPr>
        <w:t>我</w:t>
      </w:r>
      <w:r>
        <w:rPr>
          <w:rFonts w:eastAsia="仿宋_GB2312" w:cs="仿宋_GB2312" w:hint="eastAsia"/>
          <w:sz w:val="32"/>
          <w:szCs w:val="32"/>
        </w:rPr>
        <w:t>办</w:t>
      </w:r>
      <w:r>
        <w:rPr>
          <w:rFonts w:eastAsia="仿宋_GB2312"/>
          <w:sz w:val="32"/>
          <w:szCs w:val="32"/>
        </w:rPr>
        <w:t>201</w:t>
      </w:r>
      <w:r>
        <w:rPr>
          <w:rFonts w:eastAsia="仿宋_GB2312" w:hint="eastAsia"/>
          <w:sz w:val="32"/>
          <w:szCs w:val="32"/>
          <w:lang w:val="en-US" w:eastAsia="zh-CN"/>
        </w:rPr>
        <w:t>9</w:t>
      </w:r>
      <w:r>
        <w:rPr>
          <w:rFonts w:eastAsia="仿宋_GB2312" w:cs="仿宋_GB2312" w:hint="eastAsia"/>
          <w:sz w:val="32"/>
          <w:szCs w:val="32"/>
        </w:rPr>
        <w:t>年纳入部门决算编报范围的为本级财政预算管理范围的行政单位。我办执行的是行政单位制度。</w:t>
      </w:r>
    </w:p>
    <w:p>
      <w:pPr>
        <w:numPr>
          <w:ilvl w:val="0"/>
          <w:numId w:val="6"/>
        </w:numPr>
        <w:spacing w:line="580" w:lineRule="exact"/>
        <w:ind w:left="0" w:firstLineChars="200" w:firstLine="640"/>
        <w:rPr>
          <w:rFonts w:ascii="仿宋" w:eastAsia="仿宋" w:cs="仿宋_GB2312"/>
          <w:sz w:val="32"/>
          <w:szCs w:val="32"/>
        </w:rPr>
      </w:pPr>
      <w:r>
        <w:rPr>
          <w:rFonts w:ascii="仿宋" w:eastAsia="仿宋" w:cs="仿宋_GB2312"/>
          <w:sz w:val="32"/>
          <w:szCs w:val="32"/>
        </w:rPr>
        <w:t>机构职能</w:t>
      </w:r>
      <w:r>
        <w:rPr>
          <w:rFonts w:ascii="仿宋" w:eastAsia="仿宋" w:cs="仿宋_GB2312" w:hint="eastAsia"/>
          <w:sz w:val="32"/>
          <w:szCs w:val="32"/>
        </w:rPr>
        <w:t>。</w:t>
      </w:r>
    </w:p>
    <w:p>
      <w:pPr>
        <w:spacing w:line="580" w:lineRule="exact"/>
        <w:ind w:firstLineChars="200" w:firstLine="640"/>
        <w:rPr>
          <w:rFonts w:ascii="仿宋" w:eastAsia="仿宋" w:cs="仿宋_GB2312"/>
          <w:sz w:val="32"/>
          <w:szCs w:val="32"/>
        </w:rPr>
      </w:pPr>
      <w:r>
        <w:rPr>
          <w:rFonts w:ascii="仿宋_GB2312" w:eastAsia="仿宋_GB2312" w:cs="仿宋_GB2312" w:hint="eastAsia"/>
          <w:color w:val="4E4342"/>
          <w:kern w:val="0"/>
          <w:sz w:val="32"/>
          <w:szCs w:val="32"/>
        </w:rPr>
        <w:t xml:space="preserve">1.负责组织起草或审核以县政府、县政府办公室名义发布的公文。办理州政府、州政府办公室及各委、局发送县政府的文电。指导全县行政机关公文处理工作。 </w:t>
        <w:br/>
        <w:t xml:space="preserve">　　2.研究县政府部门和各乡镇人民政府请示县政府的事项，提出审核意见，报县政府审批。 </w:t>
        <w:br/>
        <w:t xml:space="preserve">　　3.负责县政府会议的准备工作，协助县政府组织实施会议决定事项。 </w:t>
        <w:br/>
        <w:t xml:space="preserve">　　4.根据县政府领导指示，对县政府部门间争议问题提出处理意见和建议，报县政府决定。 </w:t>
        <w:br/>
        <w:t xml:space="preserve">　　5.督促检查县政府各部门和各乡镇人民政府对县政府决定事项及县政府领导指示的贯彻落实情况，及时向县政府报告。 </w:t>
        <w:br/>
        <w:t xml:space="preserve">　　6.负责县政府值班工作，及时向县政府报告重要情况，协助处理县政府各部门和各乡镇政府向县政府反映的重要问题。 </w:t>
        <w:br/>
        <w:t xml:space="preserve">　　7.指导全县应急管理工作，协助县政府组织处理突发事件和重大事故。 </w:t>
        <w:br/>
        <w:t xml:space="preserve">　　8.负责政务服务中心“两集中、两到位”的协调管理工作。受理公民、法人或其他组织向未在服务中心设立窗口的部门就行政审批事项递交的申请，并转交有关部门依法办理。 </w:t>
        <w:br/>
        <w:t xml:space="preserve">　　9.围绕县政府中心工作，组织专题调查研究，及时反映情况，提出建议。 </w:t>
        <w:br/>
        <w:t xml:space="preserve">　　10.做好行政事务工作，为县政府领导作好服务。 </w:t>
        <w:br/>
        <w:t xml:space="preserve">　　11.组织办理人大代表建议和政协委员提案工作。配合搞好人大代表、政协委员的考察调研工作。 </w:t>
        <w:br/>
        <w:t xml:space="preserve">　　12.指导和协调县政府信息公开和政务公开工作，制定全县信息化发展规划，推进信息化应用工作，制定全县信息资源开发利用规则，对全县信息资源进行整合；指导、监督全县政府系统电子政务工作和政府网站建设；负责全县政府系统办公自动化建设的规划及业务指导工作。 </w:t>
        <w:br/>
        <w:t xml:space="preserve">　　13.组织实施政府法制工作。 </w:t>
        <w:br/>
        <w:t xml:space="preserve">　　14.制定和实施人民防空建设与城市建设相结合规划，指导全县人民防空和民防工作。 </w:t>
        <w:br/>
        <w:t xml:space="preserve">　　15.制订和规范采购制度，严格按采购程序办理各项采购事务，认真受理各采购单位的采购事项。 </w:t>
        <w:br/>
        <w:t xml:space="preserve">　　16.负责外事侨务工作。 </w:t>
        <w:br/>
        <w:t xml:space="preserve">　　17.负责机关行政效能建设工作，履行应急职守、信息汇总和综合协调职责，发挥运转枢纽作用。 </w:t>
        <w:br/>
        <w:t xml:space="preserve">　　18.负责全县机关事业单位公务用车管理工作。 </w:t>
        <w:br/>
        <w:t xml:space="preserve">　　19.承担县政府公布的行政审批事项。 </w:t>
        <w:br/>
        <w:t xml:space="preserve">　　20.承办县政府交办的其他事项。 </w:t>
        <w:br/>
      </w:r>
      <w:r>
        <w:rPr>
          <w:rFonts w:ascii="仿宋" w:eastAsia="仿宋" w:cs="仿宋_GB2312"/>
          <w:sz w:val="32"/>
          <w:szCs w:val="32"/>
        </w:rPr>
        <w:t>（三）人员概况</w:t>
      </w:r>
    </w:p>
    <w:p>
      <w:pPr>
        <w:widowControl/>
        <w:spacing w:line="600" w:lineRule="exact"/>
        <w:ind w:leftChars="100" w:left="210" w:firstLineChars="200" w:firstLine="640"/>
        <w:jc w:val="left"/>
        <w:rPr>
          <w:rFonts w:ascii="仿宋_GB2312" w:eastAsia="仿宋_GB2312"/>
          <w:sz w:val="32"/>
          <w:szCs w:val="32"/>
        </w:rPr>
      </w:pPr>
      <w:r>
        <w:rPr>
          <w:rFonts w:ascii="仿宋_GB2312" w:eastAsia="仿宋_GB2312" w:cs="宋体" w:hint="eastAsia"/>
          <w:kern w:val="0"/>
          <w:sz w:val="32"/>
          <w:szCs w:val="32"/>
        </w:rPr>
        <w:t>总编制</w:t>
      </w:r>
      <w:r>
        <w:rPr>
          <w:rFonts w:ascii="仿宋_GB2312" w:eastAsia="仿宋_GB2312" w:cs="宋体" w:hint="eastAsia"/>
          <w:kern w:val="0"/>
          <w:sz w:val="32"/>
          <w:szCs w:val="32"/>
          <w:u w:val="single"/>
          <w:lang w:val="en-US" w:eastAsia="zh-CN"/>
        </w:rPr>
        <w:t>60</w:t>
      </w:r>
      <w:r>
        <w:rPr>
          <w:rFonts w:ascii="仿宋_GB2312" w:eastAsia="仿宋_GB2312" w:cs="宋体" w:hint="eastAsia"/>
          <w:kern w:val="0"/>
          <w:sz w:val="32"/>
          <w:szCs w:val="32"/>
        </w:rPr>
        <w:t>名,其中:行政编制</w:t>
      </w:r>
      <w:r>
        <w:rPr>
          <w:rFonts w:ascii="仿宋_GB2312" w:eastAsia="仿宋_GB2312" w:cs="宋体" w:hint="eastAsia"/>
          <w:kern w:val="0"/>
          <w:sz w:val="32"/>
          <w:szCs w:val="32"/>
          <w:lang w:val="en-US" w:eastAsia="zh-CN"/>
        </w:rPr>
        <w:t>35</w:t>
      </w:r>
      <w:r>
        <w:rPr>
          <w:rFonts w:ascii="仿宋_GB2312" w:eastAsia="仿宋_GB2312" w:cs="宋体" w:hint="eastAsia"/>
          <w:kern w:val="0"/>
          <w:sz w:val="32"/>
          <w:szCs w:val="32"/>
        </w:rPr>
        <w:t>人、参公编制</w:t>
      </w:r>
      <w:r>
        <w:rPr>
          <w:rFonts w:ascii="仿宋_GB2312" w:eastAsia="仿宋_GB2312" w:cs="宋体" w:hint="eastAsia"/>
          <w:kern w:val="0"/>
          <w:sz w:val="32"/>
          <w:szCs w:val="32"/>
          <w:lang w:val="en-US" w:eastAsia="zh-CN"/>
        </w:rPr>
        <w:t>4</w:t>
      </w:r>
      <w:r>
        <w:rPr>
          <w:rFonts w:ascii="仿宋_GB2312" w:eastAsia="仿宋_GB2312" w:cs="宋体" w:hint="eastAsia"/>
          <w:kern w:val="0"/>
          <w:sz w:val="32"/>
          <w:szCs w:val="32"/>
        </w:rPr>
        <w:t>人，</w:t>
      </w:r>
      <w:r>
        <w:rPr>
          <w:rFonts w:eastAsia="仿宋_GB2312" w:cs="仿宋_GB2312" w:hint="eastAsia"/>
          <w:sz w:val="32"/>
          <w:szCs w:val="32"/>
        </w:rPr>
        <w:t>截止</w:t>
      </w:r>
      <w:r>
        <w:rPr>
          <w:rFonts w:eastAsia="仿宋_GB2312"/>
          <w:sz w:val="32"/>
          <w:szCs w:val="32"/>
        </w:rPr>
        <w:t>201</w:t>
      </w:r>
      <w:r>
        <w:rPr>
          <w:rFonts w:eastAsia="仿宋_GB2312" w:hint="eastAsia"/>
          <w:sz w:val="32"/>
          <w:szCs w:val="32"/>
          <w:lang w:val="en-US" w:eastAsia="zh-CN"/>
        </w:rPr>
        <w:t>9</w:t>
      </w:r>
      <w:r>
        <w:rPr>
          <w:rFonts w:eastAsia="仿宋_GB2312" w:cs="仿宋_GB2312" w:hint="eastAsia"/>
          <w:sz w:val="32"/>
          <w:szCs w:val="32"/>
        </w:rPr>
        <w:t>年</w:t>
      </w:r>
      <w:r>
        <w:rPr>
          <w:rFonts w:eastAsia="仿宋_GB2312"/>
          <w:sz w:val="32"/>
          <w:szCs w:val="32"/>
        </w:rPr>
        <w:t>12</w:t>
      </w:r>
      <w:r>
        <w:rPr>
          <w:rFonts w:eastAsia="仿宋_GB2312" w:cs="仿宋_GB2312" w:hint="eastAsia"/>
          <w:sz w:val="32"/>
          <w:szCs w:val="32"/>
        </w:rPr>
        <w:t>月</w:t>
      </w:r>
      <w:r>
        <w:rPr>
          <w:rFonts w:eastAsia="仿宋_GB2312"/>
          <w:sz w:val="32"/>
          <w:szCs w:val="32"/>
        </w:rPr>
        <w:t>31</w:t>
      </w:r>
      <w:r>
        <w:rPr>
          <w:rFonts w:eastAsia="仿宋_GB2312" w:cs="仿宋_GB2312" w:hint="eastAsia"/>
          <w:sz w:val="32"/>
          <w:szCs w:val="32"/>
        </w:rPr>
        <w:t>日共有在职职工</w:t>
      </w:r>
      <w:r>
        <w:rPr>
          <w:rFonts w:eastAsia="仿宋_GB2312" w:hint="eastAsia"/>
          <w:sz w:val="32"/>
          <w:szCs w:val="32"/>
          <w:lang w:val="en-US" w:eastAsia="zh-CN"/>
        </w:rPr>
        <w:t>39</w:t>
      </w:r>
      <w:r>
        <w:rPr>
          <w:rFonts w:eastAsia="仿宋_GB2312" w:cs="仿宋_GB2312" w:hint="eastAsia"/>
          <w:sz w:val="32"/>
          <w:szCs w:val="32"/>
        </w:rPr>
        <w:t>人。</w:t>
      </w:r>
    </w:p>
    <w:p>
      <w:pPr>
        <w:spacing w:line="580" w:lineRule="exact"/>
        <w:ind w:firstLineChars="200" w:firstLine="640"/>
        <w:rPr>
          <w:rFonts w:ascii="黑体" w:eastAsia="黑体" w:cs="黑体"/>
          <w:sz w:val="32"/>
          <w:szCs w:val="32"/>
        </w:rPr>
      </w:pPr>
      <w:r>
        <w:rPr>
          <w:rFonts w:ascii="黑体" w:eastAsia="黑体" w:cs="黑体"/>
          <w:sz w:val="32"/>
          <w:szCs w:val="32"/>
        </w:rPr>
        <w:t>二、部门财政资金收支情况</w:t>
      </w:r>
    </w:p>
    <w:p>
      <w:pPr>
        <w:spacing w:line="580" w:lineRule="exact"/>
        <w:ind w:firstLineChars="200" w:firstLine="640"/>
        <w:rPr>
          <w:rFonts w:ascii="仿宋" w:eastAsia="仿宋" w:cs="仿宋_GB2312"/>
          <w:sz w:val="32"/>
          <w:szCs w:val="32"/>
        </w:rPr>
      </w:pPr>
      <w:r>
        <w:rPr>
          <w:rFonts w:ascii="仿宋" w:eastAsia="仿宋" w:cs="仿宋_GB2312"/>
          <w:sz w:val="32"/>
          <w:szCs w:val="32"/>
        </w:rPr>
        <w:t>（一）</w:t>
      </w:r>
      <w:r>
        <w:rPr>
          <w:rFonts w:ascii="仿宋" w:eastAsia="仿宋" w:cs="仿宋_GB2312" w:hint="eastAsia"/>
          <w:sz w:val="32"/>
          <w:szCs w:val="32"/>
        </w:rPr>
        <w:t>我办201</w:t>
      </w:r>
      <w:r>
        <w:rPr>
          <w:rFonts w:ascii="仿宋" w:eastAsia="仿宋" w:cs="仿宋_GB2312" w:hint="eastAsia"/>
          <w:sz w:val="32"/>
          <w:szCs w:val="32"/>
          <w:lang w:val="en-US" w:eastAsia="zh-CN"/>
        </w:rPr>
        <w:t>9年</w:t>
      </w:r>
      <w:r>
        <w:rPr>
          <w:rFonts w:ascii="仿宋" w:eastAsia="仿宋" w:cs="仿宋_GB2312"/>
          <w:sz w:val="32"/>
          <w:szCs w:val="32"/>
        </w:rPr>
        <w:t>部门财政资金收入</w:t>
      </w:r>
      <w:r>
        <w:rPr>
          <w:rFonts w:ascii="仿宋" w:eastAsia="仿宋" w:cs="仿宋_GB2312" w:hint="eastAsia"/>
          <w:sz w:val="32"/>
          <w:szCs w:val="32"/>
        </w:rPr>
        <w:t>为</w:t>
      </w:r>
      <w:r>
        <w:rPr>
          <w:rFonts w:ascii="仿宋" w:eastAsia="仿宋" w:hint="eastAsia"/>
          <w:color w:val="000000"/>
          <w:sz w:val="32"/>
          <w:szCs w:val="32"/>
          <w:lang w:val="en-US" w:eastAsia="zh-CN"/>
        </w:rPr>
        <w:t>1325.50</w:t>
      </w:r>
      <w:r>
        <w:rPr>
          <w:rFonts w:ascii="仿宋" w:eastAsia="仿宋" w:cs="仿宋_GB2312" w:hint="eastAsia"/>
          <w:sz w:val="32"/>
          <w:szCs w:val="32"/>
        </w:rPr>
        <w:t>万元</w:t>
      </w:r>
      <w:r>
        <w:rPr>
          <w:rFonts w:ascii="仿宋" w:eastAsia="仿宋" w:cs="仿宋_GB2312"/>
          <w:sz w:val="32"/>
          <w:szCs w:val="32"/>
        </w:rPr>
        <w:t>。</w:t>
      </w:r>
    </w:p>
    <w:p>
      <w:pPr>
        <w:spacing w:line="580" w:lineRule="exact"/>
        <w:ind w:firstLineChars="200" w:firstLine="640"/>
        <w:rPr>
          <w:rFonts w:ascii="仿宋" w:eastAsia="仿宋" w:cs="仿宋_GB2312"/>
          <w:sz w:val="32"/>
          <w:szCs w:val="32"/>
        </w:rPr>
      </w:pPr>
      <w:r>
        <w:rPr>
          <w:rFonts w:ascii="仿宋" w:eastAsia="仿宋" w:cs="仿宋_GB2312"/>
          <w:sz w:val="32"/>
          <w:szCs w:val="32"/>
        </w:rPr>
        <w:t>（二）</w:t>
      </w:r>
      <w:r>
        <w:rPr>
          <w:rFonts w:ascii="仿宋" w:eastAsia="仿宋" w:cs="仿宋_GB2312" w:hint="eastAsia"/>
          <w:sz w:val="32"/>
          <w:szCs w:val="32"/>
        </w:rPr>
        <w:t>我办201</w:t>
      </w:r>
      <w:r>
        <w:rPr>
          <w:rFonts w:ascii="仿宋" w:eastAsia="仿宋" w:cs="仿宋_GB2312" w:hint="eastAsia"/>
          <w:sz w:val="32"/>
          <w:szCs w:val="32"/>
          <w:lang w:val="en-US" w:eastAsia="zh-CN"/>
        </w:rPr>
        <w:t>9年</w:t>
      </w:r>
      <w:r>
        <w:rPr>
          <w:rFonts w:ascii="仿宋" w:eastAsia="仿宋" w:cs="仿宋_GB2312"/>
          <w:sz w:val="32"/>
          <w:szCs w:val="32"/>
        </w:rPr>
        <w:t>部门财政资金</w:t>
      </w:r>
      <w:r>
        <w:rPr>
          <w:rFonts w:ascii="仿宋" w:eastAsia="仿宋" w:cs="仿宋_GB2312" w:hint="eastAsia"/>
          <w:sz w:val="32"/>
          <w:szCs w:val="32"/>
        </w:rPr>
        <w:t>支出为</w:t>
      </w:r>
      <w:r>
        <w:rPr>
          <w:rFonts w:ascii="仿宋" w:eastAsia="仿宋" w:hint="eastAsia"/>
          <w:color w:val="000000"/>
          <w:sz w:val="32"/>
          <w:szCs w:val="32"/>
          <w:lang w:val="en-US" w:eastAsia="zh-CN"/>
        </w:rPr>
        <w:t>1325.50</w:t>
      </w:r>
      <w:r>
        <w:rPr>
          <w:rFonts w:ascii="仿宋" w:eastAsia="仿宋" w:cs="仿宋_GB2312" w:hint="eastAsia"/>
          <w:sz w:val="32"/>
          <w:szCs w:val="32"/>
        </w:rPr>
        <w:t>万元</w:t>
      </w:r>
      <w:r>
        <w:rPr>
          <w:rFonts w:ascii="仿宋" w:eastAsia="仿宋" w:cs="仿宋_GB2312"/>
          <w:sz w:val="32"/>
          <w:szCs w:val="32"/>
        </w:rPr>
        <w:t>。</w:t>
      </w:r>
    </w:p>
    <w:p>
      <w:pPr>
        <w:spacing w:line="580" w:lineRule="exact"/>
        <w:ind w:firstLineChars="200" w:firstLine="640"/>
        <w:rPr>
          <w:rFonts w:ascii="黑体" w:eastAsia="黑体" w:cs="黑体"/>
          <w:sz w:val="32"/>
          <w:szCs w:val="32"/>
        </w:rPr>
      </w:pPr>
      <w:r>
        <w:rPr>
          <w:rFonts w:ascii="黑体" w:eastAsia="黑体" w:cs="黑体"/>
          <w:sz w:val="32"/>
          <w:szCs w:val="32"/>
        </w:rPr>
        <w:t>三、部门整体预算绩效管理情况（根据适用指标体系进行调整）</w:t>
      </w:r>
    </w:p>
    <w:p>
      <w:pPr>
        <w:spacing w:line="580" w:lineRule="exact"/>
        <w:ind w:firstLineChars="200" w:firstLine="640"/>
        <w:rPr>
          <w:rFonts w:ascii="仿宋" w:eastAsia="仿宋" w:cs="仿宋_GB2312"/>
          <w:sz w:val="32"/>
          <w:szCs w:val="32"/>
        </w:rPr>
      </w:pPr>
      <w:r>
        <w:rPr>
          <w:rFonts w:ascii="仿宋" w:eastAsia="仿宋" w:cs="仿宋_GB2312"/>
          <w:sz w:val="32"/>
          <w:szCs w:val="32"/>
        </w:rPr>
        <w:t>（一）部门预算管理。</w:t>
      </w:r>
    </w:p>
    <w:p>
      <w:pPr>
        <w:ind w:firstLineChars="200" w:firstLine="600"/>
        <w:rPr>
          <w:rFonts w:ascii="仿宋_GB2312" w:eastAsia="仿宋_GB2312"/>
          <w:sz w:val="30"/>
          <w:szCs w:val="30"/>
        </w:rPr>
      </w:pPr>
      <w:r>
        <w:rPr>
          <w:rFonts w:ascii="仿宋_GB2312" w:eastAsia="仿宋_GB2312" w:hint="eastAsia"/>
          <w:sz w:val="30"/>
          <w:szCs w:val="30"/>
        </w:rPr>
        <w:t xml:space="preserve"> 我单位预算是由收入预算和支出预算组成，是一级预算单位，向壤塘县财政局申报预算，县财政局对我单位实行年度预算执行情况及结转和结余情况编制当年预算，县财政局批复后按照收支平衡的原则、合理安排各项资金。</w:t>
      </w:r>
    </w:p>
    <w:p>
      <w:pPr>
        <w:spacing w:line="580" w:lineRule="exact"/>
        <w:ind w:firstLineChars="200" w:firstLine="640"/>
        <w:rPr>
          <w:rFonts w:ascii="仿宋" w:eastAsia="仿宋" w:cs="仿宋_GB2312"/>
          <w:sz w:val="32"/>
          <w:szCs w:val="32"/>
        </w:rPr>
      </w:pPr>
      <w:r>
        <w:rPr>
          <w:rFonts w:ascii="仿宋" w:eastAsia="仿宋" w:cs="仿宋_GB2312"/>
          <w:sz w:val="32"/>
          <w:szCs w:val="32"/>
        </w:rPr>
        <w:t>（</w:t>
      </w:r>
      <w:r>
        <w:rPr>
          <w:rFonts w:ascii="仿宋" w:eastAsia="仿宋" w:cs="仿宋_GB2312" w:hint="eastAsia"/>
          <w:sz w:val="32"/>
          <w:szCs w:val="32"/>
          <w:lang w:eastAsia="zh-CN"/>
        </w:rPr>
        <w:t>二</w:t>
      </w:r>
      <w:r>
        <w:rPr>
          <w:rFonts w:ascii="仿宋" w:eastAsia="仿宋" w:cs="仿宋_GB2312"/>
          <w:sz w:val="32"/>
          <w:szCs w:val="32"/>
        </w:rPr>
        <w:t>）结果应用情况。</w:t>
      </w:r>
    </w:p>
    <w:p>
      <w:pPr>
        <w:spacing w:line="580" w:lineRule="exact"/>
        <w:ind w:firstLineChars="200" w:firstLine="640"/>
        <w:rPr>
          <w:rFonts w:ascii="仿宋" w:eastAsia="仿宋" w:cs="仿宋_GB2312"/>
          <w:sz w:val="32"/>
          <w:szCs w:val="32"/>
        </w:rPr>
      </w:pPr>
      <w:r>
        <w:rPr>
          <w:rFonts w:ascii="仿宋" w:eastAsia="仿宋" w:cs="仿宋_GB2312" w:hint="eastAsia"/>
          <w:sz w:val="32"/>
          <w:szCs w:val="32"/>
        </w:rPr>
        <w:t>年初所制定工作计划，结合上我单位财务管理严格执行《中华人民共和国预算法》、《中华人民共和国会计法》、《行政单位会计准则》或者《事业单位会计准则》、《内控管理制度》等国家有关法律、法规和财务规章制度，本着量入为出，保障重点，统筹兼顾，厉行节约，制止奢侈浪费，降低运行成本，注重资金使用效益的基本原则，加强我单位账务管理和监督，保障了我单位工作任务的完成。</w:t>
      </w:r>
    </w:p>
    <w:p>
      <w:pPr>
        <w:spacing w:line="580" w:lineRule="exact"/>
        <w:ind w:firstLineChars="200" w:firstLine="640"/>
        <w:rPr>
          <w:rFonts w:ascii="黑体" w:eastAsia="黑体" w:cs="黑体"/>
          <w:sz w:val="32"/>
          <w:szCs w:val="32"/>
        </w:rPr>
      </w:pPr>
      <w:r>
        <w:rPr>
          <w:rFonts w:ascii="黑体" w:eastAsia="黑体" w:cs="黑体"/>
          <w:sz w:val="32"/>
          <w:szCs w:val="32"/>
        </w:rPr>
        <w:t>四、评价结论及建议</w:t>
      </w:r>
    </w:p>
    <w:p>
      <w:pPr>
        <w:ind w:firstLineChars="200" w:firstLine="640"/>
        <w:rPr>
          <w:rFonts w:ascii="仿宋" w:eastAsia="仿宋" w:cs="仿宋_GB2312"/>
          <w:sz w:val="32"/>
          <w:szCs w:val="32"/>
        </w:rPr>
      </w:pPr>
      <w:r>
        <w:rPr>
          <w:rFonts w:ascii="仿宋" w:eastAsia="仿宋" w:cs="仿宋_GB2312"/>
          <w:sz w:val="32"/>
          <w:szCs w:val="32"/>
        </w:rPr>
        <w:t>（一）评价结论。</w:t>
      </w:r>
    </w:p>
    <w:p>
      <w:pPr>
        <w:ind w:firstLineChars="300" w:firstLine="900"/>
        <w:rPr>
          <w:rFonts w:ascii="仿宋_GB2312" w:eastAsia="仿宋_GB2312"/>
          <w:sz w:val="30"/>
          <w:szCs w:val="30"/>
        </w:rPr>
      </w:pPr>
      <w:r>
        <w:rPr>
          <w:rFonts w:ascii="仿宋_GB2312" w:eastAsia="仿宋_GB2312" w:hint="eastAsia"/>
          <w:sz w:val="30"/>
          <w:szCs w:val="30"/>
        </w:rPr>
        <w:t>我单位</w:t>
      </w:r>
      <w:r>
        <w:rPr>
          <w:rFonts w:ascii="仿宋_GB2312" w:eastAsia="仿宋_GB2312" w:hint="eastAsia"/>
          <w:sz w:val="30"/>
          <w:szCs w:val="30"/>
          <w:lang w:eastAsia="zh-CN"/>
        </w:rPr>
        <w:t>部门预算管理</w:t>
      </w:r>
      <w:r>
        <w:rPr>
          <w:rFonts w:ascii="仿宋_GB2312" w:eastAsia="仿宋_GB2312" w:hint="eastAsia"/>
          <w:sz w:val="30"/>
          <w:szCs w:val="30"/>
        </w:rPr>
        <w:t>严格按照国家财经法规、预算资金管理办法、财务管理制度管理办法的规定支出。</w:t>
      </w:r>
    </w:p>
    <w:p>
      <w:pPr>
        <w:spacing w:line="580" w:lineRule="exact"/>
        <w:ind w:leftChars="200" w:left="420"/>
        <w:rPr>
          <w:rFonts w:ascii="仿宋" w:eastAsia="仿宋" w:cs="仿宋_GB2312"/>
          <w:sz w:val="32"/>
          <w:szCs w:val="32"/>
        </w:rPr>
      </w:pPr>
      <w:r>
        <w:rPr>
          <w:rFonts w:ascii="仿宋" w:eastAsia="仿宋" w:cs="仿宋_GB2312" w:hint="eastAsia"/>
          <w:sz w:val="32"/>
          <w:szCs w:val="32"/>
        </w:rPr>
        <w:t>（二）</w:t>
      </w:r>
      <w:r>
        <w:rPr>
          <w:rFonts w:ascii="仿宋" w:eastAsia="仿宋" w:cs="仿宋_GB2312"/>
          <w:sz w:val="32"/>
          <w:szCs w:val="32"/>
        </w:rPr>
        <w:t>存在问题</w:t>
      </w:r>
      <w:r>
        <w:rPr>
          <w:rFonts w:ascii="仿宋" w:eastAsia="仿宋" w:cs="仿宋_GB2312" w:hint="eastAsia"/>
          <w:sz w:val="32"/>
          <w:szCs w:val="32"/>
        </w:rPr>
        <w:t>及</w:t>
      </w:r>
      <w:r>
        <w:rPr>
          <w:rFonts w:ascii="仿宋" w:eastAsia="仿宋" w:cs="仿宋_GB2312"/>
          <w:sz w:val="32"/>
          <w:szCs w:val="32"/>
        </w:rPr>
        <w:t>改进建议</w:t>
      </w:r>
    </w:p>
    <w:p>
      <w:pPr>
        <w:spacing w:line="580" w:lineRule="exact"/>
        <w:ind w:leftChars="200" w:left="420" w:firstLineChars="100" w:firstLine="320"/>
        <w:rPr>
          <w:rFonts w:ascii="仿宋" w:eastAsia="仿宋_GB2312" w:cs="仿宋_GB2312" w:hAnsi="仿宋"/>
          <w:sz w:val="32"/>
          <w:szCs w:val="32"/>
        </w:rPr>
      </w:pPr>
      <w:r>
        <w:rPr>
          <w:rFonts w:ascii="仿宋_GB2312" w:eastAsia="仿宋_GB2312" w:cs="仿宋_GB2312" w:hint="eastAsia"/>
          <w:sz w:val="32"/>
          <w:szCs w:val="32"/>
        </w:rPr>
        <w:t>我单位今年存在财</w:t>
      </w:r>
      <w:r>
        <w:rPr>
          <w:rFonts w:ascii="仿宋" w:eastAsia="仿宋" w:cs="仿宋_GB2312" w:hint="eastAsia"/>
          <w:sz w:val="32"/>
          <w:szCs w:val="32"/>
        </w:rPr>
        <w:t>务管理制度不够完善。</w:t>
      </w:r>
      <w:r>
        <w:rPr>
          <w:rFonts w:ascii="仿宋_GB2312" w:eastAsia="仿宋_GB2312" w:cs="仿宋_GB2312" w:hint="eastAsia"/>
          <w:sz w:val="32"/>
          <w:szCs w:val="32"/>
        </w:rPr>
        <w:t>预算还不够全面的问题，在今后财政预算中，我单位将全面考虑，统筹计划，以减少预决算差额。完善财务制度。</w:t>
      </w:r>
    </w:p>
    <w:p>
      <w:pPr>
        <w:widowControl/>
        <w:adjustRightInd w:val="0"/>
        <w:snapToGrid w:val="0"/>
        <w:spacing w:line="580" w:lineRule="exact"/>
        <w:ind w:firstLineChars="200" w:firstLine="480"/>
        <w:contextualSpacing/>
        <w:jc w:val="left"/>
        <w:rPr>
          <w:rFonts w:ascii="黑体" w:eastAsia="黑体" w:cs="宋体"/>
          <w:color w:val="000000"/>
          <w:kern w:val="0"/>
          <w:sz w:val="24"/>
          <w:szCs w:val="32"/>
          <w:shd w:val="clear" w:color="auto" w:fill="FFFFFF"/>
        </w:rPr>
      </w:pPr>
    </w:p>
    <w:p>
      <w:pPr>
        <w:spacing w:line="580" w:lineRule="exact"/>
        <w:ind w:firstLineChars="200" w:firstLine="640"/>
        <w:rPr>
          <w:rFonts w:ascii="仿宋_GB2312" w:eastAsia="仿宋_GB2312" w:cs="仿宋_GB2312"/>
          <w:sz w:val="32"/>
          <w:szCs w:val="32"/>
        </w:rPr>
      </w:pPr>
    </w:p>
    <w:p>
      <w:pPr>
        <w:spacing w:line="580" w:lineRule="exact"/>
        <w:ind w:firstLineChars="200" w:firstLine="640"/>
        <w:rPr>
          <w:rFonts w:ascii="仿宋_GB2312" w:eastAsia="仿宋_GB2312" w:cs="仿宋_GB2312"/>
          <w:sz w:val="32"/>
          <w:szCs w:val="32"/>
        </w:rPr>
      </w:pPr>
    </w:p>
    <w:p>
      <w:pPr>
        <w:widowControl/>
        <w:jc w:val="left"/>
        <w:rPr>
          <w:rStyle w:val="1Char"/>
          <w:rFonts w:ascii="黑体" w:eastAsia="黑体"/>
          <w:b w:val="0"/>
        </w:rPr>
      </w:pPr>
    </w:p>
    <w:p>
      <w:pPr>
        <w:widowControl/>
        <w:jc w:val="left"/>
        <w:rPr>
          <w:rStyle w:val="1Char"/>
          <w:rFonts w:ascii="黑体" w:eastAsia="黑体"/>
          <w:b w:val="0"/>
        </w:rPr>
      </w:pPr>
      <w:r>
        <w:rPr>
          <w:rStyle w:val="1Char"/>
          <w:rFonts w:ascii="黑体" w:eastAsia="黑体"/>
          <w:b w:val="0"/>
        </w:rPr>
        <w:br w:type="page"/>
      </w:r>
    </w:p>
    <w:p>
      <w:pPr>
        <w:spacing w:line="600" w:lineRule="exact"/>
        <w:jc w:val="center"/>
        <w:outlineLvl w:val="0"/>
        <w:rPr>
          <w:rStyle w:val="1Char"/>
          <w:rFonts w:ascii="黑体" w:eastAsia="黑体"/>
          <w:b w:val="0"/>
        </w:rPr>
      </w:pPr>
    </w:p>
    <w:p>
      <w:pPr>
        <w:spacing w:line="600" w:lineRule="exact"/>
        <w:jc w:val="center"/>
        <w:outlineLvl w:val="0"/>
        <w:rPr>
          <w:rStyle w:val="1Char"/>
          <w:rFonts w:ascii="黑体" w:eastAsia="黑体"/>
          <w:b w:val="0"/>
        </w:rPr>
      </w:pPr>
      <w:bookmarkStart w:id="60" w:name="_Toc15396618"/>
      <w:r>
        <w:rPr>
          <w:rFonts w:ascii="黑体" w:eastAsia="黑体" w:hint="eastAsia"/>
          <w:color w:val="000000"/>
          <w:sz w:val="44"/>
          <w:szCs w:val="44"/>
        </w:rPr>
        <w:t>第</w:t>
      </w:r>
      <w:r>
        <w:rPr>
          <w:rStyle w:val="1Char"/>
          <w:rFonts w:ascii="黑体" w:eastAsia="黑体" w:hint="eastAsia"/>
          <w:b w:val="0"/>
        </w:rPr>
        <w:t>五部分 附表</w:t>
      </w:r>
      <w:bookmarkEnd w:id="58"/>
      <w:bookmarkEnd w:id="60"/>
    </w:p>
    <w:p>
      <w:pPr>
        <w:spacing w:line="600" w:lineRule="exact"/>
        <w:jc w:val="center"/>
        <w:outlineLvl w:val="0"/>
        <w:rPr>
          <w:rFonts w:ascii="仿宋" w:eastAsia="仿宋"/>
          <w:b/>
          <w:color w:val="000000"/>
          <w:sz w:val="44"/>
          <w:szCs w:val="44"/>
        </w:rPr>
      </w:pPr>
    </w:p>
    <w:p>
      <w:pPr>
        <w:pStyle w:val="2"/>
        <w:rPr>
          <w:rFonts w:ascii="仿宋" w:eastAsia="仿宋"/>
          <w:color w:val="000000"/>
        </w:rPr>
      </w:pPr>
      <w:bookmarkStart w:id="61" w:name="_Toc15396619"/>
      <w:r>
        <w:rPr>
          <w:rFonts w:ascii="仿宋" w:eastAsia="仿宋" w:hint="eastAsia"/>
          <w:b w:val="0"/>
          <w:color w:val="000000"/>
        </w:rPr>
        <w:t>一、收</w:t>
      </w:r>
      <w:r>
        <w:rPr>
          <w:rStyle w:val="2Char"/>
          <w:rFonts w:ascii="仿宋" w:eastAsia="仿宋" w:hint="eastAsia"/>
          <w:b w:val="0"/>
          <w:bCs w:val="0"/>
        </w:rPr>
        <w:t>入支出决算总表</w:t>
      </w:r>
      <w:bookmarkEnd w:id="61"/>
    </w:p>
    <w:p>
      <w:pPr>
        <w:pStyle w:val="2"/>
        <w:rPr>
          <w:rFonts w:ascii="仿宋" w:eastAsia="仿宋"/>
          <w:color w:val="000000"/>
        </w:rPr>
      </w:pPr>
      <w:bookmarkStart w:id="62" w:name="_Toc15396620"/>
      <w:r>
        <w:rPr>
          <w:rFonts w:ascii="仿宋" w:eastAsia="仿宋" w:hint="eastAsia"/>
          <w:b w:val="0"/>
          <w:color w:val="000000"/>
        </w:rPr>
        <w:t>二、收</w:t>
      </w:r>
      <w:r>
        <w:rPr>
          <w:rStyle w:val="2Char"/>
          <w:rFonts w:ascii="仿宋" w:eastAsia="仿宋" w:hint="eastAsia"/>
          <w:b w:val="0"/>
          <w:bCs w:val="0"/>
        </w:rPr>
        <w:t>入决算表</w:t>
      </w:r>
      <w:bookmarkEnd w:id="62"/>
    </w:p>
    <w:p>
      <w:pPr>
        <w:pStyle w:val="2"/>
        <w:rPr>
          <w:rFonts w:ascii="仿宋" w:eastAsia="仿宋"/>
          <w:color w:val="000000"/>
        </w:rPr>
      </w:pPr>
      <w:bookmarkStart w:id="63" w:name="_Toc15396621"/>
      <w:r>
        <w:rPr>
          <w:rStyle w:val="2Char"/>
          <w:rFonts w:ascii="仿宋" w:eastAsia="仿宋" w:hint="eastAsia"/>
          <w:b w:val="0"/>
          <w:bCs w:val="0"/>
        </w:rPr>
        <w:t>三、</w:t>
      </w:r>
      <w:r>
        <w:rPr>
          <w:rFonts w:ascii="仿宋" w:eastAsia="仿宋" w:hint="eastAsia"/>
          <w:b w:val="0"/>
          <w:color w:val="000000"/>
        </w:rPr>
        <w:t>支</w:t>
      </w:r>
      <w:r>
        <w:rPr>
          <w:rStyle w:val="2Char"/>
          <w:rFonts w:ascii="仿宋" w:eastAsia="仿宋" w:hint="eastAsia"/>
          <w:b w:val="0"/>
          <w:bCs w:val="0"/>
        </w:rPr>
        <w:t>出决算表</w:t>
      </w:r>
      <w:bookmarkEnd w:id="63"/>
    </w:p>
    <w:p>
      <w:pPr>
        <w:pStyle w:val="2"/>
        <w:rPr>
          <w:rFonts w:ascii="仿宋" w:eastAsia="仿宋"/>
          <w:b w:val="0"/>
          <w:color w:val="000000"/>
        </w:rPr>
      </w:pPr>
      <w:bookmarkStart w:id="64" w:name="_Toc15396622"/>
      <w:r>
        <w:rPr>
          <w:rStyle w:val="2Char"/>
          <w:rFonts w:ascii="仿宋" w:eastAsia="仿宋" w:hint="eastAsia"/>
          <w:b w:val="0"/>
          <w:bCs w:val="0"/>
        </w:rPr>
        <w:t>四、</w:t>
      </w:r>
      <w:r>
        <w:rPr>
          <w:rFonts w:ascii="仿宋" w:eastAsia="仿宋" w:hint="eastAsia"/>
          <w:b w:val="0"/>
          <w:color w:val="000000"/>
        </w:rPr>
        <w:t>财</w:t>
      </w:r>
      <w:r>
        <w:rPr>
          <w:rStyle w:val="2Char"/>
          <w:rFonts w:ascii="仿宋" w:eastAsia="仿宋" w:hint="eastAsia"/>
          <w:b w:val="0"/>
          <w:bCs w:val="0"/>
        </w:rPr>
        <w:t>政拨款收入支出决算总表</w:t>
      </w:r>
      <w:bookmarkEnd w:id="64"/>
    </w:p>
    <w:p>
      <w:pPr>
        <w:pStyle w:val="2"/>
        <w:rPr>
          <w:rStyle w:val="2Char"/>
          <w:rFonts w:ascii="仿宋" w:eastAsia="仿宋"/>
          <w:b w:val="0"/>
          <w:bCs w:val="0"/>
        </w:rPr>
      </w:pPr>
      <w:bookmarkStart w:id="65" w:name="_Toc15396623"/>
      <w:r>
        <w:rPr>
          <w:rStyle w:val="2Char"/>
          <w:rFonts w:ascii="仿宋" w:eastAsia="仿宋" w:hint="eastAsia"/>
          <w:b w:val="0"/>
          <w:bCs w:val="0"/>
        </w:rPr>
        <w:t>五、</w:t>
      </w:r>
      <w:r>
        <w:rPr>
          <w:rFonts w:ascii="仿宋" w:eastAsia="仿宋" w:hint="eastAsia"/>
          <w:b w:val="0"/>
          <w:color w:val="000000"/>
        </w:rPr>
        <w:t>财</w:t>
      </w:r>
      <w:r>
        <w:rPr>
          <w:rStyle w:val="2Char"/>
          <w:rFonts w:ascii="仿宋" w:eastAsia="仿宋" w:hint="eastAsia"/>
          <w:b w:val="0"/>
          <w:bCs w:val="0"/>
        </w:rPr>
        <w:t>政拨款支出决算明细表</w:t>
      </w:r>
      <w:bookmarkStart w:id="66" w:name="_Toc15396624"/>
      <w:bookmarkEnd w:id="65"/>
    </w:p>
    <w:p>
      <w:pPr>
        <w:pStyle w:val="2"/>
        <w:rPr>
          <w:rFonts w:ascii="仿宋" w:eastAsia="仿宋"/>
          <w:color w:val="000000"/>
        </w:rPr>
      </w:pPr>
      <w:r>
        <w:rPr>
          <w:rStyle w:val="2Char"/>
          <w:rFonts w:ascii="仿宋" w:eastAsia="仿宋" w:hint="eastAsia"/>
          <w:b w:val="0"/>
          <w:bCs w:val="0"/>
        </w:rPr>
        <w:t>六、</w:t>
      </w:r>
      <w:r>
        <w:rPr>
          <w:rFonts w:ascii="仿宋" w:eastAsia="仿宋" w:hint="eastAsia"/>
          <w:b w:val="0"/>
          <w:color w:val="000000"/>
        </w:rPr>
        <w:t>一</w:t>
      </w:r>
      <w:r>
        <w:rPr>
          <w:rStyle w:val="2Char"/>
          <w:rFonts w:ascii="仿宋" w:eastAsia="仿宋" w:hint="eastAsia"/>
          <w:b w:val="0"/>
          <w:bCs w:val="0"/>
        </w:rPr>
        <w:t>般公共预算财政拨款支出决算表</w:t>
      </w:r>
      <w:bookmarkEnd w:id="66"/>
    </w:p>
    <w:p>
      <w:pPr>
        <w:pStyle w:val="2"/>
        <w:rPr>
          <w:rFonts w:ascii="仿宋" w:eastAsia="仿宋"/>
          <w:color w:val="000000"/>
        </w:rPr>
      </w:pPr>
      <w:bookmarkStart w:id="67" w:name="_Toc15396625"/>
      <w:r>
        <w:rPr>
          <w:rStyle w:val="2Char"/>
          <w:rFonts w:ascii="仿宋" w:eastAsia="仿宋" w:hint="eastAsia"/>
          <w:b w:val="0"/>
          <w:bCs w:val="0"/>
        </w:rPr>
        <w:t>七、</w:t>
      </w:r>
      <w:r>
        <w:rPr>
          <w:rFonts w:ascii="仿宋" w:eastAsia="仿宋" w:hint="eastAsia"/>
          <w:b w:val="0"/>
          <w:color w:val="000000"/>
        </w:rPr>
        <w:t>一</w:t>
      </w:r>
      <w:r>
        <w:rPr>
          <w:rStyle w:val="2Char"/>
          <w:rFonts w:ascii="仿宋" w:eastAsia="仿宋" w:hint="eastAsia"/>
          <w:b w:val="0"/>
          <w:bCs w:val="0"/>
        </w:rPr>
        <w:t>般公共预算财政拨款支出决算明细表</w:t>
      </w:r>
      <w:bookmarkEnd w:id="67"/>
    </w:p>
    <w:p>
      <w:pPr>
        <w:pStyle w:val="2"/>
        <w:rPr>
          <w:rFonts w:ascii="仿宋" w:eastAsia="仿宋"/>
          <w:color w:val="000000"/>
        </w:rPr>
      </w:pPr>
      <w:bookmarkStart w:id="68" w:name="_Toc15396626"/>
      <w:r>
        <w:rPr>
          <w:rStyle w:val="2Char"/>
          <w:rFonts w:ascii="仿宋" w:eastAsia="仿宋" w:hint="eastAsia"/>
          <w:b w:val="0"/>
          <w:bCs w:val="0"/>
        </w:rPr>
        <w:t>八、</w:t>
      </w:r>
      <w:r>
        <w:rPr>
          <w:rFonts w:ascii="仿宋" w:eastAsia="仿宋" w:hint="eastAsia"/>
          <w:b w:val="0"/>
          <w:color w:val="000000"/>
        </w:rPr>
        <w:t>一</w:t>
      </w:r>
      <w:r>
        <w:rPr>
          <w:rStyle w:val="2Char"/>
          <w:rFonts w:ascii="仿宋" w:eastAsia="仿宋" w:hint="eastAsia"/>
          <w:b w:val="0"/>
          <w:bCs w:val="0"/>
        </w:rPr>
        <w:t>般公共预算财政拨款基本支出决算表</w:t>
      </w:r>
      <w:bookmarkEnd w:id="68"/>
    </w:p>
    <w:p>
      <w:pPr>
        <w:pStyle w:val="2"/>
        <w:rPr>
          <w:rFonts w:ascii="仿宋" w:eastAsia="仿宋"/>
          <w:color w:val="000000"/>
        </w:rPr>
      </w:pPr>
      <w:bookmarkStart w:id="69" w:name="_Toc15396627"/>
      <w:r>
        <w:rPr>
          <w:rStyle w:val="2Char"/>
          <w:rFonts w:ascii="仿宋" w:eastAsia="仿宋" w:hint="eastAsia"/>
          <w:b w:val="0"/>
          <w:bCs w:val="0"/>
        </w:rPr>
        <w:t>九、</w:t>
      </w:r>
      <w:r>
        <w:rPr>
          <w:rFonts w:ascii="仿宋" w:eastAsia="仿宋" w:hint="eastAsia"/>
          <w:b w:val="0"/>
          <w:color w:val="000000"/>
        </w:rPr>
        <w:t>一</w:t>
      </w:r>
      <w:r>
        <w:rPr>
          <w:rStyle w:val="2Char"/>
          <w:rFonts w:ascii="仿宋" w:eastAsia="仿宋" w:hint="eastAsia"/>
          <w:b w:val="0"/>
          <w:bCs w:val="0"/>
        </w:rPr>
        <w:t>般公共预算财政拨款项目支出决算表</w:t>
      </w:r>
      <w:bookmarkEnd w:id="69"/>
    </w:p>
    <w:p>
      <w:pPr>
        <w:pStyle w:val="2"/>
        <w:rPr>
          <w:rFonts w:ascii="仿宋" w:eastAsia="仿宋"/>
          <w:color w:val="000000"/>
        </w:rPr>
      </w:pPr>
      <w:bookmarkStart w:id="70" w:name="_Toc15396628"/>
      <w:r>
        <w:rPr>
          <w:rStyle w:val="2Char"/>
          <w:rFonts w:ascii="仿宋" w:eastAsia="仿宋" w:hint="eastAsia"/>
          <w:b w:val="0"/>
          <w:bCs w:val="0"/>
        </w:rPr>
        <w:t>十、</w:t>
      </w:r>
      <w:r>
        <w:rPr>
          <w:rFonts w:ascii="仿宋" w:eastAsia="仿宋" w:hint="eastAsia"/>
          <w:b w:val="0"/>
          <w:color w:val="000000"/>
        </w:rPr>
        <w:t>一</w:t>
      </w:r>
      <w:r>
        <w:rPr>
          <w:rStyle w:val="2Char"/>
          <w:rFonts w:ascii="仿宋" w:eastAsia="仿宋" w:hint="eastAsia"/>
          <w:b w:val="0"/>
          <w:bCs w:val="0"/>
        </w:rPr>
        <w:t>般公共预算财政拨款“三公”经费支出决算表</w:t>
      </w:r>
      <w:bookmarkEnd w:id="70"/>
    </w:p>
    <w:p>
      <w:pPr>
        <w:pStyle w:val="2"/>
        <w:rPr>
          <w:rFonts w:ascii="仿宋" w:eastAsia="仿宋"/>
          <w:color w:val="000000"/>
        </w:rPr>
      </w:pPr>
      <w:bookmarkStart w:id="71" w:name="_Toc15396629"/>
      <w:r>
        <w:rPr>
          <w:rStyle w:val="2Char"/>
          <w:rFonts w:ascii="仿宋" w:eastAsia="仿宋" w:hint="eastAsia"/>
          <w:b w:val="0"/>
          <w:bCs w:val="0"/>
        </w:rPr>
        <w:t>十一、</w:t>
      </w:r>
      <w:r>
        <w:rPr>
          <w:rFonts w:ascii="仿宋" w:eastAsia="仿宋" w:hint="eastAsia"/>
          <w:b w:val="0"/>
          <w:color w:val="000000"/>
        </w:rPr>
        <w:t>政</w:t>
      </w:r>
      <w:r>
        <w:rPr>
          <w:rStyle w:val="2Char"/>
          <w:rFonts w:ascii="仿宋" w:eastAsia="仿宋" w:hint="eastAsia"/>
          <w:b w:val="0"/>
          <w:bCs w:val="0"/>
        </w:rPr>
        <w:t>府性基金预算财政拨款收入支出决算表</w:t>
      </w:r>
      <w:bookmarkEnd w:id="71"/>
    </w:p>
    <w:p>
      <w:pPr>
        <w:pStyle w:val="2"/>
        <w:rPr>
          <w:rFonts w:ascii="仿宋" w:eastAsia="仿宋"/>
          <w:color w:val="000000"/>
        </w:rPr>
      </w:pPr>
      <w:bookmarkStart w:id="72" w:name="_Toc15396630"/>
      <w:r>
        <w:rPr>
          <w:rStyle w:val="2Char"/>
          <w:rFonts w:ascii="仿宋" w:eastAsia="仿宋" w:hint="eastAsia"/>
          <w:b w:val="0"/>
          <w:bCs w:val="0"/>
        </w:rPr>
        <w:t>十二、</w:t>
      </w:r>
      <w:r>
        <w:rPr>
          <w:rFonts w:ascii="仿宋" w:eastAsia="仿宋" w:hint="eastAsia"/>
          <w:b w:val="0"/>
          <w:color w:val="000000"/>
        </w:rPr>
        <w:t>政</w:t>
      </w:r>
      <w:r>
        <w:rPr>
          <w:rStyle w:val="2Char"/>
          <w:rFonts w:ascii="仿宋" w:eastAsia="仿宋" w:hint="eastAsia"/>
          <w:b w:val="0"/>
          <w:bCs w:val="0"/>
        </w:rPr>
        <w:t>府性基金预算财政拨款“三公”经费支出决算表</w:t>
      </w:r>
      <w:bookmarkEnd w:id="72"/>
    </w:p>
    <w:p>
      <w:pPr>
        <w:pStyle w:val="2"/>
        <w:rPr>
          <w:rFonts w:ascii="仿宋" w:eastAsia="仿宋"/>
          <w:color w:val="000000"/>
        </w:rPr>
      </w:pPr>
      <w:bookmarkStart w:id="73" w:name="_Toc15396631"/>
      <w:r>
        <w:rPr>
          <w:rStyle w:val="2Char"/>
          <w:rFonts w:ascii="仿宋" w:eastAsia="仿宋" w:hint="eastAsia"/>
          <w:b w:val="0"/>
          <w:bCs w:val="0"/>
        </w:rPr>
        <w:t>十三、</w:t>
      </w:r>
      <w:r>
        <w:rPr>
          <w:rFonts w:ascii="仿宋" w:eastAsia="仿宋" w:hint="eastAsia"/>
          <w:b w:val="0"/>
          <w:color w:val="000000"/>
        </w:rPr>
        <w:t>国</w:t>
      </w:r>
      <w:r>
        <w:rPr>
          <w:rStyle w:val="2Char"/>
          <w:rFonts w:ascii="仿宋" w:eastAsia="仿宋" w:hint="eastAsia"/>
          <w:b w:val="0"/>
          <w:bCs w:val="0"/>
        </w:rPr>
        <w:t>有资本经营预算支出决算表</w:t>
      </w:r>
      <w:bookmarkEnd w:id="73"/>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AR PL UKai CN"/>
    <w:panose1 w:val="03000509000000000000"/>
    <w:charset w:val="86"/>
    <w:family w:val="script"/>
    <w:pitch w:val="variable"/>
    <w:sig w:usb0="00000001" w:usb1="080E0000" w:usb2="00000000" w:usb3="00000000" w:csb0="00040000" w:csb1="00000000"/>
  </w:font>
  <w:font w:name="黑体">
    <w:altName w:val="方正黑体_GBK"/>
    <w:panose1 w:val="02010609060101010101"/>
    <w:charset w:val="86"/>
    <w:family w:val="auto"/>
    <w:pitch w:val="variable"/>
    <w:sig w:usb0="800002BF" w:usb1="38CF7CFA" w:usb2="00000016" w:usb3="00000000" w:csb0="00040001" w:csb1="00000000"/>
  </w:font>
  <w:font w:name="Arial">
    <w:altName w:val="DejaVu Sans"/>
    <w:panose1 w:val="020B0604020202020204"/>
    <w:charset w:val="01"/>
    <w:family w:val="swiss"/>
    <w:pitch w:val="variable"/>
    <w:sig w:usb0="E0002AFF" w:usb1="C0007843" w:usb2="00000009" w:usb3="00000000" w:csb0="400001FF" w:csb1="FFFF0000"/>
  </w:font>
  <w:font w:name="仿宋">
    <w:altName w:val="仿宋_GB2312"/>
    <w:panose1 w:val="02010609060101010101"/>
    <w:charset w:val="86"/>
    <w:family w:val="modern"/>
    <w:pitch w:val="variable"/>
    <w:sig w:usb0="800002BF" w:usb1="38CF7CFA" w:usb2="00000016" w:usb3="00000000" w:csb0="00040001" w:csb1="00000000"/>
  </w:font>
  <w:font w:name="宋体">
    <w:altName w:val="方正书宋_GBK"/>
    <w:panose1 w:val="02010600030101010101"/>
    <w:charset w:val="86"/>
    <w:family w:val="auto"/>
    <w:pitch w:val="variable"/>
    <w:sig w:usb0="00000003" w:usb1="288F0000" w:usb2="00000006" w:usb3="00000000" w:csb0="00040001" w:csb1="00000000"/>
  </w:font>
  <w:font w:name="仿宋_GB2312">
    <w:panose1 w:val="02010609030101010101"/>
    <w:charset w:val="86"/>
    <w:family w:val="modern"/>
    <w:pitch w:val="variable"/>
    <w:sig w:usb0="00000001" w:usb1="080E0000" w:usb2="00000000" w:usb3="00000000" w:csb0="00040000" w:csb1="00000000"/>
  </w:font>
  <w:font w:name="Times New Roman">
    <w:altName w:val="DejaVu Sans"/>
    <w:panose1 w:val="02020603050405020304"/>
    <w:charset w:val="00"/>
    <w:family w:val="roman"/>
    <w:pitch w:val="variable"/>
    <w:sig w:usb0="20007A87" w:usb1="80000000" w:usb2="00000008" w:usb3="00000000" w:csb0="000001FF" w:csb1="00000000"/>
  </w:font>
  <w:font w:name="楷体_GB2312">
    <w:panose1 w:val="02010609030101010101"/>
    <w:charset w:val="86"/>
    <w:family w:val="modern"/>
    <w:pitch w:val="variable"/>
    <w:sig w:usb0="00000001" w:usb1="080E0000" w:usb2="00000000" w:usb3="00000000" w:csb0="00040000" w:csb1="00000000"/>
  </w:font>
  <w:font w:name="Cambria">
    <w:altName w:val="DejaVu Sans"/>
    <w:panose1 w:val="02040503050406030204"/>
    <w:charset w:val="00"/>
    <w:family w:val="roman"/>
    <w:pitch w:val="variable"/>
    <w:sig w:usb0="E00002FF" w:usb1="400004FF" w:usb2="00000000" w:usb3="00000000" w:csb0="2000019F" w:csb1="00000000"/>
  </w:font>
  <w:font w:name="Calibri">
    <w:altName w:val="DejaVu Sans"/>
    <w:panose1 w:val="020F0502020204030204"/>
    <w:charset w:val="00"/>
    <w:family w:val="swiss"/>
    <w:pitch w:val="variable"/>
    <w:sig w:usb0="E00002FF" w:usb1="4000ACFF" w:usb2="00000001"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836986454"/>
    </w:sdtPr>
    <w:sdtContent>
      <w:p>
        <w:pPr>
          <w:pStyle w:val="19"/>
          <w:tabs>
            <w:tab w:val="center" w:pos="4153"/>
            <w:tab w:val="right" w:pos="8306"/>
          </w:tabs>
          <w:jc w:val="center"/>
        </w:pPr>
        <w:r>
          <w:fldChar w:fldCharType="begin"/>
        </w:r>
        <w:r>
          <w:instrText>PAGE   \* MERGEFORMAT</w:instrText>
        </w:r>
        <w:r>
          <w:fldChar w:fldCharType="separate"/>
        </w:r>
        <w:r>
          <w:rPr>
            <w:lang w:val="zh-CN"/>
          </w:rPr>
          <w:t>2</w:t>
        </w:r>
        <w:r>
          <w:fldChar w:fldCharType="end"/>
        </w:r>
      </w:p>
    </w:sdtContent>
  </w:sdt>
  <w:p>
    <w:pPr>
      <w:pStyle w:val="19"/>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272550B"/>
    <w:multiLevelType w:val="multilevel"/>
    <w:tmpl w:val="1272550B"/>
    <w:lvl w:ilvl="0">
      <w:start w:val="1"/>
      <w:numFmt w:val="japaneseCounting"/>
      <w:lvlRestart w:val="0"/>
      <w:lvlText w:val="%1、"/>
      <w:lvlJc w:val="left"/>
      <w:pPr>
        <w:tabs>
          <w:tab w:val="num" w:pos="0"/>
        </w:tabs>
        <w:ind w:left="1360" w:hanging="720"/>
      </w:pPr>
      <w:rPr>
        <w:rFonts w:hint="default"/>
        <w:b w:val="0"/>
      </w:r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abstractNum w:abstractNumId="1">
    <w:nsid w:val="B0805EB9"/>
    <w:multiLevelType w:val="singleLevel"/>
    <w:tmpl w:val="B0805EB9"/>
    <w:lvl w:ilvl="0">
      <w:start w:val="1"/>
      <w:numFmt w:val="decimal"/>
      <w:lvlRestart w:val="0"/>
      <w:lvlText w:val="%1."/>
      <w:lvlJc w:val="left"/>
      <w:pPr>
        <w:tabs>
          <w:tab w:val="num" w:pos="0"/>
        </w:tabs>
        <w:ind w:left="0" w:hanging="0"/>
      </w:pPr>
    </w:lvl>
  </w:abstractNum>
  <w:abstractNum w:abstractNumId="2">
    <w:nsid w:val="CF652CEC"/>
    <w:multiLevelType w:val="singleLevel"/>
    <w:tmpl w:val="CF652CEC"/>
    <w:lvl w:ilvl="0">
      <w:start w:val="9"/>
      <w:numFmt w:val="chineseCounting"/>
      <w:lvlRestart w:val="0"/>
      <w:suff w:val="nothing"/>
      <w:lvlText w:val="%1、"/>
      <w:lvlJc w:val="left"/>
      <w:pPr>
        <w:tabs>
          <w:tab w:val="num" w:pos="0"/>
        </w:tabs>
        <w:ind w:left="0" w:hanging="0"/>
      </w:pPr>
      <w:rPr>
        <w:rFonts w:hint="eastAsia"/>
      </w:rPr>
    </w:lvl>
  </w:abstractNum>
  <w:abstractNum w:abstractNumId="3">
    <w:nsid w:val="E2FA047D"/>
    <w:multiLevelType w:val="singleLevel"/>
    <w:tmpl w:val="E2FA047D"/>
    <w:lvl w:ilvl="0">
      <w:start w:val="3"/>
      <w:numFmt w:val="chineseCounting"/>
      <w:lvlRestart w:val="0"/>
      <w:suff w:val="space"/>
      <w:lvlText w:val="第%1部分"/>
      <w:lvlJc w:val="left"/>
      <w:pPr>
        <w:tabs>
          <w:tab w:val="num" w:pos="0"/>
        </w:tabs>
        <w:ind w:left="0" w:hanging="0"/>
      </w:pPr>
      <w:rPr>
        <w:rFonts w:hint="eastAsia"/>
      </w:rPr>
    </w:lvl>
  </w:abstractNum>
  <w:abstractNum w:abstractNumId="4">
    <w:nsid w:val="8420CA90"/>
    <w:multiLevelType w:val="singleLevel"/>
    <w:tmpl w:val="8420CA90"/>
    <w:lvl w:ilvl="0">
      <w:start w:val="11"/>
      <w:numFmt w:val="decimal"/>
      <w:lvlRestart w:val="0"/>
      <w:lvlText w:val="%1."/>
      <w:lvlJc w:val="left"/>
      <w:pPr>
        <w:tabs>
          <w:tab w:val="num" w:pos="0"/>
        </w:tabs>
        <w:ind w:left="0" w:hanging="0"/>
      </w:pPr>
    </w:lvl>
  </w:abstractNum>
  <w:abstractNum w:abstractNumId="5">
    <w:nsid w:val="AFC77E2F"/>
    <w:multiLevelType w:val="singleLevel"/>
    <w:tmpl w:val="AFC77E2F"/>
    <w:lvl w:ilvl="0">
      <w:start w:val="2"/>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0"/>
  <w:doNotDisplayPageBoundaries/>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next w:val="16"/>
    <w:pPr>
      <w:spacing w:beforeLines="30" w:before="30"/>
    </w:pPr>
    <w:rPr>
      <w:rFonts w:ascii="仿宋_GB2312" w:eastAsia="仿宋_GB2312"/>
      <w:kern w:val="0"/>
      <w:sz w:val="30"/>
    </w:rPr>
  </w:style>
  <w:style w:type="paragraph" w:styleId="16">
    <w:name w:val="Date"/>
    <w:basedOn w:val="0"/>
    <w:next w:val="0"/>
    <w:pPr>
      <w:ind w:leftChars="2500" w:left="2500"/>
    </w:pPr>
  </w:style>
  <w:style w:type="paragraph" w:styleId="17">
    <w:name w:val="toc 3"/>
    <w:basedOn w:val="0"/>
    <w:next w:val="0"/>
    <w:pPr>
      <w:tabs>
        <w:tab w:val="right" w:leader="dot" w:pos="8296"/>
      </w:tabs>
      <w:ind w:leftChars="400" w:left="400"/>
    </w:p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rFonts w:ascii="Calibri" w:hAnsi="Calibri"/>
      <w:kern w:val="0"/>
      <w:sz w:val="18"/>
      <w:szCs w:val="18"/>
    </w:rPr>
  </w:style>
  <w:style w:type="paragraph" w:styleId="20">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1">
    <w:name w:val="toc 1"/>
    <w:basedOn w:val="0"/>
    <w:next w:val="0"/>
    <w:pPr>
      <w:tabs>
        <w:tab w:val="right" w:leader="dot" w:pos="8296"/>
      </w:tabs>
      <w:spacing w:before="93"/>
      <w:jc w:val="center"/>
    </w:pPr>
    <w:rPr>
      <w:rFonts w:ascii="仿宋" w:eastAsia="仿宋"/>
      <w:sz w:val="28"/>
      <w:szCs w:val="28"/>
    </w:rPr>
  </w:style>
  <w:style w:type="paragraph" w:styleId="22">
    <w:name w:val="toc 2"/>
    <w:basedOn w:val="0"/>
    <w:next w:val="0"/>
    <w:pPr>
      <w:tabs>
        <w:tab w:val="right" w:leader="dot" w:pos="8296"/>
      </w:tabs>
      <w:ind w:leftChars="200" w:left="200"/>
    </w:pPr>
  </w:style>
  <w:style w:type="character" w:styleId="23">
    <w:name w:val="Strong"/>
    <w:basedOn w:val="10"/>
    <w:rPr>
      <w:b/>
    </w:rPr>
  </w:style>
  <w:style w:type="character" w:styleId="24">
    <w:name w:val="Hyperlink"/>
    <w:basedOn w:val="10"/>
    <w:rPr>
      <w:color w:val="0000FF"/>
      <w:u w:val="single"/>
    </w:rPr>
  </w:style>
  <w:style w:type="character" w:customStyle="1" w:styleId="25">
    <w:name w:val="Header Char"/>
    <w:basedOn w:val="10"/>
    <w:rPr>
      <w:rFonts w:ascii="Times New Roman" w:hAnsi="Times New Roman"/>
      <w:sz w:val="18"/>
      <w:szCs w:val="18"/>
    </w:rPr>
  </w:style>
  <w:style w:type="character" w:customStyle="1" w:styleId="26">
    <w:name w:val="Footer Char"/>
    <w:basedOn w:val="10"/>
    <w:rPr>
      <w:rFonts w:ascii="Times New Roman" w:hAnsi="Times New Roman"/>
      <w:sz w:val="18"/>
      <w:szCs w:val="18"/>
    </w:rPr>
  </w:style>
  <w:style w:type="character" w:customStyle="1" w:styleId="27">
    <w:name w:val="Body Text Char"/>
    <w:basedOn w:val="10"/>
    <w:rPr>
      <w:rFonts w:ascii="Times New Roman" w:hAnsi="Times New Roman"/>
      <w:szCs w:val="24"/>
    </w:rPr>
  </w:style>
  <w:style w:type="paragraph" w:customStyle="1" w:styleId="28">
    <w:name w:val="Default"/>
    <w:pPr>
      <w:widowControl w:val="0"/>
      <w:autoSpaceDE w:val="0"/>
      <w:autoSpaceDN w:val="0"/>
      <w:adjustRightInd w:val="0"/>
    </w:pPr>
    <w:rPr>
      <w:rFonts w:ascii="仿宋" w:eastAsia="仿宋" w:cs="仿宋"/>
      <w:color w:val="000000"/>
      <w:sz w:val="24"/>
      <w:szCs w:val="24"/>
      <w:lang w:val="en-US" w:eastAsia="zh-CN" w:bidi="ar-SA"/>
    </w:rPr>
  </w:style>
  <w:style w:type="paragraph" w:styleId="29">
    <w:name w:val="List Paragraph"/>
    <w:basedOn w:val="0"/>
    <w:pPr>
      <w:ind w:firstLineChars="200" w:firstLine="200"/>
    </w:pPr>
  </w:style>
  <w:style w:type="paragraph" w:customStyle="1" w:styleId="30">
    <w:name w:val="TOC 标题1"/>
    <w:basedOn w:val="1"/>
    <w:next w:val="0"/>
    <w:pPr>
      <w:keepNext/>
      <w:keepLines/>
      <w:widowControl/>
      <w:spacing w:before="480" w:after="0" w:line="276" w:lineRule="auto"/>
      <w:jc w:val="left"/>
      <w:outlineLvl w:val="9"/>
    </w:pPr>
    <w:rPr>
      <w:rFonts w:ascii="Cambria" w:eastAsia="宋体" w:cs="Times New Roman" w:hAnsi="Cambria"/>
      <w:color w:val="366091"/>
      <w:kern w:val="0"/>
      <w:sz w:val="28"/>
      <w:szCs w:val="28"/>
    </w:rPr>
  </w:style>
  <w:style w:type="paragraph" w:customStyle="1" w:styleId="31">
    <w:name w:val="TOC Heading"/>
    <w:basedOn w:val="1"/>
    <w:next w:val="0"/>
    <w:pPr>
      <w:keepNext/>
      <w:keepLines/>
      <w:widowControl/>
      <w:spacing w:before="480" w:after="0" w:line="276" w:lineRule="auto"/>
      <w:jc w:val="left"/>
      <w:outlineLvl w:val="9"/>
    </w:pPr>
    <w:rPr>
      <w:rFonts w:ascii="Cambria" w:eastAsia="宋体" w:cs="Times New Roman" w:hAnsi="Cambria"/>
      <w:color w:val="366091"/>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char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char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char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char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char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char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char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AR PL UKai CN"/>
                <a:ea typeface="AR PL UKai CN"/>
                <a:cs typeface="Lucida Sans"/>
              </a:defRPr>
            </a:pPr>
            <a:r>
              <a:rPr lang="zh-CN"/>
              <a:t>图表标题</a:t>
            </a:r>
          </a:p>
        </c:rich>
      </c:tx>
      <c:layout/>
      <c:overlay val="0"/>
      <c:spPr>
        <a:noFill/>
        <a:ln>
          <a:noFill/>
        </a:ln>
      </c:spPr>
    </c:title>
    <c:autoTitleDeleted val="1"/>
    <c:plotArea>
      <c:layout>
        <c:manualLayout>
          <c:layoutTarget val="inner"/>
          <c:xMode val="edge"/>
          <c:yMode val="edge"/>
          <c:x val="0.08327778"/>
          <c:y val="0.16589913"/>
          <c:w val="0.882"/>
          <c:h val="0.71166664"/>
        </c:manualLayout>
      </c:layout>
      <c:barChart>
        <c:barDir val="col"/>
        <c:grouping val="clustered"/>
        <c:varyColors val="0"/>
        <c:ser>
          <c:idx val="0"/>
          <c:order val="0"/>
          <c:spPr>
            <a:solidFill>
              <a:srgbClr val="4F81BD"/>
            </a:solidFill>
            <a:ln>
              <a:noFill/>
            </a:ln>
          </c:spPr>
          <c:invertIfNegative val="0"/>
          <c:dLbls>
            <c:spPr>
              <a:noFill/>
              <a:ln>
                <a:noFill/>
              </a:ln>
            </c:spPr>
            <c:txPr>
              <a:bodyPr vert="horz"/>
              <a:lstStyle/>
              <a:p>
                <a:pPr>
                  <a:defRPr sz="900" b="0" i="0" u="none" strike="noStrike" baseline="0">
                    <a:solidFill>
                      <a:srgbClr val="000000"/>
                    </a:solidFill>
                    <a:latin typeface="AR PL UKai CN"/>
                    <a:ea typeface="AR PL UKai CN"/>
                    <a:cs typeface="Lucida Sans"/>
                  </a:defRPr>
                </a:pPr>
                <a:endParaRPr lang="zh-CN"/>
              </a:p>
            </c:txPr>
            <c:numFmt formatCode="General" sourceLinked="0"/>
            <c:dLbl>
              <c:idx val="2"/>
              <c:numFmt formatCode="General" sourceLinked="0"/>
              <c:spPr>
                <a:noFill/>
                <a:ln>
                  <a:noFill/>
                </a:ln>
              </c:spPr>
              <c:txPr>
                <a:bodyPr vert="horz"/>
                <a:lstStyle/>
                <a:p>
                  <a:pPr>
                    <a:defRPr sz="900" b="0" i="0" u="none" strike="noStrike" baseline="0">
                      <a:solidFill>
                        <a:srgbClr val="000000"/>
                      </a:solidFill>
                      <a:latin typeface="AR PL UKai CN"/>
                      <a:ea typeface="AR PL UKai CN"/>
                      <a:cs typeface="Lucida Sans"/>
                    </a:defRPr>
                  </a:pPr>
                  <a:endParaRPr lang="zh-CN"/>
                </a:p>
              </c:txPr>
              <c:dLblPos val="outEnd"/>
              <c:tx>
                <c:rich>
                  <a:bodyPr vert="horz"/>
                  <a:lstStyle/>
                  <a:p>
                    <a:pPr>
                      <a:defRPr sz="900" b="0" i="0" u="none" strike="noStrike" baseline="0">
                        <a:solidFill>
                          <a:srgbClr val="000000"/>
                        </a:solidFill>
                        <a:latin typeface="AR PL UKai CN"/>
                        <a:ea typeface="AR PL UKai CN"/>
                        <a:cs typeface="Lucida Sans"/>
                      </a:defRPr>
                    </a:pPr>
                    <a:r>
                      <a:rPr lang="zh-CN"/>
                      <a:t>1325.50</a:t>
                    </a:r>
                  </a:p>
                </c:rich>
              </c:tx>
              <c:showLegendKey val="0"/>
              <c:showVal val="1"/>
              <c:showCatName val="0"/>
              <c:showSerName val="0"/>
              <c:showPercent val="0"/>
              <c:showBubbleSize val="0"/>
            </c:dLbl>
            <c:dLbl>
              <c:idx val="3"/>
              <c:numFmt formatCode="General" sourceLinked="0"/>
              <c:spPr>
                <a:noFill/>
                <a:ln>
                  <a:noFill/>
                </a:ln>
              </c:spPr>
              <c:txPr>
                <a:bodyPr vert="horz"/>
                <a:lstStyle/>
                <a:p>
                  <a:pPr>
                    <a:defRPr sz="900" b="0" i="0" u="none" strike="noStrike" baseline="0">
                      <a:solidFill>
                        <a:srgbClr val="000000"/>
                      </a:solidFill>
                      <a:latin typeface="AR PL UKai CN"/>
                      <a:ea typeface="AR PL UKai CN"/>
                      <a:cs typeface="Lucida Sans"/>
                    </a:defRPr>
                  </a:pPr>
                  <a:endParaRPr lang="zh-CN"/>
                </a:p>
              </c:txPr>
              <c:dLblPos val="outEnd"/>
              <c:tx>
                <c:rich>
                  <a:bodyPr vert="horz"/>
                  <a:lstStyle/>
                  <a:p>
                    <a:pPr>
                      <a:defRPr sz="900" b="0" i="0" u="none" strike="noStrike" baseline="0">
                        <a:solidFill>
                          <a:srgbClr val="000000"/>
                        </a:solidFill>
                        <a:latin typeface="AR PL UKai CN"/>
                        <a:ea typeface="AR PL UKai CN"/>
                        <a:cs typeface="Lucida Sans"/>
                      </a:defRPr>
                    </a:pPr>
                    <a:r>
                      <a:rPr lang="zh-CN"/>
                      <a:t>1325.50</a:t>
                    </a:r>
                  </a:p>
                </c:rich>
              </c:tx>
              <c:showLegendKey val="0"/>
              <c:showVal val="1"/>
              <c:showCatName val="0"/>
              <c:showSerName val="0"/>
              <c:showPercent val="0"/>
              <c:showBubbleSize val="0"/>
            </c:dLbl>
            <c:dLblPos val="out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Lit>
              <c:ptCount val="4"/>
              <c:pt idx="0">
                <c:v>2018年收入</c:v>
              </c:pt>
              <c:pt idx="1">
                <c:v>2018年支出</c:v>
              </c:pt>
              <c:pt idx="2">
                <c:v>2019年收入</c:v>
              </c:pt>
              <c:pt idx="3">
                <c:v>2019年支出</c:v>
              </c:pt>
            </c:strLit>
          </c:cat>
          <c:val>
            <c:numRef>
              <c:f/>
              <c:numCache>
                <c:formatCode>General</c:formatCode>
                <c:ptCount val="4"/>
                <c:pt idx="0">
                  <c:v>1790.07</c:v>
                </c:pt>
                <c:pt idx="1">
                  <c:v>1790.07</c:v>
                </c:pt>
                <c:pt idx="2">
                  <c:v>1562.09</c:v>
                </c:pt>
                <c:pt idx="3">
                  <c:v>1562.09</c:v>
                </c:pt>
              </c:numCache>
            </c:numRef>
          </c:val>
        </c:ser>
        <c:overlap val="-27"/>
        <c:gapWidth val="219"/>
        <c:axId val="0"/>
        <c:axId val="1"/>
      </c:barChart>
      <c:catAx>
        <c:axId val="0"/>
        <c:scaling>
          <c:orientation val="minMax"/>
        </c:scaling>
        <c:delete val="0"/>
        <c:axPos val="b"/>
        <c:numFmt formatCode="General" sourceLinked="0"/>
        <c:majorTickMark val="none"/>
        <c:minorTickMark val="none"/>
        <c:tickLblPos val="nextTo"/>
        <c:spPr>
          <a:ln w="6350">
            <a:solidFill>
              <a:srgbClr val="D9D9D9"/>
            </a:solidFill>
            <a:prstDash val="solid"/>
          </a:ln>
        </c:spPr>
        <c:txPr>
          <a:bodyPr/>
          <a:lstStyle/>
          <a:p>
            <a:pPr>
              <a:defRPr sz="900" b="0" i="0" u="none" strike="noStrike" baseline="0">
                <a:solidFill>
                  <a:srgbClr val="000000"/>
                </a:solidFill>
                <a:latin typeface="AR PL UKai CN"/>
                <a:ea typeface="AR PL UKai CN"/>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D9D9D9"/>
              </a:solidFill>
              <a:prstDash val="solid"/>
            </a:ln>
          </c:spPr>
        </c:majorGridlines>
        <c:numFmt formatCode="General" sourceLinked="1"/>
        <c:majorTickMark val="none"/>
        <c:minorTickMark val="none"/>
        <c:tickLblPos val="nextTo"/>
        <c:spPr>
          <a:ln>
            <a:noFill/>
          </a:ln>
        </c:spPr>
        <c:txPr>
          <a:bodyPr/>
          <a:lstStyle/>
          <a:p>
            <a:pPr>
              <a:defRPr sz="900" b="0" i="0" u="none" strike="noStrike" baseline="0">
                <a:solidFill>
                  <a:srgbClr val="000000"/>
                </a:solidFill>
                <a:latin typeface="AR PL UKai CN"/>
                <a:ea typeface="AR PL UKai CN"/>
                <a:cs typeface="Lucida Sans"/>
              </a:defRPr>
            </a:pPr>
            <a:endParaRPr lang="zh-CN"/>
          </a:p>
        </c:txPr>
        <c:crossesAt val="1.0"/>
        <c:crossBetween val="between"/>
        <c:crossAx val="0"/>
      </c:valAx>
      <c:spPr>
        <a:noFill/>
        <a:ln>
          <a:noFill/>
        </a:ln>
      </c:spPr>
    </c:plotArea>
    <c:plotVisOnly val="1"/>
    <c:dispBlanksAs val="gap"/>
    <c:showDLblsOverMax val="0"/>
  </c:chart>
  <c:spPr>
    <a:solidFill>
      <a:srgbClr val="C0504D"/>
    </a:solidFill>
    <a:ln w="6350">
      <a:solidFill>
        <a:srgbClr val="4F81BD"/>
      </a:solidFill>
      <a:prstDash val="solid"/>
    </a:ln>
  </c:spPr>
  <c:txPr>
    <a:bodyPr/>
    <a:lstStyle/>
    <a:p>
      <a:pPr>
        <a:defRPr sz="1000" b="0" i="0" u="none" strike="noStrike" baseline="0">
          <a:solidFill>
            <a:srgbClr val="000000"/>
          </a:solidFill>
          <a:latin typeface="AR PL UKai CN"/>
          <a:ea typeface="AR PL UKai CN"/>
          <a:cs typeface="Lucida Sans"/>
        </a:defRPr>
      </a:pPr>
      <a:endParaRPr lang="zh-CN"/>
    </a:p>
  </c:txPr>
  <c:printSettings>
    <c:headerFooter/>
    <c:pageMargins b="0.75" l="0.7" r="0.7" t="0.75" header="0.3" footer="0.3"/>
    <c:pageSetup/>
  </c:printSettings>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tx>
            <c:v>2019年财政预算收入</c:v>
          </c:tx>
          <c:spPr>
            <a:solidFill>
              <a:srgbClr val="4F81BD"/>
            </a:solidFill>
            <a:ln>
              <a:noFill/>
            </a:ln>
          </c:spPr>
          <c:dPt>
            <c:idx val="0"/>
            <c:bubble3D val="0"/>
            <c:spPr>
              <a:solidFill>
                <a:srgbClr val="4F81BD"/>
              </a:solidFill>
              <a:ln>
                <a:noFill/>
              </a:ln>
              <a:effectLst>
                <a:outerShdw dist="35921" dir="2700000" algn="br">
                  <a:srgbClr val="000000"/>
                </a:outerShdw>
              </a:effectLst>
            </c:spPr>
          </c:dPt>
          <c:dLbls>
            <c:spPr>
              <a:pattFill prst="pct75">
                <a:fgClr>
                  <a:srgbClr val="404040"/>
                </a:fgClr>
                <a:bgClr>
                  <a:srgbClr val="595959"/>
                </a:bgClr>
              </a:pattFill>
              <a:ln>
                <a:noFill/>
              </a:ln>
            </c:spPr>
            <c:txPr>
              <a:bodyPr vert="horz"/>
              <a:lstStyle/>
              <a:p>
                <a:pPr>
                  <a:defRPr sz="1000" b="1" i="0" u="none" strike="noStrike" baseline="0">
                    <a:solidFill>
                      <a:srgbClr val="FFFFFF"/>
                    </a:solidFill>
                    <a:latin typeface="AR PL UKai CN"/>
                    <a:ea typeface="AR PL UKai CN"/>
                    <a:cs typeface="Lucida Sans"/>
                  </a:defRPr>
                </a:pPr>
                <a:endParaRPr lang="zh-CN"/>
              </a:p>
            </c:txPr>
            <c:numFmt formatCode="0%" sourceLinked="0"/>
            <c:dLbl>
              <c:idx val="0"/>
              <c:numFmt formatCode="0%" sourceLinked="0"/>
              <c:spPr>
                <a:pattFill prst="pct75">
                  <a:fgClr>
                    <a:srgbClr val="404040"/>
                  </a:fgClr>
                  <a:bgClr>
                    <a:srgbClr val="595959"/>
                  </a:bgClr>
                </a:pattFill>
                <a:ln>
                  <a:noFill/>
                </a:ln>
              </c:spPr>
              <c:txPr>
                <a:bodyPr vert="horz"/>
                <a:lstStyle/>
                <a:p>
                  <a:pPr>
                    <a:defRPr sz="1000" b="1" i="0" u="none" strike="noStrike" baseline="0">
                      <a:solidFill>
                        <a:srgbClr val="FFFFFF"/>
                      </a:solidFill>
                      <a:latin typeface="AR PL UKai CN"/>
                      <a:ea typeface="AR PL UKai CN"/>
                      <a:cs typeface="Lucida Sans"/>
                    </a:defRPr>
                  </a:pPr>
                  <a:endParaRPr lang="zh-CN"/>
                </a:p>
              </c:txPr>
              <c:dLblPos val="ctr"/>
              <c:tx>
                <c:rich>
                  <a:bodyPr vert="horz"/>
                  <a:lstStyle/>
                  <a:p>
                    <a:pPr>
                      <a:defRPr sz="1000" b="1" i="0" u="none" strike="noStrike" baseline="0">
                        <a:solidFill>
                          <a:srgbClr val="FFFFFF"/>
                        </a:solidFill>
                        <a:latin typeface="AR PL UKai CN"/>
                        <a:ea typeface="AR PL UKai CN"/>
                        <a:cs typeface="Lucida Sans"/>
                      </a:defRPr>
                    </a:pPr>
                    <a:r>
                      <a:rPr lang="zh-CN" sz="1000" b="1" i="0" u="none" strike="noStrike" baseline="0">
                        <a:solidFill>
                          <a:srgbClr val="FFFFFF"/>
                        </a:solidFill>
                        <a:latin typeface="AR PL UKai CN"/>
                        <a:ea typeface="AR PL UKai CN"/>
                        <a:cs typeface="Lucida Sans"/>
                      </a:rPr>
                      <a:t>1317.36</a:t>
                    </a:r>
                    <a:r>
                      <a:rPr lang="zh-CN" sz="1000" b="1" i="0" u="none" strike="noStrike" baseline="0">
                        <a:solidFill>
                          <a:srgbClr val="FFFFFF"/>
                        </a:solidFill>
                        <a:latin typeface="AR PL UKai CN"/>
                        <a:ea typeface="AR PL UKai CN"/>
                        <a:cs typeface="Lucida Sans"/>
                      </a:rPr>
                      <a:t>, 100%</a:t>
                    </a:r>
                  </a:p>
                </c:rich>
              </c:tx>
              <c:showLegendKey val="0"/>
              <c:showVal val="1"/>
              <c:showCatName val="0"/>
              <c:showSerName val="0"/>
              <c:showPercent val="1"/>
              <c:showBubbleSize val="0"/>
            </c:dLbl>
            <c:dLblPos val="ctr"/>
            <c:showLegendKey val="0"/>
            <c:showVal val="1"/>
            <c:showCatName val="0"/>
            <c:showSerName val="0"/>
            <c:showPercent val="1"/>
            <c:showBubbleSize val="0"/>
            <c:showLeaderLines val="1"/>
          </c:dLbls>
          <c:val>
            <c:numRef>
              <c:f/>
              <c:numCache>
                <c:formatCode>General</c:formatCode>
                <c:ptCount val="1"/>
                <c:pt idx="0">
                  <c:v>1562.09</c:v>
                </c:pt>
              </c:numCache>
            </c:numRef>
          </c:val>
        </c:ser>
        <c:firstSliceAng val="0"/>
      </c:pieChart>
      <c:spPr>
        <a:noFill/>
        <a:ln>
          <a:noFill/>
        </a:ln>
      </c:spPr>
    </c:plotArea>
    <c:legend>
      <c:legendPos val="r"/>
      <c:layout/>
      <c:overlay val="0"/>
      <c:spPr>
        <a:solidFill>
          <a:srgbClr val="F2F2F2">
            <a:alpha val="39000"/>
          </a:srgbClr>
        </a:solidFill>
        <a:ln>
          <a:noFill/>
        </a:ln>
      </c:spPr>
      <c:txPr>
        <a:bodyPr/>
        <a:lstStyle/>
        <a:p>
          <a:pPr>
            <a:defRPr sz="900" b="0" i="0" u="none" strike="noStrike" baseline="0">
              <a:solidFill>
                <a:srgbClr val="404040"/>
              </a:solidFill>
              <a:latin typeface="AR PL UKai CN"/>
              <a:ea typeface="AR PL UKai CN"/>
              <a:cs typeface="Lucida Sans"/>
            </a:defRPr>
          </a:pPr>
          <a:endParaRPr lang="zh-CN"/>
        </a:p>
      </c:txPr>
    </c:legend>
    <c:plotVisOnly val="1"/>
    <c:dispBlanksAs val="gap"/>
    <c:showDLblsOverMax val="0"/>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a:solidFill>
        <a:srgbClr val="BFBFBF"/>
      </a:solidFill>
      <a:prstDash val="solid"/>
    </a:ln>
  </c:spPr>
  <c:txPr>
    <a:bodyPr/>
    <a:lstStyle/>
    <a:p>
      <a:pPr>
        <a:defRPr sz="1000" b="0" i="0" u="none" strike="noStrike" baseline="0">
          <a:solidFill>
            <a:srgbClr val="000000"/>
          </a:solidFill>
          <a:latin typeface="AR PL UKai CN"/>
          <a:ea typeface="AR PL UKai CN"/>
          <a:cs typeface="Lucida Sans"/>
        </a:defRPr>
      </a:pPr>
      <a:endParaRPr lang="zh-CN"/>
    </a:p>
  </c:txPr>
  <c:printSettings>
    <c:headerFooter/>
    <c:pageMargins b="0.75" l="0.7" r="0.7" t="0.75" header="0.3" footer="0.3"/>
    <c:pageSetup/>
  </c:printSettings>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404040"/>
                </a:solidFill>
                <a:latin typeface="AR PL UKai CN"/>
                <a:ea typeface="AR PL UKai CN"/>
                <a:cs typeface="Lucida Sans"/>
              </a:defRPr>
            </a:pPr>
            <a:r>
              <a:rPr lang="zh-CN"/>
              <a:t>图表标题</a:t>
            </a:r>
          </a:p>
        </c:rich>
      </c:tx>
      <c:layout/>
      <c:overlay val="0"/>
      <c:spPr>
        <a:noFill/>
        <a:ln>
          <a:noFill/>
        </a:ln>
      </c:spPr>
    </c:title>
    <c:autoTitleDeleted val="1"/>
    <c:plotArea>
      <c:layout/>
      <c:pieChart>
        <c:varyColors val="1"/>
        <c:ser>
          <c:idx val="0"/>
          <c:order val="0"/>
          <c:spPr>
            <a:solidFill>
              <a:srgbClr val="4F81BD"/>
            </a:solidFill>
            <a:ln>
              <a:noFill/>
            </a:ln>
          </c:spPr>
          <c:dPt>
            <c:idx val="0"/>
            <c:bubble3D val="0"/>
            <c:spPr>
              <a:solidFill>
                <a:srgbClr val="4F81BD"/>
              </a:solidFill>
              <a:ln>
                <a:noFill/>
              </a:ln>
              <a:effectLst>
                <a:outerShdw dist="35921" dir="2700000" algn="br">
                  <a:srgbClr val="000000"/>
                </a:outerShdw>
              </a:effectLst>
            </c:spPr>
          </c:dPt>
          <c:dPt>
            <c:idx val="1"/>
            <c:bubble3D val="0"/>
            <c:spPr>
              <a:solidFill>
                <a:srgbClr val="C0504D"/>
              </a:solidFill>
              <a:ln>
                <a:noFill/>
              </a:ln>
              <a:effectLst>
                <a:outerShdw dist="35921" dir="2700000" algn="br">
                  <a:srgbClr val="000000"/>
                </a:outerShdw>
              </a:effectLst>
            </c:spPr>
          </c:dPt>
          <c:dLbls>
            <c:spPr>
              <a:pattFill prst="pct75">
                <a:fgClr>
                  <a:srgbClr val="404040"/>
                </a:fgClr>
                <a:bgClr>
                  <a:srgbClr val="595959"/>
                </a:bgClr>
              </a:pattFill>
              <a:ln>
                <a:noFill/>
              </a:ln>
            </c:spPr>
            <c:txPr>
              <a:bodyPr vert="horz"/>
              <a:lstStyle/>
              <a:p>
                <a:pPr>
                  <a:defRPr sz="1000" b="1" i="0" u="none" strike="noStrike" baseline="0">
                    <a:solidFill>
                      <a:srgbClr val="FFFFFF"/>
                    </a:solidFill>
                    <a:latin typeface="AR PL UKai CN"/>
                    <a:ea typeface="AR PL UKai CN"/>
                    <a:cs typeface="Lucida Sans"/>
                  </a:defRPr>
                </a:pPr>
                <a:endParaRPr lang="zh-CN"/>
              </a:p>
            </c:txPr>
            <c:numFmt formatCode="0%" sourceLinked="0"/>
            <c:dLbl>
              <c:idx val="0"/>
              <c:numFmt formatCode="0%" sourceLinked="0"/>
              <c:spPr>
                <a:pattFill prst="pct75">
                  <a:fgClr>
                    <a:srgbClr val="404040"/>
                  </a:fgClr>
                  <a:bgClr>
                    <a:srgbClr val="595959"/>
                  </a:bgClr>
                </a:pattFill>
                <a:ln>
                  <a:noFill/>
                </a:ln>
              </c:spPr>
              <c:txPr>
                <a:bodyPr vert="horz"/>
                <a:lstStyle/>
                <a:p>
                  <a:pPr>
                    <a:defRPr sz="1000" b="1" i="0" u="none" strike="noStrike" baseline="0">
                      <a:solidFill>
                        <a:srgbClr val="FFFFFF"/>
                      </a:solidFill>
                      <a:latin typeface="AR PL UKai CN"/>
                      <a:ea typeface="AR PL UKai CN"/>
                      <a:cs typeface="Lucida Sans"/>
                    </a:defRPr>
                  </a:pPr>
                  <a:endParaRPr lang="zh-CN"/>
                </a:p>
              </c:txPr>
              <c:dLblPos val="ctr"/>
              <c:tx>
                <c:rich>
                  <a:bodyPr vert="horz"/>
                  <a:lstStyle/>
                  <a:p>
                    <a:pPr>
                      <a:defRPr sz="1000" b="1" i="0" u="none" strike="noStrike" baseline="0">
                        <a:solidFill>
                          <a:srgbClr val="FFFFFF"/>
                        </a:solidFill>
                        <a:latin typeface="AR PL UKai CN"/>
                        <a:ea typeface="AR PL UKai CN"/>
                        <a:cs typeface="Lucida Sans"/>
                      </a:defRPr>
                    </a:pPr>
                    <a:r>
                      <a:rPr lang="zh-CN" sz="1000" b="1" i="0" u="none" strike="noStrike" baseline="0">
                        <a:solidFill>
                          <a:srgbClr val="FFFFFF"/>
                        </a:solidFill>
                        <a:latin typeface="AR PL UKai CN"/>
                        <a:ea typeface="AR PL UKai CN"/>
                        <a:cs typeface="Lucida Sans"/>
                      </a:rPr>
                      <a:t>1184.51,89.37</a:t>
                    </a:r>
                    <a:r>
                      <a:rPr lang="zh-CN" sz="1000" b="1" i="0" u="none" strike="noStrike" baseline="0">
                        <a:solidFill>
                          <a:srgbClr val="FFFFFF"/>
                        </a:solidFill>
                        <a:latin typeface="AR PL UKai CN"/>
                        <a:ea typeface="AR PL UKai CN"/>
                        <a:cs typeface="Lucida Sans"/>
                      </a:rPr>
                      <a:t>%</a:t>
                    </a:r>
                  </a:p>
                </c:rich>
              </c:tx>
              <c:showLegendKey val="0"/>
              <c:showVal val="1"/>
              <c:showCatName val="0"/>
              <c:showSerName val="0"/>
              <c:showPercent val="1"/>
              <c:showBubbleSize val="0"/>
            </c:dLbl>
            <c:dLbl>
              <c:idx val="1"/>
              <c:numFmt formatCode="0%" sourceLinked="0"/>
              <c:spPr>
                <a:pattFill prst="pct75">
                  <a:fgClr>
                    <a:srgbClr val="404040"/>
                  </a:fgClr>
                  <a:bgClr>
                    <a:srgbClr val="595959"/>
                  </a:bgClr>
                </a:pattFill>
                <a:ln>
                  <a:noFill/>
                </a:ln>
              </c:spPr>
              <c:txPr>
                <a:bodyPr vert="horz"/>
                <a:lstStyle/>
                <a:p>
                  <a:pPr>
                    <a:defRPr sz="1000" b="1" i="0" u="none" strike="noStrike" baseline="0">
                      <a:solidFill>
                        <a:srgbClr val="FFFFFF"/>
                      </a:solidFill>
                      <a:latin typeface="AR PL UKai CN"/>
                      <a:ea typeface="AR PL UKai CN"/>
                      <a:cs typeface="Lucida Sans"/>
                    </a:defRPr>
                  </a:pPr>
                  <a:endParaRPr lang="zh-CN"/>
                </a:p>
              </c:txPr>
              <c:dLblPos val="ctr"/>
              <c:tx>
                <c:rich>
                  <a:bodyPr vert="horz"/>
                  <a:lstStyle/>
                  <a:p>
                    <a:pPr>
                      <a:defRPr sz="1000" b="1" i="0" u="none" strike="noStrike" baseline="0">
                        <a:solidFill>
                          <a:srgbClr val="FFFFFF"/>
                        </a:solidFill>
                        <a:latin typeface="AR PL UKai CN"/>
                        <a:ea typeface="AR PL UKai CN"/>
                        <a:cs typeface="Lucida Sans"/>
                      </a:defRPr>
                    </a:pPr>
                    <a:r>
                      <a:rPr lang="zh-CN" sz="1000" b="1" i="0" u="none" strike="noStrike" baseline="0">
                        <a:solidFill>
                          <a:srgbClr val="FFFFFF"/>
                        </a:solidFill>
                        <a:latin typeface="AR PL UKai CN"/>
                        <a:ea typeface="AR PL UKai CN"/>
                        <a:cs typeface="Lucida Sans"/>
                      </a:rPr>
                      <a:t>140.92, </a:t>
                    </a:r>
                    <a:r>
                      <a:rPr lang="zh-CN" sz="1000" b="1" i="0" u="none" strike="noStrike" baseline="0">
                        <a:solidFill>
                          <a:srgbClr val="FFFFFF"/>
                        </a:solidFill>
                        <a:latin typeface="AR PL UKai CN"/>
                        <a:ea typeface="AR PL UKai CN"/>
                        <a:cs typeface="Lucida Sans"/>
                      </a:rPr>
                      <a:t>10.63</a:t>
                    </a:r>
                    <a:r>
                      <a:rPr lang="zh-CN" sz="1000" b="1" i="0" u="none" strike="noStrike" baseline="0">
                        <a:solidFill>
                          <a:srgbClr val="FFFFFF"/>
                        </a:solidFill>
                        <a:latin typeface="AR PL UKai CN"/>
                        <a:ea typeface="AR PL UKai CN"/>
                        <a:cs typeface="Lucida Sans"/>
                      </a:rPr>
                      <a:t>%</a:t>
                    </a:r>
                  </a:p>
                </c:rich>
              </c:tx>
              <c:showLegendKey val="0"/>
              <c:showVal val="1"/>
              <c:showCatName val="0"/>
              <c:showSerName val="0"/>
              <c:showPercent val="1"/>
              <c:showBubbleSize val="0"/>
            </c:dLbl>
            <c:dLblPos val="ctr"/>
            <c:showLegendKey val="0"/>
            <c:showVal val="1"/>
            <c:showCatName val="0"/>
            <c:showSerName val="0"/>
            <c:showPercent val="1"/>
            <c:showBubbleSize val="0"/>
            <c:showLeaderLines val="1"/>
          </c:dLbls>
          <c:cat>
            <c:strLit>
              <c:ptCount val="2"/>
              <c:pt idx="0">
                <c:v>基本支出</c:v>
              </c:pt>
              <c:pt idx="1">
                <c:v>项目支出</c:v>
              </c:pt>
            </c:strLit>
          </c:cat>
          <c:val>
            <c:numRef>
              <c:f/>
              <c:numCache>
                <c:formatCode>General</c:formatCode>
                <c:ptCount val="2"/>
                <c:pt idx="0">
                  <c:v>1429.24</c:v>
                </c:pt>
                <c:pt idx="1">
                  <c:v>140.92</c:v>
                </c:pt>
              </c:numCache>
            </c:numRef>
          </c:val>
        </c:ser>
        <c:firstSliceAng val="0"/>
      </c:pieChart>
      <c:spPr>
        <a:noFill/>
        <a:ln>
          <a:noFill/>
        </a:ln>
      </c:spPr>
    </c:plotArea>
    <c:legend>
      <c:legendPos val="r"/>
      <c:layout/>
      <c:overlay val="0"/>
      <c:spPr>
        <a:solidFill>
          <a:srgbClr val="F2F2F2">
            <a:alpha val="39000"/>
          </a:srgbClr>
        </a:solidFill>
        <a:ln>
          <a:noFill/>
        </a:ln>
      </c:spPr>
      <c:txPr>
        <a:bodyPr/>
        <a:lstStyle/>
        <a:p>
          <a:pPr>
            <a:defRPr sz="900" b="0" i="0" u="none" strike="noStrike" baseline="0">
              <a:solidFill>
                <a:srgbClr val="404040"/>
              </a:solidFill>
              <a:latin typeface="AR PL UKai CN"/>
              <a:ea typeface="AR PL UKai CN"/>
              <a:cs typeface="Lucida Sans"/>
            </a:defRPr>
          </a:pPr>
          <a:endParaRPr lang="zh-CN"/>
        </a:p>
      </c:txPr>
    </c:legend>
    <c:plotVisOnly val="1"/>
    <c:dispBlanksAs val="gap"/>
    <c:showDLblsOverMax val="0"/>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a:solidFill>
        <a:srgbClr val="BFBFBF"/>
      </a:solidFill>
      <a:prstDash val="solid"/>
    </a:ln>
  </c:spPr>
  <c:txPr>
    <a:bodyPr/>
    <a:lstStyle/>
    <a:p>
      <a:pPr>
        <a:defRPr sz="1000" b="0" i="0" u="none" strike="noStrike" baseline="0">
          <a:solidFill>
            <a:srgbClr val="000000"/>
          </a:solidFill>
          <a:latin typeface="AR PL UKai CN"/>
          <a:ea typeface="AR PL UKai CN"/>
          <a:cs typeface="Lucida Sans"/>
        </a:defRPr>
      </a:pPr>
      <a:endParaRPr lang="zh-CN"/>
    </a:p>
  </c:txPr>
  <c:printSettings>
    <c:headerFooter/>
    <c:pageMargins b="0.75" l="0.7" r="0.7" t="0.75" header="0.3" footer="0.3"/>
    <c:pageSetup/>
  </c:printSettings>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404040"/>
                </a:solidFill>
                <a:latin typeface="AR PL UKai CN"/>
                <a:ea typeface="AR PL UKai CN"/>
                <a:cs typeface="Lucida Sans"/>
              </a:defRPr>
            </a:pPr>
            <a:r>
              <a:rPr lang="zh-CN"/>
              <a:t>财政拨款收、支决算变动情况</a:t>
            </a:r>
          </a:p>
        </c:rich>
      </c:tx>
      <c:layout>
        <c:manualLayout>
          <c:xMode val="edge"/>
          <c:yMode val="edge"/>
          <c:x val="0.18125"/>
          <c:y val="0.034722224"/>
        </c:manualLayout>
      </c:layout>
      <c:overlay val="0"/>
      <c:spPr>
        <a:noFill/>
        <a:ln>
          <a:noFill/>
        </a:ln>
      </c:spPr>
    </c:title>
    <c:autoTitleDeleted val="1"/>
    <c:plotArea>
      <c:layout/>
      <c:barChart>
        <c:barDir val="col"/>
        <c:grouping val="clustered"/>
        <c:varyColors val="0"/>
        <c:ser>
          <c:idx val="0"/>
          <c:order val="0"/>
          <c:spPr>
            <a:solidFill>
              <a:srgbClr val="C0504D">
                <a:alpha val="85000"/>
              </a:srgbClr>
            </a:solidFill>
            <a:ln w="6350">
              <a:solidFill>
                <a:srgbClr val="FFFFFF"/>
              </a:solidFill>
              <a:prstDash val="solid"/>
            </a:ln>
          </c:spPr>
          <c:invertIfNegative val="0"/>
          <c:dLbls>
            <c:spPr>
              <a:noFill/>
              <a:ln>
                <a:noFill/>
              </a:ln>
            </c:spPr>
            <c:txPr>
              <a:bodyPr vert="horz"/>
              <a:lstStyle/>
              <a:p>
                <a:pPr>
                  <a:defRPr sz="900" b="1" i="0" u="none" strike="noStrike" baseline="0">
                    <a:solidFill>
                      <a:srgbClr val="FFFFFF"/>
                    </a:solidFill>
                    <a:latin typeface="AR PL UKai CN"/>
                    <a:ea typeface="AR PL UKai CN"/>
                    <a:cs typeface="Lucida Sans"/>
                  </a:defRPr>
                </a:pPr>
                <a:endParaRPr lang="zh-CN"/>
              </a:p>
            </c:txPr>
            <c:numFmt formatCode="General" sourceLinked="0"/>
            <c:dLbl>
              <c:idx val="1"/>
              <c:numFmt formatCode="General" sourceLinked="0"/>
              <c:spPr>
                <a:noFill/>
                <a:ln>
                  <a:noFill/>
                </a:ln>
              </c:spPr>
              <c:txPr>
                <a:bodyPr vert="horz"/>
                <a:lstStyle/>
                <a:p>
                  <a:pPr>
                    <a:defRPr sz="900" b="1" i="0" u="none" strike="noStrike" baseline="0">
                      <a:solidFill>
                        <a:srgbClr val="FFFFFF"/>
                      </a:solidFill>
                      <a:latin typeface="AR PL UKai CN"/>
                      <a:ea typeface="AR PL UKai CN"/>
                      <a:cs typeface="Lucida Sans"/>
                    </a:defRPr>
                  </a:pPr>
                  <a:endParaRPr lang="zh-CN"/>
                </a:p>
              </c:txPr>
              <c:dLblPos val="inEnd"/>
              <c:tx>
                <c:rich>
                  <a:bodyPr vert="horz"/>
                  <a:lstStyle/>
                  <a:p>
                    <a:pPr>
                      <a:defRPr sz="900" b="1" i="0" u="none" strike="noStrike" baseline="0">
                        <a:solidFill>
                          <a:srgbClr val="FFFFFF"/>
                        </a:solidFill>
                        <a:latin typeface="AR PL UKai CN"/>
                        <a:ea typeface="AR PL UKai CN"/>
                        <a:cs typeface="Lucida Sans"/>
                      </a:defRPr>
                    </a:pPr>
                    <a:r>
                      <a:rPr lang="zh-CN" sz="900" b="1" i="0" u="none" strike="noStrike" baseline="0">
                        <a:solidFill>
                          <a:srgbClr val="FFFFFF"/>
                        </a:solidFill>
                        <a:latin typeface="AR PL UKai CN"/>
                        <a:ea typeface="AR PL UKai CN"/>
                        <a:cs typeface="Lucida Sans"/>
                      </a:rPr>
                      <a:t>1325.44</a:t>
                    </a:r>
                    <a:r>
                      <a:rPr lang="zh-CN" sz="900" b="1" i="0" u="none" strike="noStrike" baseline="0">
                        <a:solidFill>
                          <a:srgbClr val="FFFFFF"/>
                        </a:solidFill>
                        <a:latin typeface="AR PL UKai CN"/>
                        <a:ea typeface="AR PL UKai CN"/>
                        <a:cs typeface="Lucida Sans"/>
                      </a:rPr>
                      <a:t> </a:t>
                    </a:r>
                  </a:p>
                </c:rich>
              </c:tx>
              <c:showLegendKey val="0"/>
              <c:showVal val="1"/>
              <c:showCatName val="0"/>
              <c:showSerName val="0"/>
              <c:showPercent val="0"/>
              <c:showBubbleSize val="0"/>
            </c:dLbl>
            <c:dLbl>
              <c:idx val="3"/>
              <c:numFmt formatCode="General" sourceLinked="0"/>
              <c:spPr>
                <a:noFill/>
                <a:ln>
                  <a:noFill/>
                </a:ln>
              </c:spPr>
              <c:txPr>
                <a:bodyPr vert="horz"/>
                <a:lstStyle/>
                <a:p>
                  <a:pPr>
                    <a:defRPr sz="900" b="1" i="0" u="none" strike="noStrike" baseline="0">
                      <a:solidFill>
                        <a:srgbClr val="FFFFFF"/>
                      </a:solidFill>
                      <a:latin typeface="AR PL UKai CN"/>
                      <a:ea typeface="AR PL UKai CN"/>
                      <a:cs typeface="Lucida Sans"/>
                    </a:defRPr>
                  </a:pPr>
                  <a:endParaRPr lang="zh-CN"/>
                </a:p>
              </c:txPr>
              <c:dLblPos val="inEnd"/>
              <c:tx>
                <c:rich>
                  <a:bodyPr vert="horz"/>
                  <a:lstStyle/>
                  <a:p>
                    <a:pPr>
                      <a:defRPr sz="900" b="1" i="0" u="none" strike="noStrike" baseline="0">
                        <a:solidFill>
                          <a:srgbClr val="FFFFFF"/>
                        </a:solidFill>
                        <a:latin typeface="AR PL UKai CN"/>
                        <a:ea typeface="AR PL UKai CN"/>
                        <a:cs typeface="Lucida Sans"/>
                      </a:defRPr>
                    </a:pPr>
                    <a:r>
                      <a:rPr lang="zh-CN"/>
                      <a:t>1325.44</a:t>
                    </a:r>
                  </a:p>
                </c:rich>
              </c:tx>
              <c:showLegendKey val="0"/>
              <c:showVal val="1"/>
              <c:showCatName val="0"/>
              <c:showSerName val="0"/>
              <c:showPercent val="0"/>
              <c:showBubbleSize val="0"/>
            </c:dLbl>
            <c:dLblPos val="inEnd"/>
            <c:showLegendKey val="0"/>
            <c:showVal val="1"/>
            <c:showCatName val="0"/>
            <c:showSerName val="0"/>
            <c:showPercent val="0"/>
            <c:showBubbleSize val="0"/>
            <c:showLeaderLines val="1"/>
            <c:extLst>
              <c:ext xmlns:c15="http://schemas.microsoft.com/office/drawing/2012/chart" uri="{CE6537A1-D6FC-4f65-9D91-7224C49458BB}">
                <c15:showLeaderLines val="1"/>
              </c:ext>
            </c:extLst>
          </c:dLbls>
          <c:cat>
            <c:strLit>
              <c:ptCount val="4"/>
              <c:pt idx="0">
                <c:v>2018年财政拨款收入</c:v>
              </c:pt>
              <c:pt idx="1">
                <c:v>2019年财政拨款收入</c:v>
              </c:pt>
              <c:pt idx="2">
                <c:v>2018年财政拨款支出</c:v>
              </c:pt>
              <c:pt idx="3">
                <c:v>2019年财政拨款支出</c:v>
              </c:pt>
            </c:strLit>
          </c:cat>
          <c:val>
            <c:numRef>
              <c:f/>
              <c:numCache>
                <c:formatCode>General</c:formatCode>
                <c:ptCount val="4"/>
                <c:pt idx="0">
                  <c:v>1790.01</c:v>
                </c:pt>
                <c:pt idx="1">
                  <c:v>1562.09</c:v>
                </c:pt>
                <c:pt idx="2">
                  <c:v>1790.01</c:v>
                </c:pt>
                <c:pt idx="3">
                  <c:v>1570.17</c:v>
                </c:pt>
              </c:numCache>
            </c:numRef>
          </c:val>
        </c:ser>
        <c:gapWidth val="65"/>
        <c:axId val="0"/>
        <c:axId val="1"/>
      </c:barChart>
      <c:catAx>
        <c:axId val="0"/>
        <c:scaling>
          <c:orientation val="minMax"/>
        </c:scaling>
        <c:delete val="0"/>
        <c:axPos val="b"/>
        <c:numFmt formatCode="General" sourceLinked="0"/>
        <c:majorTickMark val="none"/>
        <c:minorTickMark val="none"/>
        <c:tickLblPos val="nextTo"/>
        <c:spPr>
          <a:ln w="19050">
            <a:solidFill>
              <a:srgbClr val="404040"/>
            </a:solidFill>
            <a:prstDash val="solid"/>
          </a:ln>
        </c:spPr>
        <c:txPr>
          <a:bodyPr/>
          <a:lstStyle/>
          <a:p>
            <a:pPr>
              <a:defRPr sz="900" b="0" i="0" u="none" strike="noStrike" cap="all" baseline="0">
                <a:solidFill>
                  <a:srgbClr val="404040"/>
                </a:solidFill>
                <a:latin typeface="AR PL UKai CN"/>
                <a:ea typeface="AR PL UKai CN"/>
                <a:cs typeface="Lucida Sans"/>
              </a:defRPr>
            </a:pPr>
            <a:endParaRPr lang="zh-CN"/>
          </a:p>
        </c:txPr>
        <c:crosses val="autoZero"/>
        <c:auto val="1"/>
        <c:lblOffset val="100"/>
        <c:lblAlgn val="ctr"/>
        <c:noMultiLvlLbl val="0"/>
        <c:crossAx val="1"/>
      </c:catAx>
      <c:valAx>
        <c:axId val="1"/>
        <c:scaling>
          <c:orientation val="minMax"/>
        </c:scaling>
        <c:delete val="1"/>
        <c:axPos val="l"/>
        <c:majorGridlines>
          <c:spPr>
            <a:ln w="6350">
              <a:solidFill>
                <a:srgbClr val="868686"/>
              </a:solidFill>
              <a:prstDash val="solid"/>
            </a:ln>
          </c:spPr>
        </c:majorGridlines>
        <c:numFmt formatCode="General" sourceLinked="1"/>
        <c:majorTickMark val="none"/>
        <c:minorTickMark val="none"/>
        <c:tickLblPos val="nextTo"/>
        <c:txPr>
          <a:bodyPr/>
          <a:lstStyle/>
          <a:p>
            <a:pPr>
              <a:defRPr sz="900" b="0" i="0" u="none" strike="noStrike" baseline="0">
                <a:solidFill>
                  <a:srgbClr val="404040"/>
                </a:solidFill>
                <a:latin typeface="AR PL UKai CN"/>
                <a:ea typeface="AR PL UKai CN"/>
                <a:cs typeface="Lucida Sans"/>
              </a:defRPr>
            </a:pPr>
            <a:endParaRPr lang="zh-CN"/>
          </a:p>
        </c:txPr>
        <c:crossesAt val="1.0"/>
        <c:crossBetween val="between"/>
        <c:crossAx val="0"/>
      </c:valAx>
      <c:spPr>
        <a:noFill/>
        <a:ln>
          <a:noFill/>
        </a:ln>
      </c:spPr>
    </c:plotArea>
    <c:plotVisOnly val="1"/>
    <c:dispBlanksAs val="gap"/>
    <c:showDLblsOverMax val="0"/>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a:solidFill>
        <a:srgbClr val="BFBFBF"/>
      </a:solidFill>
      <a:prstDash val="solid"/>
    </a:ln>
  </c:spPr>
  <c:txPr>
    <a:bodyPr/>
    <a:lstStyle/>
    <a:p>
      <a:pPr>
        <a:defRPr sz="1000" b="0" i="0" u="none" strike="noStrike" baseline="0">
          <a:solidFill>
            <a:srgbClr val="000000"/>
          </a:solidFill>
          <a:latin typeface="AR PL UKai CN"/>
          <a:ea typeface="AR PL UKai CN"/>
          <a:cs typeface="Lucida Sans"/>
        </a:defRPr>
      </a:pPr>
      <a:endParaRPr lang="zh-CN"/>
    </a:p>
  </c:txPr>
  <c:printSettings>
    <c:headerFooter/>
    <c:pageMargins b="0.75" l="0.7" r="0.7" t="0.75" header="0.3" footer="0.3"/>
    <c:pageSetup/>
  </c:printSettings>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F2F2F2"/>
                </a:solidFill>
                <a:latin typeface="AR PL UKai CN"/>
                <a:ea typeface="AR PL UKai CN"/>
                <a:cs typeface="Lucida Sans"/>
              </a:defRPr>
            </a:pPr>
            <a:r>
              <a:rPr lang="zh-CN"/>
              <a:t>一般公共预算财政拨款支出变动表</a:t>
            </a:r>
          </a:p>
        </c:rich>
      </c:tx>
      <c:layout/>
      <c:overlay val="0"/>
      <c:spPr>
        <a:noFill/>
        <a:ln>
          <a:noFill/>
        </a:ln>
      </c:spPr>
    </c:title>
    <c:autoTitleDeleted val="1"/>
    <c:plotArea>
      <c:layout>
        <c:manualLayout>
          <c:layoutTarget val="inner"/>
          <c:xMode val="edge"/>
          <c:yMode val="edge"/>
          <c:x val="0.08744445"/>
          <c:y val="0.17291667"/>
          <c:w val="0.882"/>
          <c:h val="0.71166664"/>
        </c:manualLayout>
      </c:layout>
      <c:barChart>
        <c:barDir val="col"/>
        <c:grouping val="clustered"/>
        <c:varyColors val="0"/>
        <c:ser>
          <c:idx val="0"/>
          <c:order val="0"/>
          <c:spPr>
            <a:gradFill rotWithShape="1">
              <a:gsLst>
                <a:gs pos="0">
                  <a:srgbClr val="688FC5">
                    <a:alpha val="100000"/>
                  </a:srgbClr>
                </a:gs>
                <a:gs pos="50000">
                  <a:srgbClr val="4980C3">
                    <a:alpha val="100000"/>
                  </a:srgbClr>
                </a:gs>
                <a:gs pos="100000">
                  <a:srgbClr val="3A71B2">
                    <a:alpha val="100000"/>
                  </a:srgbClr>
                </a:gs>
              </a:gsLst>
              <a:lin ang="5400000" scaled="1"/>
            </a:gradFill>
            <a:ln>
              <a:noFill/>
            </a:ln>
            <a:effectLst>
              <a:outerShdw dist="35921" dir="2700000" algn="br">
                <a:srgbClr val="000000"/>
              </a:outerShdw>
            </a:effectLst>
          </c:spPr>
          <c:invertIfNegative val="0"/>
          <c:dLbls>
            <c:showLegendKey val="0"/>
            <c:showVal val="0"/>
            <c:showCatName val="0"/>
            <c:showSerName val="0"/>
            <c:showPercent val="0"/>
            <c:showBubbleSize val="0"/>
            <c:showLeaderLines val="0"/>
          </c:dLbls>
          <c:cat>
            <c:strLit>
              <c:ptCount val="2"/>
              <c:pt idx="0">
                <c:v>2019年一般公共预算财政拨款支出</c:v>
              </c:pt>
              <c:pt idx="1">
                <c:v>2018年一般公共预算财政拨款支出</c:v>
              </c:pt>
            </c:strLit>
          </c:cat>
          <c:val>
            <c:numRef>
              <c:f/>
              <c:numCache>
                <c:formatCode>General</c:formatCode>
                <c:ptCount val="2"/>
                <c:pt idx="0">
                  <c:v>1325.43</c:v>
                </c:pt>
                <c:pt idx="1">
                  <c:v>1540.1</c:v>
                </c:pt>
              </c:numCache>
            </c:numRef>
          </c:val>
        </c:ser>
        <c:overlap val="-24"/>
        <c:gapWidth val="100"/>
        <c:axId val="0"/>
        <c:axId val="1"/>
      </c:barChart>
      <c:catAx>
        <c:axId val="0"/>
        <c:scaling>
          <c:orientation val="minMax"/>
        </c:scaling>
        <c:delete val="0"/>
        <c:axPos val="b"/>
        <c:numFmt formatCode="General" sourceLinked="0"/>
        <c:majorTickMark val="none"/>
        <c:minorTickMark val="none"/>
        <c:tickLblPos val="nextTo"/>
        <c:spPr>
          <a:ln w="6350">
            <a:solidFill>
              <a:srgbClr val="F2F2F2"/>
            </a:solidFill>
            <a:prstDash val="solid"/>
          </a:ln>
        </c:spPr>
        <c:txPr>
          <a:bodyPr/>
          <a:lstStyle/>
          <a:p>
            <a:pPr>
              <a:defRPr sz="900" b="0" i="0" u="none" strike="noStrike" baseline="0">
                <a:solidFill>
                  <a:srgbClr val="D9D9D9"/>
                </a:solidFill>
                <a:latin typeface="AR PL UKai CN"/>
                <a:ea typeface="AR PL UKai CN"/>
                <a:cs typeface="Lucida Sans"/>
              </a:defRPr>
            </a:pPr>
            <a:endParaRPr lang="zh-CN"/>
          </a:p>
        </c:txPr>
        <c:crosses val="autoZero"/>
        <c:auto val="1"/>
        <c:lblOffset val="100"/>
        <c:lblAlgn val="ctr"/>
        <c:noMultiLvlLbl val="0"/>
        <c:crossAx val="1"/>
      </c:catAx>
      <c:valAx>
        <c:axId val="1"/>
        <c:scaling>
          <c:orientation val="minMax"/>
        </c:scaling>
        <c:delete val="0"/>
        <c:axPos val="l"/>
        <c:majorGridlines>
          <c:spPr>
            <a:ln w="6350">
              <a:solidFill>
                <a:srgbClr val="F2F2F2"/>
              </a:solidFill>
              <a:prstDash val="solid"/>
            </a:ln>
          </c:spPr>
        </c:majorGridlines>
        <c:numFmt formatCode="General" sourceLinked="1"/>
        <c:majorTickMark val="none"/>
        <c:minorTickMark val="none"/>
        <c:tickLblPos val="nextTo"/>
        <c:spPr>
          <a:ln>
            <a:noFill/>
          </a:ln>
        </c:spPr>
        <c:txPr>
          <a:bodyPr/>
          <a:lstStyle/>
          <a:p>
            <a:pPr>
              <a:defRPr sz="900" b="0" i="0" u="none" strike="noStrike" baseline="0">
                <a:solidFill>
                  <a:srgbClr val="D9D9D9"/>
                </a:solidFill>
                <a:latin typeface="AR PL UKai CN"/>
                <a:ea typeface="AR PL UKai CN"/>
                <a:cs typeface="Lucida Sans"/>
              </a:defRPr>
            </a:pPr>
            <a:endParaRPr lang="zh-CN"/>
          </a:p>
        </c:txPr>
        <c:crossesAt val="1.0"/>
        <c:crossBetween val="between"/>
        <c:crossAx val="0"/>
      </c:valAx>
      <c:dTable>
        <c:showHorzBorder val="1"/>
        <c:showVertBorder val="1"/>
        <c:showOutline val="1"/>
        <c:showKeys val="1"/>
        <c:spPr>
          <a:ln w="6350">
            <a:solidFill>
              <a:srgbClr val="F2F2F2"/>
            </a:solidFill>
            <a:prstDash val="solid"/>
          </a:ln>
        </c:spPr>
        <c:txPr>
          <a:bodyPr/>
          <a:lstStyle/>
          <a:p>
            <a:pPr rtl="0">
              <a:defRPr sz="900" b="0" i="0" u="none" strike="noStrike" baseline="0">
                <a:solidFill>
                  <a:srgbClr val="D9D9D9"/>
                </a:solidFill>
                <a:latin typeface="AR PL UKai CN"/>
                <a:ea typeface="AR PL UKai CN"/>
                <a:cs typeface="Lucida Sans"/>
              </a:defRPr>
            </a:pPr>
            <a:endParaRPr lang="zh-CN"/>
          </a:p>
        </c:txPr>
      </c:dTable>
      <c:spPr>
        <a:noFill/>
        <a:ln>
          <a:noFill/>
        </a:ln>
      </c:spPr>
    </c:plotArea>
    <c:plotVisOnly val="1"/>
    <c:dispBlanksAs val="gap"/>
    <c:showDLblsOverMax val="0"/>
  </c:chart>
  <c:spPr>
    <a:gradFill rotWithShape="1">
      <a:gsLst>
        <a:gs pos="0">
          <a:srgbClr val="595959">
            <a:alpha val="100000"/>
          </a:srgbClr>
        </a:gs>
        <a:gs pos="100000">
          <a:srgbClr val="262626">
            <a:alpha val="100000"/>
          </a:srgbClr>
        </a:gs>
      </a:gsLst>
      <a:path path="circle">
        <a:fillToRect l="50000" t="50000" r="50000" b="50000"/>
      </a:path>
      <a:tileRect/>
    </a:gradFill>
    <a:ln>
      <a:noFill/>
    </a:ln>
  </c:spPr>
  <c:txPr>
    <a:bodyPr/>
    <a:lstStyle/>
    <a:p>
      <a:pPr>
        <a:defRPr sz="1000" b="0" i="0" u="none" strike="noStrike" baseline="0">
          <a:solidFill>
            <a:srgbClr val="000000"/>
          </a:solidFill>
          <a:latin typeface="AR PL UKai CN"/>
          <a:ea typeface="AR PL UKai CN"/>
          <a:cs typeface="Lucida Sans"/>
        </a:defRPr>
      </a:pPr>
      <a:endParaRPr lang="zh-CN"/>
    </a:p>
  </c:txPr>
  <c:printSettings>
    <c:headerFooter/>
    <c:pageMargins b="0.75" l="0.7" r="0.7" t="0.75" header="0.3" footer="0.3"/>
    <c:pageSetup/>
  </c:printSettings>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404040"/>
                </a:solidFill>
                <a:latin typeface="AR PL UKai CN"/>
                <a:ea typeface="AR PL UKai CN"/>
                <a:cs typeface="Lucida Sans"/>
              </a:defRPr>
            </a:pPr>
            <a:r>
              <a:rPr lang="zh-CN"/>
              <a:t>图表标题</a:t>
            </a:r>
          </a:p>
        </c:rich>
      </c:tx>
      <c:layout/>
      <c:overlay val="0"/>
      <c:spPr>
        <a:noFill/>
        <a:ln>
          <a:noFill/>
        </a:ln>
      </c:spPr>
    </c:title>
    <c:autoTitleDeleted val="1"/>
    <c:plotArea>
      <c:layout/>
      <c:pieChart>
        <c:varyColors val="1"/>
        <c:ser>
          <c:idx val="0"/>
          <c:order val="0"/>
          <c:spPr>
            <a:solidFill>
              <a:srgbClr val="4F81BD"/>
            </a:solidFill>
            <a:ln>
              <a:noFill/>
            </a:ln>
          </c:spPr>
          <c:dPt>
            <c:idx val="0"/>
            <c:bubble3D val="0"/>
            <c:spPr>
              <a:solidFill>
                <a:srgbClr val="4F81BD"/>
              </a:solidFill>
              <a:ln>
                <a:noFill/>
              </a:ln>
              <a:effectLst>
                <a:outerShdw dist="35921" dir="2700000" algn="br">
                  <a:srgbClr val="000000"/>
                </a:outerShdw>
              </a:effectLst>
            </c:spPr>
          </c:dPt>
          <c:dPt>
            <c:idx val="1"/>
            <c:bubble3D val="0"/>
            <c:spPr>
              <a:solidFill>
                <a:srgbClr val="C0504D"/>
              </a:solidFill>
              <a:ln>
                <a:noFill/>
              </a:ln>
              <a:effectLst>
                <a:outerShdw dist="35921" dir="2700000" algn="br">
                  <a:srgbClr val="000000"/>
                </a:outerShdw>
              </a:effectLst>
            </c:spPr>
          </c:dPt>
          <c:dPt>
            <c:idx val="2"/>
            <c:bubble3D val="0"/>
            <c:spPr>
              <a:solidFill>
                <a:srgbClr val="9BBB59"/>
              </a:solidFill>
              <a:ln>
                <a:noFill/>
              </a:ln>
              <a:effectLst>
                <a:outerShdw dist="35921" dir="2700000" algn="br">
                  <a:srgbClr val="000000"/>
                </a:outerShdw>
              </a:effectLst>
            </c:spPr>
          </c:dPt>
          <c:dPt>
            <c:idx val="3"/>
            <c:bubble3D val="0"/>
            <c:spPr>
              <a:solidFill>
                <a:srgbClr val="8064A2"/>
              </a:solidFill>
              <a:ln>
                <a:noFill/>
              </a:ln>
              <a:effectLst>
                <a:outerShdw dist="35921" dir="2700000" algn="br">
                  <a:srgbClr val="000000"/>
                </a:outerShdw>
              </a:effectLst>
            </c:spPr>
          </c:dPt>
          <c:dPt>
            <c:idx val="4"/>
            <c:bubble3D val="0"/>
            <c:spPr>
              <a:solidFill>
                <a:srgbClr val="4BACC6"/>
              </a:solidFill>
              <a:ln>
                <a:noFill/>
              </a:ln>
              <a:effectLst>
                <a:outerShdw dist="35921" dir="2700000" algn="br">
                  <a:srgbClr val="000000"/>
                </a:outerShdw>
              </a:effectLst>
            </c:spPr>
          </c:dPt>
          <c:dLbls>
            <c:spPr>
              <a:pattFill prst="pct75">
                <a:fgClr>
                  <a:srgbClr val="404040"/>
                </a:fgClr>
                <a:bgClr>
                  <a:srgbClr val="595959"/>
                </a:bgClr>
              </a:pattFill>
              <a:ln>
                <a:noFill/>
              </a:ln>
            </c:spPr>
            <c:txPr>
              <a:bodyPr vert="horz"/>
              <a:lstStyle/>
              <a:p>
                <a:pPr>
                  <a:defRPr sz="1000" b="1" i="0" u="none" strike="noStrike" baseline="0">
                    <a:solidFill>
                      <a:srgbClr val="FFFFFF"/>
                    </a:solidFill>
                    <a:latin typeface="AR PL UKai CN"/>
                    <a:ea typeface="AR PL UKai CN"/>
                    <a:cs typeface="Lucida Sans"/>
                  </a:defRPr>
                </a:pPr>
                <a:endParaRPr lang="zh-CN"/>
              </a:p>
            </c:txPr>
            <c:numFmt formatCode="0%" sourceLinked="0"/>
            <c:dLbl>
              <c:idx val="0"/>
              <c:numFmt formatCode="0%" sourceLinked="0"/>
              <c:spPr>
                <a:pattFill prst="pct75">
                  <a:fgClr>
                    <a:srgbClr val="404040"/>
                  </a:fgClr>
                  <a:bgClr>
                    <a:srgbClr val="595959"/>
                  </a:bgClr>
                </a:pattFill>
                <a:ln>
                  <a:noFill/>
                </a:ln>
              </c:spPr>
              <c:txPr>
                <a:bodyPr vert="horz"/>
                <a:lstStyle/>
                <a:p>
                  <a:pPr>
                    <a:defRPr sz="1000" b="1" i="0" u="none" strike="noStrike" baseline="0">
                      <a:solidFill>
                        <a:srgbClr val="FFFFFF"/>
                      </a:solidFill>
                      <a:latin typeface="AR PL UKai CN"/>
                      <a:ea typeface="AR PL UKai CN"/>
                      <a:cs typeface="Lucida Sans"/>
                    </a:defRPr>
                  </a:pPr>
                  <a:endParaRPr lang="zh-CN"/>
                </a:p>
              </c:txPr>
              <c:dLblPos val="ctr"/>
              <c:tx>
                <c:rich>
                  <a:bodyPr vert="horz"/>
                  <a:lstStyle/>
                  <a:p>
                    <a:pPr>
                      <a:defRPr sz="1000" b="1" i="0" u="none" strike="noStrike" baseline="0">
                        <a:solidFill>
                          <a:srgbClr val="FFFFFF"/>
                        </a:solidFill>
                        <a:latin typeface="AR PL UKai CN"/>
                        <a:ea typeface="AR PL UKai CN"/>
                        <a:cs typeface="Lucida Sans"/>
                      </a:defRPr>
                    </a:pPr>
                    <a:r>
                      <a:rPr lang="zh-CN" sz="1000" b="1" i="0" u="none" strike="noStrike" baseline="0">
                        <a:solidFill>
                          <a:srgbClr val="FFFFFF"/>
                        </a:solidFill>
                        <a:latin typeface="AR PL UKai CN"/>
                        <a:ea typeface="AR PL UKai CN"/>
                        <a:cs typeface="Lucida Sans"/>
                      </a:rPr>
                      <a:t>80.60</a:t>
                    </a:r>
                    <a:r>
                      <a:rPr lang="zh-CN" sz="1000" b="1" i="0" u="none" strike="noStrike" baseline="0">
                        <a:solidFill>
                          <a:srgbClr val="FFFFFF"/>
                        </a:solidFill>
                        <a:latin typeface="AR PL UKai CN"/>
                        <a:ea typeface="AR PL UKai CN"/>
                        <a:cs typeface="Lucida Sans"/>
                      </a:rPr>
                      <a:t>%</a:t>
                    </a:r>
                  </a:p>
                </c:rich>
              </c:tx>
              <c:showLegendKey val="0"/>
              <c:showVal val="0"/>
              <c:showCatName val="0"/>
              <c:showSerName val="0"/>
              <c:showPercent val="1"/>
              <c:showBubbleSize val="0"/>
            </c:dLbl>
            <c:dLbl>
              <c:idx val="1"/>
              <c:layout>
                <c:manualLayout>
                  <c:x val="0.10340564"/>
                  <c:y val="0.14909014"/>
                </c:manualLayout>
              </c:layout>
              <c:numFmt formatCode="0%" sourceLinked="0"/>
              <c:spPr>
                <a:pattFill prst="pct75">
                  <a:fgClr>
                    <a:srgbClr val="404040"/>
                  </a:fgClr>
                  <a:bgClr>
                    <a:srgbClr val="595959"/>
                  </a:bgClr>
                </a:pattFill>
                <a:ln>
                  <a:noFill/>
                </a:ln>
              </c:spPr>
              <c:txPr>
                <a:bodyPr vert="horz"/>
                <a:lstStyle/>
                <a:p>
                  <a:pPr>
                    <a:defRPr sz="1000" b="1" i="0" u="none" strike="noStrike" baseline="0">
                      <a:solidFill>
                        <a:srgbClr val="FFFFFF"/>
                      </a:solidFill>
                      <a:latin typeface="AR PL UKai CN"/>
                      <a:ea typeface="AR PL UKai CN"/>
                      <a:cs typeface="Lucida Sans"/>
                    </a:defRPr>
                  </a:pPr>
                  <a:endParaRPr lang="zh-CN"/>
                </a:p>
              </c:txPr>
              <c:dLblPos val="bestFit"/>
              <c:tx>
                <c:rich>
                  <a:bodyPr vert="horz"/>
                  <a:lstStyle/>
                  <a:p>
                    <a:pPr>
                      <a:defRPr sz="1000" b="1" i="0" u="none" strike="noStrike" baseline="0">
                        <a:solidFill>
                          <a:srgbClr val="FFFFFF"/>
                        </a:solidFill>
                        <a:latin typeface="AR PL UKai CN"/>
                        <a:ea typeface="AR PL UKai CN"/>
                        <a:cs typeface="Lucida Sans"/>
                      </a:defRPr>
                    </a:pPr>
                    <a:r>
                      <a:rPr lang="zh-CN" sz="1000" b="1" i="0" u="none" strike="noStrike" baseline="0">
                        <a:solidFill>
                          <a:srgbClr val="FFFFFF"/>
                        </a:solidFill>
                        <a:latin typeface="AR PL UKai CN"/>
                        <a:ea typeface="AR PL UKai CN"/>
                        <a:cs typeface="Lucida Sans"/>
                      </a:rPr>
                      <a:t>7.95</a:t>
                    </a:r>
                    <a:r>
                      <a:rPr lang="zh-CN" sz="1000" b="1" i="0" u="none" strike="noStrike" baseline="0">
                        <a:solidFill>
                          <a:srgbClr val="FFFFFF"/>
                        </a:solidFill>
                        <a:latin typeface="AR PL UKai CN"/>
                        <a:ea typeface="AR PL UKai CN"/>
                        <a:cs typeface="Lucida Sans"/>
                      </a:rPr>
                      <a:t>%</a:t>
                    </a:r>
                  </a:p>
                </c:rich>
              </c:tx>
              <c:showLegendKey val="0"/>
              <c:showVal val="0"/>
              <c:showCatName val="0"/>
              <c:showSerName val="0"/>
              <c:showPercent val="1"/>
              <c:showBubbleSize val="0"/>
            </c:dLbl>
            <c:dLbl>
              <c:idx val="2"/>
              <c:numFmt formatCode="0%" sourceLinked="0"/>
              <c:spPr>
                <a:pattFill prst="pct75">
                  <a:fgClr>
                    <a:srgbClr val="404040"/>
                  </a:fgClr>
                  <a:bgClr>
                    <a:srgbClr val="595959"/>
                  </a:bgClr>
                </a:pattFill>
                <a:ln>
                  <a:noFill/>
                </a:ln>
              </c:spPr>
              <c:txPr>
                <a:bodyPr vert="horz"/>
                <a:lstStyle/>
                <a:p>
                  <a:pPr>
                    <a:defRPr sz="1000" b="1" i="0" u="none" strike="noStrike" baseline="0">
                      <a:solidFill>
                        <a:srgbClr val="FFFFFF"/>
                      </a:solidFill>
                      <a:latin typeface="AR PL UKai CN"/>
                      <a:ea typeface="AR PL UKai CN"/>
                      <a:cs typeface="Lucida Sans"/>
                    </a:defRPr>
                  </a:pPr>
                  <a:endParaRPr lang="zh-CN"/>
                </a:p>
              </c:txPr>
              <c:dLblPos val="ctr"/>
              <c:tx>
                <c:rich>
                  <a:bodyPr vert="horz"/>
                  <a:lstStyle/>
                  <a:p>
                    <a:pPr>
                      <a:defRPr sz="1000" b="1" i="0" u="none" strike="noStrike" baseline="0">
                        <a:solidFill>
                          <a:srgbClr val="FFFFFF"/>
                        </a:solidFill>
                        <a:latin typeface="AR PL UKai CN"/>
                        <a:ea typeface="AR PL UKai CN"/>
                        <a:cs typeface="Lucida Sans"/>
                      </a:defRPr>
                    </a:pPr>
                    <a:r>
                      <a:rPr lang="zh-CN" sz="1000" b="1" i="0" u="none" strike="noStrike" baseline="0">
                        <a:solidFill>
                          <a:srgbClr val="FFFFFF"/>
                        </a:solidFill>
                        <a:latin typeface="AR PL UKai CN"/>
                        <a:ea typeface="AR PL UKai CN"/>
                        <a:cs typeface="Lucida Sans"/>
                      </a:rPr>
                      <a:t>2.62</a:t>
                    </a:r>
                    <a:r>
                      <a:rPr lang="zh-CN" sz="1000" b="1" i="0" u="none" strike="noStrike" baseline="0">
                        <a:solidFill>
                          <a:srgbClr val="FFFFFF"/>
                        </a:solidFill>
                        <a:latin typeface="AR PL UKai CN"/>
                        <a:ea typeface="AR PL UKai CN"/>
                        <a:cs typeface="Lucida Sans"/>
                      </a:rPr>
                      <a:t>%</a:t>
                    </a:r>
                  </a:p>
                </c:rich>
              </c:tx>
              <c:showLegendKey val="0"/>
              <c:showVal val="0"/>
              <c:showCatName val="0"/>
              <c:showSerName val="0"/>
              <c:showPercent val="1"/>
              <c:showBubbleSize val="0"/>
            </c:dLbl>
            <c:dLbl>
              <c:idx val="3"/>
              <c:layout>
                <c:manualLayout>
                  <c:x val="0.04622546"/>
                  <c:y val="0.14103667"/>
                </c:manualLayout>
              </c:layout>
              <c:numFmt formatCode="0%" sourceLinked="0"/>
              <c:spPr>
                <a:pattFill prst="pct75">
                  <a:fgClr>
                    <a:srgbClr val="404040"/>
                  </a:fgClr>
                  <a:bgClr>
                    <a:srgbClr val="595959"/>
                  </a:bgClr>
                </a:pattFill>
                <a:ln>
                  <a:noFill/>
                </a:ln>
              </c:spPr>
              <c:txPr>
                <a:bodyPr vert="horz"/>
                <a:lstStyle/>
                <a:p>
                  <a:pPr>
                    <a:defRPr sz="1000" b="1" i="0" u="none" strike="noStrike" baseline="0">
                      <a:solidFill>
                        <a:srgbClr val="FFFFFF"/>
                      </a:solidFill>
                      <a:latin typeface="AR PL UKai CN"/>
                      <a:ea typeface="AR PL UKai CN"/>
                      <a:cs typeface="Lucida Sans"/>
                    </a:defRPr>
                  </a:pPr>
                  <a:endParaRPr lang="zh-CN"/>
                </a:p>
              </c:txPr>
              <c:dLblPos val="bestFit"/>
              <c:tx>
                <c:rich>
                  <a:bodyPr vert="horz"/>
                  <a:lstStyle/>
                  <a:p>
                    <a:pPr>
                      <a:defRPr sz="1000" b="1" i="0" u="none" strike="noStrike" baseline="0">
                        <a:solidFill>
                          <a:srgbClr val="FFFFFF"/>
                        </a:solidFill>
                        <a:latin typeface="AR PL UKai CN"/>
                        <a:ea typeface="AR PL UKai CN"/>
                        <a:cs typeface="Lucida Sans"/>
                      </a:defRPr>
                    </a:pPr>
                    <a:r>
                      <a:rPr lang="zh-CN" sz="1000" b="1" i="0" u="none" strike="noStrike" baseline="0">
                        <a:solidFill>
                          <a:srgbClr val="FFFFFF"/>
                        </a:solidFill>
                        <a:latin typeface="AR PL UKai CN"/>
                        <a:ea typeface="AR PL UKai CN"/>
                        <a:cs typeface="Lucida Sans"/>
                      </a:rPr>
                      <a:t>4.98</a:t>
                    </a:r>
                    <a:r>
                      <a:rPr lang="zh-CN" sz="1000" b="1" i="0" u="none" strike="noStrike" baseline="0">
                        <a:solidFill>
                          <a:srgbClr val="FFFFFF"/>
                        </a:solidFill>
                        <a:latin typeface="AR PL UKai CN"/>
                        <a:ea typeface="AR PL UKai CN"/>
                        <a:cs typeface="Lucida Sans"/>
                      </a:rPr>
                      <a:t>%</a:t>
                    </a:r>
                  </a:p>
                </c:rich>
              </c:tx>
              <c:showLegendKey val="0"/>
              <c:showVal val="0"/>
              <c:showCatName val="0"/>
              <c:showSerName val="0"/>
              <c:showPercent val="1"/>
              <c:showBubbleSize val="0"/>
            </c:dLbl>
            <c:dLbl>
              <c:idx val="4"/>
              <c:layout>
                <c:manualLayout>
                  <c:x val="0.052539527"/>
                  <c:y val="0.21061336"/>
                </c:manualLayout>
              </c:layout>
              <c:numFmt formatCode="0%" sourceLinked="0"/>
              <c:spPr>
                <a:pattFill prst="pct75">
                  <a:fgClr>
                    <a:srgbClr val="404040"/>
                  </a:fgClr>
                  <a:bgClr>
                    <a:srgbClr val="595959"/>
                  </a:bgClr>
                </a:pattFill>
                <a:ln>
                  <a:noFill/>
                </a:ln>
              </c:spPr>
              <c:txPr>
                <a:bodyPr vert="horz"/>
                <a:lstStyle/>
                <a:p>
                  <a:pPr>
                    <a:defRPr sz="1000" b="1" i="0" u="none" strike="noStrike" baseline="0">
                      <a:solidFill>
                        <a:srgbClr val="FFFFFF"/>
                      </a:solidFill>
                      <a:latin typeface="AR PL UKai CN"/>
                      <a:ea typeface="AR PL UKai CN"/>
                      <a:cs typeface="Lucida Sans"/>
                    </a:defRPr>
                  </a:pPr>
                  <a:endParaRPr lang="zh-CN"/>
                </a:p>
              </c:txPr>
              <c:dLblPos val="bestFit"/>
              <c:tx>
                <c:rich>
                  <a:bodyPr vert="horz"/>
                  <a:lstStyle/>
                  <a:p>
                    <a:pPr>
                      <a:defRPr sz="1000" b="1" i="0" u="none" strike="noStrike" baseline="0">
                        <a:solidFill>
                          <a:srgbClr val="FFFFFF"/>
                        </a:solidFill>
                        <a:latin typeface="AR PL UKai CN"/>
                        <a:ea typeface="AR PL UKai CN"/>
                        <a:cs typeface="Lucida Sans"/>
                      </a:defRPr>
                    </a:pPr>
                    <a:r>
                      <a:rPr lang="zh-CN" sz="1000" b="1" i="0" u="none" strike="noStrike" baseline="0">
                        <a:solidFill>
                          <a:srgbClr val="FFFFFF"/>
                        </a:solidFill>
                        <a:latin typeface="AR PL UKai CN"/>
                        <a:ea typeface="AR PL UKai CN"/>
                        <a:cs typeface="Lucida Sans"/>
                      </a:rPr>
                      <a:t>3</a:t>
                    </a:r>
                    <a:r>
                      <a:rPr lang="zh-CN" sz="1000" b="1" i="0" u="none" strike="noStrike" baseline="0">
                        <a:solidFill>
                          <a:srgbClr val="FFFFFF"/>
                        </a:solidFill>
                        <a:latin typeface="AR PL UKai CN"/>
                        <a:ea typeface="AR PL UKai CN"/>
                        <a:cs typeface="Lucida Sans"/>
                      </a:rPr>
                      <a:t>.77</a:t>
                    </a:r>
                    <a:r>
                      <a:rPr lang="zh-CN" sz="1000" b="1" i="0" u="none" strike="noStrike" baseline="0">
                        <a:solidFill>
                          <a:srgbClr val="FFFFFF"/>
                        </a:solidFill>
                        <a:latin typeface="AR PL UKai CN"/>
                        <a:ea typeface="AR PL UKai CN"/>
                        <a:cs typeface="Lucida Sans"/>
                      </a:rPr>
                      <a:t>%</a:t>
                    </a:r>
                  </a:p>
                </c:rich>
              </c:tx>
              <c:showLegendKey val="0"/>
              <c:showVal val="0"/>
              <c:showCatName val="0"/>
              <c:showSerName val="0"/>
              <c:showPercent val="1"/>
              <c:showBubbleSize val="0"/>
            </c:dLbl>
            <c:dLblPos val="ctr"/>
            <c:showLegendKey val="0"/>
            <c:showVal val="0"/>
            <c:showCatName val="0"/>
            <c:showSerName val="0"/>
            <c:showPercent val="1"/>
            <c:showBubbleSize val="0"/>
            <c:showLeaderLines val="1"/>
          </c:dLbls>
          <c:cat>
            <c:strLit>
              <c:ptCount val="5"/>
              <c:pt idx="0">
                <c:v>一般公共服务支出</c:v>
              </c:pt>
              <c:pt idx="1">
                <c:v>社会保障和就业支出</c:v>
              </c:pt>
              <c:pt idx="2">
                <c:v>卫生健康支出</c:v>
              </c:pt>
              <c:pt idx="3">
                <c:v>住房保障支出</c:v>
              </c:pt>
              <c:pt idx="4">
                <c:v>公共安全支出</c:v>
              </c:pt>
            </c:strLit>
          </c:cat>
          <c:val>
            <c:numRef>
              <c:f/>
              <c:numCache>
                <c:formatCode>General</c:formatCode>
                <c:ptCount val="5"/>
                <c:pt idx="0">
                  <c:v>1268.81</c:v>
                </c:pt>
                <c:pt idx="1">
                  <c:v>129.81</c:v>
                </c:pt>
                <c:pt idx="2">
                  <c:v>43.65</c:v>
                </c:pt>
                <c:pt idx="3">
                  <c:v>77.9</c:v>
                </c:pt>
                <c:pt idx="4">
                  <c:v>50.0</c:v>
                </c:pt>
              </c:numCache>
            </c:numRef>
          </c:val>
        </c:ser>
        <c:firstSliceAng val="0"/>
      </c:pieChart>
      <c:spPr>
        <a:noFill/>
        <a:ln>
          <a:noFill/>
        </a:ln>
      </c:spPr>
    </c:plotArea>
    <c:legend>
      <c:legendPos val="r"/>
      <c:layout/>
      <c:overlay val="0"/>
      <c:spPr>
        <a:solidFill>
          <a:srgbClr val="F2F2F2">
            <a:alpha val="39000"/>
          </a:srgbClr>
        </a:solidFill>
        <a:ln>
          <a:noFill/>
        </a:ln>
      </c:spPr>
      <c:txPr>
        <a:bodyPr/>
        <a:lstStyle/>
        <a:p>
          <a:pPr>
            <a:defRPr sz="900" b="0" i="0" u="none" strike="noStrike" baseline="0">
              <a:solidFill>
                <a:srgbClr val="404040"/>
              </a:solidFill>
              <a:latin typeface="AR PL UKai CN"/>
              <a:ea typeface="AR PL UKai CN"/>
              <a:cs typeface="Lucida Sans"/>
            </a:defRPr>
          </a:pPr>
          <a:endParaRPr lang="zh-CN"/>
        </a:p>
      </c:txPr>
    </c:legend>
    <c:plotVisOnly val="1"/>
    <c:dispBlanksAs val="gap"/>
    <c:showDLblsOverMax val="0"/>
  </c:chart>
  <c:spPr>
    <a:gradFill rotWithShape="1">
      <a:gsLst>
        <a:gs pos="0">
          <a:srgbClr val="FFFFFF">
            <a:alpha val="100000"/>
          </a:srgbClr>
        </a:gs>
        <a:gs pos="39000">
          <a:srgbClr val="FFFFFF">
            <a:alpha val="100000"/>
          </a:srgbClr>
        </a:gs>
        <a:gs pos="100000">
          <a:srgbClr val="BFBFBF">
            <a:alpha val="100000"/>
          </a:srgbClr>
        </a:gs>
      </a:gsLst>
      <a:path path="circle">
        <a:fillToRect l="100000" t="100000"/>
      </a:path>
      <a:tileRect r="-100000" b="-100000"/>
    </a:gradFill>
    <a:ln w="6350">
      <a:solidFill>
        <a:srgbClr val="BFBFBF"/>
      </a:solidFill>
      <a:prstDash val="solid"/>
    </a:ln>
  </c:spPr>
  <c:txPr>
    <a:bodyPr/>
    <a:lstStyle/>
    <a:p>
      <a:pPr>
        <a:defRPr sz="1000" b="0" i="0" u="none" strike="noStrike" baseline="0">
          <a:solidFill>
            <a:srgbClr val="000000"/>
          </a:solidFill>
          <a:latin typeface="AR PL UKai CN"/>
          <a:ea typeface="AR PL UKai CN"/>
          <a:cs typeface="Lucida Sans"/>
        </a:defRPr>
      </a:pPr>
      <a:endParaRPr lang="zh-CN"/>
    </a:p>
  </c:txPr>
  <c:printSettings>
    <c:headerFooter/>
    <c:pageMargins b="0.75" l="0.7" r="0.7" t="0.75" header="0.3" footer="0.3"/>
    <c:pageSetup/>
  </c:printSettings>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595959"/>
                </a:solidFill>
                <a:latin typeface="AR PL UKai CN"/>
                <a:ea typeface="AR PL UKai CN"/>
                <a:cs typeface="Lucida Sans"/>
              </a:defRPr>
            </a:pPr>
            <a:r>
              <a:rPr lang="zh-CN"/>
              <a:t>图表标题</a:t>
            </a:r>
          </a:p>
        </c:rich>
      </c:tx>
      <c:layout/>
      <c:overlay val="0"/>
      <c:spPr>
        <a:noFill/>
        <a:ln>
          <a:noFill/>
        </a:ln>
      </c:spPr>
    </c:title>
    <c:autoTitleDeleted val="1"/>
    <c:plotArea>
      <c:layout/>
      <c:pieChart>
        <c:varyColors val="1"/>
        <c:ser>
          <c:idx val="0"/>
          <c:order val="0"/>
          <c:spPr>
            <a:solidFill>
              <a:srgbClr val="4F81BD"/>
            </a:solidFill>
            <a:ln>
              <a:noFill/>
            </a:ln>
          </c:spPr>
          <c:dPt>
            <c:idx val="0"/>
            <c:bubble3D val="0"/>
            <c:spPr>
              <a:solidFill>
                <a:srgbClr val="4F81BD"/>
              </a:solidFill>
              <a:ln w="19050">
                <a:solidFill>
                  <a:srgbClr val="FFFFFF"/>
                </a:solidFill>
                <a:prstDash val="solid"/>
              </a:ln>
            </c:spPr>
          </c:dPt>
          <c:dPt>
            <c:idx val="1"/>
            <c:bubble3D val="0"/>
            <c:spPr>
              <a:solidFill>
                <a:srgbClr val="C0504D"/>
              </a:solidFill>
              <a:ln w="19050">
                <a:solidFill>
                  <a:srgbClr val="FFFFFF"/>
                </a:solidFill>
                <a:prstDash val="solid"/>
              </a:ln>
            </c:spPr>
          </c:dPt>
          <c:dPt>
            <c:idx val="2"/>
            <c:bubble3D val="0"/>
            <c:spPr>
              <a:solidFill>
                <a:srgbClr val="9BBB59"/>
              </a:solidFill>
              <a:ln w="19050">
                <a:solidFill>
                  <a:srgbClr val="FFFFFF"/>
                </a:solidFill>
                <a:prstDash val="solid"/>
              </a:ln>
            </c:spPr>
          </c:dPt>
          <c:dLbls>
            <c:spPr>
              <a:noFill/>
              <a:ln>
                <a:noFill/>
              </a:ln>
            </c:spPr>
            <c:txPr>
              <a:bodyPr vert="horz"/>
              <a:lstStyle/>
              <a:p>
                <a:pPr>
                  <a:defRPr sz="900" b="0" i="0" u="none" strike="noStrike" baseline="0">
                    <a:solidFill>
                      <a:srgbClr val="404040"/>
                    </a:solidFill>
                    <a:latin typeface="AR PL UKai CN"/>
                    <a:ea typeface="AR PL UKai CN"/>
                    <a:cs typeface="Lucida Sans"/>
                  </a:defRPr>
                </a:pPr>
                <a:endParaRPr lang="zh-CN"/>
              </a:p>
            </c:txPr>
            <c:numFmt formatCode="General" sourceLinked="0"/>
            <c:showLegendKey val="0"/>
            <c:showVal val="1"/>
            <c:showCatName val="0"/>
            <c:showSerName val="0"/>
            <c:showPercent val="0"/>
            <c:showBubbleSize val="0"/>
            <c:showLeaderLines val="1"/>
          </c:dLbls>
          <c:cat>
            <c:strLit>
              <c:ptCount val="3"/>
              <c:pt idx="0">
                <c:v>因公出国（境）费支出</c:v>
              </c:pt>
              <c:pt idx="1">
                <c:v>公务用车购置及运行维护费支出</c:v>
              </c:pt>
              <c:pt idx="2">
                <c:v>公务接待费支出</c:v>
              </c:pt>
            </c:strLit>
          </c:cat>
          <c:val>
            <c:numRef>
              <c:f/>
              <c:numCache>
                <c:formatCode>General</c:formatCode>
                <c:ptCount val="3"/>
                <c:pt idx="0">
                  <c:v>0.0</c:v>
                </c:pt>
                <c:pt idx="1">
                  <c:v>104.69</c:v>
                </c:pt>
                <c:pt idx="2">
                  <c:v>0.0</c:v>
                </c:pt>
              </c:numCache>
            </c:numRef>
          </c:val>
        </c:ser>
        <c:firstSliceAng val="0"/>
      </c:pieChart>
      <c:spPr>
        <a:noFill/>
        <a:ln>
          <a:noFill/>
        </a:ln>
      </c:spPr>
    </c:plotArea>
    <c:legend>
      <c:legendPos val="b"/>
      <c:layout/>
      <c:overlay val="0"/>
      <c:spPr>
        <a:noFill/>
        <a:ln>
          <a:noFill/>
        </a:ln>
      </c:spPr>
      <c:txPr>
        <a:bodyPr/>
        <a:lstStyle/>
        <a:p>
          <a:pPr>
            <a:defRPr sz="900" b="0" i="0" u="none" strike="noStrike" baseline="0">
              <a:solidFill>
                <a:srgbClr val="595959"/>
              </a:solidFill>
              <a:latin typeface="AR PL UKai CN"/>
              <a:ea typeface="AR PL UKai CN"/>
              <a:cs typeface="Lucida Sans"/>
            </a:defRPr>
          </a:pPr>
          <a:endParaRPr lang="zh-CN"/>
        </a:p>
      </c:txPr>
    </c:legend>
    <c:plotVisOnly val="1"/>
    <c:dispBlanksAs val="gap"/>
    <c:showDLblsOverMax val="0"/>
  </c:chart>
  <c:spPr>
    <a:solidFill>
      <a:srgbClr val="FFFFFF"/>
    </a:solidFill>
    <a:ln w="6350">
      <a:solidFill>
        <a:srgbClr val="D9D9D9"/>
      </a:solidFill>
      <a:prstDash val="solid"/>
    </a:ln>
  </c:spPr>
  <c:txPr>
    <a:bodyPr/>
    <a:lstStyle/>
    <a:p>
      <a:pPr>
        <a:defRPr sz="1000" b="0" i="0" u="none" strike="noStrike" baseline="0">
          <a:solidFill>
            <a:srgbClr val="000000"/>
          </a:solidFill>
          <a:latin typeface="AR PL UKai CN"/>
          <a:ea typeface="AR PL UKai CN"/>
          <a:cs typeface="Lucida Sans"/>
        </a:defRPr>
      </a:pPr>
      <a:endParaRPr lang="zh-CN"/>
    </a:p>
  </c:txPr>
  <c:printSettings>
    <c:headerFooter/>
    <c:pageMargins b="0.75" l="0.7" r="0.7" t="0.75" header="0.3" footer="0.3"/>
    <c:pageSetup/>
  </c:printSettings>
  <c:externalData r:id="rId1">
    <c:autoUpdate val="0"/>
  </c:externalData>
</c:chartSpace>
</file>

<file path=docProps/app.xml><?xml version="1.0" encoding="utf-8"?>
<Properties xmlns="http://schemas.openxmlformats.org/officeDocument/2006/extended-properties">
  <Template>Normal.eit</Template>
  <TotalTime>63</TotalTime>
  <Application>Yozo_Office27021597764231179</Application>
  <Pages>23</Pages>
  <Words>7538</Words>
  <Characters>9811</Characters>
  <Lines>457</Lines>
  <Paragraphs>163</Paragraphs>
  <CharactersWithSpaces>9920</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41</cp:revision>
  <cp:lastPrinted>2020-07-23T02:58:00Z</cp:lastPrinted>
  <dcterms:created xsi:type="dcterms:W3CDTF">2020-08-04T01:49:00Z</dcterms:created>
  <dcterms:modified xsi:type="dcterms:W3CDTF">2021-05-24T03:35:17Z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2052-10.1.0.7698</vt:lpwstr>
  </property>
</Properties>
</file>