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bookmarkStart w:id="1" w:name="_GoBack"/>
      <w:bookmarkEnd w:id="1"/>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2" w:name="_Toc15377193"/>
      <w:bookmarkStart w:id="3" w:name="_Toc15378441"/>
      <w:bookmarkStart w:id="4" w:name="_Toc15396475"/>
      <w:bookmarkStart w:id="5" w:name="_Toc15377425"/>
      <w:bookmarkStart w:id="6" w:name="_Toc15396597"/>
      <w:r>
        <w:rPr>
          <w:rFonts w:ascii="黑体" w:eastAsia="黑体"/>
          <w:color w:val="000000"/>
          <w:sz w:val="72"/>
          <w:szCs w:val="72"/>
        </w:rPr>
        <w:t>201</w:t>
      </w:r>
      <w:r>
        <w:rPr>
          <w:rFonts w:ascii="黑体" w:eastAsia="黑体" w:hint="eastAsia"/>
          <w:color w:val="000000"/>
          <w:sz w:val="72"/>
          <w:szCs w:val="72"/>
        </w:rPr>
        <w:t>8</w:t>
      </w:r>
      <w:r>
        <w:rPr>
          <w:rFonts w:ascii="方正小标宋简体" w:eastAsia="方正小标宋简体" w:hint="eastAsia"/>
          <w:color w:val="000000"/>
          <w:sz w:val="72"/>
          <w:szCs w:val="72"/>
        </w:rPr>
        <w:t>年度</w:t>
      </w:r>
      <w:bookmarkEnd w:id="2"/>
      <w:bookmarkEnd w:id="3"/>
      <w:bookmarkEnd w:id="4"/>
      <w:bookmarkEnd w:id="5"/>
      <w:bookmarkEnd w:id="6"/>
    </w:p>
    <w:p>
      <w:pPr>
        <w:adjustRightInd w:val="0"/>
        <w:snapToGrid w:val="0"/>
        <w:spacing w:line="360" w:lineRule="auto"/>
        <w:jc w:val="center"/>
        <w:outlineLvl w:val="0"/>
        <w:rPr>
          <w:rFonts w:ascii="方正小标宋简体" w:eastAsia="方正小标宋简体"/>
          <w:color w:val="000000"/>
          <w:sz w:val="72"/>
          <w:szCs w:val="72"/>
        </w:rPr>
      </w:pPr>
      <w:bookmarkStart w:id="7" w:name="_Toc15377426"/>
      <w:bookmarkStart w:id="8" w:name="_Toc15396598"/>
      <w:bookmarkStart w:id="9" w:name="_Toc15377194"/>
      <w:bookmarkStart w:id="10" w:name="_Toc15378442"/>
      <w:bookmarkStart w:id="11" w:name="_Toc15396476"/>
      <w:r>
        <w:rPr>
          <w:rFonts w:ascii="方正小标宋简体" w:eastAsia="方正小标宋简体" w:hint="eastAsia"/>
          <w:color w:val="000000"/>
          <w:sz w:val="72"/>
          <w:szCs w:val="72"/>
        </w:rPr>
        <w:t>四川省</w:t>
      </w:r>
      <w:bookmarkStart w:id="12" w:name="_Toc15306268"/>
      <w:bookmarkEnd w:id="0"/>
      <w:r>
        <w:rPr>
          <w:rFonts w:ascii="方正小标宋简体" w:eastAsia="方正小标宋简体" w:hint="eastAsia"/>
          <w:color w:val="000000"/>
          <w:sz w:val="72"/>
          <w:szCs w:val="72"/>
        </w:rPr>
        <w:t>壤塘县人民政府</w:t>
      </w:r>
    </w:p>
    <w:p>
      <w:pPr>
        <w:adjustRightInd w:val="0"/>
        <w:snapToGrid w:val="0"/>
        <w:spacing w:line="360" w:lineRule="auto"/>
        <w:jc w:val="center"/>
        <w:outlineLvl w:val="0"/>
        <w:rPr>
          <w:rFonts w:ascii="方正小标宋简体" w:eastAsia="方正小标宋简体"/>
          <w:color w:val="000000"/>
          <w:sz w:val="72"/>
          <w:szCs w:val="72"/>
        </w:rPr>
      </w:pPr>
      <w:r>
        <w:rPr>
          <w:rFonts w:ascii="方正小标宋简体" w:eastAsia="方正小标宋简体" w:hint="eastAsia"/>
          <w:color w:val="000000"/>
          <w:sz w:val="72"/>
          <w:szCs w:val="72"/>
        </w:rPr>
        <w:t>应急办决算</w:t>
      </w:r>
      <w:bookmarkEnd w:id="7"/>
      <w:bookmarkEnd w:id="8"/>
      <w:bookmarkEnd w:id="9"/>
      <w:bookmarkEnd w:id="10"/>
      <w:bookmarkEnd w:id="11"/>
      <w:bookmarkEnd w:id="12"/>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
      <w:pPr>
        <w:pStyle w:val="20"/>
        <w:tabs>
          <w:tab w:val="right" w:leader="dot" w:pos="8296"/>
        </w:tabs>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21"/>
        <w:tabs>
          <w:tab w:val="right" w:leader="dot" w:pos="8296"/>
        </w:tabs>
        <w:rPr>
          <w:rFonts w:ascii="仿宋" w:eastAsia="仿宋" w:cs="Arial"/>
          <w:sz w:val="28"/>
          <w:szCs w:val="28"/>
        </w:rPr>
      </w:pPr>
      <w:r>
        <w:fldChar w:fldCharType="begin"/>
      </w:r>
      <w:r>
        <w:instrText xml:space="preserve"> HYPERLINK \l "_Toc15396600" </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"_Toc15396601" </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_Toc15396601 \h </w:instrText>
      </w:r>
      <w:r>
        <w:rPr>
          <w:rFonts w:ascii="仿宋" w:eastAsia="仿宋"/>
          <w:sz w:val="28"/>
          <w:szCs w:val="28"/>
        </w:rPr>
        <w:fldChar w:fldCharType="separate"/>
      </w:r>
      <w:r>
        <w:rPr>
          <w:rFonts w:ascii="仿宋" w:eastAsia="仿宋"/>
          <w:sz w:val="28"/>
          <w:szCs w:val="28"/>
        </w:rPr>
        <w:t>4</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21"/>
        <w:tabs>
          <w:tab w:val="right" w:leader="dot" w:pos="8296"/>
        </w:tabs>
        <w:rPr>
          <w:rFonts w:ascii="仿宋" w:eastAsia="仿宋" w:cs="Arial"/>
          <w:sz w:val="28"/>
          <w:szCs w:val="28"/>
        </w:rPr>
      </w:pPr>
      <w:r>
        <w:fldChar w:fldCharType="begin"/>
      </w:r>
      <w:r>
        <w:instrText xml:space="preserve"> HYPERLINK \l "_Toc15396603" </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"_Toc15396604" </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"_Toc15396605" </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"_Toc15396606" </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"_Toc15396607" </w:instrText>
      </w:r>
      <w:r>
        <w:fldChar w:fldCharType="separate"/>
      </w:r>
      <w:r>
        <w:rPr>
          <w:rFonts w:ascii="仿宋" w:eastAsia="仿宋" w:hint="eastAsia"/>
          <w:sz w:val="28"/>
          <w:szCs w:val="28"/>
        </w:rPr>
        <w:t>五、一</w:t>
      </w:r>
      <w:r>
        <w:rPr>
          <w:rFonts w:ascii="仿宋" w:eastAsia="仿宋" w:cs="Times New Roman" w:hint="eastAsia"/>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"_Toc15396608" </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"_Toc15396609" </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"_Toc15396610" </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pPr>
      <w:r>
        <w:fldChar w:fldCharType="begin"/>
      </w:r>
      <w:r>
        <w:instrText xml:space="preserve"> HYPERLINK \l "_Toc15396611" </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rPr>
          <w:color w:val="000000"/>
          <w14:textFill>
            <w14:solidFill>
              <w14:srgbClr w14:val="000000"/>
            </w14:solidFill>
          </w14:textFill>
        </w:rPr>
      </w:pPr>
      <w:r>
        <w:rPr>
          <w:rFonts w:hint="eastAsia"/>
        </w:rPr>
        <w:t xml:space="preserve">    </w:t>
      </w:r>
      <w:r>
        <w:rPr>
          <w:rStyle w:val="23"/>
          <w:rFonts w:ascii="仿宋" w:eastAsia="仿宋" w:cs="Times New Roman" w:hint="eastAsia"/>
          <w:bCs/>
          <w:color w:val="000000"/>
          <w:sz w:val="28"/>
          <w:szCs w:val="28"/>
          <w:u w:val="none"/>
          <w14:textFill>
            <w14:solidFill>
              <w14:srgbClr w14:val="000000"/>
            </w14:solidFill>
          </w14:textFill>
        </w:rPr>
        <w:t>十、预算绩效情况说明</w:t>
      </w:r>
      <w:r>
        <w:rPr>
          <w:rStyle w:val="23"/>
          <w:rFonts w:ascii="仿宋" w:eastAsia="仿宋" w:cs="Times New Roman"/>
          <w:bCs/>
          <w:color w:val="000000"/>
          <w:sz w:val="28"/>
          <w:szCs w:val="28"/>
          <w:u w:val="none"/>
          <w14:textFill>
            <w14:solidFill>
              <w14:srgbClr w14:val="000000"/>
            </w14:solidFill>
          </w14:textFill>
        </w:rPr>
        <w:t>…………………………………………</w:t>
      </w:r>
      <w:r>
        <w:rPr>
          <w:rStyle w:val="23"/>
          <w:rFonts w:ascii="仿宋" w:eastAsia="仿宋" w:cs="Times New Roman" w:hint="eastAsia"/>
          <w:bCs/>
          <w:color w:val="000000"/>
          <w:sz w:val="28"/>
          <w:szCs w:val="28"/>
          <w:u w:val="none"/>
          <w14:textFill>
            <w14:solidFill>
              <w14:srgbClr w14:val="000000"/>
            </w14:solidFill>
          </w14:textFill>
        </w:rPr>
        <w:t xml:space="preserve">  13</w:t>
      </w:r>
    </w:p>
    <w:p>
      <w:pPr>
        <w:pStyle w:val="21"/>
        <w:tabs>
          <w:tab w:val="right" w:leader="dot" w:pos="8296"/>
        </w:tabs>
        <w:rPr>
          <w:rFonts w:ascii="仿宋" w:eastAsia="仿宋" w:cs="Arial"/>
          <w:sz w:val="28"/>
          <w:szCs w:val="28"/>
        </w:rPr>
      </w:pPr>
      <w:r>
        <w:fldChar w:fldCharType="begin"/>
      </w:r>
      <w:r>
        <w:instrText xml:space="preserve"> HYPERLINK \l "_Toc15396612" </w:instrText>
      </w:r>
      <w:r>
        <w:fldChar w:fldCharType="separate"/>
      </w:r>
      <w:r>
        <w:rPr>
          <w:rFonts w:ascii="仿宋" w:eastAsia="仿宋" w:hint="eastAsia"/>
          <w:sz w:val="28"/>
          <w:szCs w:val="28"/>
        </w:rPr>
        <w:t>十</w:t>
      </w:r>
      <w:r>
        <w:rPr>
          <w:rFonts w:ascii="仿宋" w:eastAsia="仿宋" w:cs="Times New Roman" w:hint="eastAsia"/>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rPr>
          <w:rFonts w:cs="Arial"/>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20"/>
        <w:tabs>
          <w:tab w:val="right" w:leader="dot" w:pos="8296"/>
        </w:tabs>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21"/>
        <w:tabs>
          <w:tab w:val="right" w:leader="dot" w:pos="8296"/>
        </w:tabs>
        <w:rPr>
          <w:rFonts w:ascii="仿宋" w:eastAsia="仿宋" w:cs="Arial"/>
          <w:sz w:val="28"/>
          <w:szCs w:val="28"/>
        </w:rPr>
      </w:pPr>
      <w:r>
        <w:fldChar w:fldCharType="begin"/>
      </w:r>
      <w:r>
        <w:instrText xml:space="preserve"> HYPERLINK \l "_Toc15396615" </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_Toc15396615 \h </w:instrText>
      </w:r>
      <w:r>
        <w:rPr>
          <w:rFonts w:ascii="仿宋" w:eastAsia="仿宋"/>
          <w:sz w:val="28"/>
          <w:szCs w:val="28"/>
        </w:rPr>
        <w:fldChar w:fldCharType="separate"/>
      </w:r>
      <w:r>
        <w:rPr>
          <w:rFonts w:ascii="仿宋" w:eastAsia="仿宋"/>
          <w:sz w:val="28"/>
          <w:szCs w:val="28"/>
        </w:rPr>
        <w:t>19</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rPr>
          <w:rFonts w:cs="Arial"/>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一、</w:t>
      </w:r>
      <w:r>
        <w:fldChar w:fldCharType="begin"/>
      </w:r>
      <w:r>
        <w:instrText xml:space="preserve"> HYPERLINK \l "_Toc15396619" </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_Toc15396619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二、</w:t>
      </w:r>
      <w:r>
        <w:fldChar w:fldCharType="begin"/>
      </w:r>
      <w:r>
        <w:instrText xml:space="preserve"> HYPERLINK \l "_Toc15396620" </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_Toc15396620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三、</w:t>
      </w:r>
      <w:r>
        <w:fldChar w:fldCharType="begin"/>
      </w:r>
      <w:r>
        <w:instrText xml:space="preserve"> HYPERLINK \l "_Toc15396621" </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_Toc15396621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四、</w:t>
      </w:r>
      <w:r>
        <w:fldChar w:fldCharType="begin"/>
      </w:r>
      <w:r>
        <w:instrText xml:space="preserve"> HYPERLINK \l "_Toc15396622" </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_Toc15396622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sz w:val="28"/>
          <w:szCs w:val="28"/>
        </w:rPr>
      </w:pPr>
      <w:r>
        <w:rPr>
          <w:rFonts w:ascii="仿宋" w:eastAsia="仿宋" w:hint="eastAsia"/>
          <w:sz w:val="28"/>
          <w:szCs w:val="28"/>
        </w:rPr>
        <w:t>五、</w:t>
      </w:r>
      <w:r>
        <w:fldChar w:fldCharType="begin"/>
      </w:r>
      <w:r>
        <w:instrText xml:space="preserve"> HYPERLINK \l "_Toc15396623" </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_Toc15396623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六、</w:t>
      </w:r>
      <w:r>
        <w:fldChar w:fldCharType="begin"/>
      </w:r>
      <w:r>
        <w:instrText xml:space="preserve"> HYPERLINK \l "_Toc15396624" </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_Toc15396624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七、</w:t>
      </w:r>
      <w:r>
        <w:fldChar w:fldCharType="begin"/>
      </w:r>
      <w:r>
        <w:instrText xml:space="preserve"> HYPERLINK \l "_Toc15396625" </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_Toc15396625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八、</w:t>
      </w:r>
      <w:r>
        <w:fldChar w:fldCharType="begin"/>
      </w:r>
      <w:r>
        <w:instrText xml:space="preserve"> HYPERLINK \l "_Toc15396626" </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_Toc15396626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九、</w:t>
      </w:r>
      <w:r>
        <w:fldChar w:fldCharType="begin"/>
      </w:r>
      <w:r>
        <w:instrText xml:space="preserve"> HYPERLINK \l "_Toc15396627" </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_Toc15396627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w:t>
      </w:r>
      <w:r>
        <w:fldChar w:fldCharType="begin"/>
      </w:r>
      <w:r>
        <w:instrText xml:space="preserve"> HYPERLINK \l "_Toc15396628" </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_Toc15396628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十一、</w:t>
      </w:r>
      <w:r>
        <w:fldChar w:fldCharType="begin"/>
      </w:r>
      <w:r>
        <w:instrText xml:space="preserve"> HYPERLINK \l "_Toc15396629" </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_Toc15396629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十二、</w:t>
      </w:r>
      <w:r>
        <w:fldChar w:fldCharType="begin"/>
      </w:r>
      <w:r>
        <w:instrText xml:space="preserve"> HYPERLINK \l "_Toc15396630" </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_Toc15396630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4"/>
        </w:rPr>
      </w:pPr>
      <w:r>
        <w:rPr>
          <w:rFonts w:ascii="仿宋" w:eastAsia="仿宋" w:hint="eastAsia"/>
          <w:sz w:val="28"/>
          <w:szCs w:val="28"/>
        </w:rPr>
        <w:t>十三、</w:t>
      </w:r>
      <w:r>
        <w:fldChar w:fldCharType="begin"/>
      </w:r>
      <w:r>
        <w:instrText xml:space="preserve"> HYPERLINK \l "_Toc15396631" </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_Toc15396631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3" w:name="_Toc15377196"/>
      <w:bookmarkStart w:id="14" w:name="_Toc15396599"/>
      <w:r>
        <w:rPr>
          <w:rFonts w:ascii="黑体" w:eastAsia="黑体"/>
          <w:b/>
        </w:rPr>
        <w:br w:type="page"/>
      </w:r>
    </w:p>
    <w:p>
      <w:pPr>
        <w:pStyle w:val="1"/>
        <w:jc w:val="center"/>
        <w:rPr>
          <w:rStyle w:val="1Char"/>
          <w:rFonts w:ascii="黑体" w:eastAsia="黑体"/>
          <w:b/>
          <w:bCs w:val="0"/>
        </w:rPr>
      </w:pPr>
      <w:r>
        <w:rPr>
          <w:rFonts w:ascii="黑体" w:eastAsia="黑体" w:hint="eastAsia"/>
          <w:b w:val="0"/>
        </w:rPr>
        <w:t xml:space="preserve">第一部分 </w:t>
      </w:r>
      <w:r>
        <w:rPr>
          <w:rStyle w:val="1Char"/>
          <w:rFonts w:ascii="黑体" w:eastAsia="黑体" w:hint="eastAsia"/>
          <w:b w:val="0"/>
          <w:bCs w:val="0"/>
        </w:rPr>
        <w:t>部门概况</w:t>
      </w:r>
      <w:bookmarkEnd w:id="13"/>
      <w:bookmarkEnd w:id="14"/>
    </w:p>
    <w:p>
      <w:pPr>
        <w:widowControl/>
        <w:jc w:val="left"/>
        <w:rPr>
          <w:rFonts w:ascii="黑体" w:eastAsia="黑体"/>
          <w:color w:val="000000"/>
          <w:sz w:val="32"/>
          <w:szCs w:val="32"/>
        </w:rPr>
      </w:pPr>
    </w:p>
    <w:p>
      <w:pPr>
        <w:pStyle w:val="2"/>
        <w:ind w:firstLineChars="250" w:firstLine="800"/>
        <w:rPr>
          <w:rStyle w:val="2Char"/>
          <w:rFonts w:ascii="仿宋" w:eastAsia="仿宋"/>
          <w:b w:val="0"/>
          <w:bCs w:val="0"/>
        </w:rPr>
      </w:pPr>
      <w:bookmarkStart w:id="15" w:name="_Toc15377197"/>
      <w:bookmarkStart w:id="16" w:name="_Toc15396600"/>
      <w:r>
        <w:rPr>
          <w:rFonts w:ascii="黑体" w:eastAsia="黑体" w:hint="eastAsia"/>
          <w:b w:val="0"/>
          <w:color w:val="000000"/>
        </w:rPr>
        <w:t>一、基</w:t>
      </w:r>
      <w:r>
        <w:rPr>
          <w:rStyle w:val="2Char"/>
          <w:rFonts w:ascii="黑体" w:eastAsia="黑体" w:hint="eastAsia"/>
          <w:b w:val="0"/>
          <w:bCs w:val="0"/>
        </w:rPr>
        <w:t>本职能及主要工作</w:t>
      </w:r>
      <w:bookmarkEnd w:id="15"/>
      <w:bookmarkEnd w:id="16"/>
    </w:p>
    <w:p>
      <w:pPr>
        <w:pStyle w:val="15"/>
        <w:adjustRightInd w:val="0"/>
        <w:snapToGrid w:val="0"/>
        <w:spacing w:beforeLines="0" w:before="93" w:line="600" w:lineRule="exact"/>
        <w:ind w:firstLineChars="208" w:firstLine="666"/>
        <w:outlineLvl w:val="2"/>
        <w:rPr>
          <w:szCs w:val="30"/>
        </w:rPr>
      </w:pPr>
      <w:bookmarkStart w:id="17" w:name="_Toc15378445"/>
      <w:bookmarkStart w:id="18" w:name="_Toc15377198"/>
      <w:r>
        <w:rPr>
          <w:rFonts w:ascii="仿宋" w:eastAsia="仿宋" w:hint="eastAsia"/>
          <w:bCs/>
          <w:color w:val="000000"/>
          <w:sz w:val="32"/>
          <w:szCs w:val="32"/>
        </w:rPr>
        <w:t>（一）主要职能。</w:t>
      </w:r>
      <w:r>
        <w:rPr>
          <w:rFonts w:ascii="Calibri" w:hAnsi="Calibri" w:hint="eastAsia"/>
          <w:szCs w:val="30"/>
        </w:rPr>
        <w:t>壤塘县人民政府应急管理办公室</w:t>
      </w:r>
      <w:r>
        <w:rPr>
          <w:rFonts w:hint="eastAsia"/>
          <w:szCs w:val="30"/>
        </w:rPr>
        <w:t>是壤塘县应急事件处理机构。其主要职责：负债协调和督促检查全县应急管理工作，协助县政府领导处置突发公共事件。</w:t>
      </w:r>
      <w:bookmarkStart w:id="19" w:name="_Toc15378446"/>
      <w:bookmarkStart w:id="20" w:name="_Toc15377199"/>
      <w:bookmarkEnd w:id="17"/>
      <w:bookmarkEnd w:id="18"/>
    </w:p>
    <w:p>
      <w:pPr>
        <w:pStyle w:val="15"/>
        <w:adjustRightInd w:val="0"/>
        <w:snapToGrid w:val="0"/>
        <w:spacing w:beforeLines="0" w:before="93" w:line="600" w:lineRule="exact"/>
        <w:ind w:firstLineChars="208" w:firstLine="666"/>
        <w:outlineLvl w:val="2"/>
        <w:rPr>
          <w:rFonts w:ascii="仿宋" w:eastAsia="仿宋"/>
          <w:bCs/>
          <w:color w:val="000000"/>
          <w:sz w:val="32"/>
          <w:szCs w:val="32"/>
        </w:rPr>
      </w:pPr>
      <w:r>
        <w:rPr>
          <w:rFonts w:ascii="仿宋" w:eastAsia="仿宋" w:hint="eastAsia"/>
          <w:bCs/>
          <w:color w:val="000000"/>
          <w:sz w:val="32"/>
          <w:szCs w:val="32"/>
        </w:rPr>
        <w:t>（二）</w:t>
      </w:r>
      <w:r>
        <w:rPr>
          <w:rFonts w:ascii="仿宋" w:eastAsia="仿宋"/>
          <w:bCs/>
          <w:color w:val="000000"/>
          <w:sz w:val="32"/>
          <w:szCs w:val="32"/>
        </w:rPr>
        <w:t>201</w:t>
      </w:r>
      <w:r>
        <w:rPr>
          <w:rFonts w:ascii="仿宋" w:eastAsia="仿宋" w:hint="eastAsia"/>
          <w:bCs/>
          <w:color w:val="000000"/>
          <w:sz w:val="32"/>
          <w:szCs w:val="32"/>
        </w:rPr>
        <w:t>8年重点工作完成情况。</w:t>
      </w:r>
      <w:bookmarkEnd w:id="19"/>
      <w:bookmarkEnd w:id="20"/>
      <w:r>
        <w:rPr>
          <w:rFonts w:ascii="仿宋" w:eastAsia="仿宋" w:hint="eastAsia"/>
          <w:bCs/>
          <w:color w:val="000000"/>
          <w:sz w:val="32"/>
          <w:szCs w:val="32"/>
        </w:rPr>
        <w:t>进一步制订和完善了自然灾害、事故灾难、突发公共卫生事件和社会安全事件的应急处置预案，建立了应急管理决策机制，提高对公共突发事件全过程的综合管理水平。</w:t>
      </w:r>
    </w:p>
    <w:p>
      <w:pPr>
        <w:pStyle w:val="2"/>
        <w:ind w:firstLineChars="200" w:firstLine="640"/>
        <w:rPr>
          <w:rStyle w:val="2Char"/>
          <w:rFonts w:ascii="黑体" w:eastAsia="黑体"/>
          <w:b w:val="0"/>
          <w:bCs w:val="0"/>
        </w:rPr>
      </w:pPr>
      <w:bookmarkStart w:id="21" w:name="_Toc15396601"/>
      <w:bookmarkStart w:id="22" w:name="_Toc15377200"/>
      <w:r>
        <w:rPr>
          <w:rFonts w:ascii="黑体" w:eastAsia="黑体" w:hint="eastAsia"/>
          <w:b w:val="0"/>
          <w:color w:val="000000"/>
        </w:rPr>
        <w:t>二、机</w:t>
      </w:r>
      <w:r>
        <w:rPr>
          <w:rStyle w:val="2Char"/>
          <w:rFonts w:ascii="黑体" w:eastAsia="黑体" w:hint="eastAsia"/>
          <w:b w:val="0"/>
          <w:bCs w:val="0"/>
        </w:rPr>
        <w:t>构设置</w:t>
      </w:r>
      <w:bookmarkEnd w:id="21"/>
      <w:bookmarkEnd w:id="22"/>
    </w:p>
    <w:p>
      <w:pPr>
        <w:pStyle w:val="2"/>
        <w:ind w:firstLineChars="200" w:firstLine="600"/>
        <w:rPr>
          <w:rFonts w:ascii="仿宋" w:eastAsia="仿宋"/>
          <w:b w:val="0"/>
          <w:bCs w:val="0"/>
        </w:rPr>
      </w:pPr>
      <w:r>
        <w:rPr>
          <w:rFonts w:ascii="Calibri" w:eastAsia="仿宋_GB2312" w:hAnsi="Calibri" w:hint="eastAsia"/>
          <w:b w:val="0"/>
          <w:bCs w:val="0"/>
          <w:sz w:val="30"/>
          <w:szCs w:val="30"/>
        </w:rPr>
        <w:t>壤塘县人民政府应急管理办公室</w:t>
      </w:r>
      <w:r>
        <w:rPr>
          <w:rFonts w:ascii="仿宋_GB2312" w:eastAsia="仿宋_GB2312" w:hint="eastAsia"/>
          <w:b w:val="0"/>
          <w:bCs w:val="0"/>
          <w:sz w:val="30"/>
          <w:szCs w:val="30"/>
        </w:rPr>
        <w:t>是</w:t>
      </w:r>
      <w:r>
        <w:rPr>
          <w:rFonts w:ascii="仿宋" w:eastAsia="仿宋" w:hint="eastAsia"/>
          <w:b w:val="0"/>
          <w:bCs w:val="0"/>
        </w:rPr>
        <w:t>二级单位参公单位。</w:t>
      </w:r>
    </w:p>
    <w:p>
      <w:pPr>
        <w:pStyle w:val="1"/>
        <w:ind w:right="440"/>
        <w:jc w:val="right"/>
        <w:rPr>
          <w:rStyle w:val="1Char"/>
          <w:rFonts w:ascii="黑体" w:eastAsia="黑体"/>
          <w:b w:val="0"/>
          <w:bCs w:val="0"/>
        </w:rPr>
      </w:pPr>
      <w:bookmarkStart w:id="23" w:name="_Toc15396602"/>
      <w:bookmarkStart w:id="24" w:name="_Toc15377204"/>
      <w:r>
        <w:rPr>
          <w:rFonts w:ascii="黑体" w:eastAsia="黑体" w:hint="eastAsia"/>
          <w:b w:val="0"/>
          <w:color w:val="000000"/>
        </w:rPr>
        <w:t>第二部分</w:t>
      </w:r>
      <w:r>
        <w:rPr>
          <w:rStyle w:val="1Char"/>
          <w:rFonts w:ascii="黑体" w:eastAsia="黑体" w:hint="eastAsia"/>
          <w:b w:val="0"/>
          <w:bCs w:val="0"/>
        </w:rPr>
        <w:t>2018年度部门决算情况说明</w:t>
      </w:r>
      <w:bookmarkEnd w:id="23"/>
      <w:bookmarkEnd w:id="24"/>
    </w:p>
    <w:p/>
    <w:p>
      <w:pPr>
        <w:pStyle w:val="28"/>
        <w:numPr>
          <w:ilvl w:val="0"/>
          <w:numId w:val="1"/>
        </w:numPr>
        <w:spacing w:line="600" w:lineRule="exact"/>
        <w:ind w:firstLineChars="0"/>
        <w:outlineLvl w:val="1"/>
        <w:rPr>
          <w:rStyle w:val="2Char"/>
          <w:rFonts w:ascii="黑体" w:eastAsia="黑体"/>
          <w:b w:val="0"/>
        </w:rPr>
      </w:pPr>
      <w:bookmarkStart w:id="25" w:name="_Toc15396603"/>
      <w:bookmarkStart w:id="26" w:name="_Toc15377205"/>
      <w:r>
        <w:rPr>
          <w:rFonts w:ascii="黑体" w:eastAsia="黑体" w:hint="eastAsia"/>
          <w:color w:val="000000"/>
          <w:sz w:val="32"/>
          <w:szCs w:val="32"/>
        </w:rPr>
        <w:t>收</w:t>
      </w:r>
      <w:r>
        <w:rPr>
          <w:rStyle w:val="2Char"/>
          <w:rFonts w:ascii="黑体" w:eastAsia="黑体" w:hint="eastAsia"/>
          <w:b w:val="0"/>
        </w:rPr>
        <w:t>入支出决算总体情况说明</w:t>
      </w:r>
      <w:bookmarkEnd w:id="25"/>
      <w:bookmarkEnd w:id="26"/>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2018年度收、支总计221.94万元。与2017年无数据对比，是2018年开始独立做账。</w:t>
      </w:r>
    </w:p>
    <w:p>
      <w:pPr>
        <w:spacing w:line="600" w:lineRule="exact"/>
        <w:ind w:firstLineChars="200" w:firstLine="640"/>
        <w:rPr>
          <w:rFonts w:ascii="仿宋" w:eastAsia="仿宋"/>
          <w:color w:val="000000"/>
          <w:sz w:val="32"/>
          <w:szCs w:val="32"/>
          <w14:textFill>
            <w14:solidFill>
              <w14:srgbClr w14:val="000000"/>
            </w14:solidFill>
          </w14:textFill>
        </w:rPr>
      </w:pPr>
      <w:r>
        <w:rPr>
          <w:rFonts w:ascii="仿宋" w:eastAsia="仿宋" w:hint="eastAsia"/>
          <w:color w:val="000000"/>
          <w:sz w:val="32"/>
          <w:szCs w:val="32"/>
          <w14:textFill>
            <w14:solidFill>
              <w14:srgbClr w14:val="000000"/>
            </w14:solidFill>
          </w14:textFill>
        </w:rPr>
        <w:t>（图</w:t>
      </w:r>
      <w:r>
        <w:rPr>
          <w:rFonts w:ascii="仿宋" w:eastAsia="仿宋"/>
          <w:color w:val="000000"/>
          <w:sz w:val="32"/>
          <w:szCs w:val="32"/>
          <w14:textFill>
            <w14:solidFill>
              <w14:srgbClr w14:val="000000"/>
            </w14:solidFill>
          </w14:textFill>
        </w:rPr>
        <w:t>1</w:t>
      </w:r>
      <w:r>
        <w:rPr>
          <w:rFonts w:ascii="仿宋" w:eastAsia="仿宋" w:hint="eastAsia"/>
          <w:color w:val="000000"/>
          <w:sz w:val="32"/>
          <w:szCs w:val="32"/>
          <w14:textFill>
            <w14:solidFill>
              <w14:srgbClr w14:val="000000"/>
            </w14:solidFill>
          </w14:textFill>
        </w:rPr>
        <w:t>：收、支决算总计变动情况图）（柱状图）</w:t>
      </w:r>
    </w:p>
    <w:p>
      <w:pPr>
        <w:spacing w:line="600" w:lineRule="exact"/>
        <w:ind w:firstLineChars="200" w:firstLine="420"/>
        <w:jc w:val="left"/>
        <w:rPr>
          <w:rFonts w:ascii="仿宋_GB2312" w:eastAsia="仿宋_GB2312"/>
          <w:color w:val="000000"/>
          <w:sz w:val="32"/>
          <w:szCs w:val="32"/>
        </w:rPr>
      </w:pPr>
      <w:r>
        <w:drawing>
          <wp:anchor distT="0" distB="0" distL="114300" distR="114300" simplePos="0" relativeHeight="17" behindDoc="0" locked="0" layoutInCell="1" hidden="0" allowOverlap="1">
            <wp:simplePos x="0" y="0"/>
            <wp:positionH relativeFrom="column">
              <wp:posOffset>215899</wp:posOffset>
            </wp:positionH>
            <wp:positionV relativeFrom="paragraph">
              <wp:posOffset>-6682740</wp:posOffset>
            </wp:positionV>
            <wp:extent cx="4572000" cy="2743200"/>
            <wp:effectExtent l="0" t="0" r="0" b="0"/>
            <wp:wrapTopAndBottom/>
            <wp:docPr id="1" name="图表 6"/>
            <wp:cNvGraphicFramePr>
              <a:graphicFrameLocks noChangeAspect="0"/>
            </wp:cNvGraphicFramePr>
            <a:graphic>
              <a:graphicData uri="http://schemas.openxmlformats.org/drawingml/2006/chart">
                <c:chart xmlns:c="http://schemas.openxmlformats.org/drawingml/2006/chart" r:id="rId4"/>
              </a:graphicData>
            </a:graphic>
          </wp:anchor>
        </w:drawing>
      </w:r>
    </w:p>
    <w:p>
      <w:pPr>
        <w:pStyle w:val="28"/>
        <w:numPr>
          <w:ilvl w:val="0"/>
          <w:numId w:val="1"/>
        </w:numPr>
        <w:spacing w:line="600" w:lineRule="exact"/>
        <w:ind w:firstLineChars="0"/>
        <w:outlineLvl w:val="1"/>
        <w:rPr>
          <w:rStyle w:val="2Char"/>
          <w:rFonts w:ascii="黑体" w:eastAsia="黑体"/>
          <w:b w:val="0"/>
        </w:rPr>
      </w:pPr>
      <w:bookmarkStart w:id="27" w:name="_Toc15377206"/>
      <w:bookmarkStart w:id="28" w:name="_Toc15396604"/>
      <w:r>
        <w:rPr>
          <w:rFonts w:ascii="黑体" w:eastAsia="黑体" w:hint="eastAsia"/>
          <w:color w:val="000000"/>
          <w:sz w:val="32"/>
          <w:szCs w:val="32"/>
        </w:rPr>
        <w:t>收</w:t>
      </w:r>
      <w:r>
        <w:rPr>
          <w:rStyle w:val="2Char"/>
          <w:rFonts w:ascii="黑体" w:eastAsia="黑体" w:hint="eastAsia"/>
          <w:b w:val="0"/>
        </w:rPr>
        <w:t>入决算情况说明</w:t>
      </w:r>
      <w:bookmarkEnd w:id="27"/>
      <w:bookmarkEnd w:id="28"/>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8年本年收入合计176.82万元，其中：一般公共预算财政拨款收入176.82万元，占100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14:textFill>
            <w14:solidFill>
              <w14:srgbClr w14:val="000000"/>
            </w14:solidFill>
          </w14:textFill>
        </w:rPr>
      </w:pPr>
      <w:r>
        <w:rPr>
          <w:rFonts w:ascii="仿宋" w:eastAsia="仿宋" w:hint="eastAsia"/>
          <w:color w:val="000000"/>
          <w:sz w:val="32"/>
          <w:szCs w:val="32"/>
          <w14:textFill>
            <w14:solidFill>
              <w14:srgbClr w14:val="000000"/>
            </w14:solidFill>
          </w14:textFill>
        </w:rPr>
        <w:t>（图2：收入决算结构图）（饼状图）</w:t>
      </w:r>
    </w:p>
    <w:p>
      <w:pPr>
        <w:spacing w:line="600" w:lineRule="exact"/>
        <w:ind w:firstLineChars="200" w:firstLine="420"/>
        <w:rPr>
          <w:rFonts w:ascii="仿宋_GB2312" w:eastAsia="仿宋_GB2312"/>
          <w:color w:val="FF0000"/>
          <w:sz w:val="32"/>
          <w:szCs w:val="32"/>
        </w:rPr>
      </w:pPr>
      <w:r>
        <w:drawing>
          <wp:anchor distT="0" distB="0" distL="114300" distR="114300" simplePos="0" relativeHeight="19" behindDoc="0" locked="0" layoutInCell="1" hidden="0" allowOverlap="1">
            <wp:simplePos x="0" y="0"/>
            <wp:positionH relativeFrom="column">
              <wp:posOffset>-43180</wp:posOffset>
            </wp:positionH>
            <wp:positionV relativeFrom="paragraph">
              <wp:posOffset>173990</wp:posOffset>
            </wp:positionV>
            <wp:extent cx="4572000" cy="2743200"/>
            <wp:effectExtent l="0" t="0" r="0" b="0"/>
            <wp:wrapTopAndBottom/>
            <wp:docPr id="2" name="图表 8"/>
            <wp:cNvGraphicFramePr>
              <a:graphicFrameLocks noChangeAspect="0"/>
            </wp:cNvGraphicFramePr>
            <a:graphic>
              <a:graphicData uri="http://schemas.openxmlformats.org/drawingml/2006/chart">
                <c:chart xmlns:c="http://schemas.openxmlformats.org/drawingml/2006/chart" r:id="rId5"/>
              </a:graphicData>
            </a:graphic>
          </wp:anchor>
        </w:drawing>
      </w:r>
    </w:p>
    <w:p>
      <w:pPr>
        <w:pStyle w:val="28"/>
        <w:numPr>
          <w:ilvl w:val="0"/>
          <w:numId w:val="1"/>
        </w:numPr>
        <w:spacing w:line="600" w:lineRule="exact"/>
        <w:ind w:firstLineChars="0"/>
        <w:outlineLvl w:val="1"/>
        <w:rPr>
          <w:rStyle w:val="2Char"/>
          <w:rFonts w:ascii="黑体" w:eastAsia="黑体"/>
          <w:b w:val="0"/>
        </w:rPr>
      </w:pPr>
      <w:bookmarkStart w:id="29" w:name="_Toc15377207"/>
      <w:bookmarkStart w:id="30" w:name="_Toc15396605"/>
      <w:r>
        <w:rPr>
          <w:rFonts w:ascii="黑体" w:eastAsia="黑体" w:hint="eastAsia"/>
          <w:color w:val="000000"/>
          <w:sz w:val="32"/>
          <w:szCs w:val="32"/>
        </w:rPr>
        <w:t>支</w:t>
      </w:r>
      <w:r>
        <w:rPr>
          <w:rStyle w:val="2Char"/>
          <w:rFonts w:ascii="黑体" w:eastAsia="黑体" w:hint="eastAsia"/>
          <w:b w:val="0"/>
        </w:rPr>
        <w:t>出决算情况说明</w:t>
      </w:r>
      <w:bookmarkEnd w:id="29"/>
      <w:bookmarkEnd w:id="30"/>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ascii="仿宋" w:eastAsia="仿宋" w:hint="eastAsia"/>
          <w:color w:val="000000"/>
          <w:sz w:val="32"/>
          <w:szCs w:val="32"/>
        </w:rPr>
        <w:t>8年本年支出合计221.94万元，其中：基本支出221.94万元，占100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14:textFill>
            <w14:solidFill>
              <w14:srgbClr w14:val="000000"/>
            </w14:solidFill>
          </w14:textFill>
        </w:rPr>
      </w:pPr>
      <w:r>
        <w:rPr>
          <w:rFonts w:ascii="仿宋" w:eastAsia="仿宋" w:hint="eastAsia"/>
          <w:color w:val="000000"/>
          <w:sz w:val="32"/>
          <w:szCs w:val="32"/>
          <w14:textFill>
            <w14:solidFill>
              <w14:srgbClr w14:val="000000"/>
            </w14:solidFill>
          </w14:textFill>
        </w:rPr>
        <w:t>（图3：支出决算结构图）（饼状图）</w:t>
      </w:r>
    </w:p>
    <w:p>
      <w:pPr>
        <w:spacing w:line="600" w:lineRule="exact"/>
        <w:ind w:firstLineChars="200" w:firstLine="640"/>
        <w:rPr>
          <w:rFonts w:ascii="仿宋_GB2312" w:eastAsia="仿宋_GB2312"/>
          <w:color w:val="FF0000"/>
          <w:sz w:val="32"/>
          <w:szCs w:val="32"/>
        </w:rPr>
      </w:pPr>
    </w:p>
    <w:p>
      <w:pPr>
        <w:spacing w:line="600" w:lineRule="exact"/>
        <w:ind w:firstLineChars="200" w:firstLine="640"/>
        <w:outlineLvl w:val="1"/>
        <w:rPr>
          <w:rStyle w:val="2Char"/>
          <w:rFonts w:ascii="黑体" w:eastAsia="黑体"/>
          <w:b w:val="0"/>
        </w:rPr>
      </w:pPr>
      <w:bookmarkStart w:id="31" w:name="_Toc15377208"/>
      <w:bookmarkStart w:id="32" w:name="_Toc15396606"/>
      <w:r>
        <w:rPr>
          <w:rFonts w:ascii="黑体" w:eastAsia="黑体" w:hint="eastAsia"/>
          <w:color w:val="000000"/>
          <w:sz w:val="32"/>
          <w:szCs w:val="32"/>
        </w:rPr>
        <w:t>四、财</w:t>
      </w:r>
      <w:r>
        <w:rPr>
          <w:rStyle w:val="2Char"/>
          <w:rFonts w:ascii="黑体" w:eastAsia="黑体" w:hint="eastAsia"/>
          <w:b w:val="0"/>
        </w:rPr>
        <w:t>政拨款收入支出决算总体情况</w:t>
      </w:r>
      <w:r>
        <w:drawing>
          <wp:anchor distT="0" distB="0" distL="114300" distR="114300" simplePos="0" relativeHeight="21" behindDoc="0" locked="0" layoutInCell="1" hidden="0" allowOverlap="1">
            <wp:simplePos x="0" y="0"/>
            <wp:positionH relativeFrom="column">
              <wp:posOffset>4445</wp:posOffset>
            </wp:positionH>
            <wp:positionV relativeFrom="paragraph">
              <wp:posOffset>-2072004</wp:posOffset>
            </wp:positionV>
            <wp:extent cx="4572000" cy="2743200"/>
            <wp:effectExtent l="0" t="0" r="0" b="0"/>
            <wp:wrapTopAndBottom/>
            <wp:docPr id="3" name="图表 9"/>
            <wp:cNvGraphicFramePr>
              <a:graphicFrameLocks noChangeAspect="0"/>
            </wp:cNvGraphicFramePr>
            <a:graphic>
              <a:graphicData uri="http://schemas.openxmlformats.org/drawingml/2006/chart">
                <c:chart xmlns:c="http://schemas.openxmlformats.org/drawingml/2006/chart" r:id="rId6"/>
              </a:graphicData>
            </a:graphic>
          </wp:anchor>
        </w:drawing>
      </w:r>
      <w:r>
        <w:rPr>
          <w:rStyle w:val="2Char"/>
          <w:rFonts w:ascii="黑体" w:eastAsia="黑体" w:hint="eastAsia"/>
          <w:b w:val="0"/>
        </w:rPr>
        <w:t>说明</w:t>
      </w:r>
      <w:bookmarkEnd w:id="31"/>
      <w:bookmarkEnd w:id="32"/>
    </w:p>
    <w:p>
      <w:pPr>
        <w:spacing w:line="600" w:lineRule="exact"/>
        <w:ind w:firstLineChars="300" w:firstLine="630"/>
        <w:rPr>
          <w:rFonts w:ascii="仿宋" w:eastAsia="仿宋"/>
          <w:color w:val="000000"/>
          <w:sz w:val="32"/>
          <w:szCs w:val="32"/>
          <w14:textFill>
            <w14:solidFill>
              <w14:srgbClr w14:val="000000"/>
            </w14:solidFill>
          </w14:textFill>
        </w:rPr>
      </w:pPr>
      <w:r>
        <w:drawing>
          <wp:anchor distT="0" distB="0" distL="114300" distR="114300" simplePos="0" relativeHeight="23" behindDoc="0" locked="0" layoutInCell="1" hidden="0" allowOverlap="1">
            <wp:simplePos x="0" y="0"/>
            <wp:positionH relativeFrom="column">
              <wp:posOffset>67945</wp:posOffset>
            </wp:positionH>
            <wp:positionV relativeFrom="paragraph">
              <wp:posOffset>1083310</wp:posOffset>
            </wp:positionV>
            <wp:extent cx="4572000" cy="2743200"/>
            <wp:effectExtent l="0" t="0" r="0" b="0"/>
            <wp:wrapTopAndBottom/>
            <wp:docPr id="4" name="图表 10"/>
            <wp:cNvGraphicFramePr>
              <a:graphicFrameLocks noChangeAspect="0"/>
            </wp:cNvGraphicFramePr>
            <a:graphic>
              <a:graphicData uri="http://schemas.openxmlformats.org/drawingml/2006/chart">
                <c:chart xmlns:c="http://schemas.openxmlformats.org/drawingml/2006/chart" r:id="rId7"/>
              </a:graphicData>
            </a:graphic>
          </wp:anchor>
        </w:drawing>
      </w:r>
      <w:r>
        <w:rPr>
          <w:rFonts w:ascii="仿宋" w:eastAsia="仿宋"/>
          <w:color w:val="000000"/>
          <w:sz w:val="32"/>
          <w:szCs w:val="32"/>
        </w:rPr>
        <w:t>201</w:t>
      </w:r>
      <w:r>
        <w:rPr>
          <w:rFonts w:ascii="仿宋" w:eastAsia="仿宋" w:hint="eastAsia"/>
          <w:color w:val="000000"/>
          <w:sz w:val="32"/>
          <w:szCs w:val="32"/>
        </w:rPr>
        <w:t>8年财政拨款收、支总计221.94万元。与2017年无数据对比，是2018年开始独立做账。</w:t>
      </w:r>
      <w:r>
        <w:rPr>
          <w:rFonts w:ascii="仿宋" w:eastAsia="仿宋" w:hint="eastAsia"/>
          <w:color w:val="000000"/>
          <w:sz w:val="32"/>
          <w:szCs w:val="32"/>
          <w14:textFill>
            <w14:solidFill>
              <w14:srgbClr w14:val="000000"/>
            </w14:solidFill>
          </w14:textFill>
        </w:rPr>
        <w:t>（图4：财政拨款收、支决算总计变动情况）（柱状图）</w:t>
      </w:r>
    </w:p>
    <w:p>
      <w:pPr>
        <w:spacing w:line="600" w:lineRule="exact"/>
        <w:ind w:firstLine="640"/>
        <w:rPr>
          <w:rFonts w:ascii="仿宋" w:eastAsia="仿宋"/>
          <w:b/>
          <w:color w:val="000000"/>
          <w:sz w:val="32"/>
          <w:szCs w:val="32"/>
          <w14:textFill>
            <w14:solidFill>
              <w14:srgbClr w14:val="000000"/>
            </w14:solidFill>
          </w14:textFill>
        </w:rPr>
      </w:pPr>
      <w:r>
        <w:rPr>
          <w:rFonts w:ascii="仿宋" w:eastAsia="仿宋" w:hint="eastAsia"/>
          <w:b/>
          <w:color w:val="000000"/>
          <w:sz w:val="32"/>
          <w:szCs w:val="32"/>
          <w14:textFill>
            <w14:solidFill>
              <w14:srgbClr w14:val="000000"/>
            </w14:solidFill>
          </w14:textFill>
        </w:rPr>
        <w:t>（除国有资本经营预算外，数据来源于财决</w:t>
      </w:r>
      <w:r>
        <w:rPr>
          <w:rFonts w:ascii="仿宋" w:eastAsia="仿宋"/>
          <w:b/>
          <w:color w:val="000000"/>
          <w:sz w:val="32"/>
          <w:szCs w:val="32"/>
          <w14:textFill>
            <w14:solidFill>
              <w14:srgbClr w14:val="000000"/>
            </w14:solidFill>
          </w14:textFill>
        </w:rPr>
        <w:t>Z01-1</w:t>
      </w:r>
      <w:r>
        <w:rPr>
          <w:rFonts w:ascii="仿宋" w:eastAsia="仿宋" w:hint="eastAsia"/>
          <w:b/>
          <w:color w:val="000000"/>
          <w:sz w:val="32"/>
          <w:szCs w:val="32"/>
          <w14:textFill>
            <w14:solidFill>
              <w14:srgbClr w14:val="000000"/>
            </w14:solidFill>
          </w14:textFill>
        </w:rPr>
        <w:t>表，口径为“总计”数+国有资本经营预算。）</w:t>
      </w:r>
    </w:p>
    <w:p>
      <w:pPr>
        <w:spacing w:line="600" w:lineRule="exact"/>
        <w:ind w:firstLine="640"/>
        <w:rPr>
          <w:rFonts w:ascii="仿宋" w:eastAsia="仿宋"/>
          <w:b/>
          <w:color w:val="00B050"/>
          <w:sz w:val="32"/>
          <w:szCs w:val="32"/>
        </w:rPr>
      </w:pPr>
    </w:p>
    <w:p>
      <w:pPr>
        <w:spacing w:line="600" w:lineRule="exact"/>
        <w:ind w:firstLineChars="200" w:firstLine="640"/>
        <w:outlineLvl w:val="1"/>
        <w:rPr>
          <w:rStyle w:val="2Char"/>
          <w:rFonts w:ascii="黑体" w:eastAsia="黑体"/>
          <w:b w:val="0"/>
        </w:rPr>
      </w:pPr>
      <w:bookmarkStart w:id="33" w:name="_Toc15377209"/>
      <w:bookmarkStart w:id="34"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3"/>
      <w:bookmarkEnd w:id="34"/>
    </w:p>
    <w:p>
      <w:pPr>
        <w:spacing w:line="600" w:lineRule="exact"/>
        <w:ind w:firstLineChars="200" w:firstLine="640"/>
        <w:outlineLvl w:val="2"/>
        <w:rPr>
          <w:rFonts w:ascii="仿宋" w:eastAsia="仿宋"/>
          <w:b/>
          <w:color w:val="000000"/>
          <w:sz w:val="32"/>
          <w:szCs w:val="32"/>
        </w:rPr>
      </w:pPr>
      <w:bookmarkStart w:id="35" w:name="_Toc15377210"/>
      <w:r>
        <w:rPr>
          <w:rFonts w:ascii="仿宋" w:eastAsia="仿宋" w:hint="eastAsia"/>
          <w:b/>
          <w:color w:val="000000"/>
          <w:sz w:val="32"/>
          <w:szCs w:val="32"/>
        </w:rPr>
        <w:t>（一）一般公共预算财政拨款支出决算总体情况</w:t>
      </w:r>
      <w:bookmarkEnd w:id="35"/>
    </w:p>
    <w:p>
      <w:pPr>
        <w:spacing w:line="600" w:lineRule="exact"/>
        <w:ind w:firstLineChars="200" w:firstLine="420"/>
        <w:rPr>
          <w:rFonts w:ascii="仿宋" w:eastAsia="仿宋"/>
          <w:color w:val="000000"/>
          <w:sz w:val="32"/>
          <w:szCs w:val="32"/>
          <w14:textFill>
            <w14:solidFill>
              <w14:srgbClr w14:val="000000"/>
            </w14:solidFill>
          </w14:textFill>
        </w:rPr>
      </w:pPr>
      <w:r>
        <w:drawing>
          <wp:anchor distT="0" distB="0" distL="114300" distR="114300" simplePos="0" relativeHeight="25" behindDoc="0" locked="0" layoutInCell="1" hidden="0" allowOverlap="1">
            <wp:simplePos x="0" y="0"/>
            <wp:positionH relativeFrom="column">
              <wp:posOffset>535940</wp:posOffset>
            </wp:positionH>
            <wp:positionV relativeFrom="paragraph">
              <wp:posOffset>1381125</wp:posOffset>
            </wp:positionV>
            <wp:extent cx="4572000" cy="2743200"/>
            <wp:effectExtent l="0" t="0" r="0" b="0"/>
            <wp:wrapTopAndBottom/>
            <wp:docPr id="5" name="图表 11"/>
            <wp:cNvGraphicFramePr>
              <a:graphicFrameLocks noChangeAspect="0"/>
            </wp:cNvGraphicFramePr>
            <a:graphic>
              <a:graphicData uri="http://schemas.openxmlformats.org/drawingml/2006/chart">
                <c:chart xmlns:c="http://schemas.openxmlformats.org/drawingml/2006/chart" r:id="rId8"/>
              </a:graphicData>
            </a:graphic>
          </wp:anchor>
        </w:drawing>
      </w:r>
      <w:r>
        <w:rPr>
          <w:rFonts w:ascii="仿宋" w:eastAsia="仿宋"/>
          <w:color w:val="000000"/>
          <w:sz w:val="32"/>
          <w:szCs w:val="32"/>
        </w:rPr>
        <w:t>201</w:t>
      </w:r>
      <w:r>
        <w:rPr>
          <w:rFonts w:ascii="仿宋" w:eastAsia="仿宋" w:hint="eastAsia"/>
          <w:color w:val="000000"/>
          <w:sz w:val="32"/>
          <w:szCs w:val="32"/>
        </w:rPr>
        <w:t>8年一般公共预算财政拨款支出221.94万元，占本年支出合计的100</w:t>
      </w:r>
      <w:r>
        <w:rPr>
          <w:rFonts w:ascii="仿宋" w:eastAsia="仿宋"/>
          <w:color w:val="000000"/>
          <w:sz w:val="32"/>
          <w:szCs w:val="32"/>
        </w:rPr>
        <w:t>%</w:t>
      </w:r>
      <w:r>
        <w:rPr>
          <w:rFonts w:ascii="仿宋" w:eastAsia="仿宋" w:hint="eastAsia"/>
          <w:color w:val="000000"/>
          <w:sz w:val="32"/>
          <w:szCs w:val="32"/>
        </w:rPr>
        <w:t>。与2017年无数据对比，是2018年开始独立做账。</w:t>
      </w:r>
      <w:r>
        <w:rPr>
          <w:rFonts w:ascii="仿宋" w:eastAsia="仿宋" w:hint="eastAsia"/>
          <w:color w:val="000000"/>
          <w:sz w:val="32"/>
          <w:szCs w:val="32"/>
          <w14:textFill>
            <w14:solidFill>
              <w14:srgbClr w14:val="000000"/>
            </w14:solidFill>
          </w14:textFill>
        </w:rPr>
        <w:t>（图5：一般公共预算财政拨款支出决算变动情况）（柱状图）</w:t>
      </w:r>
    </w:p>
    <w:p>
      <w:pPr>
        <w:spacing w:line="600" w:lineRule="exact"/>
        <w:ind w:firstLineChars="200" w:firstLine="640"/>
        <w:outlineLvl w:val="2"/>
        <w:rPr>
          <w:rFonts w:ascii="仿宋" w:eastAsia="仿宋"/>
          <w:b/>
          <w:color w:val="000000"/>
          <w:sz w:val="32"/>
          <w:szCs w:val="32"/>
        </w:rPr>
      </w:pPr>
      <w:bookmarkStart w:id="36" w:name="_Toc15377211"/>
      <w:r>
        <w:rPr>
          <w:rFonts w:ascii="仿宋" w:eastAsia="仿宋" w:hint="eastAsia"/>
          <w:b/>
          <w:color w:val="000000"/>
          <w:sz w:val="32"/>
          <w:szCs w:val="32"/>
        </w:rPr>
        <w:t>（二）一般公共预算财政拨款支出决算结构情况</w:t>
      </w:r>
      <w:bookmarkEnd w:id="36"/>
    </w:p>
    <w:p>
      <w:pPr>
        <w:spacing w:line="600" w:lineRule="exact"/>
        <w:ind w:firstLine="640"/>
        <w:rPr>
          <w:rFonts w:ascii="仿宋" w:eastAsia="仿宋"/>
          <w:color w:val="000000"/>
          <w:sz w:val="32"/>
          <w:szCs w:val="32"/>
          <w14:textFill>
            <w14:solidFill>
              <w14:srgbClr w14:val="000000"/>
            </w14:solidFill>
          </w14:textFill>
        </w:rPr>
      </w:pPr>
      <w:r>
        <w:rPr>
          <w:rFonts w:ascii="仿宋" w:eastAsia="仿宋"/>
          <w:color w:val="000000"/>
          <w:sz w:val="32"/>
          <w:szCs w:val="32"/>
        </w:rPr>
        <w:t>201</w:t>
      </w:r>
      <w:r>
        <w:rPr>
          <w:rFonts w:ascii="仿宋" w:eastAsia="仿宋" w:hint="eastAsia"/>
          <w:color w:val="000000"/>
          <w:sz w:val="32"/>
          <w:szCs w:val="32"/>
        </w:rPr>
        <w:t>8年一般公共预算财</w:t>
      </w:r>
      <w:r>
        <w:rPr>
          <w:rFonts w:ascii="仿宋" w:eastAsia="仿宋" w:hint="eastAsia"/>
          <w:color w:val="000000"/>
          <w:sz w:val="32"/>
          <w:szCs w:val="32"/>
          <w14:textFill>
            <w14:solidFill>
              <w14:srgbClr w14:val="000000"/>
            </w14:solidFill>
          </w14:textFill>
        </w:rPr>
        <w:t>政拨款支出221.94万元，主要用于以下方面</w:t>
      </w:r>
      <w:r>
        <w:rPr>
          <w:rFonts w:ascii="仿宋" w:eastAsia="仿宋"/>
          <w:color w:val="000000"/>
          <w:sz w:val="32"/>
          <w:szCs w:val="32"/>
          <w14:textFill>
            <w14:solidFill>
              <w14:srgbClr w14:val="000000"/>
            </w14:solidFill>
          </w14:textFill>
        </w:rPr>
        <w:t>:</w:t>
      </w:r>
      <w:r>
        <w:rPr>
          <w:rFonts w:ascii="仿宋" w:eastAsia="仿宋" w:hint="eastAsia"/>
          <w:b/>
          <w:color w:val="000000"/>
          <w:sz w:val="32"/>
          <w:szCs w:val="32"/>
          <w14:textFill>
            <w14:solidFill>
              <w14:srgbClr w14:val="000000"/>
            </w14:solidFill>
          </w14:textFill>
        </w:rPr>
        <w:t>一般公共服务（类）</w:t>
      </w:r>
      <w:r>
        <w:rPr>
          <w:rFonts w:ascii="仿宋" w:eastAsia="仿宋" w:hint="eastAsia"/>
          <w:color w:val="000000"/>
          <w:sz w:val="32"/>
          <w:szCs w:val="32"/>
          <w14:textFill>
            <w14:solidFill>
              <w14:srgbClr w14:val="000000"/>
            </w14:solidFill>
          </w14:textFill>
        </w:rPr>
        <w:t>支出175.34万元，占79</w:t>
      </w:r>
      <w:r>
        <w:rPr>
          <w:rFonts w:ascii="仿宋" w:eastAsia="仿宋"/>
          <w:color w:val="000000"/>
          <w:sz w:val="32"/>
          <w:szCs w:val="32"/>
          <w14:textFill>
            <w14:solidFill>
              <w14:srgbClr w14:val="000000"/>
            </w14:solidFill>
          </w14:textFill>
        </w:rPr>
        <w:t>%</w:t>
      </w:r>
      <w:r>
        <w:rPr>
          <w:rFonts w:ascii="仿宋" w:eastAsia="仿宋" w:hint="eastAsia"/>
          <w:color w:val="000000"/>
          <w:sz w:val="32"/>
          <w:szCs w:val="32"/>
          <w14:textFill>
            <w14:solidFill>
              <w14:srgbClr w14:val="000000"/>
            </w14:solidFill>
          </w14:textFill>
        </w:rPr>
        <w:t>；</w:t>
      </w:r>
      <w:r>
        <w:rPr>
          <w:rFonts w:ascii="仿宋" w:eastAsia="仿宋" w:hint="eastAsia"/>
          <w:b/>
          <w:color w:val="000000"/>
          <w:sz w:val="32"/>
          <w:szCs w:val="32"/>
          <w14:textFill>
            <w14:solidFill>
              <w14:srgbClr w14:val="000000"/>
            </w14:solidFill>
          </w14:textFill>
        </w:rPr>
        <w:t>社会保障和就业（类）</w:t>
      </w:r>
      <w:r>
        <w:rPr>
          <w:rFonts w:ascii="仿宋" w:eastAsia="仿宋" w:hint="eastAsia"/>
          <w:color w:val="000000"/>
          <w:sz w:val="32"/>
          <w:szCs w:val="32"/>
          <w14:textFill>
            <w14:solidFill>
              <w14:srgbClr w14:val="000000"/>
            </w14:solidFill>
          </w14:textFill>
        </w:rPr>
        <w:t>支出28.26万元，占12.73</w:t>
      </w:r>
      <w:r>
        <w:rPr>
          <w:rFonts w:ascii="仿宋" w:eastAsia="仿宋"/>
          <w:color w:val="000000"/>
          <w:sz w:val="32"/>
          <w:szCs w:val="32"/>
          <w14:textFill>
            <w14:solidFill>
              <w14:srgbClr w14:val="000000"/>
            </w14:solidFill>
          </w14:textFill>
        </w:rPr>
        <w:t>%</w:t>
      </w:r>
      <w:r>
        <w:rPr>
          <w:rFonts w:ascii="仿宋" w:eastAsia="仿宋" w:hint="eastAsia"/>
          <w:color w:val="000000"/>
          <w:sz w:val="32"/>
          <w:szCs w:val="32"/>
          <w14:textFill>
            <w14:solidFill>
              <w14:srgbClr w14:val="000000"/>
            </w14:solidFill>
          </w14:textFill>
        </w:rPr>
        <w:t>；</w:t>
      </w:r>
      <w:r>
        <w:rPr>
          <w:rFonts w:ascii="仿宋" w:eastAsia="仿宋" w:hint="eastAsia"/>
          <w:b/>
          <w:bCs/>
          <w:color w:val="000000"/>
          <w:sz w:val="32"/>
          <w:szCs w:val="32"/>
          <w14:textFill>
            <w14:solidFill>
              <w14:srgbClr w14:val="000000"/>
            </w14:solidFill>
          </w14:textFill>
        </w:rPr>
        <w:t>医疗卫生</w:t>
      </w:r>
      <w:r>
        <w:rPr>
          <w:rFonts w:ascii="仿宋" w:eastAsia="仿宋" w:hint="eastAsia"/>
          <w:color w:val="000000"/>
          <w:sz w:val="32"/>
          <w:szCs w:val="32"/>
          <w14:textFill>
            <w14:solidFill>
              <w14:srgbClr w14:val="000000"/>
            </w14:solidFill>
          </w14:textFill>
        </w:rPr>
        <w:t>支出6.67万元，占3.01</w:t>
      </w:r>
      <w:r>
        <w:rPr>
          <w:rFonts w:ascii="仿宋" w:eastAsia="仿宋"/>
          <w:color w:val="000000"/>
          <w:sz w:val="32"/>
          <w:szCs w:val="32"/>
          <w14:textFill>
            <w14:solidFill>
              <w14:srgbClr w14:val="000000"/>
            </w14:solidFill>
          </w14:textFill>
        </w:rPr>
        <w:t>%</w:t>
      </w:r>
      <w:r>
        <w:rPr>
          <w:rFonts w:ascii="仿宋" w:eastAsia="仿宋" w:hint="eastAsia"/>
          <w:color w:val="000000"/>
          <w:sz w:val="32"/>
          <w:szCs w:val="32"/>
          <w14:textFill>
            <w14:solidFill>
              <w14:srgbClr w14:val="000000"/>
            </w14:solidFill>
          </w14:textFill>
        </w:rPr>
        <w:t>；</w:t>
      </w:r>
      <w:r>
        <w:rPr>
          <w:rFonts w:ascii="仿宋" w:eastAsia="仿宋" w:hint="eastAsia"/>
          <w:b/>
          <w:bCs/>
          <w:color w:val="000000"/>
          <w:sz w:val="32"/>
          <w:szCs w:val="32"/>
          <w14:textFill>
            <w14:solidFill>
              <w14:srgbClr w14:val="000000"/>
            </w14:solidFill>
          </w14:textFill>
        </w:rPr>
        <w:t>住房保障</w:t>
      </w:r>
      <w:r>
        <w:rPr>
          <w:rFonts w:ascii="仿宋" w:eastAsia="仿宋" w:hint="eastAsia"/>
          <w:color w:val="000000"/>
          <w:sz w:val="32"/>
          <w:szCs w:val="32"/>
          <w14:textFill>
            <w14:solidFill>
              <w14:srgbClr w14:val="000000"/>
            </w14:solidFill>
          </w14:textFill>
        </w:rPr>
        <w:t>支出11.67万元，占5.26</w:t>
      </w:r>
      <w:r>
        <w:rPr>
          <w:rFonts w:ascii="仿宋" w:eastAsia="仿宋"/>
          <w:color w:val="000000"/>
          <w:sz w:val="32"/>
          <w:szCs w:val="32"/>
          <w14:textFill>
            <w14:solidFill>
              <w14:srgbClr w14:val="000000"/>
            </w14:solidFill>
          </w14:textFill>
        </w:rPr>
        <w:t>%</w:t>
      </w:r>
      <w:r>
        <w:rPr>
          <w:rFonts w:ascii="仿宋" w:eastAsia="仿宋" w:hint="eastAsia"/>
          <w:b/>
          <w:color w:val="000000"/>
          <w:sz w:val="32"/>
          <w:szCs w:val="32"/>
          <w14:textFill>
            <w14:solidFill>
              <w14:srgbClr w14:val="000000"/>
            </w14:solidFill>
          </w14:textFill>
        </w:rPr>
        <w:t>（罗列全部功能分类科目至类级）。</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（图6：一般公共预算财政拨款支出决算</w:t>
      </w:r>
      <w:r>
        <w:drawing>
          <wp:anchor distT="0" distB="0" distL="114300" distR="114300" simplePos="0" relativeHeight="27" behindDoc="0" locked="0" layoutInCell="1" hidden="0" allowOverlap="1">
            <wp:simplePos x="0" y="0"/>
            <wp:positionH relativeFrom="column">
              <wp:posOffset>4445</wp:posOffset>
            </wp:positionH>
            <wp:positionV relativeFrom="paragraph">
              <wp:posOffset>-2072004</wp:posOffset>
            </wp:positionV>
            <wp:extent cx="4572000" cy="2743200"/>
            <wp:effectExtent l="0" t="0" r="0" b="0"/>
            <wp:wrapTopAndBottom/>
            <wp:docPr id="6" name="图表 17"/>
            <wp:cNvGraphicFramePr>
              <a:graphicFrameLocks noChangeAspect="0"/>
            </wp:cNvGraphicFramePr>
            <a:graphic>
              <a:graphicData uri="http://schemas.openxmlformats.org/drawingml/2006/chart">
                <c:chart xmlns:c="http://schemas.openxmlformats.org/drawingml/2006/chart" r:id="rId9"/>
              </a:graphicData>
            </a:graphic>
          </wp:anchor>
        </w:drawing>
      </w:r>
      <w:r>
        <w:rPr>
          <w:rFonts w:ascii="仿宋" w:eastAsia="仿宋" w:hint="eastAsia"/>
          <w:color w:val="000000"/>
          <w:sz w:val="32"/>
          <w:szCs w:val="32"/>
        </w:rPr>
        <w:t>结构）（饼状图）</w:t>
      </w:r>
    </w:p>
    <w:p>
      <w:pPr>
        <w:spacing w:line="600" w:lineRule="exact"/>
        <w:ind w:firstLineChars="200" w:firstLine="640"/>
        <w:rPr>
          <w:rFonts w:ascii="仿宋" w:eastAsia="仿宋"/>
          <w:color w:val="000000"/>
          <w:sz w:val="32"/>
          <w:szCs w:val="32"/>
        </w:rPr>
      </w:pPr>
    </w:p>
    <w:p>
      <w:pPr>
        <w:spacing w:line="600" w:lineRule="exact"/>
        <w:ind w:firstLineChars="200" w:firstLine="640"/>
        <w:outlineLvl w:val="2"/>
        <w:rPr>
          <w:rFonts w:ascii="仿宋" w:eastAsia="仿宋"/>
          <w:b/>
          <w:color w:val="000000"/>
          <w:sz w:val="32"/>
          <w:szCs w:val="32"/>
        </w:rPr>
      </w:pPr>
      <w:bookmarkStart w:id="37" w:name="_Toc15377212"/>
      <w:r>
        <w:rPr>
          <w:rFonts w:ascii="仿宋" w:eastAsia="仿宋" w:hint="eastAsia"/>
          <w:b/>
          <w:color w:val="000000"/>
          <w:sz w:val="32"/>
          <w:szCs w:val="32"/>
        </w:rPr>
        <w:t>（三）一般公共预算财政拨款支出决算具体情况</w:t>
      </w:r>
      <w:bookmarkEnd w:id="37"/>
    </w:p>
    <w:p>
      <w:pPr>
        <w:spacing w:line="600" w:lineRule="exact"/>
        <w:ind w:firstLineChars="200" w:firstLine="640"/>
        <w:outlineLvl w:val="2"/>
        <w:rPr>
          <w:rFonts w:ascii="仿宋" w:eastAsia="仿宋"/>
          <w:color w:val="FF0000"/>
          <w:sz w:val="32"/>
          <w:szCs w:val="32"/>
        </w:rPr>
      </w:pPr>
      <w:bookmarkStart w:id="38" w:name="_Toc15377444"/>
      <w:bookmarkStart w:id="39" w:name="_Toc15377213"/>
      <w:bookmarkStart w:id="40" w:name="_Toc15378460"/>
      <w:r>
        <w:rPr>
          <w:rFonts w:ascii="仿宋" w:eastAsia="仿宋" w:hint="eastAsia"/>
          <w:b/>
          <w:color w:val="000000"/>
          <w:sz w:val="32"/>
          <w:szCs w:val="32"/>
          <w14:textFill>
            <w14:solidFill>
              <w14:srgbClr w14:val="000000"/>
            </w14:solidFill>
          </w14:textFill>
        </w:rPr>
        <w:t>2018年一般公共预算支出决算数为175.34万元</w:t>
      </w:r>
      <w:r>
        <w:rPr>
          <w:rFonts w:ascii="仿宋" w:eastAsia="仿宋" w:hint="eastAsia"/>
          <w:color w:val="000000"/>
          <w:sz w:val="32"/>
          <w:szCs w:val="32"/>
          <w14:textFill>
            <w14:solidFill>
              <w14:srgbClr w14:val="000000"/>
            </w14:solidFill>
          </w14:textFill>
        </w:rPr>
        <w:t>，</w:t>
      </w:r>
      <w:r>
        <w:rPr>
          <w:rStyle w:val="22"/>
          <w:rFonts w:ascii="仿宋" w:eastAsia="仿宋" w:hint="eastAsia"/>
          <w:bCs/>
          <w:color w:val="000000"/>
          <w:sz w:val="32"/>
          <w:szCs w:val="32"/>
          <w14:textFill>
            <w14:solidFill>
              <w14:srgbClr w14:val="000000"/>
            </w14:solidFill>
          </w14:textFill>
        </w:rPr>
        <w:t>完成</w:t>
      </w:r>
      <w:r>
        <w:rPr>
          <w:rStyle w:val="22"/>
          <w:rFonts w:ascii="仿宋" w:eastAsia="仿宋" w:hint="eastAsia"/>
          <w:bCs/>
          <w:color w:val="000000"/>
          <w:sz w:val="32"/>
          <w:szCs w:val="32"/>
        </w:rPr>
        <w:t>预算100</w:t>
      </w:r>
      <w:r>
        <w:rPr>
          <w:rStyle w:val="22"/>
          <w:rFonts w:ascii="仿宋" w:eastAsia="仿宋"/>
          <w:bCs/>
          <w:color w:val="000000"/>
          <w:sz w:val="32"/>
          <w:szCs w:val="32"/>
        </w:rPr>
        <w:t>%</w:t>
      </w:r>
      <w:r>
        <w:rPr>
          <w:rStyle w:val="22"/>
          <w:rFonts w:ascii="仿宋" w:eastAsia="仿宋" w:hint="eastAsia"/>
          <w:bCs/>
          <w:color w:val="000000"/>
          <w:sz w:val="32"/>
          <w:szCs w:val="32"/>
        </w:rPr>
        <w:t>。其中：</w:t>
      </w:r>
      <w:bookmarkEnd w:id="38"/>
      <w:bookmarkEnd w:id="39"/>
      <w:bookmarkEnd w:id="40"/>
    </w:p>
    <w:p>
      <w:pPr>
        <w:spacing w:line="600" w:lineRule="exact"/>
        <w:ind w:firstLineChars="200" w:firstLine="640"/>
        <w:rPr>
          <w:rFonts w:ascii="仿宋" w:eastAsia="仿宋"/>
          <w:b/>
          <w:color w:val="000000"/>
          <w:sz w:val="32"/>
          <w:szCs w:val="32"/>
        </w:rPr>
      </w:pPr>
      <w:r>
        <w:rPr>
          <w:rStyle w:val="22"/>
          <w:rFonts w:ascii="仿宋" w:eastAsia="仿宋"/>
          <w:bCs/>
          <w:color w:val="000000"/>
          <w:sz w:val="32"/>
          <w:szCs w:val="32"/>
        </w:rPr>
        <w:t>1.</w:t>
      </w:r>
      <w:r>
        <w:rPr>
          <w:rStyle w:val="22"/>
          <w:rFonts w:ascii="仿宋" w:eastAsia="仿宋" w:hint="eastAsia"/>
          <w:bCs/>
          <w:color w:val="000000"/>
          <w:sz w:val="32"/>
          <w:szCs w:val="32"/>
        </w:rPr>
        <w:t>一般公共服务201（类）03（款）05（项）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支出决算为175.34万元，完成预算100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w:t>
      </w:r>
      <w:r>
        <w:rPr>
          <w:rStyle w:val="22"/>
          <w:rFonts w:ascii="仿宋" w:eastAsia="仿宋"/>
          <w:bCs/>
          <w:color w:val="000000"/>
          <w:sz w:val="32"/>
          <w:szCs w:val="32"/>
        </w:rPr>
        <w:t>.</w:t>
      </w:r>
      <w:r>
        <w:rPr>
          <w:rStyle w:val="22"/>
          <w:rFonts w:ascii="仿宋" w:eastAsia="仿宋" w:hint="eastAsia"/>
          <w:bCs/>
          <w:color w:val="000000"/>
          <w:sz w:val="32"/>
          <w:szCs w:val="32"/>
        </w:rPr>
        <w:t>社会保障和就业208（类）05（款）05（项）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支出决算为20.17万元，完成预算100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，等于预算数。</w:t>
      </w:r>
      <w:r>
        <w:rPr>
          <w:rStyle w:val="22"/>
          <w:rFonts w:ascii="仿宋" w:eastAsia="仿宋" w:hint="eastAsia"/>
          <w:bCs/>
          <w:color w:val="000000"/>
          <w:sz w:val="32"/>
          <w:szCs w:val="32"/>
        </w:rPr>
        <w:t>社会保障和就业208（类）05（款）06（项）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支出决算为8.09万元，完成预算100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3</w:t>
      </w:r>
      <w:r>
        <w:rPr>
          <w:rStyle w:val="22"/>
          <w:rFonts w:ascii="仿宋" w:eastAsia="仿宋"/>
          <w:bCs/>
          <w:color w:val="000000"/>
          <w:sz w:val="32"/>
          <w:szCs w:val="32"/>
        </w:rPr>
        <w:t>.</w:t>
      </w:r>
      <w:r>
        <w:rPr>
          <w:rStyle w:val="22"/>
          <w:rFonts w:ascii="仿宋" w:eastAsia="仿宋" w:hint="eastAsia"/>
          <w:bCs/>
          <w:color w:val="000000"/>
          <w:sz w:val="32"/>
          <w:szCs w:val="32"/>
        </w:rPr>
        <w:t>医疗卫生与计划生育210（类）11（款）02（项）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支出决算为6.67万元，完成预算100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4</w:t>
      </w:r>
      <w:r>
        <w:rPr>
          <w:rStyle w:val="22"/>
          <w:rFonts w:ascii="仿宋" w:eastAsia="仿宋"/>
          <w:bCs/>
          <w:color w:val="000000"/>
          <w:sz w:val="32"/>
          <w:szCs w:val="32"/>
        </w:rPr>
        <w:t>.</w:t>
      </w:r>
      <w:r>
        <w:rPr>
          <w:rStyle w:val="22"/>
          <w:rFonts w:ascii="仿宋" w:eastAsia="仿宋" w:hint="eastAsia"/>
          <w:bCs/>
          <w:color w:val="000000"/>
          <w:sz w:val="32"/>
          <w:szCs w:val="32"/>
        </w:rPr>
        <w:t>住房保障支出221（类）02（款）01（项）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支出决算为11.67万元，完成预算100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，等于预算数。</w:t>
      </w:r>
    </w:p>
    <w:p>
      <w:pPr>
        <w:spacing w:line="600" w:lineRule="exact"/>
        <w:ind w:firstLine="640"/>
        <w:rPr>
          <w:rFonts w:ascii="仿宋" w:eastAsia="仿宋"/>
          <w:b/>
          <w:color w:val="000000"/>
          <w:sz w:val="32"/>
          <w:szCs w:val="32"/>
        </w:rPr>
      </w:pPr>
      <w:r>
        <w:rPr>
          <w:rFonts w:ascii="仿宋" w:eastAsia="仿宋" w:hint="eastAsia"/>
          <w:b/>
          <w:color w:val="000000"/>
          <w:sz w:val="32"/>
          <w:szCs w:val="32"/>
        </w:rPr>
        <w:t>（数据来源财决</w:t>
      </w:r>
      <w:r>
        <w:rPr>
          <w:rFonts w:ascii="仿宋" w:eastAsia="仿宋"/>
          <w:b/>
          <w:color w:val="000000"/>
          <w:sz w:val="32"/>
          <w:szCs w:val="32"/>
        </w:rPr>
        <w:t>08</w:t>
      </w:r>
      <w:r>
        <w:rPr>
          <w:rFonts w:ascii="仿宋" w:eastAsia="仿宋" w:hint="eastAsia"/>
          <w:b/>
          <w:color w:val="000000"/>
          <w:sz w:val="32"/>
          <w:szCs w:val="32"/>
        </w:rPr>
        <w:t>表，罗列全部功能分类科目至项级。上述“预算”口径为调整预算数。增减变动原因为决算数</w:t>
      </w:r>
      <w:r>
        <w:rPr>
          <w:rFonts w:ascii="仿宋" w:eastAsia="仿宋"/>
          <w:b/>
          <w:color w:val="000000"/>
          <w:sz w:val="32"/>
          <w:szCs w:val="32"/>
        </w:rPr>
        <w:t>&lt;</w:t>
      </w:r>
      <w:r>
        <w:rPr>
          <w:rFonts w:ascii="仿宋" w:eastAsia="仿宋" w:hint="eastAsia"/>
          <w:b/>
          <w:color w:val="000000"/>
          <w:sz w:val="32"/>
          <w:szCs w:val="32"/>
        </w:rPr>
        <w:t>项级</w:t>
      </w:r>
      <w:r>
        <w:rPr>
          <w:rFonts w:ascii="仿宋" w:eastAsia="仿宋"/>
          <w:b/>
          <w:color w:val="000000"/>
          <w:sz w:val="32"/>
          <w:szCs w:val="32"/>
        </w:rPr>
        <w:t>&gt;</w:t>
      </w:r>
      <w:r>
        <w:rPr>
          <w:rFonts w:ascii="仿宋" w:eastAsia="仿宋" w:hint="eastAsia"/>
          <w:b/>
          <w:color w:val="000000"/>
          <w:sz w:val="32"/>
          <w:szCs w:val="32"/>
        </w:rPr>
        <w:t>和调整预算数</w:t>
      </w:r>
      <w:r>
        <w:rPr>
          <w:rFonts w:ascii="仿宋" w:eastAsia="仿宋"/>
          <w:b/>
          <w:color w:val="000000"/>
          <w:sz w:val="32"/>
          <w:szCs w:val="32"/>
        </w:rPr>
        <w:t>&lt;</w:t>
      </w:r>
      <w:r>
        <w:rPr>
          <w:rFonts w:ascii="仿宋" w:eastAsia="仿宋" w:hint="eastAsia"/>
          <w:b/>
          <w:color w:val="000000"/>
          <w:sz w:val="32"/>
          <w:szCs w:val="32"/>
        </w:rPr>
        <w:t>项级</w:t>
      </w:r>
      <w:r>
        <w:rPr>
          <w:rFonts w:ascii="仿宋" w:eastAsia="仿宋"/>
          <w:b/>
          <w:color w:val="000000"/>
          <w:sz w:val="32"/>
          <w:szCs w:val="32"/>
        </w:rPr>
        <w:t>&gt;</w:t>
      </w:r>
      <w:r>
        <w:rPr>
          <w:rFonts w:ascii="仿宋" w:eastAsia="仿宋" w:hint="eastAsia"/>
          <w:b/>
          <w:color w:val="000000"/>
          <w:sz w:val="32"/>
          <w:szCs w:val="32"/>
        </w:rPr>
        <w:t>比较，与预算数持平可以不写原因。）</w:t>
      </w:r>
    </w:p>
    <w:p>
      <w:pPr>
        <w:tabs>
          <w:tab w:val="right" w:pos="8306"/>
        </w:tabs>
        <w:spacing w:line="60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1"/>
      <w:bookmarkEnd w:id="42"/>
      <w:r>
        <w:rPr>
          <w:rStyle w:val="2Char"/>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8年一般公共预算财政拨款基本支出221.94万元，其中：</w:t>
      </w:r>
    </w:p>
    <w:p>
      <w:pPr>
        <w:spacing w:line="600" w:lineRule="exact"/>
        <w:ind w:firstLine="645"/>
        <w:rPr>
          <w:rFonts w:ascii="仿宋" w:eastAsia="仿宋"/>
          <w:color w:val="000000"/>
          <w:sz w:val="32"/>
          <w:szCs w:val="32"/>
        </w:rPr>
      </w:pPr>
      <w:r>
        <w:rPr>
          <w:rFonts w:ascii="仿宋" w:eastAsia="仿宋" w:hint="eastAsia"/>
          <w:color w:val="000000"/>
          <w:sz w:val="32"/>
          <w:szCs w:val="32"/>
        </w:rPr>
        <w:t>人员经费161.94万元，主要包括：基本工资、津贴补贴、奖金、绩效工资、机关事业单位基本养老保险缴费、职业年金缴费、其他社会保障缴费、奖励金、住房公积金等。</w:t>
      </w:r>
      <w:r>
        <w:rPr>
          <w:rFonts w:ascii="仿宋" w:eastAsia="仿宋"/>
          <w:color w:val="000000"/>
          <w:sz w:val="32"/>
          <w:szCs w:val="32"/>
        </w:rPr>
        <w:br/>
      </w:r>
      <w:r>
        <w:rPr>
          <w:rFonts w:ascii="仿宋" w:eastAsia="仿宋" w:hint="eastAsia"/>
          <w:color w:val="000000"/>
          <w:sz w:val="32"/>
          <w:szCs w:val="32"/>
        </w:rPr>
        <w:t>　　公用经费60万元，主要包括：办公费、电费、差旅费、等。</w:t>
      </w:r>
    </w:p>
    <w:p>
      <w:pPr>
        <w:spacing w:line="600" w:lineRule="exact"/>
        <w:ind w:firstLine="640"/>
        <w:rPr>
          <w:rFonts w:ascii="仿宋" w:eastAsia="仿宋"/>
          <w:b/>
          <w:color w:val="000000"/>
          <w:sz w:val="32"/>
          <w:szCs w:val="32"/>
          <w14:textFill>
            <w14:solidFill>
              <w14:srgbClr w14:val="000000"/>
            </w14:solidFill>
          </w14:textFill>
        </w:rPr>
      </w:pPr>
      <w:r>
        <w:rPr>
          <w:rFonts w:ascii="仿宋" w:eastAsia="仿宋" w:hint="eastAsia"/>
          <w:b/>
          <w:color w:val="000000"/>
          <w:sz w:val="32"/>
          <w:szCs w:val="32"/>
          <w14:textFill>
            <w14:solidFill>
              <w14:srgbClr w14:val="000000"/>
            </w14:solidFill>
          </w14:textFill>
        </w:rPr>
        <w:t>（数据来源财决</w:t>
      </w:r>
      <w:r>
        <w:rPr>
          <w:rFonts w:ascii="仿宋" w:eastAsia="仿宋"/>
          <w:b/>
          <w:color w:val="000000"/>
          <w:sz w:val="32"/>
          <w:szCs w:val="32"/>
          <w14:textFill>
            <w14:solidFill>
              <w14:srgbClr w14:val="000000"/>
            </w14:solidFill>
          </w14:textFill>
        </w:rPr>
        <w:t>0</w:t>
      </w:r>
      <w:r>
        <w:rPr>
          <w:rFonts w:ascii="仿宋" w:eastAsia="仿宋" w:hint="eastAsia"/>
          <w:b/>
          <w:color w:val="000000"/>
          <w:sz w:val="32"/>
          <w:szCs w:val="32"/>
          <w14:textFill>
            <w14:solidFill>
              <w14:srgbClr w14:val="000000"/>
            </w14:solidFill>
          </w14:textFill>
        </w:rPr>
        <w:t>7表，根据本部门实际支出情况罗列全部经济分类科目。）</w:t>
      </w:r>
    </w:p>
    <w:p>
      <w:pPr>
        <w:spacing w:line="600" w:lineRule="exact"/>
        <w:ind w:firstLine="640"/>
        <w:outlineLvl w:val="1"/>
        <w:rPr>
          <w:rStyle w:val="2Char"/>
          <w:rFonts w:ascii="黑体" w:eastAsia="黑体"/>
          <w:b w:val="0"/>
        </w:rPr>
      </w:pPr>
      <w:bookmarkStart w:id="43" w:name="_Toc15377215"/>
      <w:bookmarkStart w:id="44" w:name="_Toc15396609"/>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3"/>
      <w:bookmarkEnd w:id="44"/>
    </w:p>
    <w:p>
      <w:pPr>
        <w:spacing w:line="600" w:lineRule="exact"/>
        <w:ind w:firstLine="640"/>
        <w:outlineLvl w:val="2"/>
        <w:rPr>
          <w:rFonts w:ascii="仿宋" w:eastAsia="仿宋"/>
          <w:b/>
          <w:color w:val="000000"/>
          <w:sz w:val="32"/>
          <w:szCs w:val="32"/>
        </w:rPr>
      </w:pPr>
      <w:bookmarkStart w:id="45" w:name="_Toc15377216"/>
      <w:r>
        <w:rPr>
          <w:rFonts w:ascii="仿宋" w:eastAsia="仿宋" w:hint="eastAsia"/>
          <w:b/>
          <w:color w:val="000000"/>
          <w:sz w:val="32"/>
          <w:szCs w:val="32"/>
        </w:rPr>
        <w:t>（一）“三公”经费财政拨款支出决算总体情况说明</w:t>
      </w:r>
      <w:bookmarkEnd w:id="45"/>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8年“三公”经费财政拨款支出决算为0万元。</w:t>
      </w:r>
    </w:p>
    <w:p>
      <w:pPr>
        <w:spacing w:line="600" w:lineRule="exact"/>
        <w:ind w:firstLine="640"/>
        <w:rPr>
          <w:rFonts w:ascii="仿宋" w:eastAsia="仿宋"/>
          <w:b/>
          <w:color w:val="000000"/>
          <w:sz w:val="32"/>
          <w:szCs w:val="32"/>
          <w14:textFill>
            <w14:solidFill>
              <w14:srgbClr w14:val="000000"/>
            </w14:solidFill>
          </w14:textFill>
        </w:rPr>
      </w:pPr>
      <w:r>
        <w:rPr>
          <w:rFonts w:ascii="仿宋" w:eastAsia="仿宋" w:hint="eastAsia"/>
          <w:b/>
          <w:color w:val="000000"/>
          <w:sz w:val="32"/>
          <w:szCs w:val="32"/>
        </w:rPr>
        <w:t>（上述“预算”口径为调整预</w:t>
      </w:r>
      <w:r>
        <w:rPr>
          <w:rFonts w:ascii="仿宋" w:eastAsia="仿宋" w:hint="eastAsia"/>
          <w:b/>
          <w:color w:val="000000"/>
          <w:sz w:val="32"/>
          <w:szCs w:val="32"/>
          <w14:textFill>
            <w14:solidFill>
              <w14:srgbClr w14:val="000000"/>
            </w14:solidFill>
          </w14:textFill>
        </w:rPr>
        <w:t>算数，包括政府性基金支出决算情况。）</w:t>
      </w:r>
    </w:p>
    <w:p>
      <w:pPr>
        <w:spacing w:line="600" w:lineRule="exact"/>
        <w:ind w:firstLine="640"/>
        <w:outlineLvl w:val="1"/>
        <w:rPr>
          <w:rStyle w:val="2Char"/>
          <w:rFonts w:ascii="黑体" w:eastAsia="黑体"/>
        </w:rPr>
      </w:pPr>
      <w:bookmarkStart w:id="46" w:name="_Toc15377218"/>
      <w:bookmarkStart w:id="47" w:name="_Toc15396610"/>
      <w:r>
        <w:rPr>
          <w:rFonts w:ascii="黑体" w:eastAsia="黑体" w:hint="eastAsia"/>
          <w:color w:val="000000"/>
          <w:sz w:val="32"/>
          <w:szCs w:val="32"/>
        </w:rPr>
        <w:t>八、</w:t>
      </w:r>
      <w:r>
        <w:rPr>
          <w:rStyle w:val="2Char"/>
          <w:rFonts w:ascii="黑体" w:eastAsia="黑体" w:hint="eastAsia"/>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pPr>
        <w:numPr>
          <w:ilvl w:val="0"/>
          <w:numId w:val="2"/>
        </w:numPr>
        <w:spacing w:line="600" w:lineRule="exact"/>
        <w:ind w:left="0" w:firstLine="640"/>
        <w:outlineLvl w:val="1"/>
        <w:rPr>
          <w:rStyle w:val="2Char"/>
          <w:rFonts w:ascii="黑体" w:eastAsia="黑体"/>
          <w:b w:val="0"/>
        </w:rPr>
      </w:pPr>
      <w:bookmarkStart w:id="48" w:name="_Toc15396611"/>
      <w:bookmarkStart w:id="49" w:name="_Toc15377219"/>
      <w:r>
        <w:rPr>
          <w:rStyle w:val="2Char"/>
          <w:rFonts w:ascii="黑体" w:eastAsia="黑体" w:hint="eastAsia"/>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pPr>
        <w:spacing w:line="600" w:lineRule="exact"/>
        <w:ind w:firstLineChars="200" w:firstLine="640"/>
        <w:outlineLvl w:val="1"/>
        <w:rPr>
          <w:rStyle w:val="2Char"/>
          <w:rFonts w:ascii="黑体" w:eastAsia="黑体"/>
        </w:rPr>
      </w:pPr>
      <w:bookmarkStart w:id="50" w:name="_Toc15377221"/>
      <w:bookmarkStart w:id="51" w:name="_Toc15396612"/>
      <w:r>
        <w:rPr>
          <w:rFonts w:ascii="黑体" w:eastAsia="黑体" w:hint="eastAsia"/>
          <w:color w:val="000000"/>
          <w:sz w:val="32"/>
          <w:szCs w:val="32"/>
        </w:rPr>
        <w:t>十</w:t>
      </w:r>
      <w:r>
        <w:rPr>
          <w:rStyle w:val="2Char"/>
          <w:rFonts w:ascii="黑体" w:eastAsia="黑体" w:hint="eastAsia"/>
        </w:rPr>
        <w:t>、</w:t>
      </w:r>
      <w:r>
        <w:rPr>
          <w:rStyle w:val="2Char"/>
          <w:rFonts w:ascii="黑体" w:eastAsia="黑体" w:hint="eastAsia"/>
          <w:b w:val="0"/>
        </w:rPr>
        <w:t>其他重要事项的情况说明</w:t>
      </w:r>
      <w:bookmarkEnd w:id="50"/>
      <w:bookmarkEnd w:id="51"/>
    </w:p>
    <w:p>
      <w:pPr>
        <w:spacing w:line="600" w:lineRule="exact"/>
        <w:ind w:firstLineChars="200" w:firstLine="640"/>
        <w:outlineLvl w:val="2"/>
        <w:rPr>
          <w:rFonts w:ascii="仿宋" w:eastAsia="仿宋"/>
          <w:color w:val="000000"/>
          <w:sz w:val="32"/>
          <w:szCs w:val="32"/>
        </w:rPr>
      </w:pPr>
      <w:bookmarkStart w:id="52" w:name="_Toc15377222"/>
      <w:r>
        <w:rPr>
          <w:rFonts w:ascii="仿宋" w:eastAsia="仿宋" w:hint="eastAsia"/>
          <w:b/>
          <w:color w:val="000000"/>
          <w:sz w:val="32"/>
          <w:szCs w:val="32"/>
        </w:rPr>
        <w:t>（一）机关运行经费支出情况</w:t>
      </w:r>
      <w:bookmarkEnd w:id="52"/>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8年，壤塘县人民政府办公室应急办公室机关运行经费支出60万元，与2017年无数据对比，是2018年开始独立做账。</w:t>
      </w:r>
    </w:p>
    <w:p>
      <w:pPr>
        <w:spacing w:line="600" w:lineRule="exact"/>
        <w:ind w:firstLine="640"/>
        <w:rPr>
          <w:rFonts w:ascii="仿宋" w:eastAsia="仿宋"/>
          <w:b/>
          <w:color w:val="000000"/>
          <w:sz w:val="32"/>
          <w:szCs w:val="32"/>
        </w:rPr>
      </w:pPr>
      <w:r>
        <w:rPr>
          <w:rFonts w:ascii="仿宋" w:eastAsia="仿宋" w:hint="eastAsia"/>
          <w:b/>
          <w:color w:val="000000"/>
          <w:sz w:val="32"/>
          <w:szCs w:val="32"/>
        </w:rPr>
        <w:t>（数据来源财决</w:t>
      </w:r>
      <w:r>
        <w:rPr>
          <w:rFonts w:ascii="仿宋" w:eastAsia="仿宋"/>
          <w:b/>
          <w:color w:val="000000"/>
          <w:sz w:val="32"/>
          <w:szCs w:val="32"/>
        </w:rPr>
        <w:t>CS05</w:t>
      </w:r>
      <w:r>
        <w:rPr>
          <w:rFonts w:ascii="仿宋" w:eastAsia="仿宋" w:hint="eastAsia"/>
          <w:b/>
          <w:color w:val="000000"/>
          <w:sz w:val="32"/>
          <w:szCs w:val="32"/>
        </w:rPr>
        <w:t>表）</w:t>
      </w:r>
    </w:p>
    <w:p>
      <w:pPr>
        <w:spacing w:line="600" w:lineRule="exact"/>
        <w:ind w:left="0" w:firstLineChars="150" w:firstLine="480"/>
        <w:outlineLvl w:val="2"/>
        <w:rPr>
          <w:rFonts w:ascii="仿宋" w:eastAsia="仿宋"/>
          <w:color w:val="000000"/>
          <w:sz w:val="32"/>
          <w:szCs w:val="32"/>
        </w:rPr>
      </w:pPr>
      <w:r>
        <w:rPr>
          <w:rFonts w:ascii="仿宋" w:eastAsia="仿宋" w:hint="eastAsia"/>
          <w:b/>
          <w:color w:val="000000"/>
          <w:sz w:val="32"/>
          <w:szCs w:val="32"/>
        </w:rPr>
        <w:t>（</w:t>
      </w:r>
      <w:r>
        <w:rPr>
          <w:rFonts w:ascii="仿宋" w:eastAsia="仿宋"/>
          <w:b/>
          <w:color w:val="000000"/>
          <w:sz w:val="32"/>
          <w:szCs w:val="32"/>
        </w:rPr>
        <w:t>二</w:t>
      </w:r>
      <w:r>
        <w:rPr>
          <w:rFonts w:ascii="仿宋" w:eastAsia="仿宋" w:hint="eastAsia"/>
          <w:b/>
          <w:color w:val="000000"/>
          <w:sz w:val="32"/>
          <w:szCs w:val="32"/>
        </w:rPr>
        <w:t>）</w:t>
      </w:r>
      <w:r>
        <w:rPr>
          <w:rFonts w:ascii="仿宋" w:eastAsia="仿宋"/>
          <w:b/>
          <w:color w:val="000000"/>
          <w:sz w:val="32"/>
          <w:szCs w:val="32"/>
        </w:rPr>
        <w:t>政府采购</w:t>
      </w:r>
      <w:r>
        <w:rPr>
          <w:rFonts w:ascii="仿宋" w:eastAsia="仿宋" w:hint="eastAsia"/>
          <w:b/>
          <w:color w:val="000000"/>
          <w:sz w:val="32"/>
          <w:szCs w:val="32"/>
        </w:rPr>
        <w:t>支出情况</w:t>
      </w:r>
    </w:p>
    <w:p>
      <w:pPr>
        <w:widowControl/>
        <w:ind w:firstLineChars="150" w:firstLine="480"/>
        <w:jc w:val="left"/>
        <w:rPr>
          <w:rFonts w:ascii="仿宋_GB2312" w:eastAsia="仿宋_GB2312"/>
          <w:b/>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8年，壤塘县人民政府办公室应急办公室</w:t>
      </w:r>
      <w:r>
        <w:rPr>
          <w:rFonts w:ascii="仿宋_GB2312" w:eastAsia="仿宋_GB2312"/>
          <w:color w:val="000000"/>
          <w:sz w:val="32"/>
          <w:szCs w:val="32"/>
        </w:rPr>
        <w:t>无政府采购。</w:t>
      </w:r>
      <w:r>
        <w:rPr>
          <w:rFonts w:ascii="仿宋_GB2312" w:eastAsia="仿宋_GB2312"/>
          <w:b/>
          <w:color w:val="000000"/>
          <w:sz w:val="32"/>
          <w:szCs w:val="32"/>
        </w:rPr>
        <w:br w:type="page"/>
      </w:r>
    </w:p>
    <w:p>
      <w:pPr>
        <w:numPr>
          <w:ilvl w:val="0"/>
          <w:numId w:val="3"/>
        </w:numPr>
        <w:spacing w:line="600" w:lineRule="exact"/>
        <w:ind w:left="0" w:firstLineChars="150" w:firstLine="660"/>
        <w:jc w:val="center"/>
        <w:outlineLvl w:val="0"/>
        <w:rPr>
          <w:rStyle w:val="1Char"/>
          <w:rFonts w:ascii="黑体" w:eastAsia="黑体"/>
          <w:b w:val="0"/>
        </w:rPr>
      </w:pPr>
      <w:bookmarkStart w:id="53" w:name="_Toc15396613"/>
      <w:bookmarkStart w:id="54" w:name="_Toc15377225"/>
      <w:r>
        <w:rPr>
          <w:rFonts w:ascii="黑体" w:eastAsia="黑体" w:hint="eastAsia"/>
          <w:b/>
          <w:color w:val="000000"/>
          <w:sz w:val="44"/>
          <w:szCs w:val="44"/>
        </w:rPr>
        <w:t>名</w:t>
      </w:r>
      <w:r>
        <w:rPr>
          <w:rStyle w:val="1Char"/>
          <w:rFonts w:ascii="黑体" w:eastAsia="黑体" w:hint="eastAsia"/>
          <w:b w:val="0"/>
        </w:rPr>
        <w:t>词解释</w:t>
      </w:r>
      <w:bookmarkEnd w:id="53"/>
      <w:bookmarkEnd w:id="54"/>
    </w:p>
    <w:p>
      <w:pPr>
        <w:spacing w:line="600" w:lineRule="exact"/>
        <w:jc w:val="left"/>
        <w:rPr>
          <w:rFonts w:ascii="宋体"/>
          <w:b/>
          <w:color w:val="000000"/>
          <w:sz w:val="44"/>
          <w:szCs w:val="44"/>
        </w:rPr>
      </w:pPr>
    </w:p>
    <w:p>
      <w:pPr>
        <w:pStyle w:val="27"/>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一般公共服务201（类）03（款）05（项）：指我办事业运行支出。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社会保障和就业208（类）05（款）05（项）：指我办2018养老保险的支出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社会保障和就业208（类）05（款）06（项）：指我办2018职业年金的支出。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医疗卫生与计划生育210（类）（款）11（项）01指2018年我办医疗卫生方面的支出。。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住房保障221（类）02（款）01（项）：指2018年我办住房公积金支出。</w:t>
      </w:r>
    </w:p>
    <w:p>
      <w:pPr>
        <w:spacing w:line="600" w:lineRule="exact"/>
        <w:ind w:firstLine="640"/>
        <w:rPr>
          <w:rFonts w:ascii="仿宋" w:eastAsia="仿宋"/>
          <w:b/>
          <w:color w:val="000000"/>
          <w:sz w:val="32"/>
          <w:szCs w:val="32"/>
        </w:rPr>
      </w:pPr>
      <w:r>
        <w:rPr>
          <w:rFonts w:ascii="仿宋" w:eastAsia="仿宋" w:hint="eastAsia"/>
          <w:b/>
          <w:color w:val="000000"/>
          <w:sz w:val="32"/>
          <w:szCs w:val="32"/>
        </w:rPr>
        <w:t>（解释本部门决算报表中全部功能分类科目至项级，请参照《</w:t>
      </w:r>
      <w:r>
        <w:rPr>
          <w:rFonts w:ascii="仿宋" w:eastAsia="仿宋"/>
          <w:b/>
          <w:color w:val="000000"/>
          <w:sz w:val="32"/>
          <w:szCs w:val="32"/>
        </w:rPr>
        <w:t>201</w:t>
      </w:r>
      <w:r>
        <w:rPr>
          <w:rFonts w:ascii="仿宋" w:eastAsia="仿宋" w:hint="eastAsia"/>
          <w:b/>
          <w:color w:val="000000"/>
          <w:sz w:val="32"/>
          <w:szCs w:val="32"/>
        </w:rPr>
        <w:t>8年政府收支分类科目》增减内容。）</w:t>
      </w:r>
    </w:p>
    <w:p>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Chars="200" w:firstLine="640"/>
        <w:rPr>
          <w:rFonts w:ascii="仿宋_GB2312" w:eastAsia="仿宋_GB2312" w:cs="黑体"/>
          <w:sz w:val="32"/>
          <w:szCs w:val="32"/>
        </w:rPr>
      </w:pPr>
    </w:p>
    <w:p>
      <w:pPr>
        <w:ind w:firstLineChars="200" w:firstLine="640"/>
        <w:rPr>
          <w:rFonts w:ascii="仿宋" w:eastAsia="仿宋"/>
          <w:b/>
          <w:color w:val="000000"/>
          <w:sz w:val="32"/>
          <w:szCs w:val="32"/>
        </w:rPr>
      </w:pPr>
      <w:r>
        <w:rPr>
          <w:rFonts w:ascii="仿宋" w:eastAsia="仿宋" w:hint="eastAsia"/>
          <w:b/>
          <w:color w:val="000000"/>
          <w:sz w:val="32"/>
          <w:szCs w:val="32"/>
        </w:rPr>
        <w:t>（名词解释部分请根据各部门实际列支情况罗列，并根据本部门职责职能增减名词解释内容。）</w:t>
      </w:r>
    </w:p>
    <w:p>
      <w:pPr>
        <w:spacing w:line="600" w:lineRule="exact"/>
        <w:jc w:val="center"/>
        <w:outlineLvl w:val="0"/>
        <w:rPr>
          <w:rStyle w:val="1Char"/>
          <w:rFonts w:ascii="黑体" w:eastAsia="黑体"/>
          <w:b w:val="0"/>
        </w:rPr>
      </w:pPr>
      <w:bookmarkStart w:id="55" w:name="_Toc15377226"/>
      <w:r>
        <w:rPr>
          <w:rFonts w:ascii="宋体"/>
          <w:b/>
          <w:color w:val="000000"/>
          <w:sz w:val="44"/>
          <w:szCs w:val="44"/>
        </w:rPr>
        <w:br w:type="page"/>
      </w:r>
      <w:bookmarkStart w:id="56" w:name="_Toc15396614"/>
      <w:r>
        <w:rPr>
          <w:rFonts w:ascii="黑体" w:eastAsia="黑体" w:hint="eastAsia"/>
          <w:color w:val="000000"/>
          <w:sz w:val="44"/>
          <w:szCs w:val="44"/>
        </w:rPr>
        <w:t>第</w:t>
      </w:r>
      <w:r>
        <w:rPr>
          <w:rStyle w:val="1Char"/>
          <w:rFonts w:ascii="黑体" w:eastAsia="黑体" w:hint="eastAsia"/>
          <w:b w:val="0"/>
        </w:rPr>
        <w:t>四部分 附件</w:t>
      </w:r>
      <w:bookmarkEnd w:id="56"/>
    </w:p>
    <w:p>
      <w:pPr>
        <w:spacing w:line="600" w:lineRule="exact"/>
        <w:jc w:val="center"/>
        <w:outlineLvl w:val="0"/>
        <w:rPr>
          <w:rStyle w:val="1Char"/>
        </w:rPr>
      </w:pPr>
    </w:p>
    <w:p>
      <w:pPr>
        <w:pStyle w:val="2"/>
        <w:rPr>
          <w:rStyle w:val="1Char"/>
          <w:rFonts w:ascii="仿宋" w:eastAsia="仿宋"/>
          <w:b w:val="0"/>
          <w:bCs w:val="0"/>
          <w:sz w:val="32"/>
          <w:szCs w:val="32"/>
        </w:rPr>
      </w:pPr>
      <w:bookmarkStart w:id="57" w:name="_Toc15396615"/>
      <w:r>
        <w:rPr>
          <w:rStyle w:val="1Char"/>
          <w:rFonts w:ascii="仿宋" w:eastAsia="仿宋" w:hint="eastAsia"/>
          <w:b w:val="0"/>
          <w:bCs w:val="0"/>
          <w:sz w:val="32"/>
          <w:szCs w:val="32"/>
        </w:rPr>
        <w:t>附件1</w:t>
      </w:r>
      <w:bookmarkEnd w:id="57"/>
    </w:p>
    <w:p>
      <w:pPr>
        <w:spacing w:line="600" w:lineRule="exact"/>
        <w:jc w:val="center"/>
        <w:outlineLvl w:val="0"/>
        <w:rPr>
          <w:rFonts w:ascii="黑体" w:eastAsia="黑体" w:cs="方正小标宋简体"/>
          <w:sz w:val="36"/>
          <w:szCs w:val="36"/>
        </w:rPr>
      </w:pPr>
      <w:bookmarkStart w:id="58" w:name="_Toc15396616"/>
      <w:r>
        <w:rPr>
          <w:rFonts w:ascii="黑体" w:eastAsia="黑体" w:cs="方正小标宋简体" w:hint="eastAsia"/>
          <w:sz w:val="36"/>
          <w:szCs w:val="36"/>
        </w:rPr>
        <w:t>壤塘县人民政府办公室应急办2018年部门整体支出绩效评价报告</w:t>
      </w:r>
      <w:bookmarkEnd w:id="58"/>
    </w:p>
    <w:p>
      <w:pPr>
        <w:spacing w:line="580" w:lineRule="exact"/>
        <w:ind w:firstLineChars="200" w:firstLine="640"/>
        <w:rPr>
          <w:rFonts w:ascii="黑体" w:eastAsia="黑体" w:cs="黑体"/>
          <w:sz w:val="32"/>
          <w:szCs w:val="32"/>
        </w:rPr>
      </w:pPr>
    </w:p>
    <w:p>
      <w:pPr>
        <w:spacing w:line="580" w:lineRule="exact"/>
        <w:ind w:firstLineChars="200" w:firstLine="640"/>
        <w:rPr>
          <w:rFonts w:ascii="黑体" w:eastAsia="黑体" w:cs="黑体"/>
          <w:sz w:val="32"/>
          <w:szCs w:val="32"/>
        </w:rPr>
      </w:pPr>
      <w:r>
        <w:rPr>
          <w:rFonts w:ascii="黑体" w:eastAsia="黑体" w:cs="黑体" w:hint="eastAsia"/>
          <w:sz w:val="32"/>
          <w:szCs w:val="32"/>
        </w:rPr>
        <w:t>一、部门（单位）概况</w:t>
      </w:r>
    </w:p>
    <w:p>
      <w:pPr>
        <w:spacing w:line="560" w:lineRule="exact"/>
        <w:ind w:firstLineChars="200" w:firstLine="640"/>
        <w:rPr>
          <w:rFonts w:eastAsia="仿宋_GB2312"/>
          <w:sz w:val="32"/>
          <w:szCs w:val="32"/>
        </w:rPr>
      </w:pPr>
      <w:r>
        <w:rPr>
          <w:rFonts w:ascii="仿宋" w:eastAsia="仿宋" w:cs="仿宋_GB2312"/>
          <w:sz w:val="32"/>
          <w:szCs w:val="32"/>
        </w:rPr>
        <w:t>（一）机构组成。</w:t>
      </w:r>
      <w:r>
        <w:rPr>
          <w:rFonts w:ascii="仿宋" w:eastAsia="仿宋" w:cs="仿宋_GB2312" w:hint="eastAsia"/>
          <w:sz w:val="32"/>
          <w:szCs w:val="32"/>
        </w:rPr>
        <w:t>我</w:t>
      </w:r>
      <w:r>
        <w:rPr>
          <w:rFonts w:eastAsia="仿宋_GB2312" w:cs="仿宋_GB2312" w:hint="eastAsia"/>
          <w:sz w:val="32"/>
          <w:szCs w:val="32"/>
        </w:rPr>
        <w:t>办</w:t>
      </w:r>
      <w:r>
        <w:rPr>
          <w:rFonts w:eastAsia="仿宋_GB2312"/>
          <w:sz w:val="32"/>
          <w:szCs w:val="32"/>
        </w:rPr>
        <w:t>201</w:t>
      </w:r>
      <w:r>
        <w:rPr>
          <w:rFonts w:eastAsia="仿宋_GB2312" w:hint="eastAsia"/>
          <w:sz w:val="32"/>
          <w:szCs w:val="32"/>
        </w:rPr>
        <w:t>8</w:t>
      </w:r>
      <w:r>
        <w:rPr>
          <w:rFonts w:eastAsia="仿宋_GB2312" w:cs="仿宋_GB2312" w:hint="eastAsia"/>
          <w:sz w:val="32"/>
          <w:szCs w:val="32"/>
        </w:rPr>
        <w:t>年纳入部门决算编报范围的为二级级财政预算管理范围的事业单位。我办执行的是事业单位制度。</w:t>
      </w:r>
    </w:p>
    <w:p>
      <w:pPr>
        <w:spacing w:line="580" w:lineRule="exact"/>
        <w:ind w:firstLineChars="200" w:firstLine="640"/>
        <w:rPr>
          <w:rFonts w:ascii="仿宋" w:eastAsia="仿宋"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sz w:val="32"/>
          <w:szCs w:val="32"/>
        </w:rPr>
        <w:t>（二）机构职能。</w:t>
      </w:r>
    </w:p>
    <w:p>
      <w:pPr>
        <w:spacing w:line="580" w:lineRule="exact"/>
        <w:ind w:firstLineChars="300" w:firstLine="960"/>
        <w:rPr>
          <w:rFonts w:ascii="仿宋" w:eastAsia="仿宋" w:cs="仿宋_GB2312"/>
          <w:sz w:val="32"/>
          <w:szCs w:val="32"/>
        </w:rPr>
      </w:pPr>
      <w:r>
        <w:rPr>
          <w:rFonts w:ascii="仿宋" w:eastAsia="仿宋" w:cs="仿宋_GB2312" w:hint="eastAsia"/>
          <w:sz w:val="32"/>
          <w:szCs w:val="32"/>
        </w:rPr>
        <w:t>壤塘县人民政府应急管理办公室是壤塘县应急事件处理机构。其主要职责：负债协调和督促检查全县应急管理工作，协助县政府领导处置突发公共事件。</w:t>
      </w:r>
    </w:p>
    <w:p>
      <w:pPr>
        <w:spacing w:line="580" w:lineRule="exact"/>
        <w:ind w:firstLineChars="200" w:firstLine="640"/>
        <w:rPr>
          <w:rFonts w:ascii="仿宋" w:eastAsia="仿宋" w:cs="仿宋_GB2312"/>
          <w:sz w:val="32"/>
          <w:szCs w:val="32"/>
        </w:rPr>
      </w:pPr>
      <w:r>
        <w:rPr>
          <w:rFonts w:ascii="仿宋" w:eastAsia="仿宋" w:cs="仿宋_GB2312"/>
          <w:sz w:val="32"/>
          <w:szCs w:val="32"/>
        </w:rPr>
        <w:t>（三）人员概况。</w:t>
      </w:r>
    </w:p>
    <w:p>
      <w:pPr>
        <w:spacing w:line="580" w:lineRule="exact"/>
        <w:ind w:firstLineChars="300" w:firstLine="960"/>
        <w:rPr>
          <w:rFonts w:ascii="仿宋" w:eastAsia="仿宋" w:cs="仿宋_GB2312"/>
          <w:sz w:val="32"/>
          <w:szCs w:val="32"/>
        </w:rPr>
      </w:pPr>
      <w:r>
        <w:rPr>
          <w:rFonts w:ascii="仿宋" w:eastAsia="仿宋" w:cs="仿宋_GB2312" w:hint="eastAsia"/>
          <w:sz w:val="32"/>
          <w:szCs w:val="32"/>
        </w:rPr>
        <w:t>年末单位编制数１８人，截止</w:t>
      </w:r>
      <w:r>
        <w:rPr>
          <w:rFonts w:ascii="仿宋" w:eastAsia="仿宋" w:cs="仿宋_GB2312"/>
          <w:sz w:val="32"/>
          <w:szCs w:val="32"/>
        </w:rPr>
        <w:t>2018</w:t>
      </w:r>
      <w:r>
        <w:rPr>
          <w:rFonts w:ascii="仿宋" w:eastAsia="仿宋" w:cs="仿宋_GB2312" w:hint="eastAsia"/>
          <w:sz w:val="32"/>
          <w:szCs w:val="32"/>
        </w:rPr>
        <w:t>年</w:t>
      </w:r>
      <w:r>
        <w:rPr>
          <w:rFonts w:ascii="仿宋" w:eastAsia="仿宋" w:cs="仿宋_GB2312"/>
          <w:sz w:val="32"/>
          <w:szCs w:val="32"/>
        </w:rPr>
        <w:t>12</w:t>
      </w:r>
      <w:r>
        <w:rPr>
          <w:rFonts w:ascii="仿宋" w:eastAsia="仿宋" w:cs="仿宋_GB2312" w:hint="eastAsia"/>
          <w:sz w:val="32"/>
          <w:szCs w:val="32"/>
        </w:rPr>
        <w:t>月</w:t>
      </w:r>
      <w:r>
        <w:rPr>
          <w:rFonts w:ascii="仿宋" w:eastAsia="仿宋" w:cs="仿宋_GB2312"/>
          <w:sz w:val="32"/>
          <w:szCs w:val="32"/>
        </w:rPr>
        <w:t>31</w:t>
      </w:r>
      <w:r>
        <w:rPr>
          <w:rFonts w:ascii="仿宋" w:eastAsia="仿宋" w:cs="仿宋_GB2312" w:hint="eastAsia"/>
          <w:sz w:val="32"/>
          <w:szCs w:val="32"/>
        </w:rPr>
        <w:t>日共有在职职工１５人</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w:t>
      </w:r>
      <w:r>
        <w:rPr>
          <w:rFonts w:ascii="仿宋" w:eastAsia="仿宋" w:cs="仿宋_GB2312" w:hint="eastAsia"/>
          <w:sz w:val="32"/>
          <w:szCs w:val="32"/>
        </w:rPr>
        <w:t>我办2018</w:t>
      </w:r>
      <w:r>
        <w:rPr>
          <w:rFonts w:ascii="仿宋" w:eastAsia="仿宋" w:cs="仿宋_GB2312"/>
          <w:sz w:val="32"/>
          <w:szCs w:val="32"/>
        </w:rPr>
        <w:t>部门财政资金收入</w:t>
      </w:r>
      <w:r>
        <w:rPr>
          <w:rFonts w:ascii="仿宋" w:eastAsia="仿宋" w:cs="仿宋_GB2312" w:hint="eastAsia"/>
          <w:sz w:val="32"/>
          <w:szCs w:val="32"/>
        </w:rPr>
        <w:t>为221.94万元</w:t>
      </w:r>
      <w:r>
        <w:rPr>
          <w:rFonts w:ascii="仿宋" w:eastAsia="仿宋" w:cs="仿宋_GB2312"/>
          <w:sz w:val="32"/>
          <w:szCs w:val="32"/>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（二）</w:t>
      </w:r>
      <w:r>
        <w:rPr>
          <w:rFonts w:ascii="仿宋" w:eastAsia="仿宋" w:cs="仿宋_GB2312" w:hint="eastAsia"/>
          <w:sz w:val="32"/>
          <w:szCs w:val="32"/>
        </w:rPr>
        <w:t>我办2018</w:t>
      </w:r>
      <w:r>
        <w:rPr>
          <w:rFonts w:ascii="仿宋" w:eastAsia="仿宋" w:cs="仿宋_GB2312"/>
          <w:sz w:val="32"/>
          <w:szCs w:val="32"/>
        </w:rPr>
        <w:t>部门财政资金</w:t>
      </w:r>
      <w:r>
        <w:rPr>
          <w:rFonts w:ascii="仿宋" w:eastAsia="仿宋" w:cs="仿宋_GB2312" w:hint="eastAsia"/>
          <w:sz w:val="32"/>
          <w:szCs w:val="32"/>
        </w:rPr>
        <w:t>支出为221.94万元</w:t>
      </w:r>
      <w:r>
        <w:rPr>
          <w:rFonts w:ascii="仿宋" w:eastAsia="仿宋" w:cs="仿宋_GB2312"/>
          <w:sz w:val="32"/>
          <w:szCs w:val="32"/>
        </w:rPr>
        <w:t>。</w:t>
      </w:r>
    </w:p>
    <w:p>
      <w:pPr>
        <w:spacing w:line="580" w:lineRule="exact"/>
        <w:ind w:firstLineChars="200" w:firstLine="640"/>
        <w:rPr>
          <w:rFonts w:ascii="仿宋" w:eastAsia="仿宋" w:cs="仿宋_GB2312"/>
          <w:sz w:val="32"/>
          <w:szCs w:val="32"/>
        </w:rPr>
      </w:pPr>
    </w:p>
    <w:p>
      <w:pPr>
        <w:spacing w:line="580" w:lineRule="exact"/>
        <w:ind w:firstLineChars="200" w:firstLine="640"/>
        <w:rPr>
          <w:rFonts w:ascii="黑体" w:eastAsia="黑体" w:cs="黑体"/>
          <w:sz w:val="32"/>
          <w:szCs w:val="32"/>
        </w:rPr>
      </w:pPr>
      <w:r>
        <w:rPr>
          <w:rFonts w:ascii="黑体" w:eastAsia="黑体" w:cs="黑体"/>
          <w:sz w:val="32"/>
          <w:szCs w:val="32"/>
        </w:rPr>
        <w:t>三、部门整体预算绩效管理情况（根据适用指标体系进行调整）</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（一）部门预算管理。</w:t>
      </w:r>
    </w:p>
    <w:p>
      <w:pPr>
        <w:ind w:firstLineChars="200" w:firstLine="600"/>
        <w:rPr>
          <w:rFonts w:ascii="仿宋_GB2312" w:eastAsia="仿宋_GB2312"/>
          <w:sz w:val="30"/>
          <w:szCs w:val="30"/>
        </w:rPr>
      </w:pPr>
      <w:r>
        <w:rPr>
          <w:rFonts w:ascii="仿宋_GB2312" w:eastAsia="仿宋_GB2312" w:hint="eastAsia"/>
          <w:sz w:val="30"/>
          <w:szCs w:val="30"/>
        </w:rPr>
        <w:t xml:space="preserve"> 我单位预算是由收入预算和支出预算组成，是二级预算单位，向壤塘县财政局申报预算，县财政局对我单位实行年度预算执行情况及结转和结余情况编制当年预算，县财政局批复后按照收支平衡的原则、合理安排各项资金。</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我办</w:t>
      </w:r>
      <w:r>
        <w:rPr>
          <w:rFonts w:ascii="仿宋" w:eastAsia="仿宋" w:cs="仿宋_GB2312"/>
          <w:sz w:val="32"/>
          <w:szCs w:val="32"/>
        </w:rPr>
        <w:t>专项预算项目程序严密、规划合理、结果符合、分配科学、分配及时、专项预算绩效目标完成、实施绩效、违规记录等情况。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年初所制定工作计划，结合上我单位财务管理严格执行《中华人民共和国预算法》、《中华人民共和国会计法》、《行政单位会计准则》或者《事业单位会计准则》、《内控管理制度》等国家有关法律、法规和财务规章制度，本着量入为出，保障重点，统筹兼顾，厉行节约，制止奢侈浪费，降低运行成本，注重资金使用效益的基本原则，加强我单位账务管理和监督，保障了我单位工作任务的完成。</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ind w:firstLineChars="200" w:firstLine="600"/>
        <w:rPr>
          <w:rFonts w:ascii="仿宋_GB2312" w:eastAsia="仿宋_GB2312"/>
          <w:sz w:val="30"/>
          <w:szCs w:val="30"/>
        </w:rPr>
      </w:pPr>
      <w:r>
        <w:rPr>
          <w:rFonts w:ascii="仿宋_GB2312" w:eastAsia="仿宋_GB2312" w:hint="eastAsia"/>
          <w:sz w:val="30"/>
          <w:szCs w:val="30"/>
        </w:rPr>
        <w:t>1.我单位本年项目支出达到支出的标准。</w:t>
      </w:r>
    </w:p>
    <w:p>
      <w:pPr>
        <w:ind w:firstLineChars="200" w:firstLine="600"/>
        <w:rPr>
          <w:rFonts w:ascii="仿宋_GB2312" w:eastAsia="仿宋_GB2312"/>
          <w:sz w:val="30"/>
          <w:szCs w:val="30"/>
        </w:rPr>
      </w:pPr>
      <w:r>
        <w:rPr>
          <w:rFonts w:ascii="仿宋_GB2312" w:eastAsia="仿宋_GB2312" w:hint="eastAsia"/>
          <w:sz w:val="30"/>
          <w:szCs w:val="30"/>
        </w:rPr>
        <w:t>2.我单位项目支出严格按照国家财经法规、预算资金管理办法、财务管理制度以及专项资金管理办法的规定支出。</w:t>
      </w:r>
    </w:p>
    <w:p>
      <w:pPr>
        <w:spacing w:line="580" w:lineRule="exact"/>
        <w:ind w:firstLineChars="200" w:firstLine="640"/>
        <w:rPr>
          <w:rFonts w:ascii="仿宋" w:eastAsia="仿宋" w:cs="仿宋_GB2312"/>
          <w:sz w:val="32"/>
          <w:szCs w:val="32"/>
        </w:rPr>
      </w:pPr>
    </w:p>
    <w:p>
      <w:pPr>
        <w:spacing w:line="580" w:lineRule="exact"/>
        <w:ind w:leftChars="200" w:left="42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存在问题</w:t>
      </w:r>
      <w:r>
        <w:rPr>
          <w:rFonts w:ascii="仿宋" w:eastAsia="仿宋" w:cs="仿宋_GB2312" w:hint="eastAsia"/>
          <w:sz w:val="32"/>
          <w:szCs w:val="32"/>
        </w:rPr>
        <w:t>及</w:t>
      </w:r>
      <w:r>
        <w:rPr>
          <w:rFonts w:ascii="仿宋" w:eastAsia="仿宋" w:cs="仿宋_GB2312"/>
          <w:sz w:val="32"/>
          <w:szCs w:val="32"/>
        </w:rPr>
        <w:t>改进建议</w:t>
      </w:r>
    </w:p>
    <w:p>
      <w:pPr>
        <w:spacing w:line="580" w:lineRule="exact"/>
        <w:ind w:leftChars="200" w:left="420" w:firstLineChars="100" w:firstLine="320"/>
        <w:rPr>
          <w:rFonts w:ascii="仿宋" w:eastAsia="仿宋_GB2312" w:cs="仿宋_GB2312" w:hAnsi="仿宋"/>
          <w:sz w:val="32"/>
          <w:szCs w:val="32"/>
        </w:rPr>
      </w:pPr>
      <w:r>
        <w:rPr>
          <w:rFonts w:ascii="仿宋_GB2312" w:eastAsia="仿宋_GB2312" w:cs="仿宋_GB2312" w:hint="eastAsia"/>
          <w:sz w:val="32"/>
          <w:szCs w:val="32"/>
        </w:rPr>
        <w:t>我单位今年存在财</w:t>
      </w:r>
      <w:r>
        <w:rPr>
          <w:rFonts w:ascii="仿宋" w:eastAsia="仿宋" w:cs="仿宋_GB2312" w:hint="eastAsia"/>
          <w:sz w:val="32"/>
          <w:szCs w:val="32"/>
        </w:rPr>
        <w:t>务管理制度不够完善。</w:t>
      </w:r>
      <w:r>
        <w:rPr>
          <w:rFonts w:ascii="仿宋_GB2312" w:eastAsia="仿宋_GB2312" w:cs="仿宋_GB2312" w:hint="eastAsia"/>
          <w:sz w:val="32"/>
          <w:szCs w:val="32"/>
        </w:rPr>
        <w:t>预算还不够全面的问题，在今后财政预算中，我单位将全面考虑，统筹计划，以减少预决算差额。完善财务制度。</w:t>
      </w: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spacing w:line="600" w:lineRule="exact"/>
        <w:jc w:val="center"/>
        <w:outlineLvl w:val="0"/>
        <w:rPr>
          <w:rStyle w:val="1Char"/>
          <w:rFonts w:ascii="黑体" w:eastAsia="黑体"/>
          <w:b w:val="0"/>
        </w:rPr>
      </w:pPr>
      <w:bookmarkStart w:id="59" w:name="_Toc15396618"/>
      <w:r>
        <w:rPr>
          <w:rFonts w:ascii="黑体" w:eastAsia="黑体" w:hint="eastAsia"/>
          <w:color w:val="000000"/>
          <w:sz w:val="44"/>
          <w:szCs w:val="44"/>
        </w:rPr>
        <w:t>第</w:t>
      </w:r>
      <w:r>
        <w:rPr>
          <w:rStyle w:val="1Char"/>
          <w:rFonts w:ascii="黑体" w:eastAsia="黑体" w:hint="eastAsia"/>
          <w:b w:val="0"/>
        </w:rPr>
        <w:t>五部分 附表</w:t>
      </w:r>
      <w:bookmarkEnd w:id="55"/>
      <w:bookmarkEnd w:id="59"/>
    </w:p>
    <w:p>
      <w:pPr>
        <w:spacing w:line="600" w:lineRule="exact"/>
        <w:jc w:val="center"/>
        <w:outlineLvl w:val="0"/>
        <w:rPr>
          <w:rFonts w:ascii="仿宋" w:eastAsia="仿宋"/>
          <w:b/>
          <w:color w:val="000000"/>
          <w:sz w:val="44"/>
          <w:szCs w:val="44"/>
        </w:rPr>
      </w:pPr>
    </w:p>
    <w:p>
      <w:pPr>
        <w:pStyle w:val="2"/>
        <w:rPr>
          <w:rFonts w:ascii="仿宋" w:eastAsia="仿宋"/>
          <w:color w:val="000000"/>
        </w:rPr>
      </w:pPr>
      <w:bookmarkStart w:id="60" w:name="_Toc15396619"/>
      <w:r>
        <w:rPr>
          <w:rFonts w:ascii="仿宋" w:eastAsia="仿宋" w:hint="eastAsia"/>
          <w:b w:val="0"/>
          <w:color w:val="000000"/>
        </w:rPr>
        <w:t>一、收</w:t>
      </w:r>
      <w:r>
        <w:rPr>
          <w:rStyle w:val="2Char"/>
          <w:rFonts w:ascii="仿宋" w:eastAsia="仿宋" w:hint="eastAsia"/>
          <w:b w:val="0"/>
          <w:bCs w:val="0"/>
        </w:rPr>
        <w:t>入支出决算总表</w:t>
      </w:r>
      <w:bookmarkEnd w:id="60"/>
    </w:p>
    <w:p>
      <w:pPr>
        <w:pStyle w:val="2"/>
        <w:rPr>
          <w:rFonts w:ascii="仿宋" w:eastAsia="仿宋"/>
          <w:color w:val="000000"/>
        </w:rPr>
      </w:pPr>
      <w:bookmarkStart w:id="61" w:name="_Toc15396620"/>
      <w:r>
        <w:rPr>
          <w:rFonts w:ascii="仿宋" w:eastAsia="仿宋" w:hint="eastAsia"/>
          <w:b w:val="0"/>
          <w:color w:val="000000"/>
        </w:rPr>
        <w:t>二、收</w:t>
      </w:r>
      <w:r>
        <w:rPr>
          <w:rStyle w:val="2Char"/>
          <w:rFonts w:ascii="仿宋" w:eastAsia="仿宋" w:hint="eastAsia"/>
          <w:b w:val="0"/>
          <w:bCs w:val="0"/>
        </w:rPr>
        <w:t>入总表</w:t>
      </w:r>
      <w:bookmarkEnd w:id="61"/>
    </w:p>
    <w:p>
      <w:pPr>
        <w:pStyle w:val="2"/>
        <w:rPr>
          <w:rFonts w:ascii="仿宋" w:eastAsia="仿宋"/>
          <w:color w:val="000000"/>
        </w:rPr>
      </w:pPr>
      <w:bookmarkStart w:id="62" w:name="_Toc15396621"/>
      <w:r>
        <w:rPr>
          <w:rStyle w:val="2Char"/>
          <w:rFonts w:ascii="仿宋" w:eastAsia="仿宋" w:hint="eastAsia"/>
          <w:b w:val="0"/>
          <w:bCs w:val="0"/>
        </w:rPr>
        <w:t>三、</w:t>
      </w:r>
      <w:r>
        <w:rPr>
          <w:rFonts w:ascii="仿宋" w:eastAsia="仿宋" w:hint="eastAsia"/>
          <w:b w:val="0"/>
          <w:color w:val="000000"/>
        </w:rPr>
        <w:t>支</w:t>
      </w:r>
      <w:r>
        <w:rPr>
          <w:rStyle w:val="2Char"/>
          <w:rFonts w:ascii="仿宋" w:eastAsia="仿宋" w:hint="eastAsia"/>
          <w:b w:val="0"/>
          <w:bCs w:val="0"/>
        </w:rPr>
        <w:t>出总表</w:t>
      </w:r>
      <w:bookmarkEnd w:id="62"/>
    </w:p>
    <w:p>
      <w:pPr>
        <w:pStyle w:val="2"/>
        <w:rPr>
          <w:rFonts w:ascii="仿宋" w:eastAsia="仿宋"/>
          <w:b w:val="0"/>
          <w:color w:val="000000"/>
        </w:rPr>
      </w:pPr>
      <w:bookmarkStart w:id="63" w:name="_Toc15396622"/>
      <w:r>
        <w:rPr>
          <w:rStyle w:val="2Char"/>
          <w:rFonts w:ascii="仿宋" w:eastAsia="仿宋" w:hint="eastAsia"/>
          <w:b w:val="0"/>
          <w:bCs w:val="0"/>
        </w:rPr>
        <w:t>四、</w:t>
      </w:r>
      <w:r>
        <w:rPr>
          <w:rFonts w:ascii="仿宋" w:eastAsia="仿宋" w:hint="eastAsia"/>
          <w:b w:val="0"/>
          <w:color w:val="000000"/>
        </w:rPr>
        <w:t>财</w:t>
      </w:r>
      <w:r>
        <w:rPr>
          <w:rStyle w:val="2Char"/>
          <w:rFonts w:ascii="仿宋" w:eastAsia="仿宋" w:hint="eastAsia"/>
          <w:b w:val="0"/>
          <w:bCs w:val="0"/>
        </w:rPr>
        <w:t>政拨款收入支出决算总表</w:t>
      </w:r>
      <w:bookmarkEnd w:id="63"/>
    </w:p>
    <w:p>
      <w:pPr>
        <w:pStyle w:val="2"/>
        <w:rPr>
          <w:rFonts w:ascii="仿宋" w:eastAsia="仿宋"/>
          <w:color w:val="000000"/>
        </w:rPr>
      </w:pPr>
      <w:bookmarkStart w:id="64" w:name="_Toc15396623"/>
      <w:r>
        <w:rPr>
          <w:rStyle w:val="2Char"/>
          <w:rFonts w:ascii="仿宋" w:eastAsia="仿宋" w:hint="eastAsia"/>
          <w:b w:val="0"/>
          <w:bCs w:val="0"/>
        </w:rPr>
        <w:t>五、</w:t>
      </w:r>
      <w:r>
        <w:rPr>
          <w:rFonts w:ascii="仿宋" w:eastAsia="仿宋" w:hint="eastAsia"/>
          <w:b w:val="0"/>
          <w:color w:val="000000"/>
        </w:rPr>
        <w:t>财</w:t>
      </w:r>
      <w:r>
        <w:rPr>
          <w:rStyle w:val="2Char"/>
          <w:rFonts w:ascii="仿宋" w:eastAsia="仿宋" w:hint="eastAsia"/>
          <w:b w:val="0"/>
          <w:bCs w:val="0"/>
        </w:rPr>
        <w:t>政拨款支出决算明细表（政府经济分类科目）</w:t>
      </w:r>
      <w:bookmarkEnd w:id="64"/>
    </w:p>
    <w:p>
      <w:pPr>
        <w:pStyle w:val="2"/>
        <w:rPr>
          <w:rFonts w:ascii="仿宋" w:eastAsia="仿宋"/>
          <w:color w:val="000000"/>
        </w:rPr>
      </w:pPr>
      <w:bookmarkStart w:id="65" w:name="_Toc15396624"/>
      <w:r>
        <w:rPr>
          <w:rStyle w:val="2Char"/>
          <w:rFonts w:ascii="仿宋" w:eastAsia="仿宋" w:hint="eastAsia"/>
          <w:b w:val="0"/>
          <w:bCs w:val="0"/>
        </w:rPr>
        <w:t>六、</w:t>
      </w:r>
      <w:r>
        <w:rPr>
          <w:rFonts w:ascii="仿宋" w:eastAsia="仿宋" w:hint="eastAsia"/>
          <w:b w:val="0"/>
          <w:color w:val="000000"/>
        </w:rPr>
        <w:t>一</w:t>
      </w:r>
      <w:r>
        <w:rPr>
          <w:rStyle w:val="2Char"/>
          <w:rFonts w:ascii="仿宋" w:eastAsia="仿宋" w:hint="eastAsia"/>
          <w:b w:val="0"/>
          <w:bCs w:val="0"/>
        </w:rPr>
        <w:t>般公共预算财政拨款支出决算表</w:t>
      </w:r>
      <w:bookmarkEnd w:id="65"/>
    </w:p>
    <w:p>
      <w:pPr>
        <w:pStyle w:val="2"/>
        <w:rPr>
          <w:rFonts w:ascii="仿宋" w:eastAsia="仿宋"/>
          <w:color w:val="000000"/>
        </w:rPr>
      </w:pPr>
      <w:bookmarkStart w:id="66" w:name="_Toc15396625"/>
      <w:r>
        <w:rPr>
          <w:rStyle w:val="2Char"/>
          <w:rFonts w:ascii="仿宋" w:eastAsia="仿宋" w:hint="eastAsia"/>
          <w:b w:val="0"/>
          <w:bCs w:val="0"/>
        </w:rPr>
        <w:t>七、</w:t>
      </w:r>
      <w:r>
        <w:rPr>
          <w:rFonts w:ascii="仿宋" w:eastAsia="仿宋" w:hint="eastAsia"/>
          <w:b w:val="0"/>
          <w:color w:val="000000"/>
        </w:rPr>
        <w:t>一</w:t>
      </w:r>
      <w:r>
        <w:rPr>
          <w:rStyle w:val="2Char"/>
          <w:rFonts w:ascii="仿宋" w:eastAsia="仿宋" w:hint="eastAsia"/>
          <w:b w:val="0"/>
          <w:bCs w:val="0"/>
        </w:rPr>
        <w:t>般公共预算财政拨款支出决算明细表</w:t>
      </w:r>
      <w:bookmarkEnd w:id="66"/>
    </w:p>
    <w:p>
      <w:pPr>
        <w:pStyle w:val="2"/>
        <w:rPr>
          <w:rFonts w:ascii="仿宋" w:eastAsia="仿宋"/>
          <w:color w:val="000000"/>
        </w:rPr>
      </w:pPr>
      <w:bookmarkStart w:id="67" w:name="_Toc15396626"/>
      <w:r>
        <w:rPr>
          <w:rStyle w:val="2Char"/>
          <w:rFonts w:ascii="仿宋" w:eastAsia="仿宋" w:hint="eastAsia"/>
          <w:b w:val="0"/>
          <w:bCs w:val="0"/>
        </w:rPr>
        <w:t>八、</w:t>
      </w:r>
      <w:r>
        <w:rPr>
          <w:rFonts w:ascii="仿宋" w:eastAsia="仿宋" w:hint="eastAsia"/>
          <w:b w:val="0"/>
          <w:color w:val="000000"/>
        </w:rPr>
        <w:t>一</w:t>
      </w:r>
      <w:r>
        <w:rPr>
          <w:rStyle w:val="2Char"/>
          <w:rFonts w:ascii="仿宋" w:eastAsia="仿宋" w:hint="eastAsia"/>
          <w:b w:val="0"/>
          <w:bCs w:val="0"/>
        </w:rPr>
        <w:t>般公共预算财政拨款基本支出决算表</w:t>
      </w:r>
      <w:bookmarkEnd w:id="67"/>
    </w:p>
    <w:p>
      <w:pPr>
        <w:pStyle w:val="2"/>
        <w:rPr>
          <w:rFonts w:ascii="仿宋" w:eastAsia="仿宋"/>
          <w:color w:val="000000"/>
        </w:rPr>
      </w:pPr>
      <w:bookmarkStart w:id="68" w:name="_Toc15396627"/>
      <w:r>
        <w:rPr>
          <w:rStyle w:val="2Char"/>
          <w:rFonts w:ascii="仿宋" w:eastAsia="仿宋" w:hint="eastAsia"/>
          <w:b w:val="0"/>
          <w:bCs w:val="0"/>
        </w:rPr>
        <w:t>九、</w:t>
      </w:r>
      <w:r>
        <w:rPr>
          <w:rFonts w:ascii="仿宋" w:eastAsia="仿宋" w:hint="eastAsia"/>
          <w:b w:val="0"/>
          <w:color w:val="000000"/>
        </w:rPr>
        <w:t>一</w:t>
      </w:r>
      <w:r>
        <w:rPr>
          <w:rStyle w:val="2Char"/>
          <w:rFonts w:ascii="仿宋" w:eastAsia="仿宋" w:hint="eastAsia"/>
          <w:b w:val="0"/>
          <w:bCs w:val="0"/>
        </w:rPr>
        <w:t>般公共预算财政拨款项目支出决算表</w:t>
      </w:r>
      <w:bookmarkEnd w:id="68"/>
    </w:p>
    <w:p>
      <w:pPr>
        <w:pStyle w:val="2"/>
        <w:rPr>
          <w:rFonts w:ascii="仿宋" w:eastAsia="仿宋"/>
          <w:color w:val="000000"/>
        </w:rPr>
      </w:pPr>
      <w:bookmarkStart w:id="69" w:name="_Toc15396628"/>
      <w:r>
        <w:rPr>
          <w:rStyle w:val="2Char"/>
          <w:rFonts w:ascii="仿宋" w:eastAsia="仿宋" w:hint="eastAsia"/>
          <w:b w:val="0"/>
          <w:bCs w:val="0"/>
        </w:rPr>
        <w:t>十、</w:t>
      </w:r>
      <w:r>
        <w:rPr>
          <w:rFonts w:ascii="仿宋" w:eastAsia="仿宋" w:hint="eastAsia"/>
          <w:b w:val="0"/>
          <w:color w:val="000000"/>
        </w:rPr>
        <w:t>一</w:t>
      </w:r>
      <w:r>
        <w:rPr>
          <w:rStyle w:val="2Char"/>
          <w:rFonts w:ascii="仿宋" w:eastAsia="仿宋" w:hint="eastAsia"/>
          <w:b w:val="0"/>
          <w:bCs w:val="0"/>
        </w:rPr>
        <w:t>般公共预算财政拨款“三公”经费支出决算表</w:t>
      </w:r>
      <w:bookmarkEnd w:id="69"/>
    </w:p>
    <w:p>
      <w:pPr>
        <w:pStyle w:val="2"/>
        <w:rPr>
          <w:rFonts w:ascii="仿宋" w:eastAsia="仿宋"/>
          <w:color w:val="000000"/>
        </w:rPr>
      </w:pPr>
      <w:bookmarkStart w:id="70" w:name="_Toc15396629"/>
      <w:r>
        <w:rPr>
          <w:rStyle w:val="2Char"/>
          <w:rFonts w:ascii="仿宋" w:eastAsia="仿宋" w:hint="eastAsia"/>
          <w:b w:val="0"/>
          <w:bCs w:val="0"/>
        </w:rPr>
        <w:t>十一、</w:t>
      </w:r>
      <w:r>
        <w:rPr>
          <w:rFonts w:ascii="仿宋" w:eastAsia="仿宋" w:hint="eastAsia"/>
          <w:b w:val="0"/>
          <w:color w:val="000000"/>
        </w:rPr>
        <w:t>政</w:t>
      </w:r>
      <w:r>
        <w:rPr>
          <w:rStyle w:val="2Char"/>
          <w:rFonts w:ascii="仿宋" w:eastAsia="仿宋" w:hint="eastAsia"/>
          <w:b w:val="0"/>
          <w:bCs w:val="0"/>
        </w:rPr>
        <w:t>府性基金预算财政拨款收入支出决算表</w:t>
      </w:r>
      <w:bookmarkEnd w:id="70"/>
    </w:p>
    <w:p>
      <w:pPr>
        <w:pStyle w:val="2"/>
        <w:rPr>
          <w:rFonts w:ascii="仿宋" w:eastAsia="仿宋"/>
          <w:color w:val="000000"/>
        </w:rPr>
      </w:pPr>
      <w:bookmarkStart w:id="71" w:name="_Toc15396630"/>
      <w:r>
        <w:rPr>
          <w:rStyle w:val="2Char"/>
          <w:rFonts w:ascii="仿宋" w:eastAsia="仿宋" w:hint="eastAsia"/>
          <w:b w:val="0"/>
          <w:bCs w:val="0"/>
        </w:rPr>
        <w:t>十二、</w:t>
      </w:r>
      <w:r>
        <w:rPr>
          <w:rFonts w:ascii="仿宋" w:eastAsia="仿宋" w:hint="eastAsia"/>
          <w:b w:val="0"/>
          <w:color w:val="000000"/>
        </w:rPr>
        <w:t>政</w:t>
      </w:r>
      <w:r>
        <w:rPr>
          <w:rStyle w:val="2Char"/>
          <w:rFonts w:ascii="仿宋" w:eastAsia="仿宋" w:hint="eastAsia"/>
          <w:b w:val="0"/>
          <w:bCs w:val="0"/>
        </w:rPr>
        <w:t>府性基金预算财政拨款“三公”经费支出决算表</w:t>
      </w:r>
      <w:bookmarkEnd w:id="71"/>
    </w:p>
    <w:p>
      <w:pPr>
        <w:pStyle w:val="2"/>
        <w:rPr>
          <w:rFonts w:ascii="仿宋" w:eastAsia="仿宋"/>
          <w:color w:val="000000"/>
          <w14:textFill>
            <w14:solidFill>
              <w14:srgbClr w14:val="000000"/>
            </w14:solidFill>
          </w14:textFill>
        </w:rPr>
      </w:pPr>
      <w:bookmarkStart w:id="72" w:name="_Toc15396631"/>
      <w:r>
        <w:rPr>
          <w:rStyle w:val="2Char"/>
          <w:rFonts w:ascii="仿宋" w:eastAsia="仿宋" w:hint="eastAsia"/>
          <w:b w:val="0"/>
          <w:bCs w:val="0"/>
        </w:rPr>
        <w:t>十三、</w:t>
      </w:r>
      <w:r>
        <w:rPr>
          <w:rFonts w:ascii="仿宋" w:eastAsia="仿宋" w:hint="eastAsia"/>
          <w:b w:val="0"/>
          <w:color w:val="000000"/>
        </w:rPr>
        <w:t>国</w:t>
      </w:r>
      <w:r>
        <w:rPr>
          <w:rStyle w:val="2Char"/>
          <w:rFonts w:ascii="仿宋" w:eastAsia="仿宋" w:hint="eastAsia"/>
          <w:b w:val="0"/>
          <w:bCs w:val="0"/>
        </w:rPr>
        <w:t>有资本经营预算支出决算表</w:t>
      </w:r>
      <w:bookmarkEnd w:id="72"/>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 PL UKai CN"/>
    <w:panose1 w:val="03000509000000000000"/>
    <w:charset w:val="86"/>
    <w:family w:val="script"/>
    <w:pitch w:val="variable"/>
    <w:sig w:usb0="00000000" w:usb1="00000000" w:usb2="0000001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E00002FF" w:usb1="4000ACFF" w:usb2="00000001" w:usb3="00000000" w:csb0="2000019F" w:csb1="00000000"/>
  </w:font>
  <w:font w:name="仿宋_GB2312">
    <w:altName w:val="仿宋"/>
    <w:panose1 w:val="02010609030101010101"/>
    <w:charset w:val="86"/>
    <w:family w:val="modern"/>
    <w:pitch w:val="variable"/>
    <w:sig w:usb0="00000000" w:usb1="00000000" w:usb2="0000001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819831939"/>
    </w:sdtPr>
    <w:sdtContent>
      <w:p>
        <w:pPr>
          <w:pStyle w:val="18"/>
          <w:tabs>
            <w:tab w:val="center" w:pos="4153"/>
            <w:tab w:val="right" w:pos="8306"/>
          </w:tabs>
          <w:jc w:val="center"/>
        </w:pPr>
        <w:r>
          <w:fldChar w:fldCharType="begin"/>
        </w:r>
        <w:r>
          <w:instrText>PAGE   \* MERGEFORMAT</w:instrText>
        </w:r>
        <w:r>
          <w:fldChar w:fldCharType="separate"/>
        </w:r>
        <w:r>
          <w:rPr>
            <w:lang w:val="zh-CN"/>
          </w:rPr>
          <w:t>4</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2">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 PL UKai CN"/>
                <a:ea typeface="AR PL UKai CN"/>
                <a:cs typeface="Lucida Sans"/>
              </a:defRPr>
            </a:pPr>
            <a:r>
              <a:rPr lang="zh-CN" sz="1400" b="0" i="0" u="none" strike="noStrike" baseline="0">
                <a:solidFill>
                  <a:srgbClr val="595959"/>
                </a:solidFill>
                <a:latin typeface="AR PL UKai CN"/>
                <a:ea typeface="AR PL UKai CN"/>
                <a:cs typeface="Lucida Sans"/>
              </a:rPr>
              <a:t>2018</a:t>
            </a:r>
            <a:r>
              <a:rPr lang="zh-CN" sz="1400" b="0" i="0" u="none" strike="noStrike" baseline="0">
                <a:solidFill>
                  <a:srgbClr val="595959"/>
                </a:solidFill>
                <a:latin typeface="AR PL UKai CN"/>
                <a:ea typeface="AR PL UKai CN"/>
                <a:cs typeface="Lucida Sans"/>
              </a:rPr>
              <a:t>年收入与支出</a:t>
            </a:r>
          </a:p>
        </c:rich>
      </c:tx>
      <c:layout/>
      <c:overlay val="0"/>
      <c:spPr>
        <a:noFill/>
        <a:ln>
          <a:noFill/>
        </a:ln>
      </c:spPr>
    </c:title>
    <c:autoTitleDeleted val="1"/>
    <c:plotArea>
      <c:layout/>
      <c:barChart>
        <c:barDir val="col"/>
        <c:grouping val="clustered"/>
        <c:varyColors val="0"/>
        <c:ser>
          <c:idx val="1"/>
          <c:order val="0"/>
          <c:spPr>
            <a:solidFill>
              <a:srgbClr val="C0504D"/>
            </a:solidFill>
            <a:ln>
              <a:noFill/>
            </a:ln>
          </c:spPr>
          <c:invertIfNegative val="0"/>
          <c:dLbls>
            <c:spPr>
              <a:noFill/>
              <a:ln>
                <a:noFill/>
              </a:ln>
            </c:spPr>
            <c:txPr>
              <a:bodyPr vert="horz"/>
              <a:lstStyle/>
              <a:p>
                <a:pPr>
                  <a:defRPr sz="900" b="0" i="0" u="none" strike="noStrike" baseline="0">
                    <a:solidFill>
                      <a:srgbClr val="404040"/>
                    </a:solidFill>
                    <a:latin typeface="AR PL UKai CN"/>
                    <a:ea typeface="AR PL UKai CN"/>
                    <a:cs typeface="Lucida Sans"/>
                  </a:defRPr>
                </a:pPr>
                <a:endParaRPr lang="zh-CN"/>
              </a:p>
            </c:txPr>
            <c:numFmt formatCode="General" sourceLinked="0"/>
            <c:dLbl>
              <c:idx val="0"/>
              <c:numFmt formatCode="General" sourceLinked="0"/>
              <c:spPr>
                <a:noFill/>
                <a:ln>
                  <a:noFill/>
                </a:ln>
              </c:spPr>
              <c:txPr>
                <a:bodyPr vert="horz"/>
                <a:lstStyle/>
                <a:p>
                  <a:pPr>
                    <a:defRPr sz="900" b="0" i="0" u="none" strike="noStrike" baseline="0">
                      <a:solidFill>
                        <a:srgbClr val="404040"/>
                      </a:solidFill>
                      <a:latin typeface="AR PL UKai CN"/>
                      <a:ea typeface="AR PL UKai CN"/>
                      <a:cs typeface="Lucida Sans"/>
                    </a:defRPr>
                  </a:pPr>
                  <a:endParaRPr lang="zh-CN"/>
                </a:p>
              </c:txPr>
              <c:dLblPos val="outEnd"/>
              <c:tx>
                <c:rich>
                  <a:bodyPr vert="horz"/>
                  <a:lstStyle/>
                  <a:p>
                    <a:pPr>
                      <a:defRPr sz="900" b="0" i="0" u="none" strike="noStrike" baseline="0">
                        <a:solidFill>
                          <a:srgbClr val="404040"/>
                        </a:solidFill>
                        <a:latin typeface="AR PL UKai CN"/>
                        <a:ea typeface="AR PL UKai CN"/>
                        <a:cs typeface="Lucida Sans"/>
                      </a:defRPr>
                    </a:pPr>
                    <a:r>
                      <a:rPr lang="zh-CN" sz="900" b="0" i="0" u="none" strike="noStrike" baseline="0">
                        <a:solidFill>
                          <a:srgbClr val="404040"/>
                        </a:solidFill>
                        <a:latin typeface="AR PL UKai CN"/>
                        <a:ea typeface="AR PL UKai CN"/>
                        <a:cs typeface="Lucida Sans"/>
                      </a:rPr>
                      <a:t>2018</a:t>
                    </a:r>
                    <a:r>
                      <a:rPr lang="zh-CN" sz="900" b="0" i="0" u="none" strike="noStrike" baseline="0">
                        <a:solidFill>
                          <a:srgbClr val="404040"/>
                        </a:solidFill>
                        <a:latin typeface="AR PL UKai CN"/>
                        <a:ea typeface="AR PL UKai CN"/>
                        <a:cs typeface="Lucida Sans"/>
                      </a:rPr>
                      <a:t>年收入</a:t>
                    </a:r>
                  </a:p>
                </c:rich>
              </c:tx>
              <c:showLegendKey val="0"/>
              <c:showVal val="1"/>
              <c:showCatName val="0"/>
              <c:showSerName val="0"/>
              <c:showPercent val="0"/>
              <c:showBubbleSize val="0"/>
            </c:dLbl>
            <c:dLbl>
              <c:idx val="1"/>
              <c:numFmt formatCode="General" sourceLinked="0"/>
              <c:spPr>
                <a:noFill/>
                <a:ln>
                  <a:noFill/>
                </a:ln>
              </c:spPr>
              <c:txPr>
                <a:bodyPr vert="horz"/>
                <a:lstStyle/>
                <a:p>
                  <a:pPr>
                    <a:defRPr sz="900" b="0" i="0" u="none" strike="noStrike" baseline="0">
                      <a:solidFill>
                        <a:srgbClr val="404040"/>
                      </a:solidFill>
                      <a:latin typeface="AR PL UKai CN"/>
                      <a:ea typeface="AR PL UKai CN"/>
                      <a:cs typeface="Lucida Sans"/>
                    </a:defRPr>
                  </a:pPr>
                  <a:endParaRPr lang="zh-CN"/>
                </a:p>
              </c:txPr>
              <c:dLblPos val="outEnd"/>
              <c:tx>
                <c:rich>
                  <a:bodyPr vert="horz"/>
                  <a:lstStyle/>
                  <a:p>
                    <a:pPr>
                      <a:defRPr sz="900" b="0" i="0" u="none" strike="noStrike" baseline="0">
                        <a:solidFill>
                          <a:srgbClr val="404040"/>
                        </a:solidFill>
                        <a:latin typeface="AR PL UKai CN"/>
                        <a:ea typeface="AR PL UKai CN"/>
                        <a:cs typeface="Lucida Sans"/>
                      </a:defRPr>
                    </a:pPr>
                    <a:r>
                      <a:rPr lang="zh-CN" sz="900" b="0" i="0" u="none" strike="noStrike" baseline="0">
                        <a:solidFill>
                          <a:srgbClr val="404040"/>
                        </a:solidFill>
                        <a:latin typeface="AR PL UKai CN"/>
                        <a:ea typeface="AR PL UKai CN"/>
                        <a:cs typeface="Lucida Sans"/>
                      </a:rPr>
                      <a:t>2018</a:t>
                    </a:r>
                    <a:r>
                      <a:rPr lang="zh-CN" sz="900" b="0" i="0" u="none" strike="noStrike" baseline="0">
                        <a:solidFill>
                          <a:srgbClr val="404040"/>
                        </a:solidFill>
                        <a:latin typeface="AR PL UKai CN"/>
                        <a:ea typeface="AR PL UKai CN"/>
                        <a:cs typeface="Lucida Sans"/>
                      </a:rPr>
                      <a:t>年支出</a:t>
                    </a:r>
                  </a:p>
                </c:rich>
              </c:tx>
              <c:showLegendKey val="0"/>
              <c:showVal val="1"/>
              <c:showCatName val="0"/>
              <c:showSerName val="0"/>
              <c:showPercent val="0"/>
              <c:showBubbleSize val="0"/>
            </c:dLbl>
            <c:dLbl>
              <c:idx val="2"/>
              <c:numFmt formatCode="General" sourceLinked="0"/>
              <c:spPr>
                <a:noFill/>
                <a:ln>
                  <a:noFill/>
                </a:ln>
              </c:spPr>
              <c:txPr>
                <a:bodyPr vert="horz"/>
                <a:lstStyle/>
                <a:p>
                  <a:pPr>
                    <a:defRPr sz="900" b="0" i="0" u="none" strike="noStrike" baseline="0">
                      <a:solidFill>
                        <a:srgbClr val="404040"/>
                      </a:solidFill>
                      <a:latin typeface="AR PL UKai CN"/>
                      <a:ea typeface="AR PL UKai CN"/>
                      <a:cs typeface="Lucida Sans"/>
                    </a:defRPr>
                  </a:pPr>
                  <a:endParaRPr lang="zh-CN"/>
                </a:p>
              </c:txPr>
              <c:dLblPos val="outEnd"/>
              <c:tx>
                <c:rich>
                  <a:bodyPr vert="horz"/>
                  <a:lstStyle/>
                  <a:p>
                    <a:pPr>
                      <a:defRPr sz="900" b="0" i="0" u="none" strike="noStrike" baseline="0">
                        <a:solidFill>
                          <a:srgbClr val="404040"/>
                        </a:solidFill>
                        <a:latin typeface="AR PL UKai CN"/>
                        <a:ea typeface="AR PL UKai CN"/>
                        <a:cs typeface="Lucida Sans"/>
                      </a:defRPr>
                    </a:pPr>
                    <a:r>
                      <a:rPr lang="zh-CN" sz="900" b="0" i="0" u="none" strike="noStrike" baseline="0">
                        <a:solidFill>
                          <a:srgbClr val="404040"/>
                        </a:solidFill>
                        <a:latin typeface="AR PL UKai CN"/>
                        <a:ea typeface="AR PL UKai CN"/>
                        <a:cs typeface="Lucida Sans"/>
                      </a:rPr>
                      <a:t>2017</a:t>
                    </a:r>
                    <a:r>
                      <a:rPr lang="zh-CN" sz="900" b="0" i="0" u="none" strike="noStrike" baseline="0">
                        <a:solidFill>
                          <a:srgbClr val="404040"/>
                        </a:solidFill>
                        <a:latin typeface="AR PL UKai CN"/>
                        <a:ea typeface="AR PL UKai CN"/>
                        <a:cs typeface="Lucida Sans"/>
                      </a:rPr>
                      <a:t>年收入</a:t>
                    </a:r>
                  </a:p>
                </c:rich>
              </c:tx>
              <c:showLegendKey val="0"/>
              <c:showVal val="1"/>
              <c:showCatName val="0"/>
              <c:showSerName val="0"/>
              <c:showPercent val="0"/>
              <c:showBubbleSize val="0"/>
            </c:dLbl>
            <c:dLbl>
              <c:idx val="3"/>
              <c:numFmt formatCode="General" sourceLinked="0"/>
              <c:spPr>
                <a:noFill/>
                <a:ln>
                  <a:noFill/>
                </a:ln>
              </c:spPr>
              <c:txPr>
                <a:bodyPr vert="horz"/>
                <a:lstStyle/>
                <a:p>
                  <a:pPr>
                    <a:defRPr sz="900" b="0" i="0" u="none" strike="noStrike" baseline="0">
                      <a:solidFill>
                        <a:srgbClr val="404040"/>
                      </a:solidFill>
                      <a:latin typeface="AR PL UKai CN"/>
                      <a:ea typeface="AR PL UKai CN"/>
                      <a:cs typeface="Lucida Sans"/>
                    </a:defRPr>
                  </a:pPr>
                  <a:endParaRPr lang="zh-CN"/>
                </a:p>
              </c:txPr>
              <c:dLblPos val="outEnd"/>
              <c:tx>
                <c:rich>
                  <a:bodyPr vert="horz"/>
                  <a:lstStyle/>
                  <a:p>
                    <a:pPr>
                      <a:defRPr sz="900" b="0" i="0" u="none" strike="noStrike" baseline="0">
                        <a:solidFill>
                          <a:srgbClr val="404040"/>
                        </a:solidFill>
                        <a:latin typeface="AR PL UKai CN"/>
                        <a:ea typeface="AR PL UKai CN"/>
                        <a:cs typeface="Lucida Sans"/>
                      </a:defRPr>
                    </a:pPr>
                    <a:r>
                      <a:rPr lang="zh-CN" sz="900" b="0" i="0" u="none" strike="noStrike" baseline="0">
                        <a:solidFill>
                          <a:srgbClr val="404040"/>
                        </a:solidFill>
                        <a:latin typeface="AR PL UKai CN"/>
                        <a:ea typeface="AR PL UKai CN"/>
                        <a:cs typeface="Lucida Sans"/>
                      </a:rPr>
                      <a:t>2017</a:t>
                    </a:r>
                    <a:r>
                      <a:rPr lang="zh-CN" sz="900" b="0" i="0" u="none" strike="noStrike" baseline="0">
                        <a:solidFill>
                          <a:srgbClr val="404040"/>
                        </a:solidFill>
                        <a:latin typeface="AR PL UKai CN"/>
                        <a:ea typeface="AR PL UKai CN"/>
                        <a:cs typeface="Lucida Sans"/>
                      </a:rPr>
                      <a:t>年支出</a:t>
                    </a:r>
                  </a:p>
                </c:rich>
              </c:tx>
              <c:showLegendKey val="0"/>
              <c:showVal val="1"/>
              <c:showCatName val="0"/>
              <c:showSerName val="0"/>
              <c:showPercent val="0"/>
              <c:showBubbleSize val="0"/>
            </c:dLbl>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val>
            <c:numRef>
              <c:f/>
              <c:numCache>
                <c:formatCode>General</c:formatCode>
                <c:ptCount val="4"/>
                <c:pt idx="0">
                  <c:v>221.94</c:v>
                </c:pt>
                <c:pt idx="1">
                  <c:v>221.94</c:v>
                </c:pt>
              </c:numCache>
            </c:numRef>
          </c:val>
        </c:ser>
        <c:overlap val="-27"/>
        <c:gapWidth val="219"/>
        <c:axId val="0"/>
        <c:axId val="1"/>
      </c:barChart>
      <c:catAx>
        <c:axId val="0"/>
        <c:scaling>
          <c:orientation val="minMax"/>
        </c:scaling>
        <c:delete val="0"/>
        <c:axPos val="b"/>
        <c:numFmt formatCode="General" sourceLinked="0"/>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AR PL UKai CN"/>
                <a:ea typeface="AR PL UKai CN"/>
                <a:cs typeface="Lucida Sans"/>
              </a:defRPr>
            </a:pPr>
            <a:endParaRPr lang="zh-CN"/>
          </a:p>
        </c:txPr>
        <c:crosses val="autoZero"/>
        <c:auto val="1"/>
        <c:lblOffset val="100"/>
        <c:lblAlgn val="ctr"/>
        <c:noMultiLvlLbl val="0"/>
        <c:crossAx val="1"/>
      </c:catAx>
      <c:valAx>
        <c:axId val="1"/>
        <c:scaling>
          <c:orientation val="minMax"/>
          <c:min val="0.0"/>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AR PL UKai CN"/>
                <a:ea typeface="AR PL UKai CN"/>
                <a:cs typeface="Lucida Sans"/>
              </a:defRPr>
            </a:pPr>
            <a:endParaRPr lang="zh-CN"/>
          </a:p>
        </c:txPr>
        <c:crossesAt val="1.0"/>
        <c:crossBetween val="between"/>
        <c:minorUnit val="2.0"/>
        <c:crossAx val="0"/>
      </c:valAx>
      <c:spPr>
        <a:pattFill prst="pct5">
          <a:fgClr>
            <a:srgbClr val="C0504D"/>
          </a:fgClr>
          <a:bgClr>
            <a:srgbClr val="FFFFFF"/>
          </a:bgClr>
        </a:patt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AR PL UKai CN"/>
                <a:ea typeface="AR PL UKai CN"/>
                <a:cs typeface="Lucida Sans"/>
              </a:defRPr>
            </a:pPr>
            <a:r>
              <a:rPr lang="zh-CN"/>
              <a:t>收入决算结构图</a:t>
            </a:r>
          </a:p>
        </c:rich>
      </c:tx>
      <c:layout/>
      <c:overlay val="0"/>
      <c:spPr>
        <a:noFill/>
        <a:ln>
          <a:noFill/>
        </a:ln>
      </c:spPr>
    </c:title>
    <c:autoTitleDeleted val="1"/>
    <c:plotArea>
      <c:layout>
        <c:manualLayout>
          <c:layoutTarget val="inner"/>
          <c:xMode val="edge"/>
          <c:yMode val="edge"/>
          <c:x val="0.32604167"/>
          <c:y val="0.3252315"/>
          <c:w val="0.40069443"/>
          <c:h val="0.6678241"/>
        </c:manualLayout>
      </c:layout>
      <c:pieChart>
        <c:varyColors val="1"/>
        <c:ser>
          <c:idx val="0"/>
          <c:order val="0"/>
          <c:spPr>
            <a:ln>
              <a:noFill/>
            </a:ln>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7030A0"/>
              </a:solidFill>
              <a:ln w="19050">
                <a:solidFill>
                  <a:srgbClr val="FFFFFF"/>
                </a:solidFill>
                <a:prstDash val="solid"/>
              </a:ln>
            </c:spPr>
          </c:dPt>
          <c:dPt>
            <c:idx val="3"/>
            <c:bubble3D val="0"/>
            <c:spPr>
              <a:solidFill>
                <a:srgbClr val="8064A2"/>
              </a:solidFill>
              <a:ln w="19050">
                <a:solidFill>
                  <a:srgbClr val="FFFFFF"/>
                </a:solidFill>
                <a:prstDash val="solid"/>
              </a:ln>
            </c:spPr>
          </c:dPt>
          <c:dLbls>
            <c:showLegendKey val="0"/>
            <c:showVal val="0"/>
            <c:showCatName val="0"/>
            <c:showSerName val="0"/>
            <c:showPercent val="0"/>
            <c:showBubbleSize val="0"/>
            <c:showLeaderLines val="0"/>
          </c:dLbls>
          <c:cat>
            <c:strLit>
              <c:ptCount val="4"/>
              <c:pt idx="0">
                <c:v>一般公共预算财政拨款收入</c:v>
              </c:pt>
            </c:strLit>
          </c:cat>
          <c:val>
            <c:numRef>
              <c:f/>
              <c:numCache>
                <c:formatCode>General</c:formatCode>
                <c:ptCount val="4"/>
                <c:pt idx="0">
                  <c:v>176.82</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AR PL UKai CN"/>
              <a:ea typeface="AR PL UKai CN"/>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AR PL UKai CN"/>
                <a:ea typeface="AR PL UKai CN"/>
                <a:cs typeface="Lucida Sans"/>
              </a:defRPr>
            </a:pPr>
            <a:r>
              <a:rPr lang="zh-CN"/>
              <a:t>支出决算结构图</a:t>
            </a:r>
          </a:p>
        </c:rich>
      </c:tx>
      <c:layout/>
      <c:overlay val="0"/>
      <c:spPr>
        <a:noFill/>
        <a:ln>
          <a:noFill/>
        </a:ln>
      </c:spPr>
    </c:title>
    <c:autoTitleDeleted val="1"/>
    <c:plotArea>
      <c:layout/>
      <c:pieChart>
        <c:varyColors val="1"/>
        <c:ser>
          <c:idx val="0"/>
          <c:order val="0"/>
          <c:spPr>
            <a:ln>
              <a:noFill/>
            </a:ln>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Lbls>
            <c:showLegendKey val="0"/>
            <c:showVal val="0"/>
            <c:showCatName val="0"/>
            <c:showSerName val="0"/>
            <c:showPercent val="0"/>
            <c:showBubbleSize val="0"/>
            <c:showLeaderLines val="0"/>
          </c:dLbls>
          <c:cat>
            <c:strLit>
              <c:ptCount val="2"/>
              <c:pt idx="0">
                <c:v>基本支出</c:v>
              </c:pt>
            </c:strLit>
          </c:cat>
          <c:val>
            <c:numRef>
              <c:f/>
              <c:numCache>
                <c:formatCode>General</c:formatCode>
                <c:ptCount val="2"/>
                <c:pt idx="0">
                  <c:v>221.94</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AR PL UKai CN"/>
              <a:ea typeface="AR PL UKai CN"/>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AR PL UKai CN"/>
                <a:ea typeface="AR PL UKai CN"/>
                <a:cs typeface="Lucida Sans"/>
              </a:defRPr>
            </a:pPr>
            <a:r>
              <a:rPr lang="zh-CN"/>
              <a:t>财政拨款收、支决算总计变动情况</a:t>
            </a:r>
          </a:p>
        </c:rich>
      </c:tx>
      <c:layout>
        <c:manualLayout>
          <c:xMode val="edge"/>
          <c:yMode val="edge"/>
          <c:x val="0.2936111"/>
          <c:y val="0.027777778"/>
        </c:manualLayout>
      </c:layout>
      <c:overlay val="0"/>
      <c:spPr>
        <a:noFill/>
        <a:ln>
          <a:noFill/>
        </a:ln>
      </c:spPr>
    </c:title>
    <c:autoTitleDeleted val="1"/>
    <c:plotArea>
      <c:layout>
        <c:manualLayout>
          <c:layoutTarget val="inner"/>
          <c:xMode val="edge"/>
          <c:yMode val="edge"/>
          <c:x val="0.11383333"/>
          <c:y val="0.22037037"/>
          <c:w val="0.882"/>
          <c:h val="0.71166664"/>
        </c:manualLayout>
      </c:layout>
      <c:barChart>
        <c:barDir val="col"/>
        <c:grouping val="clustered"/>
        <c:varyColors val="0"/>
        <c:ser>
          <c:idx val="0"/>
          <c:order val="0"/>
          <c:spPr>
            <a:solidFill>
              <a:srgbClr val="4F81BD"/>
            </a:solidFill>
            <a:ln>
              <a:noFill/>
            </a:ln>
          </c:spPr>
          <c:invertIfNegative val="0"/>
          <c:dLbls>
            <c:showLegendKey val="0"/>
            <c:showVal val="0"/>
            <c:showCatName val="0"/>
            <c:showSerName val="0"/>
            <c:showPercent val="0"/>
            <c:showBubbleSize val="0"/>
            <c:showLeaderLines val="0"/>
          </c:dLbls>
          <c:cat>
            <c:strLit>
              <c:ptCount val="4"/>
              <c:pt idx="0">
                <c:v>2018财政拨款收入</c:v>
              </c:pt>
              <c:pt idx="1">
                <c:v>2018财政拨款支出</c:v>
              </c:pt>
            </c:strLit>
          </c:cat>
          <c:val>
            <c:numRef>
              <c:f/>
              <c:numCache>
                <c:formatCode>General</c:formatCode>
                <c:ptCount val="4"/>
                <c:pt idx="0">
                  <c:v>221.94</c:v>
                </c:pt>
                <c:pt idx="1">
                  <c:v>221.94</c:v>
                </c:pt>
              </c:numCache>
            </c:numRef>
          </c:val>
        </c:ser>
        <c:overlap val="-27"/>
        <c:gapWidth val="219"/>
        <c:axId val="0"/>
        <c:axId val="1"/>
      </c:barChart>
      <c:catAx>
        <c:axId val="0"/>
        <c:scaling>
          <c:orientation val="minMax"/>
        </c:scaling>
        <c:delete val="0"/>
        <c:axPos val="b"/>
        <c:numFmt formatCode="General" sourceLinked="0"/>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AR PL UKai CN"/>
                <a:ea typeface="AR PL UKai CN"/>
                <a:cs typeface="Lucida Sans"/>
              </a:defRPr>
            </a:pPr>
            <a:endParaRPr lang="zh-CN"/>
          </a:p>
        </c:txPr>
        <c:crosses val="autoZero"/>
        <c:auto val="1"/>
        <c:lblOffset val="100"/>
        <c:lblAlgn val="ctr"/>
        <c:noMultiLvlLbl val="0"/>
        <c:crossAx val="1"/>
      </c:catAx>
      <c:valAx>
        <c:axId val="1"/>
        <c:scaling>
          <c:orientation val="minMax"/>
          <c:max val="2000.0"/>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AR PL UKai CN"/>
                <a:ea typeface="AR PL UKai CN"/>
                <a:cs typeface="Lucida Sans"/>
              </a:defRPr>
            </a:pPr>
            <a:endParaRPr lang="zh-CN"/>
          </a:p>
        </c:txPr>
        <c:crossesAt val="1.0"/>
        <c:crossBetween val="between"/>
        <c:crossAx val="0"/>
      </c:valAx>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AR PL UKai CN"/>
                <a:ea typeface="AR PL UKai CN"/>
                <a:cs typeface="Lucida Sans"/>
              </a:defRPr>
            </a:pPr>
            <a:r>
              <a:rPr lang="zh-CN"/>
              <a:t>一般公共预算财政拨款支出决算变动情况</a:t>
            </a:r>
          </a:p>
        </c:rich>
      </c:tx>
      <c:layout/>
      <c:overlay val="0"/>
      <c:spPr>
        <a:noFill/>
        <a:ln>
          <a:noFill/>
        </a:ln>
      </c:spPr>
    </c:title>
    <c:autoTitleDeleted val="1"/>
    <c:plotArea>
      <c:layout/>
      <c:barChart>
        <c:barDir val="col"/>
        <c:grouping val="clustered"/>
        <c:varyColors val="0"/>
        <c:ser>
          <c:idx val="0"/>
          <c:order val="0"/>
          <c:spPr>
            <a:solidFill>
              <a:srgbClr val="4F81BD"/>
            </a:solidFill>
            <a:ln>
              <a:noFill/>
            </a:ln>
          </c:spPr>
          <c:invertIfNegative val="0"/>
          <c:dLbls>
            <c:showLegendKey val="0"/>
            <c:showVal val="0"/>
            <c:showCatName val="0"/>
            <c:showSerName val="0"/>
            <c:showPercent val="0"/>
            <c:showBubbleSize val="0"/>
            <c:showLeaderLines val="0"/>
          </c:dLbls>
          <c:cat>
            <c:strLit>
              <c:ptCount val="2"/>
              <c:pt idx="0">
                <c:v>2018一般公共预算财政拨款收入</c:v>
              </c:pt>
              <c:pt idx="1">
                <c:v>2017一般公共预算财政拨款支出</c:v>
              </c:pt>
            </c:strLit>
          </c:cat>
          <c:val>
            <c:numRef>
              <c:f/>
              <c:numCache>
                <c:formatCode>General</c:formatCode>
                <c:ptCount val="2"/>
                <c:pt idx="0">
                  <c:v>1545.01</c:v>
                </c:pt>
                <c:pt idx="1">
                  <c:v>0.0</c:v>
                </c:pt>
              </c:numCache>
            </c:numRef>
          </c:val>
        </c:ser>
        <c:overlap val="-27"/>
        <c:gapWidth val="219"/>
        <c:axId val="0"/>
        <c:axId val="1"/>
      </c:barChart>
      <c:catAx>
        <c:axId val="0"/>
        <c:scaling>
          <c:orientation val="minMax"/>
        </c:scaling>
        <c:delete val="0"/>
        <c:axPos val="b"/>
        <c:numFmt formatCode="General" sourceLinked="0"/>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AR PL UKai CN"/>
                <a:ea typeface="AR PL UKai CN"/>
                <a:cs typeface="Lucida Sans"/>
              </a:defRPr>
            </a:pPr>
            <a:endParaRPr lang="zh-CN"/>
          </a:p>
        </c:txPr>
        <c:crosses val="autoZero"/>
        <c:auto val="1"/>
        <c:lblOffset val="100"/>
        <c:lblAlgn val="ctr"/>
        <c:noMultiLvlLbl val="0"/>
        <c:crossAx val="1"/>
      </c:catAx>
      <c:valAx>
        <c:axId val="1"/>
        <c:scaling>
          <c:orientation val="minMax"/>
          <c:min val="0.0"/>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595959"/>
                </a:solidFill>
                <a:latin typeface="AR PL UKai CN"/>
                <a:ea typeface="AR PL UKai CN"/>
                <a:cs typeface="Lucida Sans"/>
              </a:defRPr>
            </a:pPr>
            <a:endParaRPr lang="zh-CN"/>
          </a:p>
        </c:txPr>
        <c:crossesAt val="1.0"/>
        <c:crossBetween val="between"/>
        <c:crossAx val="0"/>
      </c:valAx>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AR PL UKai CN"/>
                <a:ea typeface="AR PL UKai CN"/>
                <a:cs typeface="Lucida Sans"/>
              </a:defRPr>
            </a:pPr>
            <a:r>
              <a:rPr lang="zh-CN"/>
              <a:t>图表标题</a:t>
            </a:r>
          </a:p>
        </c:rich>
      </c:tx>
      <c:layout/>
      <c:overlay val="0"/>
      <c:spPr>
        <a:noFill/>
        <a:ln>
          <a:noFill/>
        </a:ln>
      </c:spPr>
    </c:title>
    <c:autoTitleDeleted val="1"/>
    <c:plotArea>
      <c:layout>
        <c:manualLayout>
          <c:layoutTarget val="inner"/>
          <c:xMode val="edge"/>
          <c:yMode val="edge"/>
          <c:x val="0.2732639"/>
          <c:y val="0.0069444445"/>
          <c:w val="0.40069443"/>
          <c:h val="0.6678241"/>
        </c:manualLayout>
      </c:layout>
      <c:pieChart>
        <c:varyColors val="1"/>
        <c:ser>
          <c:idx val="0"/>
          <c:order val="0"/>
          <c:spPr>
            <a:ln>
              <a:noFill/>
            </a:ln>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Lbls>
            <c:showLegendKey val="0"/>
            <c:showVal val="0"/>
            <c:showCatName val="0"/>
            <c:showSerName val="0"/>
            <c:showPercent val="0"/>
            <c:showBubbleSize val="0"/>
            <c:showLeaderLines val="0"/>
          </c:dLbls>
          <c:cat>
            <c:strLit>
              <c:ptCount val="4"/>
              <c:pt idx="0">
                <c:v>一般公共服务</c:v>
              </c:pt>
              <c:pt idx="1">
                <c:v>社会保障和就业</c:v>
              </c:pt>
              <c:pt idx="2">
                <c:v>医疗卫生</c:v>
              </c:pt>
              <c:pt idx="3">
                <c:v>住房保障</c:v>
              </c:pt>
            </c:strLit>
          </c:cat>
          <c:val>
            <c:numRef>
              <c:f/>
              <c:numCache>
                <c:formatCode>General</c:formatCode>
                <c:ptCount val="4"/>
                <c:pt idx="0">
                  <c:v>175.34</c:v>
                </c:pt>
                <c:pt idx="1">
                  <c:v>28.26</c:v>
                </c:pt>
                <c:pt idx="2">
                  <c:v>6.67</c:v>
                </c:pt>
                <c:pt idx="3">
                  <c:v>11.67</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AR PL UKai CN"/>
              <a:ea typeface="AR PL UKai CN"/>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14</TotalTime>
  <Application>Yozo_Office27021597764231179</Application>
  <Pages>17</Pages>
  <Words>4207</Words>
  <Characters>4575</Characters>
  <Lines>261</Lines>
  <Paragraphs>146</Paragraphs>
  <CharactersWithSpaces>4627</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7</cp:revision>
  <cp:lastPrinted>2019-08-01T00:48:00Z</cp:lastPrinted>
  <dcterms:created xsi:type="dcterms:W3CDTF">2019-10-23T09:07:00Z</dcterms:created>
  <dcterms:modified xsi:type="dcterms:W3CDTF">2021-05-24T03:04:05Z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2052-10.1.0.7698</vt:lpwstr>
  </property>
</Properties>
</file>