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kinsoku/>
        <w:wordWrap/>
        <w:overflowPunct/>
        <w:topLinePunct w:val="0"/>
        <w:autoSpaceDE/>
        <w:autoSpaceDN/>
        <w:bidi w:val="0"/>
        <w:adjustRightInd/>
        <w:snapToGrid/>
        <w:spacing w:after="0" w:line="560" w:lineRule="exact"/>
        <w:ind w:left="0" w:leftChars="0" w:firstLine="0" w:firstLineChars="0"/>
        <w:jc w:val="center"/>
        <w:textAlignment w:val="auto"/>
        <w:rPr>
          <w:rFonts w:hint="default" w:ascii="Times New Roman" w:hAnsi="Times New Roman" w:eastAsia="方正小标宋_GBK" w:cs="Times New Roman"/>
          <w:b/>
          <w:bCs/>
          <w:color w:val="000000"/>
          <w:spacing w:val="0"/>
          <w:w w:val="100"/>
          <w:kern w:val="2"/>
          <w:sz w:val="44"/>
          <w:szCs w:val="44"/>
          <w:u w:val="none"/>
          <w:lang w:val="en-US" w:eastAsia="zh-CN" w:bidi="ar-SA"/>
        </w:rPr>
      </w:pPr>
      <w:r>
        <w:rPr>
          <w:rFonts w:hint="default" w:ascii="Times New Roman" w:hAnsi="Times New Roman" w:eastAsia="方正小标宋_GBK" w:cs="Times New Roman"/>
          <w:b/>
          <w:bCs/>
          <w:color w:val="000000"/>
          <w:spacing w:val="0"/>
          <w:w w:val="100"/>
          <w:kern w:val="2"/>
          <w:sz w:val="44"/>
          <w:szCs w:val="44"/>
          <w:u w:val="none"/>
          <w:lang w:val="en-US" w:eastAsia="zh-CN" w:bidi="ar-SA"/>
        </w:rPr>
        <w:t>202</w:t>
      </w:r>
      <w:r>
        <w:rPr>
          <w:rFonts w:hint="eastAsia" w:ascii="Times New Roman" w:hAnsi="Times New Roman" w:eastAsia="方正小标宋_GBK" w:cs="Times New Roman"/>
          <w:b/>
          <w:bCs/>
          <w:color w:val="000000"/>
          <w:spacing w:val="0"/>
          <w:w w:val="100"/>
          <w:kern w:val="2"/>
          <w:sz w:val="44"/>
          <w:szCs w:val="44"/>
          <w:u w:val="none"/>
          <w:lang w:val="en-US" w:eastAsia="zh-CN" w:bidi="ar-SA"/>
        </w:rPr>
        <w:t>5</w:t>
      </w:r>
      <w:r>
        <w:rPr>
          <w:rFonts w:hint="default" w:ascii="Times New Roman" w:hAnsi="Times New Roman" w:eastAsia="方正小标宋_GBK" w:cs="Times New Roman"/>
          <w:b/>
          <w:bCs/>
          <w:color w:val="000000"/>
          <w:spacing w:val="0"/>
          <w:w w:val="100"/>
          <w:kern w:val="2"/>
          <w:sz w:val="44"/>
          <w:szCs w:val="44"/>
          <w:u w:val="none"/>
          <w:lang w:val="en-US" w:eastAsia="zh-CN" w:bidi="ar-SA"/>
        </w:rPr>
        <w:t>年度</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outlineLvl w:val="0"/>
        <w:rPr>
          <w:rFonts w:hint="default" w:ascii="Times New Roman" w:hAnsi="Times New Roman" w:eastAsia="方正小标宋_GBK" w:cs="Times New Roman"/>
          <w:b/>
          <w:bCs/>
          <w:color w:val="000000"/>
          <w:spacing w:val="0"/>
          <w:w w:val="100"/>
          <w:kern w:val="2"/>
          <w:sz w:val="44"/>
          <w:szCs w:val="44"/>
          <w:u w:val="none"/>
          <w:lang w:val="en-US" w:eastAsia="zh-CN" w:bidi="ar-SA"/>
        </w:rPr>
      </w:pPr>
      <w:bookmarkStart w:id="0" w:name="_Toc19712"/>
      <w:bookmarkStart w:id="1" w:name="_Toc26680"/>
      <w:bookmarkStart w:id="2" w:name="_Toc30785"/>
      <w:bookmarkStart w:id="3" w:name="_Toc1352391741"/>
      <w:r>
        <w:rPr>
          <w:rFonts w:hint="eastAsia" w:eastAsia="方正小标宋_GBK" w:cs="Times New Roman"/>
          <w:b/>
          <w:bCs/>
          <w:color w:val="000000"/>
          <w:spacing w:val="0"/>
          <w:w w:val="100"/>
          <w:kern w:val="2"/>
          <w:sz w:val="44"/>
          <w:szCs w:val="44"/>
          <w:u w:val="none"/>
          <w:lang w:val="en-US" w:eastAsia="zh-CN" w:bidi="ar-SA"/>
        </w:rPr>
        <w:t>阿坝州</w:t>
      </w:r>
      <w:r>
        <w:rPr>
          <w:rFonts w:hint="default" w:ascii="Times New Roman" w:hAnsi="Times New Roman" w:eastAsia="方正小标宋_GBK" w:cs="Times New Roman"/>
          <w:b/>
          <w:bCs/>
          <w:color w:val="000000"/>
          <w:spacing w:val="0"/>
          <w:w w:val="100"/>
          <w:kern w:val="2"/>
          <w:sz w:val="44"/>
          <w:szCs w:val="44"/>
          <w:u w:val="none"/>
          <w:lang w:val="en-US" w:eastAsia="zh-CN" w:bidi="ar-SA"/>
        </w:rPr>
        <w:t>壤塘县人民代表大会常务委员会办公室</w:t>
      </w:r>
      <w:bookmarkEnd w:id="0"/>
      <w:bookmarkEnd w:id="1"/>
      <w:bookmarkEnd w:id="2"/>
      <w:bookmarkEnd w:id="3"/>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outlineLvl w:val="0"/>
        <w:rPr>
          <w:rFonts w:hint="default" w:ascii="Times New Roman" w:hAnsi="Times New Roman" w:eastAsia="方正小标宋_GBK" w:cs="Times New Roman"/>
          <w:b/>
          <w:bCs/>
          <w:color w:val="000000"/>
          <w:spacing w:val="0"/>
          <w:w w:val="100"/>
          <w:kern w:val="2"/>
          <w:sz w:val="44"/>
          <w:szCs w:val="44"/>
          <w:u w:val="none"/>
          <w:lang w:val="en-US" w:eastAsia="zh-CN" w:bidi="ar-SA"/>
        </w:rPr>
      </w:pPr>
      <w:bookmarkStart w:id="4" w:name="_Toc6215"/>
      <w:bookmarkStart w:id="5" w:name="_Toc21270"/>
      <w:bookmarkStart w:id="6" w:name="_Toc1897637712"/>
      <w:bookmarkStart w:id="7" w:name="_Toc26310"/>
      <w:r>
        <w:rPr>
          <w:rFonts w:hint="default" w:ascii="Times New Roman" w:hAnsi="Times New Roman" w:eastAsia="方正小标宋_GBK" w:cs="Times New Roman"/>
          <w:b/>
          <w:bCs/>
          <w:color w:val="000000"/>
          <w:spacing w:val="0"/>
          <w:w w:val="100"/>
          <w:kern w:val="2"/>
          <w:sz w:val="44"/>
          <w:szCs w:val="44"/>
          <w:u w:val="none"/>
          <w:lang w:val="en-US" w:eastAsia="zh-CN" w:bidi="ar-SA"/>
        </w:rPr>
        <w:t>部门决算公开编制说明</w:t>
      </w:r>
      <w:bookmarkEnd w:id="4"/>
      <w:bookmarkEnd w:id="5"/>
      <w:bookmarkEnd w:id="6"/>
      <w:bookmarkEnd w:id="7"/>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bookmarkStart w:id="59" w:name="_GoBack"/>
      <w:bookmarkEnd w:id="59"/>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ageBreakBefore w:val="0"/>
        <w:widowControl/>
        <w:kinsoku/>
        <w:wordWrap/>
        <w:overflowPunct/>
        <w:topLinePunct w:val="0"/>
        <w:bidi w:val="0"/>
        <w:spacing w:beforeAutospacing="0" w:afterAutospacing="0" w:line="560" w:lineRule="exact"/>
        <w:ind w:left="0" w:leftChars="0" w:right="0"/>
        <w:jc w:val="center"/>
        <w:textAlignment w:val="auto"/>
        <w:rPr>
          <w:rFonts w:hint="default" w:ascii="Times New Roman" w:hAnsi="Times New Roman" w:eastAsia="方正小标宋简体" w:cs="Times New Roman"/>
          <w:sz w:val="36"/>
          <w:szCs w:val="36"/>
        </w:rPr>
      </w:pPr>
    </w:p>
    <w:p>
      <w:pPr>
        <w:pStyle w:val="8"/>
        <w:pageBreakBefore w:val="0"/>
        <w:kinsoku/>
        <w:wordWrap/>
        <w:overflowPunct/>
        <w:topLinePunct w:val="0"/>
        <w:bidi w:val="0"/>
        <w:spacing w:beforeAutospacing="0" w:after="0" w:afterAutospacing="0" w:line="560" w:lineRule="exact"/>
        <w:ind w:left="0" w:leftChars="0" w:right="0"/>
        <w:textAlignment w:val="auto"/>
        <w:rPr>
          <w:rFonts w:hint="default" w:ascii="Times New Roman" w:hAnsi="Times New Roman" w:eastAsia="方正小标宋简体" w:cs="Times New Roman"/>
          <w:sz w:val="36"/>
          <w:szCs w:val="36"/>
        </w:rPr>
      </w:pPr>
    </w:p>
    <w:p>
      <w:pPr>
        <w:pStyle w:val="9"/>
        <w:pageBreakBefore w:val="0"/>
        <w:kinsoku/>
        <w:wordWrap/>
        <w:overflowPunct/>
        <w:topLinePunct w:val="0"/>
        <w:bidi w:val="0"/>
        <w:spacing w:beforeAutospacing="0" w:afterAutospacing="0" w:line="560" w:lineRule="exact"/>
        <w:ind w:left="0" w:leftChars="0" w:right="0"/>
        <w:textAlignment w:val="auto"/>
        <w:rPr>
          <w:rFonts w:hint="default" w:ascii="Times New Roman" w:hAnsi="Times New Roman" w:eastAsia="方正小标宋简体" w:cs="Times New Roman"/>
          <w:sz w:val="36"/>
          <w:szCs w:val="36"/>
        </w:rPr>
      </w:pPr>
    </w:p>
    <w:p>
      <w:pPr>
        <w:pStyle w:val="9"/>
        <w:pageBreakBefore w:val="0"/>
        <w:kinsoku/>
        <w:wordWrap/>
        <w:overflowPunct/>
        <w:topLinePunct w:val="0"/>
        <w:bidi w:val="0"/>
        <w:spacing w:beforeAutospacing="0" w:afterAutospacing="0" w:line="560" w:lineRule="exact"/>
        <w:ind w:left="0" w:leftChars="0" w:right="0"/>
        <w:textAlignment w:val="auto"/>
        <w:rPr>
          <w:rFonts w:hint="default" w:ascii="Times New Roman" w:hAnsi="Times New Roman" w:eastAsia="方正小标宋简体" w:cs="Times New Roman"/>
          <w:sz w:val="36"/>
          <w:szCs w:val="36"/>
        </w:rPr>
      </w:pPr>
    </w:p>
    <w:p>
      <w:pPr>
        <w:pStyle w:val="14"/>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Times New Roman" w:hAnsi="Times New Roman" w:eastAsia="仿宋" w:cs="Times New Roman"/>
          <w:color w:val="20201F"/>
          <w:spacing w:val="0"/>
          <w:kern w:val="0"/>
          <w:sz w:val="32"/>
          <w:szCs w:val="32"/>
          <w:shd w:val="clear" w:color="auto" w:fill="FFFFFF"/>
          <w:lang w:val="en-US" w:eastAsia="zh-CN" w:bidi="ar"/>
        </w:rPr>
      </w:pPr>
    </w:p>
    <w:p>
      <w:pPr>
        <w:pStyle w:val="14"/>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Times New Roman" w:hAnsi="Times New Roman" w:eastAsia="仿宋" w:cs="Times New Roman"/>
          <w:color w:val="20201F"/>
          <w:spacing w:val="0"/>
          <w:kern w:val="0"/>
          <w:sz w:val="32"/>
          <w:szCs w:val="32"/>
          <w:shd w:val="clear" w:color="auto" w:fill="FFFFFF"/>
          <w:lang w:val="en-US" w:eastAsia="zh-CN" w:bidi="ar"/>
        </w:rPr>
      </w:pPr>
    </w:p>
    <w:p>
      <w:pPr>
        <w:pStyle w:val="14"/>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Times New Roman" w:hAnsi="Times New Roman" w:eastAsia="仿宋" w:cs="Times New Roman"/>
          <w:color w:val="20201F"/>
          <w:spacing w:val="0"/>
          <w:kern w:val="0"/>
          <w:sz w:val="32"/>
          <w:szCs w:val="32"/>
          <w:shd w:val="clear" w:color="auto" w:fill="FFFFFF"/>
          <w:lang w:val="en-US" w:eastAsia="zh-CN" w:bidi="ar"/>
        </w:rPr>
      </w:pPr>
    </w:p>
    <w:p>
      <w:pPr>
        <w:pStyle w:val="14"/>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Times New Roman" w:hAnsi="Times New Roman" w:eastAsia="仿宋" w:cs="Times New Roman"/>
          <w:color w:val="20201F"/>
          <w:spacing w:val="0"/>
          <w:kern w:val="0"/>
          <w:sz w:val="32"/>
          <w:szCs w:val="32"/>
          <w:shd w:val="clear" w:color="auto" w:fill="FFFFFF"/>
          <w:lang w:val="en-US" w:eastAsia="zh-CN" w:bidi="ar"/>
        </w:rPr>
      </w:pPr>
    </w:p>
    <w:p>
      <w:pPr>
        <w:pStyle w:val="14"/>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jc w:val="left"/>
        <w:textAlignment w:val="auto"/>
        <w:rPr>
          <w:rFonts w:hint="default" w:ascii="Times New Roman" w:hAnsi="Times New Roman" w:eastAsia="仿宋" w:cs="Times New Roman"/>
          <w:color w:val="20201F"/>
          <w:spacing w:val="0"/>
          <w:kern w:val="0"/>
          <w:sz w:val="32"/>
          <w:szCs w:val="32"/>
          <w:shd w:val="clear" w:color="auto" w:fill="FFFFFF"/>
          <w:lang w:val="en-US" w:eastAsia="zh-CN" w:bidi="ar"/>
        </w:rPr>
      </w:pPr>
    </w:p>
    <w:p>
      <w:pPr>
        <w:pStyle w:val="12"/>
        <w:keepNext w:val="0"/>
        <w:keepLines w:val="0"/>
        <w:pageBreakBefore w:val="0"/>
        <w:widowControl w:val="0"/>
        <w:tabs>
          <w:tab w:val="right" w:leader="dot" w:pos="8845"/>
          <w:tab w:val="clear" w:pos="8296"/>
        </w:tabs>
        <w:kinsoku/>
        <w:wordWrap/>
        <w:overflowPunct/>
        <w:topLinePunct w:val="0"/>
        <w:autoSpaceDE/>
        <w:autoSpaceDN/>
        <w:bidi w:val="0"/>
        <w:adjustRightInd/>
        <w:snapToGrid/>
        <w:spacing w:before="0" w:line="520" w:lineRule="exact"/>
        <w:ind w:left="0" w:leftChars="0"/>
        <w:jc w:val="both"/>
        <w:textAlignment w:val="auto"/>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公开时间：2026年10月27日</w:t>
      </w:r>
    </w:p>
    <w:p>
      <w:pPr>
        <w:rPr>
          <w:rFonts w:hint="default" w:ascii="Times New Roman" w:hAnsi="Times New Roman" w:eastAsia="仿宋" w:cs="Times New Roman"/>
          <w:kern w:val="2"/>
          <w:sz w:val="28"/>
          <w:szCs w:val="28"/>
          <w:lang w:val="en-US" w:eastAsia="zh-CN" w:bidi="ar-SA"/>
        </w:rPr>
      </w:pPr>
    </w:p>
    <w:p>
      <w:pPr>
        <w:pStyle w:val="8"/>
        <w:rPr>
          <w:rFonts w:hint="default"/>
          <w:lang w:val="en-US" w:eastAsia="zh-CN"/>
        </w:rPr>
      </w:pPr>
    </w:p>
    <w:p>
      <w:pPr>
        <w:spacing w:after="0"/>
        <w:jc w:val="both"/>
        <w:rPr>
          <w:rFonts w:hint="eastAsia" w:eastAsia="黑体" w:cs="Times New Roman"/>
          <w:b w:val="0"/>
          <w:bCs/>
          <w:kern w:val="44"/>
          <w:sz w:val="28"/>
          <w:szCs w:val="28"/>
          <w:lang w:val="en-US" w:eastAsia="zh-CN" w:bidi="ar-SA"/>
        </w:rPr>
      </w:pPr>
    </w:p>
    <w:p>
      <w:pPr>
        <w:spacing w:after="0"/>
        <w:jc w:val="center"/>
        <w:rPr>
          <w:rFonts w:hint="default" w:ascii="Times New Roman" w:hAnsi="Times New Roman" w:eastAsia="宋体" w:cs="Times New Roman"/>
          <w:kern w:val="2"/>
          <w:sz w:val="21"/>
          <w:szCs w:val="24"/>
          <w:lang w:val="en-US" w:eastAsia="zh-CN" w:bidi="ar-SA"/>
        </w:rPr>
      </w:pPr>
      <w:r>
        <w:rPr>
          <w:rFonts w:hint="eastAsia" w:eastAsia="黑体" w:cs="Times New Roman"/>
          <w:b w:val="0"/>
          <w:bCs/>
          <w:kern w:val="44"/>
          <w:sz w:val="28"/>
          <w:szCs w:val="28"/>
          <w:lang w:val="en-US" w:eastAsia="zh-CN" w:bidi="ar-SA"/>
        </w:rPr>
        <w:t>目录</w:t>
      </w:r>
      <w:r>
        <w:rPr>
          <w:rFonts w:hint="default"/>
        </w:rPr>
        <w:fldChar w:fldCharType="begin"/>
      </w:r>
      <w:r>
        <w:rPr>
          <w:rFonts w:hint="default"/>
        </w:rPr>
        <w:instrText xml:space="preserve">TOC \o "1-2" \h \u </w:instrText>
      </w:r>
      <w:r>
        <w:rPr>
          <w:rFonts w:hint="default"/>
        </w:rPr>
        <w:fldChar w:fldCharType="separate"/>
      </w:r>
    </w:p>
    <w:p>
      <w:pPr>
        <w:pStyle w:val="12"/>
        <w:tabs>
          <w:tab w:val="right" w:leader="dot" w:pos="8845"/>
          <w:tab w:val="clear" w:pos="8296"/>
        </w:tabs>
      </w:pPr>
      <w:r>
        <w:rPr>
          <w:rFonts w:hint="default"/>
        </w:rPr>
        <w:fldChar w:fldCharType="begin"/>
      </w:r>
      <w:r>
        <w:rPr>
          <w:rFonts w:hint="default"/>
        </w:rPr>
        <w:instrText xml:space="preserve"> HYPERLINK \l _Toc1352391741 </w:instrText>
      </w:r>
      <w:r>
        <w:rPr>
          <w:rFonts w:hint="default"/>
        </w:rPr>
        <w:fldChar w:fldCharType="separate"/>
      </w:r>
      <w:r>
        <w:rPr>
          <w:rFonts w:hint="default" w:ascii="Times New Roman" w:hAnsi="Times New Roman" w:eastAsia="方正小标宋_GBK" w:cs="Times New Roman"/>
          <w:bCs/>
          <w:spacing w:val="0"/>
          <w:w w:val="100"/>
          <w:kern w:val="2"/>
          <w:szCs w:val="44"/>
          <w:lang w:val="en-US" w:eastAsia="zh-CN" w:bidi="ar-SA"/>
        </w:rPr>
        <w:t>壤塘县人民代表大会常务委员会办公室</w:t>
      </w:r>
      <w:r>
        <w:tab/>
      </w:r>
      <w:r>
        <w:fldChar w:fldCharType="begin"/>
      </w:r>
      <w:r>
        <w:instrText xml:space="preserve"> PAGEREF _Toc1352391741 \h </w:instrText>
      </w:r>
      <w:r>
        <w:fldChar w:fldCharType="separate"/>
      </w:r>
      <w:r>
        <w:t>1</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_Toc1897637712 </w:instrText>
      </w:r>
      <w:r>
        <w:rPr>
          <w:rFonts w:hint="default"/>
        </w:rPr>
        <w:fldChar w:fldCharType="separate"/>
      </w:r>
      <w:r>
        <w:rPr>
          <w:rFonts w:hint="default" w:ascii="Times New Roman" w:hAnsi="Times New Roman" w:eastAsia="方正小标宋_GBK" w:cs="Times New Roman"/>
          <w:bCs/>
          <w:spacing w:val="0"/>
          <w:w w:val="100"/>
          <w:kern w:val="2"/>
          <w:szCs w:val="44"/>
          <w:lang w:val="en-US" w:eastAsia="zh-CN" w:bidi="ar-SA"/>
        </w:rPr>
        <w:t>部门决算公开编制说明</w:t>
      </w:r>
      <w:r>
        <w:tab/>
      </w:r>
      <w:r>
        <w:fldChar w:fldCharType="begin"/>
      </w:r>
      <w:r>
        <w:instrText xml:space="preserve"> PAGEREF _Toc1897637712 \h </w:instrText>
      </w:r>
      <w:r>
        <w:fldChar w:fldCharType="separate"/>
      </w:r>
      <w:r>
        <w:t>1</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_Toc1173256948 </w:instrText>
      </w:r>
      <w:r>
        <w:rPr>
          <w:rFonts w:hint="default"/>
        </w:rPr>
        <w:fldChar w:fldCharType="separate"/>
      </w:r>
      <w:r>
        <w:rPr>
          <w:rFonts w:hint="default" w:ascii="Times New Roman" w:hAnsi="Times New Roman" w:eastAsia="黑体" w:cs="Times New Roman"/>
          <w:szCs w:val="32"/>
        </w:rPr>
        <w:t>第一部分 部门概况</w:t>
      </w:r>
      <w:r>
        <w:tab/>
      </w:r>
      <w:r>
        <w:fldChar w:fldCharType="begin"/>
      </w:r>
      <w:r>
        <w:instrText xml:space="preserve"> PAGEREF _Toc1173256948 \h </w:instrText>
      </w:r>
      <w:r>
        <w:fldChar w:fldCharType="separate"/>
      </w:r>
      <w:r>
        <w:t>1</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_Toc593289453 </w:instrText>
      </w:r>
      <w:r>
        <w:rPr>
          <w:rFonts w:hint="default"/>
        </w:rPr>
        <w:fldChar w:fldCharType="separate"/>
      </w:r>
      <w:r>
        <w:rPr>
          <w:rFonts w:hint="default" w:ascii="Times New Roman" w:hAnsi="Times New Roman" w:eastAsia="黑体" w:cs="Times New Roman"/>
          <w:kern w:val="2"/>
          <w:lang w:val="en-US" w:eastAsia="zh-CN" w:bidi="ar-SA"/>
        </w:rPr>
        <w:t>一、部门职责</w:t>
      </w:r>
      <w:r>
        <w:tab/>
      </w:r>
      <w:r>
        <w:fldChar w:fldCharType="begin"/>
      </w:r>
      <w:r>
        <w:instrText xml:space="preserve"> PAGEREF _Toc593289453 \h </w:instrText>
      </w:r>
      <w:r>
        <w:fldChar w:fldCharType="separate"/>
      </w:r>
      <w:r>
        <w:t>1</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_Toc979793911 </w:instrText>
      </w:r>
      <w:r>
        <w:rPr>
          <w:rFonts w:hint="default"/>
        </w:rPr>
        <w:fldChar w:fldCharType="separate"/>
      </w:r>
      <w:r>
        <w:rPr>
          <w:rFonts w:hint="default" w:ascii="Times New Roman" w:hAnsi="Times New Roman" w:eastAsia="黑体" w:cs="Times New Roman"/>
          <w:kern w:val="2"/>
          <w:lang w:val="en-US" w:eastAsia="zh-CN" w:bidi="ar-SA"/>
        </w:rPr>
        <w:t>二、机构设置</w:t>
      </w:r>
      <w:r>
        <w:tab/>
      </w:r>
      <w:r>
        <w:fldChar w:fldCharType="begin"/>
      </w:r>
      <w:r>
        <w:instrText xml:space="preserve"> PAGEREF _Toc979793911 \h </w:instrText>
      </w:r>
      <w:r>
        <w:fldChar w:fldCharType="separate"/>
      </w:r>
      <w:r>
        <w:t>1</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_Toc1570418139 </w:instrText>
      </w:r>
      <w:r>
        <w:rPr>
          <w:rFonts w:hint="default"/>
        </w:rPr>
        <w:fldChar w:fldCharType="separate"/>
      </w:r>
      <w:r>
        <w:rPr>
          <w:rFonts w:hint="eastAsia" w:ascii="Times New Roman" w:hAnsi="Times New Roman" w:eastAsia="黑体" w:cs="Times New Roman"/>
          <w:szCs w:val="32"/>
          <w:lang w:val="en-US" w:eastAsia="zh-CN"/>
        </w:rPr>
        <w:t>第二部分 2025年度部门决算情况说明</w:t>
      </w:r>
      <w:r>
        <w:tab/>
      </w:r>
      <w:r>
        <w:fldChar w:fldCharType="begin"/>
      </w:r>
      <w:r>
        <w:instrText xml:space="preserve"> PAGEREF _Toc1570418139 \h </w:instrText>
      </w:r>
      <w:r>
        <w:fldChar w:fldCharType="separate"/>
      </w:r>
      <w:r>
        <w:t>2</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_Toc1902350370 </w:instrText>
      </w:r>
      <w:r>
        <w:rPr>
          <w:rFonts w:hint="default"/>
        </w:rPr>
        <w:fldChar w:fldCharType="separate"/>
      </w:r>
      <w:r>
        <w:rPr>
          <w:rFonts w:hint="default" w:ascii="Times New Roman" w:hAnsi="Times New Roman" w:eastAsia="黑体" w:cs="Times New Roman"/>
          <w:bCs/>
          <w:kern w:val="2"/>
          <w:szCs w:val="32"/>
          <w:lang w:val="en-US" w:eastAsia="zh-CN" w:bidi="ar-SA"/>
        </w:rPr>
        <w:t>一、</w:t>
      </w:r>
      <w:r>
        <w:rPr>
          <w:rFonts w:hint="default" w:ascii="Times New Roman" w:hAnsi="Times New Roman" w:eastAsia="黑体" w:cs="Times New Roman"/>
          <w:szCs w:val="32"/>
        </w:rPr>
        <w:t>收</w:t>
      </w:r>
      <w:r>
        <w:rPr>
          <w:rFonts w:hint="default" w:ascii="Times New Roman" w:hAnsi="Times New Roman" w:eastAsia="黑体" w:cs="Times New Roman"/>
        </w:rPr>
        <w:t>入</w:t>
      </w:r>
      <w:r>
        <w:rPr>
          <w:rFonts w:hint="default" w:ascii="Times New Roman" w:hAnsi="Times New Roman" w:eastAsia="黑体" w:cs="Times New Roman"/>
          <w:bCs/>
          <w:kern w:val="44"/>
          <w:szCs w:val="32"/>
          <w:lang w:val="en-US" w:eastAsia="zh-CN" w:bidi="ar-SA"/>
        </w:rPr>
        <w:t>支出决算</w:t>
      </w:r>
      <w:r>
        <w:rPr>
          <w:rFonts w:hint="default" w:ascii="Times New Roman" w:hAnsi="Times New Roman" w:eastAsia="黑体" w:cs="Times New Roman"/>
        </w:rPr>
        <w:t>总体情况说明</w:t>
      </w:r>
      <w:r>
        <w:tab/>
      </w:r>
      <w:r>
        <w:fldChar w:fldCharType="begin"/>
      </w:r>
      <w:r>
        <w:instrText xml:space="preserve"> PAGEREF _Toc1902350370 \h </w:instrText>
      </w:r>
      <w:r>
        <w:fldChar w:fldCharType="separate"/>
      </w:r>
      <w:r>
        <w:t>2</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_Toc1638956407 </w:instrText>
      </w:r>
      <w:r>
        <w:rPr>
          <w:rFonts w:hint="default"/>
        </w:rPr>
        <w:fldChar w:fldCharType="separate"/>
      </w:r>
      <w:r>
        <w:rPr>
          <w:rFonts w:hint="default" w:ascii="Times New Roman" w:hAnsi="Times New Roman" w:eastAsia="黑体" w:cs="Times New Roman"/>
          <w:kern w:val="2"/>
          <w:lang w:val="en-US" w:eastAsia="zh-CN" w:bidi="ar-SA"/>
        </w:rPr>
        <w:t>二、收入决算情况说明</w:t>
      </w:r>
      <w:r>
        <w:tab/>
      </w:r>
      <w:r>
        <w:fldChar w:fldCharType="begin"/>
      </w:r>
      <w:r>
        <w:instrText xml:space="preserve"> PAGEREF _Toc1638956407 \h </w:instrText>
      </w:r>
      <w:r>
        <w:fldChar w:fldCharType="separate"/>
      </w:r>
      <w:r>
        <w:t>3</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_Toc1128180575 </w:instrText>
      </w:r>
      <w:r>
        <w:rPr>
          <w:rFonts w:hint="default"/>
        </w:rPr>
        <w:fldChar w:fldCharType="separate"/>
      </w:r>
      <w:r>
        <w:rPr>
          <w:rFonts w:hint="default" w:ascii="Times New Roman" w:hAnsi="Times New Roman" w:eastAsia="黑体" w:cs="Times New Roman"/>
          <w:kern w:val="2"/>
          <w:lang w:val="en-US" w:eastAsia="zh-CN" w:bidi="ar-SA"/>
        </w:rPr>
        <w:t>三、支出决算情况说明</w:t>
      </w:r>
      <w:r>
        <w:tab/>
      </w:r>
      <w:r>
        <w:fldChar w:fldCharType="begin"/>
      </w:r>
      <w:r>
        <w:instrText xml:space="preserve"> PAGEREF _Toc1128180575 \h </w:instrText>
      </w:r>
      <w:r>
        <w:fldChar w:fldCharType="separate"/>
      </w:r>
      <w:r>
        <w:t>3</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_Toc542431721 </w:instrText>
      </w:r>
      <w:r>
        <w:rPr>
          <w:rFonts w:hint="default"/>
        </w:rPr>
        <w:fldChar w:fldCharType="separate"/>
      </w:r>
      <w:r>
        <w:rPr>
          <w:rFonts w:hint="default" w:ascii="Times New Roman" w:hAnsi="Times New Roman" w:eastAsia="黑体" w:cs="Times New Roman"/>
          <w:kern w:val="2"/>
          <w:lang w:val="en-US" w:eastAsia="zh-CN" w:bidi="ar-SA"/>
        </w:rPr>
        <w:t>四、财政拨款收入支出决算总体情况说明</w:t>
      </w:r>
      <w:r>
        <w:tab/>
      </w:r>
      <w:r>
        <w:fldChar w:fldCharType="begin"/>
      </w:r>
      <w:r>
        <w:instrText xml:space="preserve"> PAGEREF _Toc542431721 \h </w:instrText>
      </w:r>
      <w:r>
        <w:fldChar w:fldCharType="separate"/>
      </w:r>
      <w:r>
        <w:t>4</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_Toc796645005 </w:instrText>
      </w:r>
      <w:r>
        <w:rPr>
          <w:rFonts w:hint="default"/>
        </w:rPr>
        <w:fldChar w:fldCharType="separate"/>
      </w:r>
      <w:r>
        <w:rPr>
          <w:rFonts w:hint="default" w:ascii="Times New Roman" w:hAnsi="Times New Roman" w:eastAsia="黑体" w:cs="Times New Roman"/>
          <w:kern w:val="2"/>
          <w:lang w:val="en-US" w:eastAsia="zh-CN" w:bidi="ar-SA"/>
        </w:rPr>
        <w:t>五、一般公共预算财政拨款支出决算情况说明</w:t>
      </w:r>
      <w:r>
        <w:tab/>
      </w:r>
      <w:r>
        <w:fldChar w:fldCharType="begin"/>
      </w:r>
      <w:r>
        <w:instrText xml:space="preserve"> PAGEREF _Toc796645005 \h </w:instrText>
      </w:r>
      <w:r>
        <w:fldChar w:fldCharType="separate"/>
      </w:r>
      <w:r>
        <w:t>5</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_Toc1602195855 </w:instrText>
      </w:r>
      <w:r>
        <w:rPr>
          <w:rFonts w:hint="default"/>
        </w:rPr>
        <w:fldChar w:fldCharType="separate"/>
      </w:r>
      <w:r>
        <w:rPr>
          <w:rFonts w:hint="default" w:ascii="Times New Roman" w:hAnsi="Times New Roman" w:eastAsia="黑体" w:cs="Times New Roman"/>
          <w:kern w:val="2"/>
          <w:lang w:val="en-US" w:eastAsia="zh-CN" w:bidi="ar-SA"/>
        </w:rPr>
        <w:t>六、一般公共预算财政拨款基本支出决算情况说明</w:t>
      </w:r>
      <w:r>
        <w:tab/>
      </w:r>
      <w:r>
        <w:fldChar w:fldCharType="begin"/>
      </w:r>
      <w:r>
        <w:instrText xml:space="preserve"> PAGEREF _Toc1602195855 \h </w:instrText>
      </w:r>
      <w:r>
        <w:fldChar w:fldCharType="separate"/>
      </w:r>
      <w:r>
        <w:t>9</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_Toc588049949 </w:instrText>
      </w:r>
      <w:r>
        <w:rPr>
          <w:rFonts w:hint="default"/>
        </w:rPr>
        <w:fldChar w:fldCharType="separate"/>
      </w:r>
      <w:r>
        <w:rPr>
          <w:rFonts w:hint="default" w:ascii="Times New Roman" w:hAnsi="Times New Roman" w:eastAsia="黑体" w:cs="Times New Roman"/>
          <w:kern w:val="2"/>
          <w:lang w:val="en-US" w:eastAsia="zh-CN" w:bidi="ar-SA"/>
        </w:rPr>
        <w:t>七、财政拨款“三公”经费支出决算情况说明</w:t>
      </w:r>
      <w:r>
        <w:tab/>
      </w:r>
      <w:r>
        <w:fldChar w:fldCharType="begin"/>
      </w:r>
      <w:r>
        <w:instrText xml:space="preserve"> PAGEREF _Toc588049949 \h </w:instrText>
      </w:r>
      <w:r>
        <w:fldChar w:fldCharType="separate"/>
      </w:r>
      <w:r>
        <w:t>9</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_Toc592306092 </w:instrText>
      </w:r>
      <w:r>
        <w:rPr>
          <w:rFonts w:hint="default"/>
        </w:rPr>
        <w:fldChar w:fldCharType="separate"/>
      </w:r>
      <w:r>
        <w:rPr>
          <w:rFonts w:hint="eastAsia" w:ascii="Times New Roman" w:hAnsi="Times New Roman" w:eastAsia="黑体" w:cs="Times New Roman"/>
          <w:kern w:val="2"/>
          <w:lang w:val="en-US" w:eastAsia="zh-CN" w:bidi="ar-SA"/>
        </w:rPr>
        <w:t>八、政府性基金预算支出决算情况说明</w:t>
      </w:r>
      <w:r>
        <w:tab/>
      </w:r>
      <w:r>
        <w:fldChar w:fldCharType="begin"/>
      </w:r>
      <w:r>
        <w:instrText xml:space="preserve"> PAGEREF _Toc592306092 \h </w:instrText>
      </w:r>
      <w:r>
        <w:fldChar w:fldCharType="separate"/>
      </w:r>
      <w:r>
        <w:t>11</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_Toc281808924 </w:instrText>
      </w:r>
      <w:r>
        <w:rPr>
          <w:rFonts w:hint="default"/>
        </w:rPr>
        <w:fldChar w:fldCharType="separate"/>
      </w:r>
      <w:r>
        <w:rPr>
          <w:rFonts w:hint="eastAsia" w:ascii="Times New Roman" w:hAnsi="Times New Roman" w:eastAsia="黑体" w:cs="Times New Roman"/>
          <w:kern w:val="2"/>
          <w:lang w:val="en-US" w:eastAsia="zh-CN" w:bidi="ar-SA"/>
        </w:rPr>
        <w:t>九、国有资本经营预算支出决算情况说明</w:t>
      </w:r>
      <w:r>
        <w:tab/>
      </w:r>
      <w:r>
        <w:fldChar w:fldCharType="begin"/>
      </w:r>
      <w:r>
        <w:instrText xml:space="preserve"> PAGEREF _Toc281808924 \h </w:instrText>
      </w:r>
      <w:r>
        <w:fldChar w:fldCharType="separate"/>
      </w:r>
      <w:r>
        <w:t>11</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_Toc1326795604 </w:instrText>
      </w:r>
      <w:r>
        <w:rPr>
          <w:rFonts w:hint="default"/>
        </w:rPr>
        <w:fldChar w:fldCharType="separate"/>
      </w:r>
      <w:r>
        <w:rPr>
          <w:rFonts w:hint="eastAsia" w:ascii="Times New Roman" w:hAnsi="Times New Roman" w:eastAsia="黑体" w:cs="Times New Roman"/>
          <w:kern w:val="2"/>
          <w:lang w:val="en-US" w:eastAsia="zh-CN" w:bidi="ar-SA"/>
        </w:rPr>
        <w:t>十、其他重要事项的情况说明</w:t>
      </w:r>
      <w:r>
        <w:tab/>
      </w:r>
      <w:r>
        <w:fldChar w:fldCharType="begin"/>
      </w:r>
      <w:r>
        <w:instrText xml:space="preserve"> PAGEREF _Toc1326795604 \h </w:instrText>
      </w:r>
      <w:r>
        <w:fldChar w:fldCharType="separate"/>
      </w:r>
      <w:r>
        <w:t>11</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_Toc1486188821 </w:instrText>
      </w:r>
      <w:r>
        <w:rPr>
          <w:rFonts w:hint="default"/>
        </w:rPr>
        <w:fldChar w:fldCharType="separate"/>
      </w:r>
      <w:r>
        <w:rPr>
          <w:rFonts w:hint="default" w:ascii="Times New Roman" w:hAnsi="Times New Roman" w:eastAsia="黑体" w:cs="Times New Roman"/>
          <w:szCs w:val="32"/>
          <w:lang w:val="en-US" w:eastAsia="zh-CN"/>
        </w:rPr>
        <w:t>第三部分 名词解释</w:t>
      </w:r>
      <w:r>
        <w:tab/>
      </w:r>
      <w:r>
        <w:fldChar w:fldCharType="begin"/>
      </w:r>
      <w:r>
        <w:instrText xml:space="preserve"> PAGEREF _Toc1486188821 \h </w:instrText>
      </w:r>
      <w:r>
        <w:fldChar w:fldCharType="separate"/>
      </w:r>
      <w:r>
        <w:t>12</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_Toc41125694 </w:instrText>
      </w:r>
      <w:r>
        <w:rPr>
          <w:rFonts w:hint="default"/>
        </w:rPr>
        <w:fldChar w:fldCharType="separate"/>
      </w:r>
      <w:r>
        <w:rPr>
          <w:rFonts w:hint="default" w:ascii="Times New Roman" w:hAnsi="Times New Roman" w:eastAsia="方正楷体_GBK" w:cs="Times New Roman"/>
          <w:kern w:val="2"/>
          <w:szCs w:val="32"/>
          <w:lang w:val="en-US" w:eastAsia="zh-CN" w:bidi="ar-SA"/>
        </w:rPr>
        <w:t>1.财政拨款收入：</w:t>
      </w:r>
      <w:r>
        <w:rPr>
          <w:rFonts w:hint="default" w:ascii="Times New Roman" w:hAnsi="Times New Roman" w:eastAsia="仿宋" w:cs="Times New Roman"/>
          <w:kern w:val="2"/>
          <w:szCs w:val="32"/>
          <w:lang w:val="en-US" w:eastAsia="zh-CN" w:bidi="ar-SA"/>
        </w:rPr>
        <w:t>指单位从同级财政部门取得的财政预算资金。</w:t>
      </w:r>
      <w:r>
        <w:tab/>
      </w:r>
      <w:r>
        <w:fldChar w:fldCharType="begin"/>
      </w:r>
      <w:r>
        <w:instrText xml:space="preserve"> PAGEREF _Toc41125694 \h </w:instrText>
      </w:r>
      <w:r>
        <w:fldChar w:fldCharType="separate"/>
      </w:r>
      <w:r>
        <w:t>12</w:t>
      </w:r>
      <w:r>
        <w:fldChar w:fldCharType="end"/>
      </w:r>
      <w:r>
        <w:rPr>
          <w:rFonts w:hint="default"/>
        </w:rPr>
        <w:fldChar w:fldCharType="end"/>
      </w:r>
    </w:p>
    <w:p>
      <w:pPr>
        <w:pStyle w:val="13"/>
        <w:tabs>
          <w:tab w:val="right" w:leader="dot" w:pos="8845"/>
          <w:tab w:val="clear" w:pos="8296"/>
        </w:tabs>
      </w:pPr>
      <w:r>
        <w:rPr>
          <w:rFonts w:hint="default"/>
        </w:rPr>
        <w:fldChar w:fldCharType="begin"/>
      </w:r>
      <w:r>
        <w:rPr>
          <w:rFonts w:hint="default"/>
        </w:rPr>
        <w:instrText xml:space="preserve"> HYPERLINK \l _Toc198981187 </w:instrText>
      </w:r>
      <w:r>
        <w:rPr>
          <w:rFonts w:hint="default"/>
        </w:rPr>
        <w:fldChar w:fldCharType="separate"/>
      </w:r>
      <w:r>
        <w:rPr>
          <w:rFonts w:hint="default" w:ascii="Times New Roman" w:hAnsi="Times New Roman" w:eastAsia="方正楷体_GBK" w:cs="Times New Roman"/>
          <w:kern w:val="2"/>
          <w:szCs w:val="32"/>
          <w:lang w:val="en-US" w:eastAsia="zh-CN" w:bidi="ar-SA"/>
        </w:rPr>
        <w:t>15.社会保障和就业：</w:t>
      </w:r>
      <w:r>
        <w:rPr>
          <w:rFonts w:hint="default" w:ascii="Times New Roman" w:hAnsi="Times New Roman" w:eastAsia="仿宋" w:cs="Times New Roman"/>
          <w:kern w:val="2"/>
          <w:szCs w:val="32"/>
          <w:lang w:val="en-US" w:eastAsia="zh-CN" w:bidi="ar-SA"/>
        </w:rPr>
        <w:t>指反映政府在社会保障和就业</w:t>
      </w:r>
      <w:r>
        <w:rPr>
          <w:rFonts w:hint="eastAsia" w:ascii="Times New Roman" w:hAnsi="Times New Roman" w:eastAsia="仿宋" w:cs="Times New Roman"/>
          <w:kern w:val="2"/>
          <w:szCs w:val="32"/>
          <w:lang w:val="en-US" w:eastAsia="zh-CN" w:bidi="ar-SA"/>
        </w:rPr>
        <w:t>领域</w:t>
      </w:r>
      <w:r>
        <w:rPr>
          <w:rFonts w:hint="default" w:ascii="Times New Roman" w:hAnsi="Times New Roman" w:eastAsia="仿宋" w:cs="Times New Roman"/>
          <w:kern w:val="2"/>
          <w:szCs w:val="32"/>
          <w:lang w:val="en-US" w:eastAsia="zh-CN" w:bidi="ar-SA"/>
        </w:rPr>
        <w:t>的支出。</w:t>
      </w:r>
      <w:r>
        <w:tab/>
      </w:r>
      <w:r>
        <w:fldChar w:fldCharType="begin"/>
      </w:r>
      <w:r>
        <w:instrText xml:space="preserve"> PAGEREF _Toc198981187 \h </w:instrText>
      </w:r>
      <w:r>
        <w:fldChar w:fldCharType="separate"/>
      </w:r>
      <w:r>
        <w:t>13</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_Toc1925435904 </w:instrText>
      </w:r>
      <w:r>
        <w:rPr>
          <w:rFonts w:hint="default"/>
        </w:rPr>
        <w:fldChar w:fldCharType="separate"/>
      </w:r>
      <w:r>
        <w:rPr>
          <w:rFonts w:hint="eastAsia" w:ascii="Times New Roman" w:hAnsi="Times New Roman" w:eastAsia="黑体" w:cs="Times New Roman"/>
          <w:szCs w:val="32"/>
          <w:lang w:val="en-US" w:eastAsia="zh-CN"/>
        </w:rPr>
        <w:t>第四部分</w:t>
      </w:r>
      <w:r>
        <w:tab/>
      </w:r>
      <w:r>
        <w:fldChar w:fldCharType="begin"/>
      </w:r>
      <w:r>
        <w:instrText xml:space="preserve"> PAGEREF _Toc1925435904 \h </w:instrText>
      </w:r>
      <w:r>
        <w:fldChar w:fldCharType="separate"/>
      </w:r>
      <w:r>
        <w:t>15</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_Toc1337672708 </w:instrText>
      </w:r>
      <w:r>
        <w:rPr>
          <w:rFonts w:hint="default"/>
        </w:rPr>
        <w:fldChar w:fldCharType="separate"/>
      </w:r>
      <w:r>
        <w:rPr>
          <w:rFonts w:hint="eastAsia" w:ascii="Times New Roman" w:hAnsi="Times New Roman" w:eastAsia="黑体" w:cs="Times New Roman"/>
          <w:szCs w:val="32"/>
          <w:lang w:val="en-US" w:eastAsia="zh-CN"/>
        </w:rPr>
        <w:t>壤塘县人民代表大会常务委员会办公室2025年度部门整体支出绩效评价</w:t>
      </w:r>
      <w:r>
        <w:tab/>
      </w:r>
      <w:r>
        <w:fldChar w:fldCharType="begin"/>
      </w:r>
      <w:r>
        <w:instrText xml:space="preserve"> PAGEREF _Toc1337672708 \h </w:instrText>
      </w:r>
      <w:r>
        <w:fldChar w:fldCharType="separate"/>
      </w:r>
      <w:r>
        <w:t>15</w:t>
      </w:r>
      <w:r>
        <w:fldChar w:fldCharType="end"/>
      </w:r>
      <w:r>
        <w:rPr>
          <w:rFonts w:hint="default"/>
        </w:rPr>
        <w:fldChar w:fldCharType="end"/>
      </w:r>
    </w:p>
    <w:p>
      <w:pPr>
        <w:pStyle w:val="12"/>
        <w:tabs>
          <w:tab w:val="right" w:leader="dot" w:pos="8845"/>
          <w:tab w:val="clear" w:pos="8296"/>
        </w:tabs>
      </w:pPr>
      <w:r>
        <w:rPr>
          <w:rFonts w:hint="default"/>
        </w:rPr>
        <w:fldChar w:fldCharType="begin"/>
      </w:r>
      <w:r>
        <w:rPr>
          <w:rFonts w:hint="default"/>
        </w:rPr>
        <w:instrText xml:space="preserve"> HYPERLINK \l _Toc1645408539 </w:instrText>
      </w:r>
      <w:r>
        <w:rPr>
          <w:rFonts w:hint="default"/>
        </w:rPr>
        <w:fldChar w:fldCharType="separate"/>
      </w:r>
      <w:r>
        <w:rPr>
          <w:rFonts w:hint="default" w:ascii="Times New Roman" w:hAnsi="Times New Roman" w:eastAsia="黑体" w:cs="Times New Roman"/>
          <w:bCs/>
          <w:kern w:val="44"/>
          <w:szCs w:val="32"/>
          <w:lang w:val="en-US" w:eastAsia="zh-CN" w:bidi="ar-SA"/>
        </w:rPr>
        <w:t>第五部分 附表</w:t>
      </w:r>
      <w:r>
        <w:tab/>
      </w:r>
      <w:r>
        <w:fldChar w:fldCharType="begin"/>
      </w:r>
      <w:r>
        <w:instrText xml:space="preserve"> PAGEREF _Toc1645408539 \h </w:instrText>
      </w:r>
      <w:r>
        <w:fldChar w:fldCharType="separate"/>
      </w:r>
      <w:r>
        <w:t>26</w:t>
      </w:r>
      <w:r>
        <w:fldChar w:fldCharType="end"/>
      </w:r>
      <w:r>
        <w:rPr>
          <w:rFonts w:hint="default"/>
        </w:rPr>
        <w:fldChar w:fldCharType="end"/>
      </w:r>
    </w:p>
    <w:p>
      <w:pPr>
        <w:pStyle w:val="8"/>
        <w:spacing w:after="0"/>
        <w:ind w:left="0" w:leftChars="0" w:firstLine="0" w:firstLineChars="0"/>
        <w:jc w:val="center"/>
        <w:rPr>
          <w:rFonts w:hint="default" w:ascii="仿宋" w:hAnsi="仿宋" w:eastAsia="宋体" w:cs="Times New Roman"/>
          <w:b/>
          <w:kern w:val="2"/>
          <w:sz w:val="21"/>
          <w:szCs w:val="32"/>
          <w:lang w:val="en-US" w:eastAsia="zh-CN" w:bidi="ar-SA"/>
        </w:rPr>
      </w:pPr>
      <w:r>
        <w:rPr>
          <w:rFonts w:hint="default"/>
        </w:rPr>
        <w:fldChar w:fldCharType="end"/>
      </w:r>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default" w:ascii="Times New Roman" w:hAnsi="Times New Roman" w:eastAsia="黑体" w:cs="Times New Roman"/>
          <w:b w:val="0"/>
        </w:rPr>
        <w:sectPr>
          <w:headerReference r:id="rId3" w:type="default"/>
          <w:footerReference r:id="rId4" w:type="default"/>
          <w:pgSz w:w="11906" w:h="16838"/>
          <w:pgMar w:top="2098" w:right="1474" w:bottom="1984" w:left="1587" w:header="851" w:footer="992" w:gutter="0"/>
          <w:pgNumType w:fmt="decimal" w:start="1"/>
          <w:cols w:space="720" w:num="1"/>
          <w:docGrid w:type="lines" w:linePitch="312" w:charSpace="0"/>
        </w:sectPr>
      </w:pPr>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default" w:ascii="Times New Roman" w:hAnsi="Times New Roman" w:eastAsia="黑体" w:cs="Times New Roman"/>
          <w:b w:val="0"/>
        </w:rPr>
      </w:pPr>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default" w:ascii="Times New Roman" w:hAnsi="Times New Roman" w:eastAsia="仿宋" w:cs="Times New Roman"/>
          <w:sz w:val="32"/>
          <w:szCs w:val="32"/>
        </w:rPr>
      </w:pPr>
      <w:bookmarkStart w:id="8" w:name="_Toc1173256948"/>
      <w:r>
        <w:rPr>
          <w:rFonts w:hint="default" w:ascii="Times New Roman" w:hAnsi="Times New Roman" w:eastAsia="黑体" w:cs="Times New Roman"/>
          <w:b w:val="0"/>
          <w:sz w:val="32"/>
          <w:szCs w:val="32"/>
        </w:rPr>
        <w:t>第一部分 部门概况</w:t>
      </w:r>
      <w:bookmarkEnd w:id="8"/>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right="0" w:firstLine="640" w:firstLineChars="200"/>
        <w:textAlignment w:val="auto"/>
        <w:outlineLvl w:val="1"/>
        <w:rPr>
          <w:rStyle w:val="19"/>
          <w:rFonts w:hint="default" w:ascii="Times New Roman" w:hAnsi="Times New Roman" w:eastAsia="黑体" w:cs="Times New Roman"/>
          <w:b w:val="0"/>
          <w:kern w:val="2"/>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right="0" w:firstLine="640" w:firstLineChars="200"/>
        <w:textAlignment w:val="auto"/>
        <w:outlineLvl w:val="1"/>
        <w:rPr>
          <w:rStyle w:val="19"/>
          <w:rFonts w:hint="default" w:ascii="Times New Roman" w:hAnsi="Times New Roman" w:eastAsia="黑体" w:cs="Times New Roman"/>
          <w:b w:val="0"/>
          <w:kern w:val="2"/>
          <w:lang w:val="en-US" w:eastAsia="zh-CN" w:bidi="ar-SA"/>
        </w:rPr>
      </w:pPr>
      <w:bookmarkStart w:id="9" w:name="_Toc593289453"/>
      <w:r>
        <w:rPr>
          <w:rStyle w:val="19"/>
          <w:rFonts w:hint="default" w:ascii="Times New Roman" w:hAnsi="Times New Roman" w:eastAsia="黑体" w:cs="Times New Roman"/>
          <w:b w:val="0"/>
          <w:kern w:val="2"/>
          <w:lang w:val="en-US" w:eastAsia="zh-CN" w:bidi="ar-SA"/>
        </w:rPr>
        <w:t>一、部门职责</w:t>
      </w:r>
      <w:bookmarkEnd w:id="9"/>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3" w:firstLineChars="200"/>
        <w:textAlignment w:val="auto"/>
        <w:rPr>
          <w:rFonts w:hint="default" w:ascii="Times New Roman" w:hAnsi="Times New Roman" w:eastAsia="楷体_GB2312" w:cs="Times New Roman"/>
          <w:b/>
          <w:bCs/>
          <w:kern w:val="0"/>
          <w:sz w:val="32"/>
          <w:szCs w:val="32"/>
          <w:shd w:val="clear" w:color="auto" w:fill="FFFFFF"/>
          <w:lang w:val="en-US" w:eastAsia="zh-CN" w:bidi="ar"/>
        </w:rPr>
      </w:pPr>
      <w:r>
        <w:rPr>
          <w:rFonts w:hint="default" w:ascii="Times New Roman" w:hAnsi="Times New Roman" w:eastAsia="楷体_GB2312" w:cs="Times New Roman"/>
          <w:b/>
          <w:bCs/>
          <w:kern w:val="0"/>
          <w:sz w:val="32"/>
          <w:szCs w:val="32"/>
          <w:shd w:val="clear" w:color="auto" w:fill="FFFFFF"/>
          <w:lang w:val="en-US" w:eastAsia="zh-CN" w:bidi="ar"/>
        </w:rPr>
        <w:t>（一）主要职能</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3"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1.</w:t>
      </w:r>
      <w:r>
        <w:rPr>
          <w:rFonts w:hint="eastAsia" w:ascii="Times New Roman" w:hAnsi="Times New Roman" w:eastAsia="仿宋" w:cs="Times New Roman"/>
          <w:b/>
          <w:bCs/>
          <w:kern w:val="2"/>
          <w:sz w:val="32"/>
          <w:szCs w:val="32"/>
          <w:lang w:val="en-US" w:eastAsia="zh-CN" w:bidi="ar-SA"/>
        </w:rPr>
        <w:t>壤塘县人民代表大会常务委员会办公室内设办公室的主要职能。</w:t>
      </w:r>
      <w:r>
        <w:rPr>
          <w:rFonts w:hint="eastAsia" w:ascii="Times New Roman" w:hAnsi="Times New Roman" w:eastAsia="仿宋" w:cs="Times New Roman"/>
          <w:kern w:val="2"/>
          <w:sz w:val="32"/>
          <w:szCs w:val="32"/>
          <w:lang w:val="en-US" w:eastAsia="zh-CN" w:bidi="ar-SA"/>
        </w:rPr>
        <w:t>承担办文、办会、办事、对外联系沟通等工作。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3"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2.</w:t>
      </w:r>
      <w:r>
        <w:rPr>
          <w:rFonts w:hint="eastAsia" w:ascii="Times New Roman" w:hAnsi="Times New Roman" w:eastAsia="仿宋" w:cs="Times New Roman"/>
          <w:b/>
          <w:bCs/>
          <w:kern w:val="2"/>
          <w:sz w:val="32"/>
          <w:szCs w:val="32"/>
          <w:lang w:val="en-US" w:eastAsia="zh-CN" w:bidi="ar-SA"/>
        </w:rPr>
        <w:t>壤塘县人民代表大会常务委员会</w:t>
      </w:r>
      <w:r>
        <w:rPr>
          <w:rFonts w:hint="default" w:ascii="Times New Roman" w:hAnsi="Times New Roman" w:eastAsia="仿宋" w:cs="Times New Roman"/>
          <w:b/>
          <w:bCs/>
          <w:kern w:val="2"/>
          <w:sz w:val="32"/>
          <w:szCs w:val="32"/>
          <w:lang w:val="en-US" w:eastAsia="zh-CN" w:bidi="ar-SA"/>
        </w:rPr>
        <w:t>财政经济预算和农业农村城乡环境保护委员会</w:t>
      </w:r>
      <w:r>
        <w:rPr>
          <w:rFonts w:hint="eastAsia" w:ascii="Times New Roman" w:hAnsi="Times New Roman" w:eastAsia="仿宋" w:cs="Times New Roman"/>
          <w:b/>
          <w:bCs/>
          <w:kern w:val="2"/>
          <w:sz w:val="32"/>
          <w:szCs w:val="32"/>
          <w:lang w:val="en-US" w:eastAsia="zh-CN" w:bidi="ar-SA"/>
        </w:rPr>
        <w:t>的主要</w:t>
      </w:r>
      <w:r>
        <w:rPr>
          <w:rFonts w:hint="default" w:ascii="Times New Roman" w:hAnsi="Times New Roman" w:eastAsia="仿宋" w:cs="Times New Roman"/>
          <w:b/>
          <w:bCs/>
          <w:kern w:val="2"/>
          <w:sz w:val="32"/>
          <w:szCs w:val="32"/>
          <w:lang w:val="en-US" w:eastAsia="zh-CN" w:bidi="ar-SA"/>
        </w:rPr>
        <w:t>职能。</w:t>
      </w:r>
      <w:r>
        <w:rPr>
          <w:rFonts w:hint="default" w:ascii="Times New Roman" w:hAnsi="Times New Roman" w:eastAsia="仿宋" w:cs="Times New Roman"/>
          <w:kern w:val="2"/>
          <w:sz w:val="32"/>
          <w:szCs w:val="32"/>
          <w:lang w:val="en-US" w:eastAsia="zh-CN" w:bidi="ar-SA"/>
        </w:rPr>
        <w:t>承担财政、经济、预算、农业农村和城乡环境资源保护等工作。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3"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b/>
          <w:bCs/>
          <w:kern w:val="2"/>
          <w:sz w:val="32"/>
          <w:szCs w:val="32"/>
          <w:lang w:val="en-US" w:eastAsia="zh-CN" w:bidi="ar-SA"/>
        </w:rPr>
        <w:t>3.</w:t>
      </w:r>
      <w:r>
        <w:rPr>
          <w:rFonts w:hint="eastAsia" w:ascii="Times New Roman" w:hAnsi="Times New Roman" w:eastAsia="仿宋" w:cs="Times New Roman"/>
          <w:b/>
          <w:bCs/>
          <w:kern w:val="2"/>
          <w:sz w:val="32"/>
          <w:szCs w:val="32"/>
          <w:lang w:val="en-US" w:eastAsia="zh-CN" w:bidi="ar-SA"/>
        </w:rPr>
        <w:t>壤塘县人民代表大会常务委员会</w:t>
      </w:r>
      <w:r>
        <w:rPr>
          <w:rFonts w:hint="default" w:ascii="Times New Roman" w:hAnsi="Times New Roman" w:eastAsia="仿宋" w:cs="Times New Roman"/>
          <w:b/>
          <w:bCs/>
          <w:kern w:val="2"/>
          <w:sz w:val="32"/>
          <w:szCs w:val="32"/>
          <w:lang w:val="en-US" w:eastAsia="zh-CN" w:bidi="ar-SA"/>
        </w:rPr>
        <w:t>法制监察司法和社会事务委员会</w:t>
      </w:r>
      <w:r>
        <w:rPr>
          <w:rFonts w:hint="eastAsia" w:ascii="Times New Roman" w:hAnsi="Times New Roman" w:eastAsia="仿宋" w:cs="Times New Roman"/>
          <w:b/>
          <w:bCs/>
          <w:kern w:val="2"/>
          <w:sz w:val="32"/>
          <w:szCs w:val="32"/>
          <w:lang w:val="en-US" w:eastAsia="zh-CN" w:bidi="ar-SA"/>
        </w:rPr>
        <w:t>的主要</w:t>
      </w:r>
      <w:r>
        <w:rPr>
          <w:rFonts w:hint="default" w:ascii="Times New Roman" w:hAnsi="Times New Roman" w:eastAsia="仿宋" w:cs="Times New Roman"/>
          <w:b/>
          <w:bCs/>
          <w:kern w:val="2"/>
          <w:sz w:val="32"/>
          <w:szCs w:val="32"/>
          <w:lang w:val="en-US" w:eastAsia="zh-CN" w:bidi="ar-SA"/>
        </w:rPr>
        <w:t>职能。</w:t>
      </w:r>
      <w:r>
        <w:rPr>
          <w:rFonts w:hint="default" w:ascii="Times New Roman" w:hAnsi="Times New Roman" w:eastAsia="仿宋" w:cs="Times New Roman"/>
          <w:kern w:val="2"/>
          <w:sz w:val="32"/>
          <w:szCs w:val="32"/>
          <w:lang w:val="en-US" w:eastAsia="zh-CN" w:bidi="ar-SA"/>
        </w:rPr>
        <w:t>承担法制、监察、司法、社会建设、民族宗教、外事、教育、科学、文化和卫生等工作。</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3"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b/>
          <w:bCs/>
          <w:kern w:val="2"/>
          <w:sz w:val="32"/>
          <w:szCs w:val="32"/>
          <w:lang w:val="en-US" w:eastAsia="zh-CN" w:bidi="ar-SA"/>
        </w:rPr>
        <w:t>4.壤塘县人民代表大会常务委员会</w:t>
      </w:r>
      <w:r>
        <w:rPr>
          <w:rFonts w:hint="default" w:ascii="Times New Roman" w:hAnsi="Times New Roman" w:eastAsia="仿宋" w:cs="Times New Roman"/>
          <w:b/>
          <w:bCs/>
          <w:kern w:val="2"/>
          <w:sz w:val="32"/>
          <w:szCs w:val="32"/>
          <w:lang w:val="en-US" w:eastAsia="zh-CN" w:bidi="ar-SA"/>
        </w:rPr>
        <w:t>代表工作委员会</w:t>
      </w:r>
      <w:r>
        <w:rPr>
          <w:rFonts w:hint="eastAsia" w:ascii="Times New Roman" w:hAnsi="Times New Roman" w:eastAsia="仿宋" w:cs="Times New Roman"/>
          <w:b/>
          <w:bCs/>
          <w:kern w:val="2"/>
          <w:sz w:val="32"/>
          <w:szCs w:val="32"/>
          <w:lang w:val="en-US" w:eastAsia="zh-CN" w:bidi="ar-SA"/>
        </w:rPr>
        <w:t>的主要</w:t>
      </w:r>
      <w:r>
        <w:rPr>
          <w:rFonts w:hint="default" w:ascii="Times New Roman" w:hAnsi="Times New Roman" w:eastAsia="仿宋" w:cs="Times New Roman"/>
          <w:b/>
          <w:bCs/>
          <w:kern w:val="2"/>
          <w:sz w:val="32"/>
          <w:szCs w:val="32"/>
          <w:lang w:val="en-US" w:eastAsia="zh-CN" w:bidi="ar-SA"/>
        </w:rPr>
        <w:t>职能。</w:t>
      </w:r>
      <w:r>
        <w:rPr>
          <w:rFonts w:hint="default" w:ascii="Times New Roman" w:hAnsi="Times New Roman" w:eastAsia="仿宋" w:cs="Times New Roman"/>
          <w:kern w:val="2"/>
          <w:sz w:val="32"/>
          <w:szCs w:val="32"/>
          <w:lang w:val="en-US" w:eastAsia="zh-CN" w:bidi="ar-SA"/>
        </w:rPr>
        <w:t>承担县乡（镇）换届选举、人事任免的具体事务和</w:t>
      </w:r>
      <w:r>
        <w:rPr>
          <w:rFonts w:hint="eastAsia" w:eastAsia="仿宋" w:cs="Times New Roman"/>
          <w:kern w:val="2"/>
          <w:sz w:val="32"/>
          <w:szCs w:val="32"/>
          <w:lang w:val="en-US" w:eastAsia="zh-CN" w:bidi="ar-SA"/>
        </w:rPr>
        <w:t>代表</w:t>
      </w:r>
      <w:r>
        <w:rPr>
          <w:rFonts w:hint="eastAsia" w:ascii="Times New Roman" w:hAnsi="Times New Roman" w:eastAsia="仿宋" w:cs="Times New Roman"/>
          <w:kern w:val="2"/>
          <w:sz w:val="32"/>
          <w:szCs w:val="32"/>
          <w:lang w:val="en-US" w:eastAsia="zh-CN" w:bidi="ar-SA"/>
        </w:rPr>
        <w:t>工作</w:t>
      </w:r>
      <w:r>
        <w:rPr>
          <w:rFonts w:hint="default" w:ascii="Times New Roman" w:hAnsi="Times New Roman" w:eastAsia="仿宋"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right="0" w:firstLine="640" w:firstLineChars="200"/>
        <w:textAlignment w:val="auto"/>
        <w:outlineLvl w:val="1"/>
        <w:rPr>
          <w:rStyle w:val="19"/>
          <w:rFonts w:hint="default" w:ascii="Times New Roman" w:hAnsi="Times New Roman" w:eastAsia="黑体" w:cs="Times New Roman"/>
          <w:b w:val="0"/>
          <w:kern w:val="2"/>
          <w:lang w:val="en-US" w:eastAsia="zh-CN" w:bidi="ar-SA"/>
        </w:rPr>
      </w:pPr>
      <w:bookmarkStart w:id="10" w:name="_Toc24405"/>
      <w:bookmarkStart w:id="11" w:name="_Toc979793911"/>
      <w:r>
        <w:rPr>
          <w:rStyle w:val="19"/>
          <w:rFonts w:hint="default" w:ascii="Times New Roman" w:hAnsi="Times New Roman" w:eastAsia="黑体" w:cs="Times New Roman"/>
          <w:b w:val="0"/>
          <w:kern w:val="2"/>
          <w:lang w:val="en-US" w:eastAsia="zh-CN" w:bidi="ar-SA"/>
        </w:rPr>
        <w:t>二、机构设置</w:t>
      </w:r>
      <w:bookmarkEnd w:id="10"/>
      <w:bookmarkEnd w:id="11"/>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壤塘县人民代表大会常务委员会办公室下属二级预算单位2个，其中全额拨款行政单位1个（壤塘县人民代表大会常务委员会办公室本级），内设办公室、财政经济预算和农业农村城乡环境保护委员会、法制监察司法和社会事务委员会、代表工作委员会“三委一室”；全额拨款股级事业单位1个。2025年底我单位共有在职人员</w:t>
      </w:r>
      <w:r>
        <w:rPr>
          <w:rFonts w:hint="eastAsia" w:eastAsia="仿宋" w:cs="Times New Roman"/>
          <w:kern w:val="2"/>
          <w:sz w:val="32"/>
          <w:szCs w:val="32"/>
          <w:lang w:val="en-US" w:eastAsia="zh-CN" w:bidi="ar-SA"/>
        </w:rPr>
        <w:t>26</w:t>
      </w:r>
      <w:r>
        <w:rPr>
          <w:rFonts w:hint="default" w:ascii="Times New Roman" w:hAnsi="Times New Roman" w:eastAsia="仿宋" w:cs="Times New Roman"/>
          <w:kern w:val="2"/>
          <w:sz w:val="32"/>
          <w:szCs w:val="32"/>
          <w:lang w:val="en-US" w:eastAsia="zh-CN" w:bidi="ar-SA"/>
        </w:rPr>
        <w:t>人，其中行政（行政工勤）</w:t>
      </w:r>
      <w:r>
        <w:rPr>
          <w:rFonts w:hint="eastAsia" w:eastAsia="仿宋" w:cs="Times New Roman"/>
          <w:kern w:val="2"/>
          <w:sz w:val="32"/>
          <w:szCs w:val="32"/>
          <w:lang w:val="en-US" w:eastAsia="zh-CN" w:bidi="ar-SA"/>
        </w:rPr>
        <w:t>21</w:t>
      </w:r>
      <w:r>
        <w:rPr>
          <w:rFonts w:hint="default" w:ascii="Times New Roman" w:hAnsi="Times New Roman" w:eastAsia="仿宋" w:cs="Times New Roman"/>
          <w:kern w:val="2"/>
          <w:sz w:val="32"/>
          <w:szCs w:val="32"/>
          <w:lang w:val="en-US" w:eastAsia="zh-CN" w:bidi="ar-SA"/>
        </w:rPr>
        <w:t>人，非参公事业人员</w:t>
      </w:r>
      <w:r>
        <w:rPr>
          <w:rFonts w:hint="eastAsia" w:eastAsia="仿宋" w:cs="Times New Roman"/>
          <w:kern w:val="2"/>
          <w:sz w:val="32"/>
          <w:szCs w:val="32"/>
          <w:lang w:val="en-US" w:eastAsia="zh-CN" w:bidi="ar-SA"/>
        </w:rPr>
        <w:t>1</w:t>
      </w:r>
      <w:r>
        <w:rPr>
          <w:rFonts w:hint="default" w:ascii="Times New Roman" w:hAnsi="Times New Roman" w:eastAsia="仿宋" w:cs="Times New Roman"/>
          <w:kern w:val="2"/>
          <w:sz w:val="32"/>
          <w:szCs w:val="32"/>
          <w:lang w:val="en-US" w:eastAsia="zh-CN" w:bidi="ar-SA"/>
        </w:rPr>
        <w:t>人。</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纳入壤塘县人民代表大会常务委员会办公室2025年度部门决算编制范围的二级预算单位包括：</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1.壤塘县人民代表大会常务委员会办公室本级</w:t>
      </w:r>
      <w:r>
        <w:rPr>
          <w:rFonts w:hint="eastAsia" w:eastAsia="仿宋"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Autospacing="0" w:afterAutospacing="0" w:line="576"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2.壤塘县人民代表大会常务委员会办公室信息工作中心</w:t>
      </w:r>
      <w:r>
        <w:rPr>
          <w:rFonts w:hint="eastAsia" w:eastAsia="仿宋" w:cs="Times New Roman"/>
          <w:kern w:val="2"/>
          <w:sz w:val="32"/>
          <w:szCs w:val="32"/>
          <w:lang w:val="en-US" w:eastAsia="zh-CN" w:bidi="ar-SA"/>
        </w:rPr>
        <w:t>。</w:t>
      </w:r>
    </w:p>
    <w:p>
      <w:pPr>
        <w:pStyle w:val="3"/>
        <w:pageBreakBefore w:val="0"/>
        <w:kinsoku/>
        <w:wordWrap/>
        <w:overflowPunct/>
        <w:topLinePunct w:val="0"/>
        <w:bidi w:val="0"/>
        <w:spacing w:before="0" w:beforeAutospacing="0" w:after="0" w:afterAutospacing="0" w:line="560" w:lineRule="exact"/>
        <w:ind w:left="0" w:leftChars="0" w:right="0"/>
        <w:jc w:val="center"/>
        <w:textAlignment w:val="auto"/>
        <w:rPr>
          <w:rFonts w:hint="eastAsia" w:eastAsia="黑体" w:cs="Times New Roman"/>
          <w:b w:val="0"/>
          <w:lang w:val="en-US" w:eastAsia="zh-CN"/>
        </w:rPr>
      </w:pPr>
      <w:bookmarkStart w:id="12" w:name="_Toc4780"/>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default" w:ascii="Times New Roman" w:hAnsi="Times New Roman" w:eastAsia="黑体" w:cs="Times New Roman"/>
          <w:b w:val="0"/>
          <w:sz w:val="32"/>
          <w:szCs w:val="32"/>
        </w:rPr>
      </w:pPr>
      <w:bookmarkStart w:id="13" w:name="_Toc1570418139"/>
      <w:r>
        <w:rPr>
          <w:rFonts w:hint="eastAsia" w:ascii="Times New Roman" w:hAnsi="Times New Roman" w:eastAsia="黑体" w:cs="Times New Roman"/>
          <w:b w:val="0"/>
          <w:sz w:val="32"/>
          <w:szCs w:val="32"/>
          <w:lang w:val="en-US" w:eastAsia="zh-CN"/>
        </w:rPr>
        <w:t>第二部分 2025年度部门决算情况说明</w:t>
      </w:r>
      <w:bookmarkEnd w:id="12"/>
      <w:bookmarkEnd w:id="13"/>
      <w:bookmarkStart w:id="14" w:name="_Toc15396603"/>
      <w:bookmarkStart w:id="15" w:name="_Toc12888"/>
      <w:bookmarkStart w:id="16" w:name="_Toc15377205"/>
    </w:p>
    <w:p>
      <w:pPr>
        <w:rPr>
          <w:rFonts w:hint="default"/>
          <w:lang w:val="en-US" w:eastAsia="zh-CN"/>
        </w:rPr>
      </w:pPr>
    </w:p>
    <w:p>
      <w:pPr>
        <w:pStyle w:val="20"/>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textAlignment w:val="auto"/>
        <w:outlineLvl w:val="1"/>
        <w:rPr>
          <w:rStyle w:val="19"/>
          <w:rFonts w:hint="default" w:ascii="Times New Roman" w:hAnsi="Times New Roman" w:eastAsia="黑体" w:cs="Times New Roman"/>
          <w:b w:val="0"/>
        </w:rPr>
      </w:pPr>
      <w:bookmarkStart w:id="17" w:name="_Toc1902350370"/>
      <w:bookmarkStart w:id="18" w:name="_Toc32596"/>
      <w:r>
        <w:rPr>
          <w:rFonts w:hint="default" w:ascii="Times New Roman" w:hAnsi="Times New Roman" w:eastAsia="黑体" w:cs="Times New Roman"/>
          <w:b w:val="0"/>
          <w:bCs/>
          <w:kern w:val="2"/>
          <w:sz w:val="32"/>
          <w:szCs w:val="32"/>
          <w:lang w:val="en-US" w:eastAsia="zh-CN" w:bidi="ar-SA"/>
        </w:rPr>
        <w:t>一、</w:t>
      </w:r>
      <w:r>
        <w:rPr>
          <w:rFonts w:hint="default" w:ascii="Times New Roman" w:hAnsi="Times New Roman" w:eastAsia="黑体" w:cs="Times New Roman"/>
          <w:sz w:val="32"/>
          <w:szCs w:val="32"/>
        </w:rPr>
        <w:t>收</w:t>
      </w:r>
      <w:r>
        <w:rPr>
          <w:rStyle w:val="19"/>
          <w:rFonts w:hint="default" w:ascii="Times New Roman" w:hAnsi="Times New Roman" w:eastAsia="黑体" w:cs="Times New Roman"/>
          <w:b w:val="0"/>
        </w:rPr>
        <w:t>入</w:t>
      </w:r>
      <w:r>
        <w:rPr>
          <w:rFonts w:hint="default" w:ascii="Times New Roman" w:hAnsi="Times New Roman" w:eastAsia="黑体" w:cs="Times New Roman"/>
          <w:b w:val="0"/>
          <w:bCs/>
          <w:kern w:val="44"/>
          <w:sz w:val="32"/>
          <w:szCs w:val="32"/>
          <w:lang w:val="en-US" w:eastAsia="zh-CN" w:bidi="ar-SA"/>
        </w:rPr>
        <w:t>支出决算</w:t>
      </w:r>
      <w:r>
        <w:rPr>
          <w:rStyle w:val="19"/>
          <w:rFonts w:hint="default" w:ascii="Times New Roman" w:hAnsi="Times New Roman" w:eastAsia="黑体" w:cs="Times New Roman"/>
          <w:b w:val="0"/>
        </w:rPr>
        <w:t>总体情况说明</w:t>
      </w:r>
      <w:bookmarkEnd w:id="14"/>
      <w:bookmarkEnd w:id="15"/>
      <w:bookmarkEnd w:id="16"/>
      <w:bookmarkEnd w:id="17"/>
      <w:bookmarkEnd w:id="18"/>
    </w:p>
    <w:p>
      <w:pPr>
        <w:pageBreakBefore w:val="0"/>
        <w:numPr>
          <w:ilvl w:val="0"/>
          <w:numId w:val="0"/>
        </w:numPr>
        <w:kinsoku/>
        <w:wordWrap/>
        <w:overflowPunct/>
        <w:topLinePunct w:val="0"/>
        <w:autoSpaceDE/>
        <w:autoSpaceDN/>
        <w:bidi w:val="0"/>
        <w:snapToGrid w:val="0"/>
        <w:spacing w:line="576" w:lineRule="exact"/>
        <w:ind w:firstLine="640" w:firstLineChars="200"/>
        <w:jc w:val="both"/>
        <w:rPr>
          <w:rFonts w:hint="eastAsia" w:eastAsia="仿宋" w:cs="Times New Roman"/>
          <w:sz w:val="32"/>
          <w:szCs w:val="32"/>
          <w:lang w:val="en-US" w:eastAsia="zh-CN"/>
        </w:rPr>
      </w:pPr>
      <w:r>
        <w:rPr>
          <w:rFonts w:hint="default" w:ascii="Times New Roman" w:hAnsi="Times New Roman" w:eastAsia="仿宋" w:cs="Times New Roman"/>
          <w:kern w:val="2"/>
          <w:sz w:val="32"/>
          <w:szCs w:val="32"/>
          <w:lang w:val="en-US" w:eastAsia="zh-CN" w:bidi="ar-SA"/>
        </w:rPr>
        <w:t>2025年度收、支总计均为1232.83万元。与2024年相比，收支总计各减少218.10万元，下降15.03%。主要原因：一是2024年度实施《人大志》藏汉翻译工作，收到捐赠资金49.9万元计入其他收入，2025年度无此类大额捐赠收入，其他收入相应减少；二是2024年度一次性列支死亡抚恤金99.27万元，2025年度无此类支出；三是人员薪酬调整，人员经费相应减少。</w:t>
      </w:r>
    </w:p>
    <w:p>
      <w:pPr>
        <w:pStyle w:val="8"/>
        <w:ind w:firstLine="6090" w:firstLineChars="2900"/>
        <w:rPr>
          <w:rFonts w:hint="eastAsia" w:eastAsia="仿宋" w:cs="Times New Roman"/>
          <w:sz w:val="32"/>
          <w:szCs w:val="32"/>
          <w:lang w:val="en-US" w:eastAsia="zh-CN"/>
        </w:rPr>
      </w:pPr>
      <w:r>
        <w:drawing>
          <wp:anchor distT="0" distB="0" distL="114300" distR="114300" simplePos="0" relativeHeight="251659264" behindDoc="0" locked="0" layoutInCell="1" allowOverlap="1">
            <wp:simplePos x="0" y="0"/>
            <wp:positionH relativeFrom="column">
              <wp:posOffset>403225</wp:posOffset>
            </wp:positionH>
            <wp:positionV relativeFrom="paragraph">
              <wp:posOffset>520700</wp:posOffset>
            </wp:positionV>
            <wp:extent cx="4286250" cy="1744980"/>
            <wp:effectExtent l="0" t="0" r="0" b="7620"/>
            <wp:wrapTopAndBottom/>
            <wp:docPr id="1" name="图表 1"/>
            <wp:cNvGraphicFramePr/>
            <a:graphic xmlns:a="http://schemas.openxmlformats.org/drawingml/2006/main">
              <a:graphicData uri="http://schemas.openxmlformats.org/drawingml/2006/picture">
                <pic:pic xmlns:pic="http://schemas.openxmlformats.org/drawingml/2006/picture">
                  <pic:nvPicPr>
                    <pic:cNvPr id="1" name="图表 1"/>
                    <pic:cNvPicPr/>
                  </pic:nvPicPr>
                  <pic:blipFill>
                    <a:blip r:embed="rId7"/>
                    <a:stretch>
                      <a:fillRect/>
                    </a:stretch>
                  </pic:blipFill>
                  <pic:spPr>
                    <a:xfrm>
                      <a:off x="0" y="0"/>
                      <a:ext cx="4286250" cy="1744980"/>
                    </a:xfrm>
                    <a:prstGeom prst="rect">
                      <a:avLst/>
                    </a:prstGeom>
                    <a:noFill/>
                    <a:ln>
                      <a:noFill/>
                    </a:ln>
                  </pic:spPr>
                </pic:pic>
              </a:graphicData>
            </a:graphic>
          </wp:anchor>
        </w:drawing>
      </w:r>
      <w:r>
        <w:rPr>
          <w:rFonts w:hint="default" w:ascii="Times New Roman" w:hAnsi="Times New Roman" w:eastAsia="仿宋" w:cs="Times New Roman"/>
          <w:sz w:val="32"/>
          <w:szCs w:val="32"/>
          <w:lang w:val="en-US" w:eastAsia="zh-CN"/>
        </w:rPr>
        <w:t>单位：万元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cs="Times New Roman"/>
          <w:lang w:val="en-US" w:eastAsia="zh-CN"/>
        </w:rPr>
      </w:pPr>
      <w:r>
        <w:rPr>
          <w:rFonts w:hint="default" w:ascii="Times New Roman" w:hAnsi="Times New Roman" w:eastAsia="仿宋" w:cs="Times New Roman"/>
          <w:sz w:val="32"/>
          <w:szCs w:val="32"/>
        </w:rPr>
        <w:t>图1：收、支决算总计变动情况图（柱状图）</w:t>
      </w:r>
      <w:r>
        <w:rPr>
          <w:rFonts w:hint="default" w:ascii="Times New Roman" w:hAnsi="Times New Roman" w:eastAsia="仿宋" w:cs="Times New Roman"/>
          <w:sz w:val="32"/>
          <w:szCs w:val="32"/>
          <w:lang w:val="en-US" w:eastAsia="zh-CN"/>
        </w:rPr>
        <w:t xml:space="preserve"> </w:t>
      </w:r>
    </w:p>
    <w:p>
      <w:pPr>
        <w:tabs>
          <w:tab w:val="left" w:pos="685"/>
        </w:tabs>
        <w:bidi w:val="0"/>
        <w:ind w:firstLine="640" w:firstLineChars="200"/>
        <w:jc w:val="left"/>
        <w:outlineLvl w:val="1"/>
        <w:rPr>
          <w:rStyle w:val="19"/>
          <w:rFonts w:hint="default" w:ascii="Times New Roman" w:hAnsi="Times New Roman" w:eastAsia="黑体" w:cs="Times New Roman"/>
          <w:b w:val="0"/>
          <w:kern w:val="2"/>
          <w:lang w:val="en-US" w:eastAsia="zh-CN" w:bidi="ar-SA"/>
        </w:rPr>
      </w:pPr>
      <w:bookmarkStart w:id="19" w:name="_Toc9800"/>
      <w:bookmarkStart w:id="20" w:name="_Toc1638956407"/>
      <w:r>
        <w:rPr>
          <w:rStyle w:val="19"/>
          <w:rFonts w:hint="default" w:ascii="Times New Roman" w:hAnsi="Times New Roman" w:eastAsia="黑体" w:cs="Times New Roman"/>
          <w:b w:val="0"/>
          <w:kern w:val="2"/>
          <w:lang w:val="en-US" w:eastAsia="zh-CN" w:bidi="ar-SA"/>
        </w:rPr>
        <w:t>二、收入决算情况说明</w:t>
      </w:r>
      <w:bookmarkEnd w:id="19"/>
      <w:bookmarkEnd w:id="20"/>
    </w:p>
    <w:p>
      <w:pPr>
        <w:tabs>
          <w:tab w:val="left" w:pos="685"/>
        </w:tabs>
        <w:bidi w:val="0"/>
        <w:ind w:firstLine="640" w:firstLineChars="2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2025年本年收入合计1232.83万元，其中一般公共预算财政拨款收入1227.58万元，占99.57%；其他收入5.25万元，占0.43%；无政府性基金预算财政拨款收入、国有资本经营预算财政拨款收入、上级补助收入、事业收入、经营收入、附属单位上缴收入。</w:t>
      </w:r>
    </w:p>
    <w:p>
      <w:pPr>
        <w:tabs>
          <w:tab w:val="left" w:pos="685"/>
        </w:tabs>
        <w:bidi w:val="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单位</w:t>
      </w:r>
      <w:r>
        <w:rPr>
          <w:rFonts w:hint="eastAsia" w:eastAsia="仿宋" w:cs="Times New Roman"/>
          <w:sz w:val="32"/>
          <w:szCs w:val="32"/>
          <w:lang w:eastAsia="zh-CN"/>
        </w:rPr>
        <w:t>：</w:t>
      </w:r>
      <w:r>
        <w:rPr>
          <w:rFonts w:hint="default" w:ascii="Times New Roman" w:hAnsi="Times New Roman" w:eastAsia="仿宋" w:cs="Times New Roman"/>
          <w:sz w:val="32"/>
          <w:szCs w:val="32"/>
        </w:rPr>
        <w:t>万元</w:t>
      </w:r>
    </w:p>
    <w:p>
      <w:pPr>
        <w:pStyle w:val="8"/>
        <w:rPr>
          <w:rFonts w:hint="default" w:ascii="Times New Roman" w:hAnsi="Times New Roman" w:eastAsia="仿宋" w:cs="Times New Roman"/>
          <w:sz w:val="32"/>
          <w:szCs w:val="32"/>
        </w:rPr>
      </w:pPr>
      <w:r>
        <w:drawing>
          <wp:inline distT="0" distB="0" distL="114300" distR="114300">
            <wp:extent cx="4415790" cy="2711450"/>
            <wp:effectExtent l="0" t="0" r="3810" b="12700"/>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8"/>
                    <a:stretch>
                      <a:fillRect/>
                    </a:stretch>
                  </pic:blipFill>
                  <pic:spPr>
                    <a:xfrm>
                      <a:off x="0" y="0"/>
                      <a:ext cx="4415790" cy="2711450"/>
                    </a:xfrm>
                    <a:prstGeom prst="rect">
                      <a:avLst/>
                    </a:prstGeom>
                    <a:noFill/>
                    <a:ln>
                      <a:noFill/>
                    </a:ln>
                  </pic:spPr>
                </pic:pic>
              </a:graphicData>
            </a:graphic>
          </wp:inline>
        </w:drawing>
      </w:r>
    </w:p>
    <w:p>
      <w:pPr>
        <w:tabs>
          <w:tab w:val="left" w:pos="685"/>
        </w:tabs>
        <w:bidi w:val="0"/>
        <w:ind w:firstLine="640" w:firstLineChars="200"/>
        <w:jc w:val="left"/>
        <w:rPr>
          <w:rFonts w:hint="default" w:ascii="Times New Roman" w:hAnsi="Times New Roman" w:cs="Times New Roman"/>
          <w:lang w:val="en-US" w:eastAsia="zh-CN"/>
        </w:rPr>
      </w:pPr>
      <w:r>
        <w:rPr>
          <w:rFonts w:hint="default" w:ascii="Times New Roman" w:hAnsi="Times New Roman" w:eastAsia="仿宋" w:cs="Times New Roman"/>
          <w:sz w:val="32"/>
          <w:szCs w:val="32"/>
        </w:rPr>
        <w:t>图2：收入决算结构图（饼状图）</w:t>
      </w:r>
    </w:p>
    <w:p>
      <w:pPr>
        <w:tabs>
          <w:tab w:val="left" w:pos="685"/>
        </w:tabs>
        <w:bidi w:val="0"/>
        <w:ind w:firstLine="640" w:firstLineChars="200"/>
        <w:jc w:val="left"/>
        <w:outlineLvl w:val="1"/>
        <w:rPr>
          <w:rStyle w:val="19"/>
          <w:rFonts w:hint="default" w:ascii="Times New Roman" w:hAnsi="Times New Roman" w:eastAsia="黑体" w:cs="Times New Roman"/>
          <w:b w:val="0"/>
          <w:kern w:val="2"/>
          <w:lang w:val="en-US" w:eastAsia="zh-CN" w:bidi="ar-SA"/>
        </w:rPr>
      </w:pPr>
      <w:bookmarkStart w:id="21" w:name="_Toc1128180575"/>
      <w:bookmarkStart w:id="22" w:name="_Toc10195"/>
      <w:r>
        <w:rPr>
          <w:rStyle w:val="19"/>
          <w:rFonts w:hint="default" w:ascii="Times New Roman" w:hAnsi="Times New Roman" w:eastAsia="黑体" w:cs="Times New Roman"/>
          <w:b w:val="0"/>
          <w:kern w:val="2"/>
          <w:lang w:val="en-US" w:eastAsia="zh-CN" w:bidi="ar-SA"/>
        </w:rPr>
        <w:t>三、支出决算情况说明</w:t>
      </w:r>
      <w:bookmarkEnd w:id="21"/>
      <w:bookmarkEnd w:id="22"/>
    </w:p>
    <w:p>
      <w:pPr>
        <w:tabs>
          <w:tab w:val="left" w:pos="685"/>
        </w:tabs>
        <w:bidi w:val="0"/>
        <w:ind w:firstLine="640" w:firstLineChars="200"/>
        <w:jc w:val="lef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2025年本年支出合计1227.58万元，其中：基本支出1032.53万元，占84.11%；项目支出195.05万元，占15.89%；无上缴上级支出、经营支出、对附属单位补助支出等。年末结转和结余5.25万元。</w:t>
      </w:r>
    </w:p>
    <w:p>
      <w:pPr>
        <w:tabs>
          <w:tab w:val="left" w:pos="685"/>
        </w:tabs>
        <w:bidi w:val="0"/>
        <w:ind w:firstLine="5120" w:firstLineChars="1600"/>
        <w:jc w:val="left"/>
        <w:rPr>
          <w:rFonts w:hint="default" w:ascii="Times New Roman" w:hAnsi="Times New Roman" w:eastAsia="仿宋" w:cs="Times New Roman"/>
          <w:sz w:val="32"/>
          <w:szCs w:val="32"/>
          <w:lang w:val="en-US" w:eastAsia="zh-CN"/>
        </w:rPr>
      </w:pPr>
    </w:p>
    <w:p>
      <w:pPr>
        <w:tabs>
          <w:tab w:val="left" w:pos="685"/>
        </w:tabs>
        <w:bidi w:val="0"/>
        <w:ind w:firstLine="6080" w:firstLineChars="1900"/>
        <w:jc w:val="lef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单位：万元</w:t>
      </w:r>
    </w:p>
    <w:p>
      <w:pPr>
        <w:bidi w:val="0"/>
      </w:pPr>
      <w:r>
        <w:rPr>
          <w:rFonts w:hint="default" w:ascii="Times New Roman" w:hAnsi="Times New Roman" w:cs="Times New Roman"/>
          <w:lang w:val="en-US" w:eastAsia="zh-CN"/>
        </w:rPr>
        <w:t xml:space="preserve">      </w:t>
      </w:r>
      <w:r>
        <w:drawing>
          <wp:inline distT="0" distB="0" distL="114300" distR="114300">
            <wp:extent cx="4591050" cy="27622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4591050" cy="2762250"/>
                    </a:xfrm>
                    <a:prstGeom prst="rect">
                      <a:avLst/>
                    </a:prstGeom>
                    <a:noFill/>
                    <a:ln>
                      <a:noFill/>
                    </a:ln>
                  </pic:spPr>
                </pic:pic>
              </a:graphicData>
            </a:graphic>
          </wp:inline>
        </w:drawing>
      </w:r>
    </w:p>
    <w:p>
      <w:pPr>
        <w:tabs>
          <w:tab w:val="left" w:pos="685"/>
        </w:tabs>
        <w:bidi w:val="0"/>
        <w:ind w:firstLine="640" w:firstLineChars="200"/>
        <w:jc w:val="left"/>
      </w:pPr>
      <w:r>
        <w:rPr>
          <w:rFonts w:hint="default" w:ascii="Times New Roman" w:hAnsi="Times New Roman" w:eastAsia="仿宋" w:cs="Times New Roman"/>
          <w:sz w:val="32"/>
          <w:szCs w:val="32"/>
          <w:lang w:val="en-US" w:eastAsia="zh-CN"/>
        </w:rPr>
        <w:t>图3：支出决算结构图（饼状图）</w:t>
      </w:r>
    </w:p>
    <w:p>
      <w:pPr>
        <w:tabs>
          <w:tab w:val="left" w:pos="685"/>
        </w:tabs>
        <w:bidi w:val="0"/>
        <w:ind w:firstLine="640" w:firstLineChars="200"/>
        <w:jc w:val="left"/>
        <w:outlineLvl w:val="1"/>
        <w:rPr>
          <w:rStyle w:val="19"/>
          <w:rFonts w:hint="default" w:ascii="Times New Roman" w:hAnsi="Times New Roman" w:eastAsia="黑体" w:cs="Times New Roman"/>
          <w:b w:val="0"/>
          <w:kern w:val="2"/>
          <w:lang w:val="en-US" w:eastAsia="zh-CN" w:bidi="ar-SA"/>
        </w:rPr>
      </w:pPr>
      <w:bookmarkStart w:id="23" w:name="_Toc18542"/>
      <w:bookmarkStart w:id="24" w:name="_Toc542431721"/>
      <w:r>
        <w:rPr>
          <w:rStyle w:val="19"/>
          <w:rFonts w:hint="default" w:ascii="Times New Roman" w:hAnsi="Times New Roman" w:eastAsia="黑体" w:cs="Times New Roman"/>
          <w:b w:val="0"/>
          <w:kern w:val="2"/>
          <w:lang w:val="en-US" w:eastAsia="zh-CN" w:bidi="ar-SA"/>
        </w:rPr>
        <w:t>四、财政拨款收入支出决算总体情况说明</w:t>
      </w:r>
      <w:bookmarkEnd w:id="23"/>
      <w:bookmarkEnd w:id="24"/>
    </w:p>
    <w:p>
      <w:pPr>
        <w:pageBreakBefore w:val="0"/>
        <w:numPr>
          <w:ilvl w:val="0"/>
          <w:numId w:val="0"/>
        </w:numPr>
        <w:kinsoku/>
        <w:wordWrap/>
        <w:overflowPunct/>
        <w:topLinePunct w:val="0"/>
        <w:autoSpaceDE/>
        <w:autoSpaceDN/>
        <w:bidi w:val="0"/>
        <w:snapToGrid w:val="0"/>
        <w:spacing w:line="576" w:lineRule="exact"/>
        <w:ind w:firstLine="640" w:firstLineChars="200"/>
        <w:jc w:val="both"/>
        <w:rPr>
          <w:rFonts w:hint="eastAsia" w:eastAsia="仿宋" w:cs="Times New Roman"/>
          <w:sz w:val="32"/>
          <w:szCs w:val="32"/>
          <w:lang w:val="en-US" w:eastAsia="zh-CN"/>
        </w:rPr>
      </w:pPr>
      <w:r>
        <w:rPr>
          <w:rFonts w:hint="default" w:ascii="Times New Roman" w:hAnsi="Times New Roman" w:eastAsia="仿宋" w:cs="Times New Roman"/>
          <w:sz w:val="32"/>
          <w:szCs w:val="32"/>
          <w:lang w:val="en-US" w:eastAsia="zh-CN"/>
        </w:rPr>
        <w:t>2025年财政拨款收、支总计1227.58万元。与2024年相比，财政拨款总计减少173.45万元，下降12.38%。收支减少主要原因：一是2024年度一次性列支死亡抚恤金99.27万元，2025年度无此类支出；二是人员薪酬、社保、公积金标准调整，人员经费减少；三是2024年度实施《人大志》藏汉翻译等专项工作，2025年度无此类专项支出安排。</w:t>
      </w:r>
    </w:p>
    <w:p>
      <w:pPr>
        <w:pStyle w:val="8"/>
        <w:rPr>
          <w:rFonts w:hint="eastAsia"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r>
        <w:rPr>
          <w:rFonts w:hint="eastAsia" w:ascii="Times New Roman" w:hAnsi="Times New Roman" w:eastAsia="仿宋" w:cs="Times New Roman"/>
          <w:sz w:val="32"/>
          <w:szCs w:val="32"/>
          <w:lang w:val="en-US" w:eastAsia="zh-CN"/>
        </w:rPr>
        <w:t xml:space="preserve">                       </w:t>
      </w:r>
    </w:p>
    <w:p>
      <w:pPr>
        <w:pStyle w:val="8"/>
        <w:rPr>
          <w:rFonts w:hint="eastAsia" w:ascii="Times New Roman" w:hAnsi="Times New Roman" w:eastAsia="仿宋" w:cs="Times New Roman"/>
          <w:sz w:val="32"/>
          <w:szCs w:val="32"/>
          <w:lang w:val="en-US" w:eastAsia="zh-CN"/>
        </w:rPr>
      </w:pPr>
    </w:p>
    <w:p>
      <w:pPr>
        <w:pStyle w:val="8"/>
        <w:rPr>
          <w:rFonts w:hint="eastAsia" w:ascii="Times New Roman" w:hAnsi="Times New Roman" w:eastAsia="仿宋" w:cs="Times New Roman"/>
          <w:sz w:val="32"/>
          <w:szCs w:val="32"/>
          <w:lang w:val="en-US" w:eastAsia="zh-CN"/>
        </w:rPr>
      </w:pPr>
    </w:p>
    <w:p>
      <w:pPr>
        <w:pStyle w:val="8"/>
        <w:ind w:firstLine="5760" w:firstLineChars="1800"/>
        <w:rPr>
          <w:rFonts w:hint="default"/>
          <w:lang w:val="en-US" w:eastAsia="zh-CN"/>
        </w:rPr>
      </w:pPr>
      <w:r>
        <w:rPr>
          <w:rFonts w:hint="eastAsia"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val="en-US" w:eastAsia="zh-CN"/>
        </w:rPr>
        <w:t xml:space="preserve">单位：万元 </w:t>
      </w:r>
    </w:p>
    <w:p>
      <w:pPr>
        <w:tabs>
          <w:tab w:val="left" w:pos="685"/>
        </w:tabs>
        <w:bidi w:val="0"/>
        <w:ind w:firstLine="420" w:firstLineChars="200"/>
        <w:jc w:val="left"/>
        <w:rPr>
          <w:rFonts w:hint="default" w:ascii="Times New Roman" w:hAnsi="Times New Roman" w:eastAsia="仿宋" w:cs="Times New Roman"/>
          <w:sz w:val="32"/>
          <w:szCs w:val="32"/>
          <w:lang w:val="en-US" w:eastAsia="zh-CN"/>
        </w:rPr>
      </w:pPr>
      <w:r>
        <w:drawing>
          <wp:inline distT="0" distB="0" distL="114300" distR="114300">
            <wp:extent cx="4591050" cy="2110105"/>
            <wp:effectExtent l="0" t="0" r="0" b="444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591050" cy="2110105"/>
                    </a:xfrm>
                    <a:prstGeom prst="rect">
                      <a:avLst/>
                    </a:prstGeom>
                    <a:noFill/>
                    <a:ln>
                      <a:noFill/>
                    </a:ln>
                  </pic:spPr>
                </pic:pic>
              </a:graphicData>
            </a:graphic>
          </wp:inline>
        </w:drawing>
      </w:r>
    </w:p>
    <w:p>
      <w:pPr>
        <w:tabs>
          <w:tab w:val="left" w:pos="685"/>
        </w:tabs>
        <w:bidi w:val="0"/>
        <w:ind w:firstLine="640" w:firstLineChars="200"/>
        <w:jc w:val="lef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图4：财政拨款收、支决算总计变动情况（柱状图）</w:t>
      </w:r>
    </w:p>
    <w:p>
      <w:pPr>
        <w:bidi w:val="0"/>
        <w:rPr>
          <w:rFonts w:hint="default" w:ascii="Times New Roman" w:hAnsi="Times New Roman" w:cs="Times New Roman"/>
          <w:lang w:val="en-US" w:eastAsia="zh-CN"/>
        </w:rPr>
      </w:pPr>
      <w:r>
        <w:rPr>
          <w:rFonts w:hint="default" w:ascii="Times New Roman" w:hAnsi="Times New Roman" w:eastAsia="仿宋" w:cs="Times New Roman"/>
          <w:sz w:val="32"/>
          <w:szCs w:val="32"/>
          <w:lang w:val="en-US" w:eastAsia="zh-CN"/>
        </w:rPr>
        <w:tab/>
      </w:r>
      <w:r>
        <w:rPr>
          <w:rFonts w:hint="default" w:ascii="Times New Roman" w:hAnsi="Times New Roman" w:eastAsia="仿宋" w:cs="Times New Roman"/>
          <w:sz w:val="32"/>
          <w:szCs w:val="32"/>
          <w:lang w:val="en-US" w:eastAsia="zh-CN"/>
        </w:rPr>
        <w:t xml:space="preserve">    </w:t>
      </w:r>
    </w:p>
    <w:p>
      <w:pPr>
        <w:tabs>
          <w:tab w:val="left" w:pos="685"/>
        </w:tabs>
        <w:bidi w:val="0"/>
        <w:ind w:firstLine="640" w:firstLineChars="200"/>
        <w:jc w:val="left"/>
        <w:outlineLvl w:val="1"/>
        <w:rPr>
          <w:rStyle w:val="19"/>
          <w:rFonts w:hint="default" w:ascii="Times New Roman" w:hAnsi="Times New Roman" w:eastAsia="黑体" w:cs="Times New Roman"/>
          <w:b w:val="0"/>
          <w:kern w:val="2"/>
          <w:lang w:val="en-US" w:eastAsia="zh-CN" w:bidi="ar-SA"/>
        </w:rPr>
      </w:pPr>
      <w:bookmarkStart w:id="25" w:name="_Toc7583"/>
      <w:bookmarkStart w:id="26" w:name="_Toc29964"/>
      <w:bookmarkStart w:id="27" w:name="_Toc15396607"/>
      <w:bookmarkStart w:id="28" w:name="_Toc15377209"/>
      <w:bookmarkStart w:id="29" w:name="_Toc796645005"/>
      <w:r>
        <w:rPr>
          <w:rStyle w:val="19"/>
          <w:rFonts w:hint="default" w:ascii="Times New Roman" w:hAnsi="Times New Roman" w:eastAsia="黑体" w:cs="Times New Roman"/>
          <w:b w:val="0"/>
          <w:kern w:val="2"/>
          <w:lang w:val="en-US" w:eastAsia="zh-CN" w:bidi="ar-SA"/>
        </w:rPr>
        <w:t>五、一般公共预算财政拨款支出决算情况说明</w:t>
      </w:r>
      <w:bookmarkEnd w:id="25"/>
      <w:bookmarkEnd w:id="26"/>
      <w:bookmarkEnd w:id="27"/>
      <w:bookmarkEnd w:id="28"/>
      <w:bookmarkEnd w:id="29"/>
    </w:p>
    <w:p>
      <w:pPr>
        <w:spacing w:line="600" w:lineRule="exact"/>
        <w:ind w:firstLine="640" w:firstLineChars="200"/>
        <w:outlineLvl w:val="2"/>
        <w:rPr>
          <w:rFonts w:hint="default" w:ascii="Times New Roman" w:hAnsi="Times New Roman" w:eastAsia="方正楷体_GBK" w:cs="Times New Roman"/>
          <w:b/>
          <w:sz w:val="32"/>
          <w:szCs w:val="32"/>
        </w:rPr>
      </w:pPr>
      <w:bookmarkStart w:id="30" w:name="_Toc15377210"/>
      <w:r>
        <w:rPr>
          <w:rFonts w:hint="default" w:ascii="Times New Roman" w:hAnsi="Times New Roman" w:eastAsia="方正楷体_GBK" w:cs="Times New Roman"/>
          <w:b/>
          <w:sz w:val="32"/>
          <w:szCs w:val="32"/>
        </w:rPr>
        <w:t>（一）一般公共预算财政拨款支出决算总体情况</w:t>
      </w:r>
      <w:bookmarkEnd w:id="30"/>
    </w:p>
    <w:p>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2025年一般公共预算财政拨款支出1227.58万元，占本年财政拨款支出总额的100%。与2024年相比，一般公共预算财政拨款支出减少173.45万元，下降12.38%。主要变动原因：一是2024年度一次性列支死亡抚恤金99.27万元，2025年度无此类支出；二是人员薪酬、社保、公积金标准调整，人员经费相应减少。</w:t>
      </w:r>
    </w:p>
    <w:p>
      <w:pPr>
        <w:spacing w:line="60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p>
    <w:p>
      <w:pPr>
        <w:spacing w:line="600" w:lineRule="exact"/>
        <w:ind w:firstLine="6400" w:firstLineChars="2000"/>
        <w:rPr>
          <w:rFonts w:hint="default" w:ascii="Times New Roman" w:hAnsi="Times New Roman" w:eastAsia="仿宋" w:cs="Times New Roman"/>
          <w:sz w:val="32"/>
          <w:szCs w:val="32"/>
          <w:lang w:val="en-US" w:eastAsia="zh-CN"/>
        </w:rPr>
      </w:pPr>
    </w:p>
    <w:p>
      <w:pPr>
        <w:spacing w:line="600" w:lineRule="exact"/>
        <w:ind w:firstLine="6400" w:firstLineChars="2000"/>
        <w:rPr>
          <w:rFonts w:hint="default" w:ascii="Times New Roman" w:hAnsi="Times New Roman" w:eastAsia="仿宋" w:cs="Times New Roman"/>
          <w:sz w:val="32"/>
          <w:szCs w:val="32"/>
          <w:lang w:val="en-US" w:eastAsia="zh-CN"/>
        </w:rPr>
      </w:pPr>
    </w:p>
    <w:p>
      <w:pPr>
        <w:spacing w:line="600" w:lineRule="exact"/>
        <w:ind w:firstLine="6400" w:firstLineChars="2000"/>
        <w:rPr>
          <w:rFonts w:hint="default" w:ascii="Times New Roman" w:hAnsi="Times New Roman" w:eastAsia="仿宋" w:cs="Times New Roman"/>
          <w:sz w:val="32"/>
          <w:szCs w:val="32"/>
          <w:lang w:val="en-US" w:eastAsia="zh-CN"/>
        </w:rPr>
      </w:pPr>
    </w:p>
    <w:p>
      <w:pPr>
        <w:spacing w:line="600" w:lineRule="exact"/>
        <w:ind w:firstLine="6400" w:firstLineChars="2000"/>
        <w:rPr>
          <w:rFonts w:hint="default" w:ascii="Times New Roman" w:hAnsi="Times New Roman" w:eastAsia="仿宋" w:cs="Times New Roman"/>
          <w:sz w:val="32"/>
          <w:szCs w:val="32"/>
          <w:lang w:val="en-US" w:eastAsia="zh-CN"/>
        </w:rPr>
      </w:pPr>
    </w:p>
    <w:p>
      <w:pPr>
        <w:spacing w:line="600" w:lineRule="exact"/>
        <w:ind w:firstLine="6400" w:firstLineChars="20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单位：万元</w:t>
      </w:r>
    </w:p>
    <w:p>
      <w:pPr>
        <w:tabs>
          <w:tab w:val="left" w:pos="798"/>
        </w:tabs>
        <w:bidi w:val="0"/>
        <w:jc w:val="left"/>
      </w:pPr>
      <w:r>
        <w:rPr>
          <w:rFonts w:hint="default" w:ascii="Times New Roman" w:hAnsi="Times New Roman" w:cs="Times New Roman"/>
          <w:lang w:val="en-US" w:eastAsia="zh-CN"/>
        </w:rPr>
        <w:t xml:space="preserve">    </w:t>
      </w:r>
      <w:r>
        <w:drawing>
          <wp:inline distT="0" distB="0" distL="114300" distR="114300">
            <wp:extent cx="4591050" cy="276225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4591050" cy="2762250"/>
                    </a:xfrm>
                    <a:prstGeom prst="rect">
                      <a:avLst/>
                    </a:prstGeom>
                    <a:noFill/>
                    <a:ln>
                      <a:noFill/>
                    </a:ln>
                  </pic:spPr>
                </pic:pic>
              </a:graphicData>
            </a:graphic>
          </wp:inline>
        </w:drawing>
      </w:r>
    </w:p>
    <w:p>
      <w:pPr>
        <w:pStyle w:val="8"/>
        <w:ind w:left="1058" w:leftChars="504" w:firstLine="0" w:firstLineChars="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图5：一般公共预算财政拨款支出决算变动情况（</w:t>
      </w:r>
      <w:r>
        <w:rPr>
          <w:rFonts w:hint="eastAsia" w:ascii="Times New Roman" w:hAnsi="Times New Roman" w:eastAsia="仿宋" w:cs="Times New Roman"/>
          <w:sz w:val="32"/>
          <w:szCs w:val="32"/>
          <w:lang w:val="en-US" w:eastAsia="zh-CN"/>
        </w:rPr>
        <w:t>条形</w:t>
      </w:r>
      <w:r>
        <w:rPr>
          <w:rFonts w:hint="default" w:ascii="Times New Roman" w:hAnsi="Times New Roman" w:eastAsia="仿宋" w:cs="Times New Roman"/>
          <w:sz w:val="32"/>
          <w:szCs w:val="32"/>
        </w:rPr>
        <w:t>图）</w:t>
      </w:r>
      <w:bookmarkStart w:id="31" w:name="_Toc15377211"/>
    </w:p>
    <w:p>
      <w:pPr>
        <w:pStyle w:val="8"/>
        <w:ind w:left="0" w:leftChars="0" w:firstLine="640" w:firstLineChars="200"/>
        <w:rPr>
          <w:rFonts w:hint="default" w:ascii="Times New Roman" w:hAnsi="Times New Roman" w:eastAsia="方正楷体_GBK" w:cs="Times New Roman"/>
          <w:b/>
          <w:sz w:val="32"/>
          <w:szCs w:val="32"/>
        </w:rPr>
      </w:pPr>
      <w:r>
        <w:rPr>
          <w:rFonts w:hint="default" w:ascii="Times New Roman" w:hAnsi="Times New Roman" w:eastAsia="方正楷体_GBK" w:cs="Times New Roman"/>
          <w:b/>
          <w:sz w:val="32"/>
          <w:szCs w:val="32"/>
        </w:rPr>
        <w:t>（二）一般公共预算财政拨款支出决算结构情况</w:t>
      </w:r>
      <w:bookmarkEnd w:id="31"/>
    </w:p>
    <w:p>
      <w:pPr>
        <w:pStyle w:val="9"/>
        <w:ind w:firstLine="640" w:firstLineChars="200"/>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sz w:val="32"/>
          <w:szCs w:val="32"/>
        </w:rPr>
        <w:t>2025年一般公共预算财政拨款支出1227.58万元，主要用于以下方面：一般公共服务支出967.34万元，占78.80%；社会保障和就业支出137.78万元，占11.22%；卫生健康支出50.59万元，占4.12%；住房保障支出71.87万元，占5.85%。</w:t>
      </w:r>
    </w:p>
    <w:p>
      <w:pPr>
        <w:pStyle w:val="9"/>
        <w:ind w:firstLine="5120" w:firstLineChars="1600"/>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en-US" w:eastAsia="zh-CN" w:bidi="ar-SA"/>
        </w:rPr>
        <w:t xml:space="preserve">    </w:t>
      </w:r>
    </w:p>
    <w:p>
      <w:pPr>
        <w:pStyle w:val="9"/>
        <w:ind w:firstLine="5120" w:firstLineChars="1600"/>
        <w:rPr>
          <w:rFonts w:hint="eastAsia" w:ascii="Times New Roman" w:hAnsi="Times New Roman" w:eastAsia="仿宋" w:cs="Times New Roman"/>
          <w:kern w:val="2"/>
          <w:sz w:val="32"/>
          <w:szCs w:val="32"/>
          <w:lang w:val="en-US" w:eastAsia="zh-CN" w:bidi="ar-SA"/>
        </w:rPr>
      </w:pPr>
    </w:p>
    <w:p>
      <w:pPr>
        <w:pStyle w:val="9"/>
        <w:ind w:firstLine="5120" w:firstLineChars="1600"/>
        <w:rPr>
          <w:rFonts w:hint="eastAsia" w:ascii="Times New Roman" w:hAnsi="Times New Roman" w:eastAsia="仿宋" w:cs="Times New Roman"/>
          <w:kern w:val="2"/>
          <w:sz w:val="32"/>
          <w:szCs w:val="32"/>
          <w:lang w:val="en-US" w:eastAsia="zh-CN" w:bidi="ar-SA"/>
        </w:rPr>
      </w:pPr>
    </w:p>
    <w:p>
      <w:pPr>
        <w:pStyle w:val="9"/>
        <w:ind w:firstLine="5120" w:firstLineChars="1600"/>
        <w:rPr>
          <w:rFonts w:hint="eastAsia" w:ascii="Times New Roman" w:hAnsi="Times New Roman" w:eastAsia="仿宋" w:cs="Times New Roman"/>
          <w:kern w:val="2"/>
          <w:sz w:val="32"/>
          <w:szCs w:val="32"/>
          <w:lang w:val="en-US" w:eastAsia="zh-CN" w:bidi="ar-SA"/>
        </w:rPr>
      </w:pPr>
    </w:p>
    <w:p>
      <w:pPr>
        <w:pStyle w:val="9"/>
        <w:ind w:firstLine="5120" w:firstLineChars="1600"/>
        <w:rPr>
          <w:rFonts w:hint="eastAsia" w:ascii="Times New Roman" w:hAnsi="Times New Roman" w:eastAsia="仿宋" w:cs="Times New Roman"/>
          <w:kern w:val="2"/>
          <w:sz w:val="32"/>
          <w:szCs w:val="32"/>
          <w:lang w:val="en-US" w:eastAsia="zh-CN" w:bidi="ar-SA"/>
        </w:rPr>
      </w:pPr>
    </w:p>
    <w:p>
      <w:pPr>
        <w:pStyle w:val="9"/>
        <w:ind w:firstLine="5120" w:firstLineChars="1600"/>
        <w:rPr>
          <w:rFonts w:hint="eastAsia" w:ascii="Times New Roman" w:hAnsi="Times New Roman" w:eastAsia="仿宋" w:cs="Times New Roman"/>
          <w:kern w:val="2"/>
          <w:sz w:val="32"/>
          <w:szCs w:val="32"/>
          <w:lang w:val="en-US" w:eastAsia="zh-CN" w:bidi="ar-SA"/>
        </w:rPr>
      </w:pPr>
    </w:p>
    <w:p>
      <w:pPr>
        <w:pStyle w:val="9"/>
        <w:ind w:firstLine="6080" w:firstLineChars="1900"/>
        <w:rPr>
          <w:rFonts w:hint="default" w:ascii="Times New Roman" w:hAnsi="Times New Roman" w:cs="Times New Roman"/>
          <w:lang w:val="en-US" w:eastAsia="zh-CN"/>
        </w:rPr>
      </w:pPr>
      <w:r>
        <w:rPr>
          <w:rFonts w:hint="eastAsia" w:ascii="Times New Roman" w:hAnsi="Times New Roman" w:eastAsia="仿宋" w:cs="Times New Roman"/>
          <w:kern w:val="2"/>
          <w:sz w:val="32"/>
          <w:szCs w:val="32"/>
          <w:lang w:val="en-US" w:eastAsia="zh-CN" w:bidi="ar-SA"/>
        </w:rPr>
        <w:t xml:space="preserve"> </w:t>
      </w:r>
      <w:r>
        <w:rPr>
          <w:rFonts w:hint="default" w:ascii="Times New Roman" w:hAnsi="Times New Roman" w:eastAsia="仿宋" w:cs="Times New Roman"/>
          <w:kern w:val="2"/>
          <w:sz w:val="32"/>
          <w:szCs w:val="32"/>
          <w:lang w:val="en-US" w:eastAsia="zh-CN" w:bidi="ar-SA"/>
        </w:rPr>
        <w:t>单位：万元</w:t>
      </w:r>
    </w:p>
    <w:p>
      <w:pPr>
        <w:tabs>
          <w:tab w:val="left" w:pos="773"/>
        </w:tabs>
        <w:bidi w:val="0"/>
        <w:jc w:val="left"/>
      </w:pPr>
      <w:r>
        <w:rPr>
          <w:rFonts w:hint="default" w:ascii="Times New Roman" w:hAnsi="Times New Roman" w:cs="Times New Roman"/>
          <w:lang w:val="en-US" w:eastAsia="zh-CN"/>
        </w:rPr>
        <w:t xml:space="preserve">      </w:t>
      </w:r>
      <w:r>
        <w:drawing>
          <wp:inline distT="0" distB="0" distL="114300" distR="114300">
            <wp:extent cx="4591050" cy="276225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4591050" cy="2762250"/>
                    </a:xfrm>
                    <a:prstGeom prst="rect">
                      <a:avLst/>
                    </a:prstGeom>
                    <a:noFill/>
                    <a:ln>
                      <a:noFill/>
                    </a:ln>
                  </pic:spPr>
                </pic:pic>
              </a:graphicData>
            </a:graphic>
          </wp:inline>
        </w:drawing>
      </w:r>
    </w:p>
    <w:p>
      <w:pPr>
        <w:spacing w:line="600" w:lineRule="exact"/>
        <w:ind w:firstLine="640" w:firstLineChars="200"/>
        <w:rPr>
          <w:rFonts w:hint="default"/>
        </w:rPr>
      </w:pPr>
      <w:r>
        <w:rPr>
          <w:rFonts w:hint="default" w:ascii="Times New Roman" w:hAnsi="Times New Roman" w:eastAsia="仿宋" w:cs="Times New Roman"/>
          <w:sz w:val="32"/>
          <w:szCs w:val="32"/>
        </w:rPr>
        <w:t>图6：一般公共预算财政拨款支出决算结构（饼状图）</w:t>
      </w:r>
    </w:p>
    <w:p>
      <w:pPr>
        <w:keepNext w:val="0"/>
        <w:keepLines w:val="0"/>
        <w:pageBreakBefore w:val="0"/>
        <w:widowControl w:val="0"/>
        <w:tabs>
          <w:tab w:val="left" w:pos="810"/>
        </w:tabs>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（三）一般公共预算财政拨款支出决算具体情况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2025年一般公共预算支出决算数为1227.58万元。分项明细如下：</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1.一般公共服务支出：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2010101－行政运行支出决算672.89万元，主要用于机关人员经费、日常公用经费保障；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2010104－人大会议支出决算39.55万元，主要用于召开人民代表大会、常委会所需印刷、办公等会务开支；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2010106－人大监督支出决算50.4万元，主要用于人大代表履职差旅费、业务培训等后勤保障支出；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2010107－人大代表履职能力提升支出决算31.37万元，主要用于人大代表培训、履职能力建设相关支出；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2010108－代表工作支出决算15万元，主要用于2025年代表集中视察、业务培训相关开支；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2010150－事业运行支出决算99.4万元，主要用于人大信息工作中心人员经费及日常公用经费；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2010199－其他人大事务支出决算58.73万元，主要用于公务用车购置；</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2.社会保障和就业支出：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2080505－机关事业单位基本养老保险缴费支出决算91.89万元，全部用于单位职工养老保险单位配套缴费；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2080506－机关事业单位职业年金缴费支出决算45.89万元，全部用于单位职工职业年金单位配套缴费；</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3.卫生健康支出：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2101101－行政单位医疗支出决算33.98万元，全部用于行政在职职工医疗保险单位缴费；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2101102－事业单位医疗支出决算5.67万元，全部用于事业在职职工医疗保险单位缴费；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2101103－公务员医疗补助支出决算9.93万元，全部用于行政在职职工公务员补充医疗保险；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2101199－其他行政事业单位医疗支出决算1.01万元，全部用于事业在职职工补充医疗保险。</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4.住房保障支出：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2210201－住房公积金支出决算68.27万元，全部用于行政、事业职工住房公积金单位配套缴纳；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2210203－购房补贴支出决算3.6万元，全部用于2025年度退休人员建房补助。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 w:cs="Times New Roman"/>
          <w:sz w:val="32"/>
          <w:szCs w:val="32"/>
          <w:lang w:val="en-US" w:eastAsia="zh-CN"/>
        </w:rPr>
      </w:pPr>
      <w:bookmarkStart w:id="32" w:name="_Toc17652"/>
      <w:bookmarkStart w:id="33" w:name="_Toc1602195855"/>
      <w:r>
        <w:rPr>
          <w:rStyle w:val="19"/>
          <w:rFonts w:hint="default" w:ascii="Times New Roman" w:hAnsi="Times New Roman" w:eastAsia="黑体" w:cs="Times New Roman"/>
          <w:b w:val="0"/>
          <w:kern w:val="2"/>
          <w:lang w:val="en-US" w:eastAsia="zh-CN" w:bidi="ar-SA"/>
        </w:rPr>
        <w:t>六、一般公共预算财政拨款基本支出决算情况说明</w:t>
      </w:r>
      <w:bookmarkEnd w:id="32"/>
      <w:bookmarkEnd w:id="33"/>
      <w:r>
        <w:rPr>
          <w:rStyle w:val="19"/>
          <w:rFonts w:hint="default" w:ascii="Times New Roman" w:hAnsi="Times New Roman" w:eastAsia="黑体" w:cs="Times New Roman"/>
          <w:b w:val="0"/>
          <w:kern w:val="2"/>
          <w:lang w:val="en-US" w:eastAsia="zh-CN" w:bidi="ar-SA"/>
        </w:rPr>
        <w:tab/>
      </w:r>
    </w:p>
    <w:p>
      <w:pPr>
        <w:keepNext w:val="0"/>
        <w:keepLines w:val="0"/>
        <w:pageBreakBefore w:val="0"/>
        <w:widowControl w:val="0"/>
        <w:tabs>
          <w:tab w:val="left" w:pos="685"/>
        </w:tabs>
        <w:kinsoku/>
        <w:wordWrap/>
        <w:overflowPunct/>
        <w:topLinePunct w:val="0"/>
        <w:autoSpaceDE/>
        <w:autoSpaceDN/>
        <w:bidi w:val="0"/>
        <w:adjustRightInd/>
        <w:snapToGrid/>
        <w:spacing w:line="576" w:lineRule="exact"/>
        <w:ind w:firstLine="640" w:firstLineChars="200"/>
        <w:jc w:val="left"/>
        <w:textAlignment w:val="auto"/>
        <w:outlineLvl w:val="1"/>
        <w:rPr>
          <w:rFonts w:hint="default" w:ascii="Times New Roman" w:hAnsi="Times New Roman" w:eastAsia="仿宋" w:cs="Times New Roman"/>
          <w:sz w:val="32"/>
          <w:szCs w:val="32"/>
          <w:lang w:val="en-US" w:eastAsia="zh-CN"/>
        </w:rPr>
      </w:pPr>
      <w:bookmarkStart w:id="34" w:name="_Toc725444725"/>
      <w:bookmarkStart w:id="35" w:name="_Toc13927"/>
      <w:r>
        <w:rPr>
          <w:rFonts w:hint="default" w:ascii="Times New Roman" w:hAnsi="Times New Roman" w:eastAsia="仿宋" w:cs="Times New Roman"/>
          <w:sz w:val="32"/>
          <w:szCs w:val="32"/>
          <w:lang w:val="en-US" w:eastAsia="zh-CN"/>
        </w:rPr>
        <w:t>2025年一般公共预算财政拨款基本支出1032.53万元，其中：</w:t>
      </w:r>
      <w:bookmarkEnd w:id="34"/>
    </w:p>
    <w:p>
      <w:pPr>
        <w:keepNext w:val="0"/>
        <w:keepLines w:val="0"/>
        <w:pageBreakBefore w:val="0"/>
        <w:widowControl w:val="0"/>
        <w:tabs>
          <w:tab w:val="left" w:pos="685"/>
        </w:tabs>
        <w:kinsoku/>
        <w:wordWrap/>
        <w:overflowPunct/>
        <w:topLinePunct w:val="0"/>
        <w:autoSpaceDE/>
        <w:autoSpaceDN/>
        <w:bidi w:val="0"/>
        <w:adjustRightInd/>
        <w:snapToGrid/>
        <w:spacing w:line="576" w:lineRule="exact"/>
        <w:ind w:firstLine="640" w:firstLineChars="200"/>
        <w:jc w:val="left"/>
        <w:textAlignment w:val="auto"/>
        <w:outlineLvl w:val="1"/>
        <w:rPr>
          <w:rFonts w:hint="default" w:ascii="Times New Roman" w:hAnsi="Times New Roman" w:eastAsia="仿宋" w:cs="Times New Roman"/>
          <w:sz w:val="32"/>
          <w:szCs w:val="32"/>
          <w:lang w:val="en-US" w:eastAsia="zh-CN"/>
        </w:rPr>
      </w:pPr>
      <w:bookmarkStart w:id="36" w:name="_Toc538490737"/>
      <w:r>
        <w:rPr>
          <w:rFonts w:hint="default" w:ascii="Times New Roman" w:hAnsi="Times New Roman" w:eastAsia="仿宋" w:cs="Times New Roman"/>
          <w:sz w:val="32"/>
          <w:szCs w:val="32"/>
          <w:lang w:val="en-US" w:eastAsia="zh-CN"/>
        </w:rPr>
        <w:t>人员经费939.88万元，主要包括：301工资福利支出863.56万元，基本工资184.24万元、津贴补贴232.75万元、奖金171.39万元、绩效工资16.46万元、机关事业单位基本养老保险缴费91.89万元、职业年金缴费45.89万元、职工基本医疗保险缴费39.65万元、其他社会保障缴费3.09万元、公务员医疗补助缴费9.93万元、住房公积金68.27万元；对个人和家庭的补助76.32万元，其中生活补助70.18万元、医疗费补助6.13万元、奖励金0.01万元。</w:t>
      </w:r>
      <w:bookmarkEnd w:id="36"/>
    </w:p>
    <w:p>
      <w:pPr>
        <w:keepNext w:val="0"/>
        <w:keepLines w:val="0"/>
        <w:pageBreakBefore w:val="0"/>
        <w:widowControl w:val="0"/>
        <w:tabs>
          <w:tab w:val="left" w:pos="685"/>
        </w:tabs>
        <w:kinsoku/>
        <w:wordWrap/>
        <w:overflowPunct/>
        <w:topLinePunct w:val="0"/>
        <w:autoSpaceDE/>
        <w:autoSpaceDN/>
        <w:bidi w:val="0"/>
        <w:adjustRightInd/>
        <w:snapToGrid/>
        <w:spacing w:line="576" w:lineRule="exact"/>
        <w:ind w:firstLine="640" w:firstLineChars="200"/>
        <w:jc w:val="left"/>
        <w:textAlignment w:val="auto"/>
        <w:outlineLvl w:val="1"/>
        <w:rPr>
          <w:rFonts w:hint="default" w:ascii="Times New Roman" w:hAnsi="Times New Roman" w:eastAsia="仿宋" w:cs="Times New Roman"/>
          <w:sz w:val="32"/>
          <w:szCs w:val="32"/>
          <w:lang w:val="en-US" w:eastAsia="zh-CN"/>
        </w:rPr>
      </w:pPr>
      <w:bookmarkStart w:id="37" w:name="_Toc977153086"/>
      <w:r>
        <w:rPr>
          <w:rFonts w:hint="default" w:ascii="Times New Roman" w:hAnsi="Times New Roman" w:eastAsia="仿宋" w:cs="Times New Roman"/>
          <w:sz w:val="32"/>
          <w:szCs w:val="32"/>
          <w:lang w:val="en-US" w:eastAsia="zh-CN"/>
        </w:rPr>
        <w:t>公用经费92.65万元，包括：办公费22.9万元、印刷费1.2万元、电费1.35万元、物业管理费1.71万元、邮电费2.7万元、差旅费15.57万元、维修（护）费2.04万元、培训费1.86万元、公务用车运行维护费35.27万元、其他商品和服务支出8.07万元。</w:t>
      </w:r>
      <w:bookmarkEnd w:id="37"/>
    </w:p>
    <w:p>
      <w:pPr>
        <w:keepNext w:val="0"/>
        <w:keepLines w:val="0"/>
        <w:pageBreakBefore w:val="0"/>
        <w:widowControl w:val="0"/>
        <w:tabs>
          <w:tab w:val="left" w:pos="685"/>
        </w:tabs>
        <w:kinsoku/>
        <w:wordWrap/>
        <w:overflowPunct/>
        <w:topLinePunct w:val="0"/>
        <w:autoSpaceDE/>
        <w:autoSpaceDN/>
        <w:bidi w:val="0"/>
        <w:adjustRightInd/>
        <w:snapToGrid/>
        <w:spacing w:line="576" w:lineRule="exact"/>
        <w:ind w:firstLine="640" w:firstLineChars="200"/>
        <w:jc w:val="left"/>
        <w:textAlignment w:val="auto"/>
        <w:outlineLvl w:val="1"/>
        <w:rPr>
          <w:rStyle w:val="19"/>
          <w:rFonts w:hint="default" w:ascii="Times New Roman" w:hAnsi="Times New Roman" w:eastAsia="黑体" w:cs="Times New Roman"/>
          <w:b w:val="0"/>
          <w:kern w:val="2"/>
          <w:lang w:val="en-US" w:eastAsia="zh-CN" w:bidi="ar-SA"/>
        </w:rPr>
      </w:pPr>
      <w:bookmarkStart w:id="38" w:name="_Toc588049949"/>
      <w:r>
        <w:rPr>
          <w:rStyle w:val="19"/>
          <w:rFonts w:hint="default" w:ascii="Times New Roman" w:hAnsi="Times New Roman" w:eastAsia="黑体" w:cs="Times New Roman"/>
          <w:b w:val="0"/>
          <w:kern w:val="2"/>
          <w:lang w:val="en-US" w:eastAsia="zh-CN" w:bidi="ar-SA"/>
        </w:rPr>
        <w:t>七、财政拨款“三公”经费支出决算情况说明</w:t>
      </w:r>
      <w:bookmarkEnd w:id="35"/>
      <w:bookmarkEnd w:id="38"/>
    </w:p>
    <w:p>
      <w:pPr>
        <w:keepNext w:val="0"/>
        <w:keepLines w:val="0"/>
        <w:pageBreakBefore w:val="0"/>
        <w:widowControl w:val="0"/>
        <w:tabs>
          <w:tab w:val="left" w:pos="810"/>
        </w:tabs>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（一）“三公”经费财政拨款支出决算总体情况说明</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三公”经费财政拨款支出决算94万元，预算执行率100%。其中：公务用车购置费预算58.73万元，决算支出58.73万元；公务用车运行维护费预算35.27万元，决算支出35.27万元；公务接待费预算0万元，决算支出0万元。坚持厉行节约，未产生公务接待相关开支。</w:t>
      </w:r>
    </w:p>
    <w:p>
      <w:pPr>
        <w:keepNext w:val="0"/>
        <w:keepLines w:val="0"/>
        <w:pageBreakBefore w:val="0"/>
        <w:widowControl w:val="0"/>
        <w:tabs>
          <w:tab w:val="left" w:pos="810"/>
        </w:tabs>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楷体_GBK" w:cs="Times New Roman"/>
          <w:b/>
          <w:sz w:val="32"/>
          <w:szCs w:val="32"/>
          <w:lang w:val="en-US" w:eastAsia="zh-CN"/>
        </w:rPr>
      </w:pPr>
      <w:r>
        <w:rPr>
          <w:rFonts w:hint="default" w:ascii="Times New Roman" w:hAnsi="Times New Roman" w:eastAsia="方正楷体_GBK" w:cs="Times New Roman"/>
          <w:b/>
          <w:sz w:val="32"/>
          <w:szCs w:val="32"/>
          <w:lang w:val="en-US" w:eastAsia="zh-CN"/>
        </w:rPr>
        <w:t>（二）“三公”经费财政拨款支出决算具体情况说明</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三公”经费财政拨款支出中，因公出国（境）费支出0万元，占0%；公务用车购置及运行维护费支出94万元，占100.00%（其中公务用车购置费支出58.73万元、公务用车运行维护费支出35.27万元）；公务接待费支出0万元，占0%。</w:t>
      </w:r>
    </w:p>
    <w:p>
      <w:pPr>
        <w:pStyle w:val="8"/>
        <w:ind w:firstLine="5760" w:firstLineChars="1800"/>
        <w:rPr>
          <w:rFonts w:hint="default"/>
          <w:lang w:val="en-US" w:eastAsia="zh-CN"/>
        </w:rPr>
      </w:pPr>
      <w:r>
        <w:rPr>
          <w:rFonts w:hint="eastAsia" w:ascii="Times New Roman" w:hAnsi="Times New Roman" w:eastAsia="仿宋" w:cs="Times New Roman"/>
          <w:sz w:val="32"/>
          <w:szCs w:val="32"/>
          <w:lang w:val="en-US" w:eastAsia="zh-CN"/>
        </w:rPr>
        <w:t>单位：万元</w:t>
      </w:r>
    </w:p>
    <w:p>
      <w:pPr>
        <w:pStyle w:val="8"/>
        <w:rPr>
          <w:rFonts w:hint="default"/>
          <w:lang w:val="en-US" w:eastAsia="zh-CN"/>
        </w:rPr>
      </w:pPr>
      <w:r>
        <w:drawing>
          <wp:inline distT="0" distB="0" distL="114300" distR="114300">
            <wp:extent cx="4591050" cy="276225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4591050" cy="27622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图7：“三公”经费财政拨款支出结构（饼状图）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1.因公出国（境）经费：支出0万元，预算执行率100%。全年无因公出国（境）团组，无出国（境）人员，支出规模与上年持平。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公务用车购置及运行维护费：支出94万元，预算执行率100%。其中公务用车购置费支出58.73万元，上年无购置支出，本年度新购置公务用车；公务用车运行维护费支出35.27万元，较2024年减少14.71万元，下降29.43%。运行维护费减少主要原因：一是2024年度公务车辆集中开展大修，维修费用基数较高，2025年度车辆维修保养支出相应回落；二是坚持厉行节约，从严控制车辆运行成本。资金主要用于公务用车燃料费、维修费、过路过桥费、车辆保险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kern w:val="2"/>
          <w:sz w:val="21"/>
          <w:szCs w:val="24"/>
          <w:lang w:val="en-US" w:eastAsia="zh-CN" w:bidi="ar-SA"/>
        </w:rPr>
      </w:pPr>
      <w:r>
        <w:rPr>
          <w:rFonts w:hint="eastAsia" w:ascii="Times New Roman" w:hAnsi="Times New Roman" w:eastAsia="仿宋" w:cs="Times New Roman"/>
          <w:sz w:val="32"/>
          <w:szCs w:val="32"/>
          <w:lang w:val="en-US" w:eastAsia="zh-CN"/>
        </w:rPr>
        <w:t>3.公务接待费：支出0万元，无国内、外事接待批次及接待人次，严格执行厉行节约相关规定。</w:t>
      </w:r>
    </w:p>
    <w:p>
      <w:pPr>
        <w:keepNext w:val="0"/>
        <w:keepLines w:val="0"/>
        <w:pageBreakBefore w:val="0"/>
        <w:widowControl w:val="0"/>
        <w:tabs>
          <w:tab w:val="left" w:pos="685"/>
        </w:tabs>
        <w:kinsoku/>
        <w:wordWrap/>
        <w:overflowPunct/>
        <w:topLinePunct w:val="0"/>
        <w:autoSpaceDE/>
        <w:autoSpaceDN/>
        <w:bidi w:val="0"/>
        <w:adjustRightInd/>
        <w:snapToGrid/>
        <w:spacing w:line="560" w:lineRule="exact"/>
        <w:ind w:firstLine="640" w:firstLineChars="200"/>
        <w:jc w:val="left"/>
        <w:textAlignment w:val="auto"/>
        <w:outlineLvl w:val="1"/>
        <w:rPr>
          <w:rStyle w:val="19"/>
          <w:rFonts w:hint="eastAsia" w:ascii="Times New Roman" w:hAnsi="Times New Roman" w:eastAsia="黑体" w:cs="Times New Roman"/>
          <w:b w:val="0"/>
          <w:kern w:val="2"/>
          <w:lang w:val="en-US" w:eastAsia="zh-CN" w:bidi="ar-SA"/>
        </w:rPr>
      </w:pPr>
      <w:r>
        <w:rPr>
          <w:rStyle w:val="19"/>
          <w:rFonts w:hint="eastAsia" w:ascii="Times New Roman" w:hAnsi="Times New Roman" w:eastAsia="黑体" w:cs="Times New Roman"/>
          <w:b w:val="0"/>
          <w:kern w:val="2"/>
          <w:lang w:val="en-US" w:eastAsia="zh-CN" w:bidi="ar-SA"/>
        </w:rPr>
        <w:tab/>
      </w:r>
      <w:bookmarkStart w:id="39" w:name="_Toc22306"/>
      <w:bookmarkStart w:id="40" w:name="_Toc592306092"/>
      <w:r>
        <w:rPr>
          <w:rStyle w:val="19"/>
          <w:rFonts w:hint="eastAsia" w:ascii="Times New Roman" w:hAnsi="Times New Roman" w:eastAsia="黑体" w:cs="Times New Roman"/>
          <w:b w:val="0"/>
          <w:kern w:val="2"/>
          <w:lang w:val="en-US" w:eastAsia="zh-CN" w:bidi="ar-SA"/>
        </w:rPr>
        <w:t>八、政府性基金预算支出决算情况说明</w:t>
      </w:r>
      <w:bookmarkEnd w:id="39"/>
      <w:bookmarkEnd w:id="4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eastAsia="仿宋" w:cs="Times New Roman"/>
          <w:sz w:val="32"/>
          <w:szCs w:val="32"/>
          <w:lang w:val="en-US" w:eastAsia="zh-CN"/>
        </w:rPr>
        <w:t>2025年政府性基金预算财政拨款支出0万元。</w:t>
      </w:r>
    </w:p>
    <w:p>
      <w:pPr>
        <w:keepNext w:val="0"/>
        <w:keepLines w:val="0"/>
        <w:pageBreakBefore w:val="0"/>
        <w:widowControl w:val="0"/>
        <w:tabs>
          <w:tab w:val="left" w:pos="685"/>
        </w:tabs>
        <w:kinsoku/>
        <w:wordWrap/>
        <w:overflowPunct/>
        <w:topLinePunct w:val="0"/>
        <w:autoSpaceDE/>
        <w:autoSpaceDN/>
        <w:bidi w:val="0"/>
        <w:adjustRightInd/>
        <w:snapToGrid/>
        <w:spacing w:line="560" w:lineRule="exact"/>
        <w:ind w:firstLine="640" w:firstLineChars="200"/>
        <w:jc w:val="left"/>
        <w:textAlignment w:val="auto"/>
        <w:outlineLvl w:val="1"/>
        <w:rPr>
          <w:rStyle w:val="19"/>
          <w:rFonts w:hint="eastAsia" w:ascii="Times New Roman" w:hAnsi="Times New Roman" w:eastAsia="黑体" w:cs="Times New Roman"/>
          <w:b w:val="0"/>
          <w:kern w:val="2"/>
          <w:lang w:val="en-US" w:eastAsia="zh-CN" w:bidi="ar-SA"/>
        </w:rPr>
      </w:pPr>
      <w:bookmarkStart w:id="41" w:name="_Toc281808924"/>
      <w:bookmarkStart w:id="42" w:name="_Toc21351"/>
      <w:r>
        <w:rPr>
          <w:rStyle w:val="19"/>
          <w:rFonts w:hint="eastAsia" w:ascii="Times New Roman" w:hAnsi="Times New Roman" w:eastAsia="黑体" w:cs="Times New Roman"/>
          <w:b w:val="0"/>
          <w:kern w:val="2"/>
          <w:lang w:val="en-US" w:eastAsia="zh-CN" w:bidi="ar-SA"/>
        </w:rPr>
        <w:t>九、国有资本经营预算支出决算情况说明</w:t>
      </w:r>
      <w:bookmarkEnd w:id="41"/>
      <w:bookmarkEnd w:id="4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Times New Roman" w:hAnsi="Times New Roman" w:eastAsia="仿宋" w:cs="Times New Roman"/>
          <w:sz w:val="32"/>
          <w:szCs w:val="32"/>
          <w:lang w:val="en-US" w:eastAsia="zh-CN"/>
        </w:rPr>
        <w:t>2025年国有资本经营预算财政拨款支出0万元。</w:t>
      </w:r>
    </w:p>
    <w:p>
      <w:pPr>
        <w:keepNext w:val="0"/>
        <w:keepLines w:val="0"/>
        <w:pageBreakBefore w:val="0"/>
        <w:widowControl w:val="0"/>
        <w:tabs>
          <w:tab w:val="left" w:pos="685"/>
        </w:tabs>
        <w:kinsoku/>
        <w:wordWrap/>
        <w:overflowPunct/>
        <w:topLinePunct w:val="0"/>
        <w:autoSpaceDE/>
        <w:autoSpaceDN/>
        <w:bidi w:val="0"/>
        <w:adjustRightInd/>
        <w:snapToGrid/>
        <w:spacing w:line="560" w:lineRule="exact"/>
        <w:ind w:firstLine="640" w:firstLineChars="200"/>
        <w:jc w:val="left"/>
        <w:textAlignment w:val="auto"/>
        <w:outlineLvl w:val="1"/>
        <w:rPr>
          <w:rStyle w:val="19"/>
          <w:rFonts w:hint="eastAsia" w:ascii="Times New Roman" w:hAnsi="Times New Roman" w:eastAsia="黑体" w:cs="Times New Roman"/>
          <w:b w:val="0"/>
          <w:kern w:val="2"/>
          <w:lang w:val="en-US" w:eastAsia="zh-CN" w:bidi="ar-SA"/>
        </w:rPr>
      </w:pPr>
      <w:bookmarkStart w:id="43" w:name="_Toc18986"/>
      <w:bookmarkStart w:id="44" w:name="_Toc1326795604"/>
      <w:r>
        <w:rPr>
          <w:rStyle w:val="19"/>
          <w:rFonts w:hint="eastAsia" w:ascii="Times New Roman" w:hAnsi="Times New Roman" w:eastAsia="黑体" w:cs="Times New Roman"/>
          <w:b w:val="0"/>
          <w:kern w:val="2"/>
          <w:lang w:val="en-US" w:eastAsia="zh-CN" w:bidi="ar-SA"/>
        </w:rPr>
        <w:t>十、其他重要事项的情况说明</w:t>
      </w:r>
      <w:bookmarkEnd w:id="43"/>
      <w:bookmarkEnd w:id="44"/>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楷体_GBK" w:cs="Times New Roman"/>
          <w:b/>
          <w:sz w:val="32"/>
          <w:szCs w:val="32"/>
          <w:lang w:val="en-US" w:eastAsia="zh-CN"/>
        </w:rPr>
      </w:pPr>
      <w:r>
        <w:rPr>
          <w:rFonts w:hint="eastAsia" w:ascii="Times New Roman" w:hAnsi="Times New Roman" w:eastAsia="方正楷体_GBK" w:cs="Times New Roman"/>
          <w:b/>
          <w:sz w:val="32"/>
          <w:szCs w:val="32"/>
          <w:lang w:val="en-US" w:eastAsia="zh-CN"/>
        </w:rPr>
        <w:t>（一）机关运行经费支出情况</w:t>
      </w:r>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2025年机关运行经费支出92.65万元，较2024年减少39.52万元，下降29.90%。减少原因：一是2024年度单位公务车辆集中开展大修，维修费用较高，2025年度公务用车运行维护费相应减少；二是落实过紧日子要求，压减办公费、印刷费等一般性支出；三是厉行节约，培训费等支出相应压减。</w:t>
      </w:r>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楷体_GBK" w:cs="Times New Roman"/>
          <w:b/>
          <w:sz w:val="32"/>
          <w:szCs w:val="32"/>
          <w:lang w:val="en-US" w:eastAsia="zh-CN"/>
        </w:rPr>
      </w:pPr>
      <w:r>
        <w:rPr>
          <w:rFonts w:hint="eastAsia" w:ascii="Times New Roman" w:hAnsi="Times New Roman" w:eastAsia="方正楷体_GBK" w:cs="Times New Roman"/>
          <w:b/>
          <w:sz w:val="32"/>
          <w:szCs w:val="32"/>
          <w:lang w:val="en-US" w:eastAsia="zh-CN"/>
        </w:rPr>
        <w:t>（二）政府采购支出情况</w:t>
      </w:r>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2025年度政府采购支出58.73万元，主要为公务用车购置支出。</w:t>
      </w:r>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楷体_GBK" w:cs="Times New Roman"/>
          <w:b/>
          <w:sz w:val="32"/>
          <w:szCs w:val="32"/>
          <w:lang w:val="en-US" w:eastAsia="zh-CN"/>
        </w:rPr>
      </w:pPr>
      <w:r>
        <w:rPr>
          <w:rFonts w:hint="eastAsia" w:ascii="Times New Roman" w:hAnsi="Times New Roman" w:eastAsia="方正楷体_GBK" w:cs="Times New Roman"/>
          <w:b/>
          <w:sz w:val="32"/>
          <w:szCs w:val="32"/>
          <w:lang w:val="en-US" w:eastAsia="zh-CN"/>
        </w:rPr>
        <w:t>（三）国有资产占有使用情况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2025年12月31日，单位保有公务车辆</w:t>
      </w:r>
      <w:r>
        <w:rPr>
          <w:rFonts w:hint="eastAsia" w:eastAsia="仿宋" w:cs="Times New Roman"/>
          <w:sz w:val="32"/>
          <w:szCs w:val="32"/>
          <w:lang w:val="en-US" w:eastAsia="zh-CN"/>
        </w:rPr>
        <w:t>5</w:t>
      </w:r>
      <w:r>
        <w:rPr>
          <w:rFonts w:hint="eastAsia" w:ascii="Times New Roman" w:hAnsi="Times New Roman" w:eastAsia="仿宋" w:cs="Times New Roman"/>
          <w:sz w:val="32"/>
          <w:szCs w:val="32"/>
          <w:lang w:val="en-US" w:eastAsia="zh-CN"/>
        </w:rPr>
        <w:t>辆，均为一般公务用车；单价100万元以上专用设备0台（套）。本年度新购置公务用车，购置支出58.73万元。单位资产账面原值合计</w:t>
      </w:r>
      <w:r>
        <w:rPr>
          <w:rFonts w:hint="eastAsia" w:eastAsia="仿宋" w:cs="Times New Roman"/>
          <w:sz w:val="32"/>
          <w:szCs w:val="32"/>
          <w:lang w:val="en-US" w:eastAsia="zh-CN"/>
        </w:rPr>
        <w:t>451.42</w:t>
      </w:r>
      <w:r>
        <w:rPr>
          <w:rFonts w:hint="eastAsia" w:ascii="Times New Roman" w:hAnsi="Times New Roman" w:eastAsia="仿宋" w:cs="Times New Roman"/>
          <w:sz w:val="32"/>
          <w:szCs w:val="32"/>
          <w:lang w:val="en-US" w:eastAsia="zh-CN"/>
        </w:rPr>
        <w:t>万元，其中固定资产</w:t>
      </w:r>
      <w:r>
        <w:rPr>
          <w:rFonts w:hint="eastAsia" w:eastAsia="仿宋" w:cs="Times New Roman"/>
          <w:sz w:val="32"/>
          <w:szCs w:val="32"/>
          <w:lang w:val="en-US" w:eastAsia="zh-CN"/>
        </w:rPr>
        <w:t>451.15</w:t>
      </w:r>
      <w:r>
        <w:rPr>
          <w:rFonts w:hint="eastAsia" w:ascii="Times New Roman" w:hAnsi="Times New Roman" w:eastAsia="仿宋" w:cs="Times New Roman"/>
          <w:sz w:val="32"/>
          <w:szCs w:val="32"/>
          <w:lang w:val="en-US" w:eastAsia="zh-CN"/>
        </w:rPr>
        <w:t>万元、无形资产</w:t>
      </w:r>
      <w:r>
        <w:rPr>
          <w:rFonts w:hint="eastAsia" w:eastAsia="仿宋" w:cs="Times New Roman"/>
          <w:sz w:val="32"/>
          <w:szCs w:val="32"/>
          <w:lang w:val="en-US" w:eastAsia="zh-CN"/>
        </w:rPr>
        <w:t>0.27</w:t>
      </w:r>
      <w:r>
        <w:rPr>
          <w:rFonts w:hint="eastAsia" w:ascii="Times New Roman" w:hAnsi="Times New Roman" w:eastAsia="仿宋" w:cs="Times New Roman"/>
          <w:sz w:val="32"/>
          <w:szCs w:val="32"/>
          <w:lang w:val="en-US" w:eastAsia="zh-CN"/>
        </w:rPr>
        <w:t>万元。</w:t>
      </w:r>
    </w:p>
    <w:p>
      <w:pPr>
        <w:keepNext w:val="0"/>
        <w:keepLines w:val="0"/>
        <w:pageBreakBefore w:val="0"/>
        <w:widowControl w:val="0"/>
        <w:tabs>
          <w:tab w:val="left" w:pos="810"/>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楷体_GBK" w:cs="Times New Roman"/>
          <w:b/>
          <w:sz w:val="32"/>
          <w:szCs w:val="32"/>
          <w:lang w:val="en-US" w:eastAsia="zh-CN"/>
        </w:rPr>
      </w:pPr>
      <w:r>
        <w:rPr>
          <w:rFonts w:hint="eastAsia" w:ascii="Times New Roman" w:hAnsi="Times New Roman" w:eastAsia="方正楷体_GBK" w:cs="Times New Roman"/>
          <w:b/>
          <w:sz w:val="32"/>
          <w:szCs w:val="32"/>
          <w:lang w:val="en-US" w:eastAsia="zh-CN"/>
        </w:rPr>
        <w:t>（四）由养老保险机构发放养老金的退休人员</w:t>
      </w:r>
    </w:p>
    <w:p>
      <w:pPr>
        <w:pStyle w:val="23"/>
        <w:keepNext w:val="0"/>
        <w:keepLines w:val="0"/>
        <w:pageBreakBefore w:val="0"/>
        <w:widowControl w:val="0"/>
        <w:kinsoku/>
        <w:wordWrap/>
        <w:overflowPunct/>
        <w:topLinePunct w:val="0"/>
        <w:autoSpaceDE/>
        <w:autoSpaceDN/>
        <w:bidi w:val="0"/>
        <w:adjustRightInd/>
        <w:snapToGrid/>
        <w:spacing w:before="0" w:line="560" w:lineRule="exact"/>
        <w:ind w:left="0" w:leftChars="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2025年12月31日，本单位由养老保险经办机构发放基本养老金的退休人员共</w:t>
      </w:r>
      <w:r>
        <w:rPr>
          <w:rFonts w:hint="eastAsia" w:ascii="Times New Roman" w:hAnsi="Times New Roman" w:cs="Times New Roman"/>
          <w:kern w:val="2"/>
          <w:sz w:val="32"/>
          <w:szCs w:val="32"/>
          <w:lang w:val="en-US" w:eastAsia="zh-CN" w:bidi="ar-SA"/>
        </w:rPr>
        <w:t>34</w:t>
      </w:r>
      <w:r>
        <w:rPr>
          <w:rFonts w:hint="default" w:ascii="Times New Roman" w:hAnsi="Times New Roman" w:eastAsia="仿宋" w:cs="Times New Roman"/>
          <w:kern w:val="2"/>
          <w:sz w:val="32"/>
          <w:szCs w:val="32"/>
          <w:lang w:val="en-US" w:eastAsia="zh-CN" w:bidi="ar-SA"/>
        </w:rPr>
        <w:t>人。</w:t>
      </w:r>
    </w:p>
    <w:p>
      <w:pPr>
        <w:pStyle w:val="3"/>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rPr>
          <w:rFonts w:hint="default" w:ascii="Times New Roman" w:hAnsi="Times New Roman" w:eastAsia="黑体" w:cs="Times New Roman"/>
          <w:b w:val="0"/>
          <w:sz w:val="32"/>
          <w:szCs w:val="32"/>
          <w:lang w:val="en-US" w:eastAsia="zh-CN"/>
        </w:rPr>
      </w:pPr>
      <w:bookmarkStart w:id="45" w:name="_Toc20062"/>
    </w:p>
    <w:p>
      <w:pPr>
        <w:pStyle w:val="3"/>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jc w:val="center"/>
        <w:textAlignment w:val="auto"/>
        <w:rPr>
          <w:rFonts w:hint="default" w:ascii="Times New Roman" w:hAnsi="Times New Roman" w:eastAsia="黑体" w:cs="Times New Roman"/>
          <w:b w:val="0"/>
          <w:sz w:val="32"/>
          <w:szCs w:val="32"/>
          <w:lang w:val="en-US" w:eastAsia="zh-CN"/>
        </w:rPr>
      </w:pPr>
      <w:bookmarkStart w:id="46" w:name="_Toc1486188821"/>
      <w:r>
        <w:rPr>
          <w:rFonts w:hint="default" w:ascii="Times New Roman" w:hAnsi="Times New Roman" w:eastAsia="黑体" w:cs="Times New Roman"/>
          <w:b w:val="0"/>
          <w:sz w:val="32"/>
          <w:szCs w:val="32"/>
          <w:lang w:val="en-US" w:eastAsia="zh-CN"/>
        </w:rPr>
        <w:t>第三部分 名词解释</w:t>
      </w:r>
      <w:bookmarkEnd w:id="45"/>
      <w:bookmarkEnd w:id="46"/>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outlineLvl w:val="1"/>
        <w:rPr>
          <w:rFonts w:hint="default" w:ascii="Times New Roman" w:hAnsi="Times New Roman" w:eastAsia="方正楷体_GBK" w:cs="Times New Roman"/>
          <w:b/>
          <w:kern w:val="2"/>
          <w:sz w:val="32"/>
          <w:szCs w:val="32"/>
          <w:lang w:val="en-US" w:eastAsia="zh-CN" w:bidi="ar-SA"/>
        </w:rPr>
      </w:pPr>
      <w:bookmarkStart w:id="47" w:name="_Toc18107"/>
      <w:bookmarkStart w:id="48" w:name="_Toc15326"/>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outlineLvl w:val="1"/>
        <w:rPr>
          <w:rFonts w:hint="default" w:ascii="Times New Roman" w:hAnsi="Times New Roman" w:eastAsia="仿宋" w:cs="Times New Roman"/>
          <w:kern w:val="2"/>
          <w:sz w:val="32"/>
          <w:szCs w:val="32"/>
          <w:lang w:val="en-US" w:eastAsia="zh-CN" w:bidi="ar-SA"/>
        </w:rPr>
      </w:pPr>
      <w:bookmarkStart w:id="49" w:name="_Toc41125694"/>
      <w:r>
        <w:rPr>
          <w:rFonts w:hint="default" w:ascii="Times New Roman" w:hAnsi="Times New Roman" w:eastAsia="方正楷体_GBK" w:cs="Times New Roman"/>
          <w:b/>
          <w:kern w:val="2"/>
          <w:sz w:val="32"/>
          <w:szCs w:val="32"/>
          <w:lang w:val="en-US" w:eastAsia="zh-CN" w:bidi="ar-SA"/>
        </w:rPr>
        <w:t>1.财政拨款收入：</w:t>
      </w:r>
      <w:r>
        <w:rPr>
          <w:rFonts w:hint="default" w:ascii="Times New Roman" w:hAnsi="Times New Roman" w:eastAsia="仿宋" w:cs="Times New Roman"/>
          <w:kern w:val="2"/>
          <w:sz w:val="32"/>
          <w:szCs w:val="32"/>
          <w:lang w:val="en-US" w:eastAsia="zh-CN" w:bidi="ar-SA"/>
        </w:rPr>
        <w:t>指单位从同级财政部门取得的财政预算资金。</w:t>
      </w:r>
      <w:bookmarkEnd w:id="47"/>
      <w:bookmarkEnd w:id="48"/>
      <w:bookmarkEnd w:id="49"/>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2.事业收入：</w:t>
      </w:r>
      <w:r>
        <w:rPr>
          <w:rFonts w:hint="default" w:ascii="Times New Roman" w:hAnsi="Times New Roman" w:eastAsia="仿宋" w:cs="Times New Roman"/>
          <w:kern w:val="2"/>
          <w:sz w:val="32"/>
          <w:szCs w:val="32"/>
          <w:lang w:val="en-US" w:eastAsia="zh-CN" w:bidi="ar-SA"/>
        </w:rPr>
        <w:t>指事业单位开展专业业务活动及辅助活动取得的收入。如</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（二级预算单位事业收入情况）等。</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3.经营收入：</w:t>
      </w:r>
      <w:r>
        <w:rPr>
          <w:rFonts w:hint="default" w:ascii="Times New Roman" w:hAnsi="Times New Roman" w:eastAsia="仿宋" w:cs="Times New Roman"/>
          <w:kern w:val="2"/>
          <w:sz w:val="32"/>
          <w:szCs w:val="32"/>
          <w:lang w:val="en-US" w:eastAsia="zh-CN" w:bidi="ar-SA"/>
        </w:rPr>
        <w:t>指事业单位在专业业务活动及其辅助活动之外开展非独立核算经营活动取得的收入。如</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（二级预算单位经营收入情况）等。</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4.其他收入：</w:t>
      </w:r>
      <w:r>
        <w:rPr>
          <w:rFonts w:hint="default" w:ascii="Times New Roman" w:hAnsi="Times New Roman" w:eastAsia="仿宋" w:cs="Times New Roman"/>
          <w:kern w:val="2"/>
          <w:sz w:val="32"/>
          <w:szCs w:val="32"/>
          <w:lang w:val="en-US" w:eastAsia="zh-CN" w:bidi="ar-SA"/>
        </w:rPr>
        <w:t>指单位取得的除上述收入以外的各项收入。主要是</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（收入类型）等。 </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5.使用非财政拨款结余：</w:t>
      </w:r>
      <w:r>
        <w:rPr>
          <w:rFonts w:hint="default" w:ascii="Times New Roman" w:hAnsi="Times New Roman" w:eastAsia="仿宋" w:cs="Times New Roman"/>
          <w:kern w:val="2"/>
          <w:sz w:val="32"/>
          <w:szCs w:val="32"/>
          <w:lang w:val="en-US" w:eastAsia="zh-CN" w:bidi="ar-SA"/>
        </w:rPr>
        <w:t>指事业单位使用以前年度积累的非财政拨款结余弥补当年收支差额的金额。 </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6.年初结转和结余：</w:t>
      </w:r>
      <w:r>
        <w:rPr>
          <w:rFonts w:hint="default" w:ascii="Times New Roman" w:hAnsi="Times New Roman" w:eastAsia="仿宋" w:cs="Times New Roman"/>
          <w:kern w:val="2"/>
          <w:sz w:val="32"/>
          <w:szCs w:val="32"/>
          <w:lang w:val="en-US" w:eastAsia="zh-CN" w:bidi="ar-SA"/>
        </w:rPr>
        <w:t>指以前年度尚未完成、结转到本年按有关规定继续使用的资金。 </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7.结余分配：</w:t>
      </w:r>
      <w:r>
        <w:rPr>
          <w:rFonts w:hint="default" w:ascii="Times New Roman" w:hAnsi="Times New Roman" w:eastAsia="仿宋" w:cs="Times New Roman"/>
          <w:kern w:val="2"/>
          <w:sz w:val="32"/>
          <w:szCs w:val="32"/>
          <w:lang w:val="en-US" w:eastAsia="zh-CN" w:bidi="ar-SA"/>
        </w:rPr>
        <w:t>指事业单位按照会计制度规定缴纳的所得税、提取的专用结余以及转入非财政拨款结余的</w:t>
      </w:r>
      <w:r>
        <w:rPr>
          <w:rFonts w:hint="eastAsia" w:ascii="Times New Roman" w:hAnsi="Times New Roman" w:eastAsia="仿宋" w:cs="Times New Roman"/>
          <w:kern w:val="2"/>
          <w:sz w:val="32"/>
          <w:szCs w:val="32"/>
          <w:lang w:val="en-US" w:eastAsia="zh-CN" w:bidi="ar-SA"/>
        </w:rPr>
        <w:t>金额</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8.年末结转和结余：</w:t>
      </w:r>
      <w:r>
        <w:rPr>
          <w:rFonts w:hint="default" w:ascii="Times New Roman" w:hAnsi="Times New Roman" w:eastAsia="仿宋" w:cs="Times New Roman"/>
          <w:kern w:val="2"/>
          <w:sz w:val="32"/>
          <w:szCs w:val="32"/>
          <w:lang w:val="en-US" w:eastAsia="zh-CN" w:bidi="ar-SA"/>
        </w:rPr>
        <w:t>指单位按有关规定结转到下</w:t>
      </w:r>
      <w:r>
        <w:rPr>
          <w:rFonts w:hint="eastAsia" w:ascii="Times New Roman" w:hAnsi="Times New Roman" w:eastAsia="仿宋" w:cs="Times New Roman"/>
          <w:kern w:val="2"/>
          <w:sz w:val="32"/>
          <w:szCs w:val="32"/>
          <w:lang w:val="en-US" w:eastAsia="zh-CN" w:bidi="ar-SA"/>
        </w:rPr>
        <w:t>一年</w:t>
      </w:r>
      <w:r>
        <w:rPr>
          <w:rFonts w:hint="default" w:ascii="Times New Roman" w:hAnsi="Times New Roman" w:eastAsia="仿宋" w:cs="Times New Roman"/>
          <w:kern w:val="2"/>
          <w:sz w:val="32"/>
          <w:szCs w:val="32"/>
          <w:lang w:val="en-US" w:eastAsia="zh-CN" w:bidi="ar-SA"/>
        </w:rPr>
        <w:t>或以后年度继续使用的资金。</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9.一般公共服务：</w:t>
      </w:r>
      <w:r>
        <w:rPr>
          <w:rFonts w:hint="default" w:ascii="Times New Roman" w:hAnsi="Times New Roman" w:eastAsia="仿宋" w:cs="Times New Roman"/>
          <w:kern w:val="2"/>
          <w:sz w:val="32"/>
          <w:szCs w:val="32"/>
          <w:lang w:val="en-US" w:eastAsia="zh-CN" w:bidi="ar-SA"/>
        </w:rPr>
        <w:t>指反映政府提供</w:t>
      </w:r>
      <w:r>
        <w:rPr>
          <w:rFonts w:hint="eastAsia" w:ascii="Times New Roman" w:hAnsi="Times New Roman" w:eastAsia="仿宋" w:cs="Times New Roman"/>
          <w:kern w:val="2"/>
          <w:sz w:val="32"/>
          <w:szCs w:val="32"/>
          <w:lang w:val="en-US" w:eastAsia="zh-CN" w:bidi="ar-SA"/>
        </w:rPr>
        <w:t>一般公共服务支出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10.外交：</w:t>
      </w:r>
      <w:r>
        <w:rPr>
          <w:rFonts w:hint="default" w:ascii="Times New Roman" w:hAnsi="Times New Roman" w:eastAsia="仿宋" w:cs="Times New Roman"/>
          <w:kern w:val="2"/>
          <w:sz w:val="32"/>
          <w:szCs w:val="32"/>
          <w:lang w:val="en-US" w:eastAsia="zh-CN" w:bidi="ar-SA"/>
        </w:rPr>
        <w:t>指用于</w:t>
      </w:r>
      <w:r>
        <w:rPr>
          <w:rFonts w:hint="eastAsia" w:ascii="Times New Roman" w:hAnsi="Times New Roman" w:eastAsia="仿宋" w:cs="Times New Roman"/>
          <w:kern w:val="2"/>
          <w:sz w:val="32"/>
          <w:szCs w:val="32"/>
          <w:lang w:val="en-US" w:eastAsia="zh-CN" w:bidi="ar-SA"/>
        </w:rPr>
        <w:t>外交</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11.公共安全：</w:t>
      </w:r>
      <w:r>
        <w:rPr>
          <w:rFonts w:hint="default" w:ascii="Times New Roman" w:hAnsi="Times New Roman" w:eastAsia="仿宋" w:cs="Times New Roman"/>
          <w:kern w:val="2"/>
          <w:sz w:val="32"/>
          <w:szCs w:val="32"/>
          <w:lang w:val="en-US" w:eastAsia="zh-CN" w:bidi="ar-SA"/>
        </w:rPr>
        <w:t>指反映政府维护社会</w:t>
      </w:r>
      <w:r>
        <w:rPr>
          <w:rFonts w:hint="eastAsia" w:ascii="Times New Roman" w:hAnsi="Times New Roman" w:eastAsia="仿宋" w:cs="Times New Roman"/>
          <w:kern w:val="2"/>
          <w:sz w:val="32"/>
          <w:szCs w:val="32"/>
          <w:lang w:val="en-US" w:eastAsia="zh-CN" w:bidi="ar-SA"/>
        </w:rPr>
        <w:t>公共安全</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12.教育：</w:t>
      </w:r>
      <w:r>
        <w:rPr>
          <w:rFonts w:hint="default" w:ascii="Times New Roman" w:hAnsi="Times New Roman" w:eastAsia="仿宋" w:cs="Times New Roman"/>
          <w:kern w:val="2"/>
          <w:sz w:val="32"/>
          <w:szCs w:val="32"/>
          <w:lang w:val="en-US" w:eastAsia="zh-CN" w:bidi="ar-SA"/>
        </w:rPr>
        <w:t>指用于</w:t>
      </w:r>
      <w:r>
        <w:rPr>
          <w:rFonts w:hint="eastAsia" w:ascii="Times New Roman" w:hAnsi="Times New Roman" w:eastAsia="仿宋" w:cs="Times New Roman"/>
          <w:kern w:val="2"/>
          <w:sz w:val="32"/>
          <w:szCs w:val="32"/>
          <w:lang w:val="en-US" w:eastAsia="zh-CN" w:bidi="ar-SA"/>
        </w:rPr>
        <w:t>教育</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13.科学技术：</w:t>
      </w:r>
      <w:r>
        <w:rPr>
          <w:rFonts w:hint="eastAsia" w:ascii="Times New Roman" w:hAnsi="Times New Roman" w:eastAsia="方正楷体_GBK" w:cs="Times New Roman"/>
          <w:b/>
          <w:kern w:val="2"/>
          <w:sz w:val="32"/>
          <w:szCs w:val="32"/>
          <w:lang w:val="en-US" w:eastAsia="zh-CN" w:bidi="ar-SA"/>
        </w:rPr>
        <w:t>指</w:t>
      </w:r>
      <w:r>
        <w:rPr>
          <w:rFonts w:hint="default" w:ascii="Times New Roman" w:hAnsi="Times New Roman" w:eastAsia="仿宋" w:cs="Times New Roman"/>
          <w:kern w:val="2"/>
          <w:sz w:val="32"/>
          <w:szCs w:val="32"/>
          <w:lang w:val="en-US" w:eastAsia="zh-CN" w:bidi="ar-SA"/>
        </w:rPr>
        <w:t>反映</w:t>
      </w:r>
      <w:r>
        <w:rPr>
          <w:rFonts w:hint="eastAsia" w:ascii="Times New Roman" w:hAnsi="Times New Roman" w:eastAsia="仿宋" w:cs="Times New Roman"/>
          <w:kern w:val="2"/>
          <w:sz w:val="32"/>
          <w:szCs w:val="32"/>
          <w:lang w:val="en-US" w:eastAsia="zh-CN" w:bidi="ar-SA"/>
        </w:rPr>
        <w:t>科学技术</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14.文化体育与传媒：</w:t>
      </w:r>
      <w:r>
        <w:rPr>
          <w:rFonts w:hint="default" w:ascii="Times New Roman" w:hAnsi="Times New Roman" w:eastAsia="仿宋" w:cs="Times New Roman"/>
          <w:kern w:val="2"/>
          <w:sz w:val="32"/>
          <w:szCs w:val="32"/>
          <w:lang w:val="en-US" w:eastAsia="zh-CN" w:bidi="ar-SA"/>
        </w:rPr>
        <w:t>指反映政府在文化、文物、体育、广播影视、新闻出版等</w:t>
      </w:r>
      <w:r>
        <w:rPr>
          <w:rFonts w:hint="eastAsia" w:ascii="Times New Roman" w:hAnsi="Times New Roman" w:eastAsia="仿宋" w:cs="Times New Roman"/>
          <w:kern w:val="2"/>
          <w:sz w:val="32"/>
          <w:szCs w:val="32"/>
          <w:lang w:val="en-US" w:eastAsia="zh-CN" w:bidi="ar-SA"/>
        </w:rPr>
        <w:t>领域</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outlineLvl w:val="1"/>
        <w:rPr>
          <w:rFonts w:hint="default" w:ascii="Times New Roman" w:hAnsi="Times New Roman" w:eastAsia="仿宋" w:cs="Times New Roman"/>
          <w:kern w:val="2"/>
          <w:sz w:val="32"/>
          <w:szCs w:val="32"/>
          <w:lang w:val="en-US" w:eastAsia="zh-CN" w:bidi="ar-SA"/>
        </w:rPr>
      </w:pPr>
      <w:bookmarkStart w:id="50" w:name="_Toc198981187"/>
      <w:bookmarkStart w:id="51" w:name="_Toc24112"/>
      <w:bookmarkStart w:id="52" w:name="_Toc21352"/>
      <w:r>
        <w:rPr>
          <w:rFonts w:hint="default" w:ascii="Times New Roman" w:hAnsi="Times New Roman" w:eastAsia="方正楷体_GBK" w:cs="Times New Roman"/>
          <w:b/>
          <w:kern w:val="2"/>
          <w:sz w:val="32"/>
          <w:szCs w:val="32"/>
          <w:lang w:val="en-US" w:eastAsia="zh-CN" w:bidi="ar-SA"/>
        </w:rPr>
        <w:t>15.社会保障和就业：</w:t>
      </w:r>
      <w:r>
        <w:rPr>
          <w:rFonts w:hint="default" w:ascii="Times New Roman" w:hAnsi="Times New Roman" w:eastAsia="仿宋" w:cs="Times New Roman"/>
          <w:kern w:val="2"/>
          <w:sz w:val="32"/>
          <w:szCs w:val="32"/>
          <w:lang w:val="en-US" w:eastAsia="zh-CN" w:bidi="ar-SA"/>
        </w:rPr>
        <w:t>指反映政府在社会保障和就业</w:t>
      </w:r>
      <w:r>
        <w:rPr>
          <w:rFonts w:hint="eastAsia" w:ascii="Times New Roman" w:hAnsi="Times New Roman" w:eastAsia="仿宋" w:cs="Times New Roman"/>
          <w:kern w:val="2"/>
          <w:sz w:val="32"/>
          <w:szCs w:val="32"/>
          <w:lang w:val="en-US" w:eastAsia="zh-CN" w:bidi="ar-SA"/>
        </w:rPr>
        <w:t>领域</w:t>
      </w:r>
      <w:r>
        <w:rPr>
          <w:rFonts w:hint="default" w:ascii="Times New Roman" w:hAnsi="Times New Roman" w:eastAsia="仿宋" w:cs="Times New Roman"/>
          <w:kern w:val="2"/>
          <w:sz w:val="32"/>
          <w:szCs w:val="32"/>
          <w:lang w:val="en-US" w:eastAsia="zh-CN" w:bidi="ar-SA"/>
        </w:rPr>
        <w:t>的支出。</w:t>
      </w:r>
      <w:bookmarkEnd w:id="50"/>
      <w:bookmarkEnd w:id="51"/>
      <w:bookmarkEnd w:id="52"/>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16.医疗卫生与计划生育：</w:t>
      </w:r>
      <w:r>
        <w:rPr>
          <w:rFonts w:hint="default" w:ascii="Times New Roman" w:hAnsi="Times New Roman" w:eastAsia="仿宋" w:cs="Times New Roman"/>
          <w:kern w:val="2"/>
          <w:sz w:val="32"/>
          <w:szCs w:val="32"/>
          <w:lang w:val="en-US" w:eastAsia="zh-CN" w:bidi="ar-SA"/>
        </w:rPr>
        <w:t>指反映政府医疗卫生与计划生育、中医等管理事务的支出。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17.节能环保：</w:t>
      </w:r>
      <w:r>
        <w:rPr>
          <w:rFonts w:hint="default" w:ascii="Times New Roman" w:hAnsi="Times New Roman" w:eastAsia="仿宋" w:cs="Times New Roman"/>
          <w:kern w:val="2"/>
          <w:sz w:val="32"/>
          <w:szCs w:val="32"/>
          <w:lang w:val="en-US" w:eastAsia="zh-CN" w:bidi="ar-SA"/>
        </w:rPr>
        <w:t>指反映政府节能环保</w:t>
      </w:r>
      <w:r>
        <w:rPr>
          <w:rFonts w:hint="eastAsia" w:ascii="Times New Roman" w:hAnsi="Times New Roman" w:eastAsia="仿宋" w:cs="Times New Roman"/>
          <w:kern w:val="2"/>
          <w:sz w:val="32"/>
          <w:szCs w:val="32"/>
          <w:lang w:val="en-US" w:eastAsia="zh-CN" w:bidi="ar-SA"/>
        </w:rPr>
        <w:t>的支出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18.城乡社区：</w:t>
      </w:r>
      <w:r>
        <w:rPr>
          <w:rFonts w:hint="default" w:ascii="Times New Roman" w:hAnsi="Times New Roman" w:eastAsia="仿宋" w:cs="Times New Roman"/>
          <w:kern w:val="2"/>
          <w:sz w:val="32"/>
          <w:szCs w:val="32"/>
          <w:lang w:val="en-US" w:eastAsia="zh-CN" w:bidi="ar-SA"/>
        </w:rPr>
        <w:t>指反映政府城乡社区事务</w:t>
      </w:r>
      <w:r>
        <w:rPr>
          <w:rFonts w:hint="eastAsia" w:ascii="Times New Roman" w:hAnsi="Times New Roman" w:eastAsia="仿宋" w:cs="Times New Roman"/>
          <w:kern w:val="2"/>
          <w:sz w:val="32"/>
          <w:szCs w:val="32"/>
          <w:lang w:val="en-US" w:eastAsia="zh-CN" w:bidi="ar-SA"/>
        </w:rPr>
        <w:t>的支出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19.农林水：</w:t>
      </w:r>
      <w:r>
        <w:rPr>
          <w:rFonts w:hint="default" w:ascii="Times New Roman" w:hAnsi="Times New Roman" w:eastAsia="仿宋" w:cs="Times New Roman"/>
          <w:kern w:val="2"/>
          <w:sz w:val="32"/>
          <w:szCs w:val="32"/>
          <w:lang w:val="en-US" w:eastAsia="zh-CN" w:bidi="ar-SA"/>
        </w:rPr>
        <w:t>指反映政府农林水事务</w:t>
      </w:r>
      <w:r>
        <w:rPr>
          <w:rFonts w:hint="eastAsia" w:ascii="Times New Roman" w:hAnsi="Times New Roman" w:eastAsia="仿宋" w:cs="Times New Roman"/>
          <w:kern w:val="2"/>
          <w:sz w:val="32"/>
          <w:szCs w:val="32"/>
          <w:lang w:val="en-US" w:eastAsia="zh-CN" w:bidi="ar-SA"/>
        </w:rPr>
        <w:t>的支出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20.交通运输：</w:t>
      </w:r>
      <w:r>
        <w:rPr>
          <w:rFonts w:hint="default" w:ascii="Times New Roman" w:hAnsi="Times New Roman" w:eastAsia="仿宋" w:cs="Times New Roman"/>
          <w:kern w:val="2"/>
          <w:sz w:val="32"/>
          <w:szCs w:val="32"/>
          <w:lang w:val="en-US" w:eastAsia="zh-CN" w:bidi="ar-SA"/>
        </w:rPr>
        <w:t>指反映政府交通运输和邮政</w:t>
      </w:r>
      <w:r>
        <w:rPr>
          <w:rFonts w:hint="eastAsia" w:ascii="Times New Roman" w:hAnsi="Times New Roman" w:eastAsia="仿宋" w:cs="Times New Roman"/>
          <w:kern w:val="2"/>
          <w:sz w:val="32"/>
          <w:szCs w:val="32"/>
          <w:lang w:val="en-US" w:eastAsia="zh-CN" w:bidi="ar-SA"/>
        </w:rPr>
        <w:t>业</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21.资源勘探信息等：</w:t>
      </w:r>
      <w:r>
        <w:rPr>
          <w:rFonts w:hint="default" w:ascii="Times New Roman" w:hAnsi="Times New Roman" w:eastAsia="仿宋" w:cs="Times New Roman"/>
          <w:kern w:val="2"/>
          <w:sz w:val="32"/>
          <w:szCs w:val="32"/>
          <w:lang w:val="en-US" w:eastAsia="zh-CN" w:bidi="ar-SA"/>
        </w:rPr>
        <w:t>指反映用于资源勘探、制造业、建筑业、</w:t>
      </w:r>
      <w:r>
        <w:rPr>
          <w:rFonts w:hint="eastAsia" w:ascii="Times New Roman" w:hAnsi="Times New Roman" w:eastAsia="仿宋" w:cs="Times New Roman"/>
          <w:kern w:val="2"/>
          <w:sz w:val="32"/>
          <w:szCs w:val="32"/>
          <w:lang w:val="en-US" w:eastAsia="zh-CN" w:bidi="ar-SA"/>
        </w:rPr>
        <w:t>信息产业</w:t>
      </w:r>
      <w:r>
        <w:rPr>
          <w:rFonts w:hint="default" w:ascii="Times New Roman" w:hAnsi="Times New Roman" w:eastAsia="仿宋" w:cs="Times New Roman"/>
          <w:kern w:val="2"/>
          <w:sz w:val="32"/>
          <w:szCs w:val="32"/>
          <w:lang w:val="en-US" w:eastAsia="zh-CN" w:bidi="ar-SA"/>
        </w:rPr>
        <w:t>等方面</w:t>
      </w:r>
      <w:r>
        <w:rPr>
          <w:rFonts w:hint="eastAsia" w:ascii="Times New Roman" w:hAnsi="Times New Roman" w:eastAsia="仿宋" w:cs="Times New Roman"/>
          <w:kern w:val="2"/>
          <w:sz w:val="32"/>
          <w:szCs w:val="32"/>
          <w:lang w:val="en-US" w:eastAsia="zh-CN" w:bidi="ar-SA"/>
        </w:rPr>
        <w:t>的支出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22.商业服务业：</w:t>
      </w:r>
      <w:r>
        <w:rPr>
          <w:rFonts w:hint="default" w:ascii="Times New Roman" w:hAnsi="Times New Roman" w:eastAsia="仿宋" w:cs="Times New Roman"/>
          <w:kern w:val="2"/>
          <w:sz w:val="32"/>
          <w:szCs w:val="32"/>
          <w:lang w:val="en-US" w:eastAsia="zh-CN" w:bidi="ar-SA"/>
        </w:rPr>
        <w:t>指反映商业服务业等方面</w:t>
      </w:r>
      <w:r>
        <w:rPr>
          <w:rFonts w:hint="eastAsia" w:ascii="Times New Roman" w:hAnsi="Times New Roman" w:eastAsia="仿宋" w:cs="Times New Roman"/>
          <w:kern w:val="2"/>
          <w:sz w:val="32"/>
          <w:szCs w:val="32"/>
          <w:lang w:val="en-US" w:eastAsia="zh-CN" w:bidi="ar-SA"/>
        </w:rPr>
        <w:t>的支出</w:t>
      </w:r>
      <w:r>
        <w:rPr>
          <w:rFonts w:hint="default" w:ascii="Times New Roman" w:hAnsi="Times New Roman" w:eastAsia="仿宋" w:cs="Times New Roman"/>
          <w:kern w:val="2"/>
          <w:sz w:val="32"/>
          <w:szCs w:val="32"/>
          <w:lang w:val="en-US" w:eastAsia="zh-CN" w:bidi="ar-SA"/>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23.金融（类）：</w:t>
      </w:r>
      <w:r>
        <w:rPr>
          <w:rFonts w:hint="default" w:ascii="Times New Roman" w:hAnsi="Times New Roman" w:eastAsia="仿宋" w:cs="Times New Roman"/>
          <w:kern w:val="2"/>
          <w:sz w:val="32"/>
          <w:szCs w:val="32"/>
          <w:lang w:val="en-US" w:eastAsia="zh-CN" w:bidi="ar-SA"/>
        </w:rPr>
        <w:t>指</w:t>
      </w:r>
      <w:r>
        <w:rPr>
          <w:rFonts w:hint="eastAsia" w:ascii="Times New Roman" w:hAnsi="Times New Roman" w:eastAsia="仿宋" w:cs="Times New Roman"/>
          <w:kern w:val="2"/>
          <w:sz w:val="32"/>
          <w:szCs w:val="32"/>
          <w:lang w:val="en-US" w:eastAsia="zh-CN" w:bidi="ar-SA"/>
        </w:rPr>
        <w:t>金融</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24.国土海洋气象等：</w:t>
      </w:r>
      <w:r>
        <w:rPr>
          <w:rFonts w:hint="default" w:ascii="Times New Roman" w:hAnsi="Times New Roman" w:eastAsia="仿宋" w:cs="Times New Roman"/>
          <w:kern w:val="2"/>
          <w:sz w:val="32"/>
          <w:szCs w:val="32"/>
          <w:lang w:val="en-US" w:eastAsia="zh-CN" w:bidi="ar-SA"/>
        </w:rPr>
        <w:t>指反映政府国土资源、海洋、测绘、地震、气象等</w:t>
      </w:r>
      <w:r>
        <w:rPr>
          <w:rFonts w:hint="eastAsia" w:ascii="Times New Roman" w:hAnsi="Times New Roman" w:eastAsia="仿宋" w:cs="Times New Roman"/>
          <w:kern w:val="2"/>
          <w:sz w:val="32"/>
          <w:szCs w:val="32"/>
          <w:lang w:val="en-US" w:eastAsia="zh-CN" w:bidi="ar-SA"/>
        </w:rPr>
        <w:t>公益事业</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25.住房保障：</w:t>
      </w:r>
      <w:r>
        <w:rPr>
          <w:rFonts w:hint="default" w:ascii="Times New Roman" w:hAnsi="Times New Roman" w:eastAsia="仿宋" w:cs="Times New Roman"/>
          <w:kern w:val="2"/>
          <w:sz w:val="32"/>
          <w:szCs w:val="32"/>
          <w:lang w:val="en-US" w:eastAsia="zh-CN" w:bidi="ar-SA"/>
        </w:rPr>
        <w:t>指反映政府住房保障的支出。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26.粮油物资储备：</w:t>
      </w:r>
      <w:r>
        <w:rPr>
          <w:rFonts w:hint="default" w:ascii="Times New Roman" w:hAnsi="Times New Roman" w:eastAsia="仿宋" w:cs="Times New Roman"/>
          <w:kern w:val="2"/>
          <w:sz w:val="32"/>
          <w:szCs w:val="32"/>
          <w:lang w:val="en-US" w:eastAsia="zh-CN" w:bidi="ar-SA"/>
        </w:rPr>
        <w:t>指反映政府用于粮油物资</w:t>
      </w:r>
      <w:r>
        <w:rPr>
          <w:rFonts w:hint="eastAsia" w:ascii="Times New Roman" w:hAnsi="Times New Roman" w:eastAsia="仿宋" w:cs="Times New Roman"/>
          <w:kern w:val="2"/>
          <w:sz w:val="32"/>
          <w:szCs w:val="32"/>
          <w:lang w:val="en-US" w:eastAsia="zh-CN" w:bidi="ar-SA"/>
        </w:rPr>
        <w:t>储备</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27.基本支出：</w:t>
      </w:r>
      <w:r>
        <w:rPr>
          <w:rFonts w:hint="default" w:ascii="Times New Roman" w:hAnsi="Times New Roman" w:eastAsia="仿宋" w:cs="Times New Roman"/>
          <w:kern w:val="2"/>
          <w:sz w:val="32"/>
          <w:szCs w:val="32"/>
          <w:lang w:val="en-US" w:eastAsia="zh-CN" w:bidi="ar-SA"/>
        </w:rPr>
        <w:t>指为保障机构正常运转、完成日常工作任务而发生的人员支出和公用支出。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28.项目支出：</w:t>
      </w:r>
      <w:r>
        <w:rPr>
          <w:rFonts w:hint="default" w:ascii="Times New Roman" w:hAnsi="Times New Roman" w:eastAsia="仿宋" w:cs="Times New Roman"/>
          <w:kern w:val="2"/>
          <w:sz w:val="32"/>
          <w:szCs w:val="32"/>
          <w:lang w:val="en-US" w:eastAsia="zh-CN" w:bidi="ar-SA"/>
        </w:rPr>
        <w:t>指在基本支出之外为完成特定行政任务和事业发展目标</w:t>
      </w:r>
      <w:r>
        <w:rPr>
          <w:rFonts w:hint="eastAsia" w:ascii="Times New Roman" w:hAnsi="Times New Roman" w:eastAsia="仿宋" w:cs="Times New Roman"/>
          <w:kern w:val="2"/>
          <w:sz w:val="32"/>
          <w:szCs w:val="32"/>
          <w:lang w:val="en-US" w:eastAsia="zh-CN" w:bidi="ar-SA"/>
        </w:rPr>
        <w:t>而</w:t>
      </w:r>
      <w:r>
        <w:rPr>
          <w:rFonts w:hint="default" w:ascii="Times New Roman" w:hAnsi="Times New Roman" w:eastAsia="仿宋" w:cs="Times New Roman"/>
          <w:kern w:val="2"/>
          <w:sz w:val="32"/>
          <w:szCs w:val="32"/>
          <w:lang w:val="en-US" w:eastAsia="zh-CN" w:bidi="ar-SA"/>
        </w:rPr>
        <w:t>发生的支出。 </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29.经营支出：</w:t>
      </w:r>
      <w:r>
        <w:rPr>
          <w:rFonts w:hint="default" w:ascii="Times New Roman" w:hAnsi="Times New Roman" w:eastAsia="仿宋" w:cs="Times New Roman"/>
          <w:kern w:val="2"/>
          <w:sz w:val="32"/>
          <w:szCs w:val="32"/>
          <w:lang w:val="en-US" w:eastAsia="zh-CN" w:bidi="ar-SA"/>
        </w:rPr>
        <w:t>指事业单位在专业业务活动及其辅助活动之外开展非独立核算经营活动</w:t>
      </w:r>
      <w:r>
        <w:rPr>
          <w:rFonts w:hint="eastAsia" w:ascii="Times New Roman" w:hAnsi="Times New Roman" w:eastAsia="仿宋" w:cs="Times New Roman"/>
          <w:kern w:val="2"/>
          <w:sz w:val="32"/>
          <w:szCs w:val="32"/>
          <w:lang w:val="en-US" w:eastAsia="zh-CN" w:bidi="ar-SA"/>
        </w:rPr>
        <w:t>所发生</w:t>
      </w:r>
      <w:r>
        <w:rPr>
          <w:rFonts w:hint="default" w:ascii="Times New Roman" w:hAnsi="Times New Roman" w:eastAsia="仿宋" w:cs="Times New Roman"/>
          <w:kern w:val="2"/>
          <w:sz w:val="32"/>
          <w:szCs w:val="32"/>
          <w:lang w:val="en-US" w:eastAsia="zh-CN" w:bidi="ar-SA"/>
        </w:rPr>
        <w:t>的支出。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30.“三公”经费：</w:t>
      </w:r>
      <w:r>
        <w:rPr>
          <w:rFonts w:hint="default" w:ascii="Times New Roman" w:hAnsi="Times New Roman" w:eastAsia="仿宋" w:cs="Times New Roman"/>
          <w:kern w:val="2"/>
          <w:sz w:val="32"/>
          <w:szCs w:val="32"/>
          <w:lang w:val="en-US"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lang w:val="en-US" w:eastAsia="zh-CN"/>
        </w:rPr>
      </w:pPr>
      <w:r>
        <w:rPr>
          <w:rFonts w:hint="default" w:ascii="Times New Roman" w:hAnsi="Times New Roman" w:eastAsia="方正楷体_GBK" w:cs="Times New Roman"/>
          <w:b/>
          <w:kern w:val="2"/>
          <w:sz w:val="32"/>
          <w:szCs w:val="32"/>
          <w:lang w:val="en-US" w:eastAsia="zh-CN" w:bidi="ar-SA"/>
        </w:rPr>
        <w:t>31.机关运行经费：</w:t>
      </w:r>
      <w:r>
        <w:rPr>
          <w:rFonts w:hint="eastAsia" w:ascii="Times New Roman" w:hAnsi="Times New Roman" w:eastAsia="仿宋" w:cs="Times New Roman"/>
          <w:kern w:val="2"/>
          <w:sz w:val="32"/>
          <w:szCs w:val="32"/>
          <w:lang w:val="en-US" w:eastAsia="zh-CN" w:bidi="ar-SA"/>
        </w:rPr>
        <w:t>是为</w:t>
      </w:r>
      <w:r>
        <w:rPr>
          <w:rFonts w:hint="default" w:ascii="Times New Roman" w:hAnsi="Times New Roman" w:eastAsia="仿宋" w:cs="Times New Roman"/>
          <w:kern w:val="2"/>
          <w:sz w:val="32"/>
          <w:szCs w:val="32"/>
          <w:lang w:val="en-US" w:eastAsia="zh-CN" w:bidi="ar-SA"/>
        </w:rPr>
        <w:t>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eastAsia" w:ascii="Times New Roman" w:hAnsi="Times New Roman" w:eastAsia="黑体" w:cs="Times New Roman"/>
          <w:b w:val="0"/>
          <w:sz w:val="32"/>
          <w:szCs w:val="32"/>
          <w:lang w:val="en-US" w:eastAsia="zh-CN"/>
        </w:rPr>
      </w:pPr>
      <w:bookmarkStart w:id="53" w:name="_Toc1925435904"/>
      <w:bookmarkStart w:id="54" w:name="_Toc15396614"/>
      <w:bookmarkStart w:id="55" w:name="_Toc29865"/>
      <w:bookmarkStart w:id="56" w:name="_Toc13937"/>
      <w:r>
        <w:rPr>
          <w:rFonts w:hint="eastAsia" w:ascii="Times New Roman" w:hAnsi="Times New Roman" w:eastAsia="黑体" w:cs="Times New Roman"/>
          <w:b w:val="0"/>
          <w:sz w:val="32"/>
          <w:szCs w:val="32"/>
          <w:lang w:val="en-US" w:eastAsia="zh-CN"/>
        </w:rPr>
        <w:t>第四部分</w:t>
      </w:r>
      <w:bookmarkEnd w:id="53"/>
      <w:r>
        <w:rPr>
          <w:rFonts w:hint="eastAsia" w:ascii="Times New Roman" w:hAnsi="Times New Roman" w:eastAsia="黑体" w:cs="Times New Roman"/>
          <w:b w:val="0"/>
          <w:sz w:val="32"/>
          <w:szCs w:val="32"/>
          <w:lang w:val="en-US" w:eastAsia="zh-CN"/>
        </w:rPr>
        <w:t xml:space="preserve"> </w:t>
      </w:r>
      <w:bookmarkEnd w:id="54"/>
      <w:bookmarkEnd w:id="55"/>
    </w:p>
    <w:p>
      <w:pPr>
        <w:pStyle w:val="3"/>
        <w:pageBreakBefore w:val="0"/>
        <w:widowControl w:val="0"/>
        <w:kinsoku/>
        <w:wordWrap/>
        <w:overflowPunct/>
        <w:topLinePunct w:val="0"/>
        <w:autoSpaceDE/>
        <w:autoSpaceDN/>
        <w:bidi w:val="0"/>
        <w:adjustRightInd/>
        <w:snapToGrid/>
        <w:spacing w:before="0" w:beforeAutospacing="0" w:after="0" w:afterAutospacing="0" w:line="576" w:lineRule="exact"/>
        <w:ind w:left="0" w:leftChars="0" w:right="0"/>
        <w:jc w:val="center"/>
        <w:textAlignment w:val="auto"/>
        <w:rPr>
          <w:rFonts w:hint="eastAsia" w:ascii="Times New Roman" w:hAnsi="Times New Roman" w:eastAsia="黑体" w:cs="Times New Roman"/>
          <w:b w:val="0"/>
          <w:sz w:val="32"/>
          <w:szCs w:val="32"/>
          <w:lang w:val="en-US" w:eastAsia="zh-CN"/>
        </w:rPr>
      </w:pPr>
      <w:bookmarkStart w:id="57" w:name="_Toc1337672708"/>
      <w:r>
        <w:rPr>
          <w:rFonts w:hint="eastAsia" w:ascii="Times New Roman" w:hAnsi="Times New Roman" w:eastAsia="黑体" w:cs="Times New Roman"/>
          <w:b w:val="0"/>
          <w:sz w:val="32"/>
          <w:szCs w:val="32"/>
          <w:lang w:val="en-US" w:eastAsia="zh-CN"/>
        </w:rPr>
        <w:t>壤塘县人民代表大会常务委员会办公室2025年度部门整体支出绩效评价</w:t>
      </w:r>
      <w:bookmarkEnd w:id="57"/>
    </w:p>
    <w:p>
      <w:pPr>
        <w:pStyle w:val="5"/>
        <w:keepNext w:val="0"/>
        <w:keepLines w:val="0"/>
        <w:pageBreakBefore w:val="0"/>
        <w:kinsoku/>
        <w:wordWrap/>
        <w:overflowPunct/>
        <w:topLinePunct w:val="0"/>
        <w:autoSpaceDE/>
        <w:autoSpaceDN/>
        <w:bidi w:val="0"/>
        <w:spacing w:line="576" w:lineRule="exact"/>
        <w:jc w:val="both"/>
        <w:textAlignment w:val="auto"/>
        <w:rPr>
          <w:rFonts w:hint="eastAsia"/>
          <w:lang w:val="en-US" w:eastAsia="zh-CN"/>
        </w:rPr>
      </w:pP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一、部门（单位）概况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壤塘县人民代表大会常务委员会办公室（以下简称“壤塘县人大常委会办公室”），机构性质：机关，机构地址：壤塘县岗木达镇罗吾塘中街，单位负责人：王春林。</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（一）机构组成：</w:t>
      </w:r>
      <w:r>
        <w:rPr>
          <w:rFonts w:hint="eastAsia" w:ascii="仿宋_GB2312" w:hAnsi="仿宋_GB2312" w:eastAsia="仿宋_GB2312" w:cs="仿宋_GB2312"/>
          <w:color w:val="auto"/>
          <w:kern w:val="2"/>
          <w:sz w:val="32"/>
          <w:szCs w:val="32"/>
          <w:lang w:val="en-US" w:eastAsia="zh-CN" w:bidi="ar-SA"/>
        </w:rPr>
        <w:t>壤塘县人大常委会办公室（含人大信息工作中心、人大预算联网监督工作中心）、法治监察司法和社会事务委员会、财政经济预算和农业农村城乡环境保护委员会、代表工作委员会。</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（二）机构职能</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1、承担县</w:t>
      </w:r>
      <w:r>
        <w:rPr>
          <w:rFonts w:hint="eastAsia" w:ascii="Times New Roman" w:hAnsi="Times New Roman" w:eastAsia="仿宋_GB2312" w:cs="Times New Roman"/>
          <w:color w:val="000000"/>
          <w:kern w:val="0"/>
          <w:sz w:val="32"/>
          <w:szCs w:val="32"/>
          <w:lang w:val="en-US" w:eastAsia="zh-CN" w:bidi="ar"/>
        </w:rPr>
        <w:t>人民代表大</w:t>
      </w:r>
      <w:r>
        <w:rPr>
          <w:rFonts w:hint="default" w:ascii="Times New Roman" w:hAnsi="Times New Roman" w:eastAsia="仿宋_GB2312" w:cs="Times New Roman"/>
          <w:color w:val="000000"/>
          <w:kern w:val="0"/>
          <w:sz w:val="32"/>
          <w:szCs w:val="32"/>
          <w:lang w:val="en-US" w:eastAsia="zh-CN" w:bidi="ar"/>
        </w:rPr>
        <w:t>会、常委会、主任会议、党组会议以及其他有关会议的筹备、会务及会议决定事项的督办工作。</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2、承担起草</w:t>
      </w:r>
      <w:r>
        <w:rPr>
          <w:rFonts w:hint="eastAsia" w:ascii="Times New Roman" w:hAnsi="Times New Roman" w:eastAsia="仿宋_GB2312" w:cs="Times New Roman"/>
          <w:color w:val="000000"/>
          <w:kern w:val="0"/>
          <w:sz w:val="32"/>
          <w:szCs w:val="32"/>
          <w:lang w:val="en-US" w:eastAsia="zh-CN" w:bidi="ar"/>
        </w:rPr>
        <w:t>人民代表大</w:t>
      </w:r>
      <w:r>
        <w:rPr>
          <w:rFonts w:hint="default" w:ascii="Times New Roman" w:hAnsi="Times New Roman" w:eastAsia="仿宋_GB2312" w:cs="Times New Roman"/>
          <w:color w:val="000000"/>
          <w:kern w:val="0"/>
          <w:sz w:val="32"/>
          <w:szCs w:val="32"/>
          <w:lang w:val="en-US" w:eastAsia="zh-CN" w:bidi="ar"/>
        </w:rPr>
        <w:t>会、常委会、主任会议及其他有关文件材料，编写会议《公报》《纪要》《简报》和人大大事记等材料。</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3、做好机关综合协调、下情上报、上情下达工作，为常委会、主任会议提供信息。</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4、负责机关文书档案管理、文件签收、登记、传阅、归档，报刊征订和收发；负责有关文件材料的打印、分发工作；负责印章的管理、使用工作。</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5、负责组织机关政治业务学习和公益活动；协助承办机关党风廉政建设、精神文明建设、社会治安综合治理、帮扶等方面的工作。</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6、负责机关人事管理、工资福利和离退休干部的服务工作；负责干部职工的考核、考勤工作。</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7、负责机关财务管理、财产管理、后勤管理、车辆调度、安全保卫和有关接待工作。</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8、办理上级人大常委会和县人大常委会及常委会领导交办的其他工作。</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（三）人员概况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总编制30名，其中：行政编制20名，事业编制6名，行政工勤4人。在职人员总数26名，其中：行政人员21名（其中行政工勤5名），事业人员5名。</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二、部门财政资金收支情况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（一）部门财政资金预算情况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2025年年初预算收入984.56万元，2024年年初预算收入892.48万元，比去年增加10.31%。2025年中期调整243.02万元，实际预算数1227.58万元。</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（二）部门财政资金支出情况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2025年一般公共预算财政拨款支出1227.58万元，本年度财政拨款1227.58万元。主要用于以下方面：一般公共服务支出967.34万元；社会保障和就业支出137.78万元；卫生健康支出50.59万元；住房保障支出71.87万元。</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三、部门整体预算绩效管理情况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（一）年初预算编制情况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2025年财政下达壤塘县人大常委会办公室年初预算收入984.56元，基本支出920.05万元，项目支出64.51万元。  </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（二）结果应用情况</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1.基础管理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办不断强化预算意识，实行综合预算管理，形成以单位领导负责、财务室牵头、其他委室密切配合工作格局，确保了预算编制质量。结合单位业务情况，进行科学合理分配细化，部门预算经批复后，跟踪预算执行进度，及时组织收入，科学合理安排支出，降低预算支出的波动幅度。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委室进行反馈，并采取措施纠正执行偏差，促进预算目标全面完成。进一步完善部门内控制度，全面梳理业务流程，明确业务环节，分析风险隐患，完善风险评估机制，制定风险应对策略；有效运用不相容岗位相互分离、内部授权审批控制、归口管理、预算控制、财产保护控制、会计控制、单据控制、信息内部公开等内部控制基本方法，加强对单位层面和业务层面的内部控制，实现内部控制体系全面、有效实施。建立单位内控监督约束机制，让审计、财政等业务部门参与到资金使用监督环节，确保资金安全、合理、有效使用，最大限度发挥财政资金使用效益。</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left="0" w:right="0" w:firstLine="42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  2.行政成本</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“三公”经费支出情况：本年度支出94万元，（其中：因公出国境费0万元、公务用车购置及运行维护费为94万元、公务接待费0万元。），比上年度增加44.02万元。</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3.资产管理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固定资产在用率。截至2025年12月31日，壤塘县人大常委会办公室《行政单位资产管理系统》固定资产总计451.42万元，在用的固定资产总计451.42万元，固定资产在用率达100%。</w:t>
      </w:r>
    </w:p>
    <w:p>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rightChars="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4.政府采购</w:t>
      </w:r>
    </w:p>
    <w:p>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rightChars="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我单位2025年无政府采购。</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5.信息公开</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壤塘县人大常委会办公室按财政要求及时完成预算、决算、绩效等信息公开工作，信息在政府门户网站公开。</w:t>
      </w:r>
    </w:p>
    <w:p>
      <w:pPr>
        <w:keepNext w:val="0"/>
        <w:keepLines w:val="0"/>
        <w:pageBreakBefore w:val="0"/>
        <w:widowControl w:val="0"/>
        <w:pBdr>
          <w:bottom w:val="single" w:color="FFFFFF" w:sz="4" w:space="25"/>
        </w:pBdr>
        <w:kinsoku/>
        <w:wordWrap/>
        <w:overflowPunct/>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五、评价结论及建议</w:t>
      </w:r>
    </w:p>
    <w:p>
      <w:pPr>
        <w:pStyle w:val="24"/>
        <w:spacing w:line="360" w:lineRule="auto"/>
        <w:jc w:val="both"/>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snapToGrid w:val="0"/>
        <w:spacing w:line="520" w:lineRule="exact"/>
        <w:ind w:firstLine="602" w:firstLineChars="200"/>
        <w:rPr>
          <w:rFonts w:hint="default" w:ascii="仿宋_GB2312" w:hAnsi="宋体"/>
          <w:b/>
          <w:bCs/>
          <w:sz w:val="30"/>
          <w:szCs w:val="30"/>
          <w:lang w:val="en-US" w:eastAsia="zh-CN"/>
        </w:rPr>
      </w:pPr>
      <w:r>
        <w:rPr>
          <w:rFonts w:hint="eastAsia" w:ascii="仿宋_GB2312" w:hAnsi="宋体"/>
          <w:b/>
          <w:bCs/>
          <w:sz w:val="30"/>
          <w:szCs w:val="30"/>
          <w:lang w:val="zh-CN" w:eastAsia="zh-CN"/>
        </w:rPr>
        <w:t>评价得分：</w:t>
      </w:r>
      <w:r>
        <w:rPr>
          <w:rFonts w:hint="eastAsia" w:ascii="仿宋_GB2312" w:hAnsi="宋体" w:eastAsia="仿宋_GB2312" w:cs="Times New Roman"/>
          <w:b w:val="0"/>
          <w:bCs w:val="0"/>
          <w:kern w:val="2"/>
          <w:sz w:val="30"/>
          <w:szCs w:val="30"/>
          <w:lang w:val="zh-CN" w:eastAsia="zh-CN" w:bidi="ar-SA"/>
        </w:rPr>
        <w:t>评价得分</w:t>
      </w:r>
      <w:r>
        <w:rPr>
          <w:rFonts w:hint="eastAsia" w:ascii="仿宋_GB2312" w:hAnsi="宋体" w:cs="Times New Roman"/>
          <w:b w:val="0"/>
          <w:bCs w:val="0"/>
          <w:kern w:val="2"/>
          <w:sz w:val="30"/>
          <w:szCs w:val="30"/>
          <w:lang w:val="en-US" w:eastAsia="zh-CN" w:bidi="ar-SA"/>
        </w:rPr>
        <w:t>89.5</w:t>
      </w:r>
      <w:r>
        <w:rPr>
          <w:rFonts w:hint="eastAsia" w:ascii="仿宋_GB2312" w:hAnsi="宋体" w:eastAsia="仿宋_GB2312" w:cs="Times New Roman"/>
          <w:b w:val="0"/>
          <w:bCs w:val="0"/>
          <w:kern w:val="2"/>
          <w:sz w:val="30"/>
          <w:szCs w:val="30"/>
          <w:lang w:val="en-US" w:eastAsia="zh-CN" w:bidi="ar-SA"/>
        </w:rPr>
        <w:t>分</w:t>
      </w:r>
      <w:r>
        <w:rPr>
          <w:rFonts w:hint="eastAsia" w:ascii="仿宋_GB2312" w:hAnsi="宋体" w:cs="Times New Roman"/>
          <w:b w:val="0"/>
          <w:bCs w:val="0"/>
          <w:kern w:val="2"/>
          <w:sz w:val="30"/>
          <w:szCs w:val="30"/>
          <w:lang w:val="en-US" w:eastAsia="zh-CN" w:bidi="ar-SA"/>
        </w:rPr>
        <w:t>（良好）</w:t>
      </w:r>
      <w:r>
        <w:rPr>
          <w:rFonts w:hint="eastAsia" w:ascii="仿宋_GB2312" w:hAnsi="宋体"/>
          <w:b w:val="0"/>
          <w:bCs w:val="0"/>
          <w:sz w:val="30"/>
          <w:szCs w:val="30"/>
          <w:lang w:val="en-US" w:eastAsia="zh-CN"/>
        </w:rPr>
        <w:t>。</w:t>
      </w:r>
    </w:p>
    <w:p>
      <w:pPr>
        <w:spacing w:line="480" w:lineRule="exact"/>
        <w:ind w:firstLine="300" w:firstLineChars="100"/>
        <w:rPr>
          <w:rFonts w:hint="eastAsia" w:ascii="仿宋_GB2312" w:hAnsi="宋体"/>
          <w:sz w:val="30"/>
          <w:szCs w:val="30"/>
        </w:rPr>
      </w:pPr>
      <w:r>
        <w:rPr>
          <w:rFonts w:hint="eastAsia" w:ascii="仿宋_GB2312" w:hAnsi="宋体"/>
          <w:sz w:val="30"/>
          <w:szCs w:val="30"/>
        </w:rPr>
        <w:t>等级标准：</w:t>
      </w:r>
    </w:p>
    <w:tbl>
      <w:tblPr>
        <w:tblStyle w:val="15"/>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3000"/>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评分</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评价等级</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90≤评分</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优秀</w:t>
            </w:r>
          </w:p>
        </w:tc>
        <w:tc>
          <w:tcPr>
            <w:tcW w:w="3000" w:type="dxa"/>
            <w:vAlign w:val="top"/>
          </w:tcPr>
          <w:p>
            <w:pPr>
              <w:spacing w:line="480" w:lineRule="exact"/>
              <w:rPr>
                <w:rFonts w:hint="eastAsia" w:ascii="仿宋_GB2312" w:hAnsi="宋体"/>
                <w:sz w:val="30"/>
                <w:szCs w:val="30"/>
              </w:rPr>
            </w:pPr>
            <w:r>
              <w:rPr>
                <w:rFonts w:hint="default" w:ascii="Arial" w:hAnsi="Arial" w:cs="Arial"/>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80≤评分＜90</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良好</w:t>
            </w:r>
          </w:p>
        </w:tc>
        <w:tc>
          <w:tcPr>
            <w:tcW w:w="3000" w:type="dxa"/>
            <w:vAlign w:val="top"/>
          </w:tcPr>
          <w:p>
            <w:pPr>
              <w:spacing w:line="480" w:lineRule="exact"/>
              <w:rPr>
                <w:rFonts w:hint="eastAsia" w:ascii="仿宋_GB2312"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70≤评分＜80</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合格</w:t>
            </w:r>
          </w:p>
        </w:tc>
        <w:tc>
          <w:tcPr>
            <w:tcW w:w="3000" w:type="dxa"/>
            <w:vAlign w:val="top"/>
          </w:tcPr>
          <w:p>
            <w:pPr>
              <w:spacing w:line="480" w:lineRule="exact"/>
              <w:rPr>
                <w:rFonts w:hint="eastAsia" w:ascii="仿宋_GB2312"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*0≤评分＜70</w:t>
            </w:r>
          </w:p>
        </w:tc>
        <w:tc>
          <w:tcPr>
            <w:tcW w:w="3000" w:type="dxa"/>
            <w:vAlign w:val="top"/>
          </w:tcPr>
          <w:p>
            <w:pPr>
              <w:spacing w:line="480" w:lineRule="exact"/>
              <w:rPr>
                <w:rFonts w:hint="eastAsia" w:ascii="仿宋_GB2312" w:hAnsi="宋体"/>
                <w:sz w:val="30"/>
                <w:szCs w:val="30"/>
              </w:rPr>
            </w:pPr>
            <w:r>
              <w:rPr>
                <w:rFonts w:hint="eastAsia" w:ascii="仿宋_GB2312" w:hAnsi="宋体"/>
                <w:sz w:val="30"/>
                <w:szCs w:val="30"/>
              </w:rPr>
              <w:t>较差</w:t>
            </w:r>
          </w:p>
        </w:tc>
        <w:tc>
          <w:tcPr>
            <w:tcW w:w="3000" w:type="dxa"/>
            <w:vAlign w:val="top"/>
          </w:tcPr>
          <w:p>
            <w:pPr>
              <w:spacing w:line="480" w:lineRule="exact"/>
              <w:rPr>
                <w:rFonts w:hint="eastAsia" w:ascii="仿宋_GB2312" w:hAnsi="宋体"/>
                <w:sz w:val="30"/>
                <w:szCs w:val="30"/>
              </w:rPr>
            </w:pPr>
          </w:p>
        </w:tc>
      </w:tr>
    </w:tbl>
    <w:p>
      <w:pPr>
        <w:pStyle w:val="24"/>
        <w:spacing w:line="360" w:lineRule="auto"/>
        <w:jc w:val="both"/>
        <w:rPr>
          <w:rFonts w:hint="eastAsia" w:ascii="Times New Roman" w:hAnsi="Times New Roman" w:eastAsia="方正仿宋_GBK" w:cs="Times New Roman"/>
          <w:color w:val="000000"/>
          <w:kern w:val="0"/>
          <w:sz w:val="32"/>
          <w:szCs w:val="32"/>
          <w:shd w:val="clear" w:color="auto" w:fill="FFFFFF"/>
          <w:lang w:val="en-US" w:eastAsia="zh-CN" w:bidi="ar"/>
        </w:rPr>
      </w:pPr>
      <w:r>
        <w:rPr>
          <w:rFonts w:hint="eastAsia" w:ascii="仿宋_GB2312" w:hAnsi="仿宋_GB2312" w:eastAsia="仿宋_GB2312" w:cs="仿宋_GB2312"/>
          <w:sz w:val="32"/>
          <w:szCs w:val="32"/>
          <w:lang w:val="zh-CN"/>
        </w:rPr>
        <w:t>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eastAsia" w:ascii="仿宋_GB2312" w:hAnsi="仿宋_GB2312" w:eastAsia="仿宋_GB2312" w:cs="仿宋_GB2312"/>
          <w:sz w:val="32"/>
          <w:szCs w:val="32"/>
        </w:rPr>
        <w:t>会</w:t>
      </w:r>
      <w:r>
        <w:rPr>
          <w:rFonts w:hint="eastAsia" w:ascii="仿宋_GB2312" w:hAnsi="仿宋_GB2312" w:eastAsia="仿宋_GB2312" w:cs="仿宋_GB2312"/>
          <w:sz w:val="32"/>
          <w:szCs w:val="32"/>
          <w:lang w:val="zh-CN"/>
        </w:rPr>
        <w:t>将继续努力，科学合理编制预决算，进行绩效评价，加强精细管理，完善不足</w:t>
      </w:r>
      <w:r>
        <w:rPr>
          <w:rFonts w:hint="eastAsia" w:ascii="仿宋_GB2312" w:hAnsi="仿宋_GB2312" w:eastAsia="仿宋_GB2312" w:cs="仿宋_GB2312"/>
          <w:sz w:val="32"/>
          <w:szCs w:val="32"/>
        </w:rPr>
        <w:t>。</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（二）存在问题</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在肯定成绩的同时，工作中存在一些问题和不足，如对新时代人大新方位新使命的认识有待进一步深化，发挥专门监督作用的制度机制有待进一步健全，建言献策和凝聚共识双向发力有待进一步到位，基础工作薄弱问题还有待进一步解决。</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（三）改进措施</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105" w:beforeAutospacing="0" w:after="105" w:afterAutospacing="0" w:line="576" w:lineRule="exact"/>
        <w:ind w:right="0" w:firstLine="640" w:firstLineChars="200"/>
        <w:jc w:val="both"/>
        <w:textAlignment w:val="auto"/>
        <w:rPr>
          <w:rFonts w:hint="eastAsia" w:ascii="仿宋_GB2312" w:hAnsi="宋体" w:eastAsia="仿宋_GB2312" w:cs="宋体"/>
          <w:color w:val="auto"/>
          <w:kern w:val="2"/>
          <w:sz w:val="32"/>
          <w:szCs w:val="32"/>
          <w:shd w:val="clear" w:color="auto" w:fill="FFFFFF"/>
          <w:lang w:val="en-US" w:eastAsia="zh-CN" w:bidi="ar-SA"/>
        </w:rPr>
      </w:pPr>
      <w:r>
        <w:rPr>
          <w:rFonts w:hint="eastAsia" w:ascii="仿宋_GB2312" w:hAnsi="宋体" w:eastAsia="仿宋_GB2312" w:cs="宋体"/>
          <w:color w:val="auto"/>
          <w:kern w:val="2"/>
          <w:sz w:val="32"/>
          <w:szCs w:val="32"/>
          <w:shd w:val="clear" w:color="auto" w:fill="FFFFFF"/>
          <w:lang w:val="en-US" w:eastAsia="zh-CN" w:bidi="ar-SA"/>
        </w:rPr>
        <w:t>组织单位财务人员认真学习《中华人民共和国预算法》《项目支出绩效评价》等文件精神及相关法规、制度，积极参加财政组织的各项学习培训，提高对全面预算管理及绩效评价工作的重视，增强资产管理安全意识。</w:t>
      </w:r>
    </w:p>
    <w:p>
      <w:pPr>
        <w:spacing w:line="578" w:lineRule="exact"/>
        <w:jc w:val="left"/>
        <w:rPr>
          <w:rFonts w:eastAsia="黑体"/>
        </w:rPr>
      </w:pPr>
    </w:p>
    <w:p>
      <w:pPr>
        <w:spacing w:line="578" w:lineRule="exact"/>
        <w:jc w:val="left"/>
        <w:rPr>
          <w:rFonts w:eastAsia="黑体"/>
        </w:rPr>
      </w:pPr>
    </w:p>
    <w:p>
      <w:pPr>
        <w:spacing w:line="578" w:lineRule="exact"/>
        <w:jc w:val="left"/>
        <w:rPr>
          <w:rFonts w:eastAsia="黑体"/>
        </w:rPr>
      </w:pPr>
    </w:p>
    <w:p>
      <w:pPr>
        <w:spacing w:line="578" w:lineRule="exact"/>
        <w:jc w:val="left"/>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rPr>
          <w:rFonts w:eastAsia="黑体"/>
        </w:rPr>
      </w:pPr>
    </w:p>
    <w:p>
      <w:pPr>
        <w:rPr>
          <w:rFonts w:eastAsia="黑体"/>
        </w:rPr>
      </w:pPr>
    </w:p>
    <w:p>
      <w:pPr>
        <w:pStyle w:val="2"/>
      </w:pP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工资性支出、日常公用经费等</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w:t>
            </w:r>
            <w:r>
              <w:rPr>
                <w:rFonts w:hint="eastAsia" w:ascii="宋体" w:hAnsi="宋体" w:cs="宋体"/>
                <w:color w:val="000000"/>
                <w:kern w:val="0"/>
                <w:sz w:val="24"/>
                <w:lang w:val="en-US" w:eastAsia="zh-CN"/>
              </w:rPr>
              <w:t>资金</w:t>
            </w:r>
            <w:r>
              <w:rPr>
                <w:rFonts w:hint="eastAsia" w:ascii="宋体" w:hAnsi="宋体" w:eastAsia="宋体" w:cs="宋体"/>
                <w:color w:val="000000"/>
                <w:kern w:val="0"/>
                <w:sz w:val="24"/>
              </w:rPr>
              <w:t>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pStyle w:val="25"/>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阿坝州壤塘县人民代表大会常务委员会办公室</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1232.83</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eastAsia="zh-CN"/>
              </w:rPr>
              <w:t>1232.83</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1232.83</w:t>
            </w:r>
          </w:p>
        </w:tc>
        <w:tc>
          <w:tcPr>
            <w:tcW w:w="1795"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1232.83</w:t>
            </w:r>
          </w:p>
        </w:tc>
        <w:tc>
          <w:tcPr>
            <w:tcW w:w="4087"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始终坚持党的全面领导，依法依规开展</w:t>
            </w:r>
            <w:r>
              <w:rPr>
                <w:rFonts w:hint="eastAsia" w:ascii="宋体" w:hAnsi="宋体" w:eastAsia="宋体" w:cs="宋体"/>
                <w:color w:val="000000"/>
                <w:kern w:val="0"/>
                <w:sz w:val="24"/>
                <w:lang w:val="en-US" w:eastAsia="zh-CN"/>
              </w:rPr>
              <w:t>专题调研视察、执法检查，积极听取和审议专项工作，</w:t>
            </w:r>
            <w:r>
              <w:rPr>
                <w:rFonts w:hint="eastAsia" w:ascii="宋体" w:hAnsi="宋体" w:eastAsia="宋体" w:cs="宋体"/>
                <w:color w:val="000000"/>
                <w:kern w:val="0"/>
                <w:sz w:val="24"/>
                <w:lang w:eastAsia="zh-CN"/>
              </w:rPr>
              <w:t>全力推动县委决策部署落地见效。始终做好代表服务工作，高质量推进</w:t>
            </w:r>
            <w:r>
              <w:rPr>
                <w:rFonts w:hint="eastAsia" w:ascii="宋体" w:hAnsi="宋体" w:eastAsia="宋体" w:cs="宋体"/>
                <w:color w:val="000000"/>
                <w:kern w:val="0"/>
                <w:sz w:val="24"/>
                <w:lang w:val="en-US" w:eastAsia="zh-CN"/>
              </w:rPr>
              <w:t>11个乡镇53个村（社）人大代表之家和代表联络站建设。始终增强自身建设，对标“四个机关”建设，全面推进全国文明单位创建。</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29.86</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41.85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33.28</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62.4</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29.86</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29.86</w:t>
            </w:r>
            <w:r>
              <w:rPr>
                <w:rFonts w:ascii="宋体" w:hAnsi="宋体" w:eastAsia="宋体" w:cs="宋体"/>
                <w:color w:val="000000"/>
                <w:kern w:val="0"/>
                <w:sz w:val="24"/>
              </w:rPr>
              <w:t>%</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3.65</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3.65</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3.33%</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3.98%</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3.98%</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112.91</w:t>
            </w:r>
            <w:r>
              <w:rPr>
                <w:rFonts w:hint="eastAsia" w:ascii="宋体" w:hAnsi="宋体" w:eastAsia="宋体" w:cs="宋体"/>
                <w:color w:val="000000"/>
                <w:kern w:val="0"/>
                <w:sz w:val="24"/>
              </w:rPr>
              <w:t>x</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112.91万元</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112.91万元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良</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ascii="宋体" w:hAnsi="宋体" w:eastAsia="宋体" w:cs="宋体"/>
                <w:color w:val="000000"/>
                <w:kern w:val="0"/>
                <w:sz w:val="24"/>
              </w:rPr>
            </w:pP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召开人民代表大会次数</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每年至少召开一次人民代表大会</w:t>
            </w: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1次</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1次</w:t>
            </w: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召开人大常委会次数</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每年至少召开7次人大常委会</w:t>
            </w: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7次</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8次</w:t>
            </w: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人代表大会会议时间</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每次人代会至少召开4天</w:t>
            </w: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4天</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4天</w:t>
            </w: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人大代表参会率</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rPr>
            </w:pPr>
            <w:r>
              <w:rPr>
                <w:rFonts w:hint="eastAsia" w:ascii="宋体" w:hAnsi="宋体" w:eastAsia="宋体" w:cs="宋体"/>
                <w:color w:val="000000"/>
                <w:kern w:val="0"/>
                <w:sz w:val="24"/>
                <w:lang w:val="en-US" w:eastAsia="zh-CN"/>
              </w:rPr>
              <w:t>人大代表参会率高</w:t>
            </w: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维护了人民群众利益</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通过召开人大相关会议，倾听各界人大代表的意见建议，更好的了解民生民情维护人民群众利益</w:t>
            </w: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96%</w:t>
            </w:r>
          </w:p>
        </w:tc>
      </w:tr>
      <w:tr>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可持续影响指标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人民行使</w:t>
            </w:r>
            <w:r>
              <w:rPr>
                <w:rFonts w:hint="eastAsia" w:ascii="宋体" w:hAnsi="宋体" w:cs="宋体"/>
                <w:color w:val="000000"/>
                <w:kern w:val="0"/>
                <w:sz w:val="24"/>
                <w:lang w:eastAsia="zh-CN"/>
              </w:rPr>
              <w:t>当家作主</w:t>
            </w:r>
            <w:r>
              <w:rPr>
                <w:rFonts w:hint="eastAsia" w:ascii="宋体" w:hAnsi="宋体" w:eastAsia="宋体" w:cs="宋体"/>
                <w:color w:val="000000"/>
                <w:kern w:val="0"/>
                <w:sz w:val="24"/>
              </w:rPr>
              <w:t>的基本权利得到保障</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在人大相关会议上，忧民生之忧，解民生之困，切实保障</w:t>
            </w:r>
            <w:r>
              <w:rPr>
                <w:rFonts w:hint="eastAsia" w:ascii="宋体" w:hAnsi="宋体" w:eastAsia="宋体" w:cs="宋体"/>
                <w:color w:val="000000"/>
                <w:kern w:val="0"/>
                <w:sz w:val="24"/>
              </w:rPr>
              <w:t>人民行使</w:t>
            </w:r>
            <w:r>
              <w:rPr>
                <w:rFonts w:hint="eastAsia" w:ascii="宋体" w:hAnsi="宋体" w:cs="宋体"/>
                <w:color w:val="000000"/>
                <w:kern w:val="0"/>
                <w:sz w:val="24"/>
                <w:lang w:eastAsia="zh-CN"/>
              </w:rPr>
              <w:t>当家作主</w:t>
            </w:r>
            <w:r>
              <w:rPr>
                <w:rFonts w:hint="eastAsia" w:ascii="宋体" w:hAnsi="宋体" w:eastAsia="宋体" w:cs="宋体"/>
                <w:color w:val="000000"/>
                <w:kern w:val="0"/>
                <w:sz w:val="24"/>
              </w:rPr>
              <w:t>的基本权利≥</w:t>
            </w: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w:t>
            </w:r>
          </w:p>
        </w:tc>
      </w:tr>
      <w:tr>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满意度指标</w:t>
            </w:r>
          </w:p>
        </w:tc>
        <w:tc>
          <w:tcPr>
            <w:tcW w:w="80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服务对象满意度指标</w:t>
            </w:r>
          </w:p>
        </w:tc>
        <w:tc>
          <w:tcPr>
            <w:tcW w:w="124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人民对人大代表的满意度</w:t>
            </w:r>
          </w:p>
        </w:tc>
        <w:tc>
          <w:tcPr>
            <w:tcW w:w="4754"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eastAsia="宋体" w:cs="宋体"/>
                <w:color w:val="000000"/>
                <w:kern w:val="0"/>
                <w:sz w:val="24"/>
                <w:lang w:val="en-US"/>
              </w:rPr>
            </w:pPr>
            <w:r>
              <w:rPr>
                <w:rFonts w:hint="eastAsia" w:ascii="宋体" w:hAnsi="宋体" w:eastAsia="宋体" w:cs="宋体"/>
                <w:color w:val="000000"/>
                <w:kern w:val="0"/>
                <w:sz w:val="24"/>
                <w:lang w:val="en-US" w:eastAsia="zh-CN"/>
              </w:rPr>
              <w:t>人民群众对人大工作的满意度90%</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w:t>
            </w:r>
          </w:p>
        </w:tc>
      </w:tr>
    </w:tbl>
    <w:p>
      <w:pPr>
        <w:rPr>
          <w:rFonts w:eastAsia="黑体"/>
          <w:sz w:val="24"/>
        </w:rPr>
      </w:pPr>
    </w:p>
    <w:p>
      <w:pPr>
        <w:rPr>
          <w:rFonts w:eastAsia="黑体"/>
        </w:rPr>
      </w:pPr>
      <w:r>
        <w:rPr>
          <w:rFonts w:eastAsia="黑体"/>
        </w:rPr>
        <w:br w:type="page"/>
      </w:r>
    </w:p>
    <w:p>
      <w:pPr>
        <w:pStyle w:val="8"/>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pPr>
        <w:widowControl/>
        <w:spacing w:line="578" w:lineRule="exact"/>
        <w:jc w:val="center"/>
        <w:textAlignment w:val="center"/>
        <w:rPr>
          <w:rFonts w:eastAsia="方正小标宋简体"/>
          <w:color w:val="000000"/>
          <w:kern w:val="0"/>
          <w:sz w:val="44"/>
          <w:szCs w:val="44"/>
        </w:rPr>
      </w:pP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tbl>
      <w:tblPr>
        <w:tblStyle w:val="15"/>
        <w:tblW w:w="88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7"/>
        <w:gridCol w:w="581"/>
        <w:gridCol w:w="617"/>
        <w:gridCol w:w="1212"/>
        <w:gridCol w:w="1205"/>
        <w:gridCol w:w="426"/>
        <w:gridCol w:w="830"/>
        <w:gridCol w:w="831"/>
        <w:gridCol w:w="504"/>
        <w:gridCol w:w="795"/>
        <w:gridCol w:w="1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881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b/>
                <w:i w:val="0"/>
                <w:color w:val="000000"/>
                <w:kern w:val="0"/>
                <w:sz w:val="32"/>
                <w:szCs w:val="32"/>
                <w:u w:val="none"/>
                <w:lang w:val="en-US" w:eastAsia="zh-CN" w:bidi="ar"/>
              </w:rPr>
              <w:t>绩效目标自评表</w:t>
            </w:r>
            <w:r>
              <w:rPr>
                <w:rFonts w:hint="eastAsia" w:ascii="宋体" w:hAnsi="宋体" w:eastAsia="宋体" w:cs="宋体"/>
                <w:i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881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1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人大会议费</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项目负责人及电话</w:t>
            </w:r>
          </w:p>
        </w:tc>
        <w:tc>
          <w:tcPr>
            <w:tcW w:w="3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穆远涛-18990445326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30" w:hRule="atLeast"/>
        </w:trPr>
        <w:tc>
          <w:tcPr>
            <w:tcW w:w="17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w:t>
            </w: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壤塘县人民代表大会常务委员会办公室</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3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壤塘县人民代表大会常务委员会办公室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5" w:hRule="atLeast"/>
        </w:trPr>
        <w:tc>
          <w:tcPr>
            <w:tcW w:w="17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资金情况</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（万元）</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全年预算数（A）</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全年执行数（B）</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执行率（B/A)</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17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年度资金总额：</w:t>
            </w:r>
          </w:p>
        </w:tc>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41.61</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39.55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95.05%</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17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其中：本年财政拨款</w:t>
            </w:r>
          </w:p>
        </w:tc>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41.61</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39.55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95.05%</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17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其他资金</w:t>
            </w:r>
          </w:p>
        </w:tc>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w:t>
            </w:r>
          </w:p>
        </w:tc>
        <w:tc>
          <w:tcPr>
            <w:tcW w:w="40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年初设定目标</w:t>
            </w:r>
          </w:p>
        </w:tc>
        <w:tc>
          <w:tcPr>
            <w:tcW w:w="42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0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召开人民代表大会1次、人大常委会8次</w:t>
            </w:r>
          </w:p>
        </w:tc>
        <w:tc>
          <w:tcPr>
            <w:tcW w:w="4255"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000000"/>
                <w:sz w:val="12"/>
                <w:szCs w:val="12"/>
                <w:u w:val="none"/>
              </w:rPr>
            </w:pPr>
            <w:r>
              <w:rPr>
                <w:rFonts w:hint="eastAsia" w:ascii="宋体" w:hAnsi="宋体" w:eastAsia="宋体" w:cs="宋体"/>
                <w:i w:val="0"/>
                <w:color w:val="000000"/>
                <w:kern w:val="0"/>
                <w:sz w:val="20"/>
                <w:szCs w:val="20"/>
                <w:u w:val="none"/>
                <w:lang w:val="en-US" w:eastAsia="zh-CN" w:bidi="ar"/>
              </w:rPr>
              <w:t>目标1：通过履行监督职能，聚焦民生实事，健全常态化、全覆盖监督体系。                                            目标2：达到每年至少召开人民代表大会1次、人大常委会8次。                                     目标3：经费使用紧扣会议需求，有序建设和开展工作。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0" w:hRule="atLeast"/>
        </w:trPr>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分值</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年度指标值</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全年实际值</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得分</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(50分)</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每年至少召开一次人民代表大会</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8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≥1次</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0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人大代表参会率</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原因：部分代表因家中有事等原因请假。   措施：加强会议考核制度，提前进行会议通知，避开农忙和节假日。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在2025年12月31日之前所有完成会议召开</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=1年</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1年</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全年人大会议经费</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39.55</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按实际产生支付39.55万元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(30分)</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6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倾听各界人大代表的意见建议，更好的了解民生民情维护人民群众利益</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原因：受生态红线和政策等制约，部分代表提出意见建议办理不到位。  措施：加强政策宣传，引导代表立足壤塘实际提出更好的意见建议，更好维护群众利益。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60"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人民行使</w:t>
            </w:r>
            <w:r>
              <w:rPr>
                <w:rFonts w:hint="eastAsia" w:ascii="宋体" w:hAnsi="宋体" w:cs="宋体"/>
                <w:i w:val="0"/>
                <w:color w:val="000000"/>
                <w:kern w:val="0"/>
                <w:sz w:val="20"/>
                <w:szCs w:val="20"/>
                <w:u w:val="none"/>
                <w:lang w:val="en-US" w:eastAsia="zh-CN" w:bidi="ar"/>
              </w:rPr>
              <w:t>当家作主</w:t>
            </w:r>
            <w:r>
              <w:rPr>
                <w:rFonts w:hint="eastAsia" w:ascii="宋体" w:hAnsi="宋体" w:eastAsia="宋体" w:cs="宋体"/>
                <w:i w:val="0"/>
                <w:color w:val="000000"/>
                <w:kern w:val="0"/>
                <w:sz w:val="20"/>
                <w:szCs w:val="20"/>
                <w:u w:val="none"/>
                <w:lang w:val="en-US" w:eastAsia="zh-CN" w:bidi="ar"/>
              </w:rPr>
              <w:t>的基本权利得到保障</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原因：受生态红线和政策等制约，部分代表提出意见建议办理不到位。  措施：加强政策宣传，引导代表立足壤塘实际提出更好的意见建议，更好维护群众利益。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35"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满意度指标</w:t>
            </w: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人民群众对人大工作的满意度</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原因：受生态红线和政策等制约，部分代表提出意见建议办理不到位。  措施：加强政策宣传，引导代表立足壤塘实际提出更好的意见建议，更好维护群众利益。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color w:val="000000"/>
                <w:sz w:val="20"/>
                <w:szCs w:val="20"/>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41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总分</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100</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0"/>
                <w:szCs w:val="20"/>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89.5</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bl>
    <w:p>
      <w:pPr>
        <w:keepNext w:val="0"/>
        <w:keepLines w:val="0"/>
        <w:pageBreakBefore w:val="0"/>
        <w:widowControl w:val="0"/>
        <w:tabs>
          <w:tab w:val="left" w:pos="1373"/>
        </w:tabs>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b w:val="0"/>
          <w:bCs/>
          <w:kern w:val="44"/>
          <w:sz w:val="32"/>
          <w:szCs w:val="32"/>
          <w:lang w:val="en-US" w:eastAsia="zh-CN" w:bidi="ar-SA"/>
        </w:rPr>
      </w:pPr>
      <w:bookmarkStart w:id="58" w:name="_Toc1645408539"/>
      <w:r>
        <w:rPr>
          <w:rFonts w:hint="default" w:ascii="Times New Roman" w:hAnsi="Times New Roman" w:eastAsia="黑体" w:cs="Times New Roman"/>
          <w:b w:val="0"/>
          <w:bCs/>
          <w:kern w:val="44"/>
          <w:sz w:val="32"/>
          <w:szCs w:val="32"/>
          <w:lang w:val="en-US" w:eastAsia="zh-CN" w:bidi="ar-SA"/>
        </w:rPr>
        <w:t>第五部分 附表</w:t>
      </w:r>
      <w:bookmarkEnd w:id="56"/>
      <w:bookmarkEnd w:id="58"/>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一、收入支出决算总表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二、收入决算表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三、支出决算表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四、财政拨款收入支出决算总表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五、财政拨款支出决算明细表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六、一般公共预算财政拨款支出决算表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七、一般公共预算财政拨款支出决算明细表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八、一般公共预算财政拨款基本支出决算表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九、一般公共预算财政拨款项目支出决算表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十、政府性基金预算财政拨款收入支出决算表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十一、国有资本经营预算财政拨款收入支出决算表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十二、国有资本经营预算财政拨款支出决算表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十三、财政拨款“三公”经费支出决算表</w:t>
      </w:r>
    </w:p>
    <w:sectPr>
      <w:footerReference r:id="rId5" w:type="default"/>
      <w:pgSz w:w="11906" w:h="16838"/>
      <w:pgMar w:top="2098" w:right="1474" w:bottom="198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CF6786E-F532-404D-AC20-C66308A55BB6}"/>
  </w:font>
  <w:font w:name="黑体">
    <w:panose1 w:val="02010609060101010101"/>
    <w:charset w:val="86"/>
    <w:family w:val="auto"/>
    <w:pitch w:val="default"/>
    <w:sig w:usb0="800002BF" w:usb1="38CF7CFA" w:usb2="00000016" w:usb3="00000000" w:csb0="00040001" w:csb1="00000000"/>
    <w:embedRegular r:id="rId2" w:fontKey="{022610B2-B9BF-4599-9792-9143BBC811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45F5819-4D6E-4669-A8BF-7F719BB5205C}"/>
  </w:font>
  <w:font w:name="仿宋">
    <w:panose1 w:val="02010609060101010101"/>
    <w:charset w:val="86"/>
    <w:family w:val="auto"/>
    <w:pitch w:val="default"/>
    <w:sig w:usb0="800002BF" w:usb1="38CF7CFA" w:usb2="00000016" w:usb3="00000000" w:csb0="00040001" w:csb1="00000000"/>
    <w:embedRegular r:id="rId4" w:fontKey="{DEB262B4-F6E4-42B4-9917-177B5269EB26}"/>
  </w:font>
  <w:font w:name="方正小标宋_GBK">
    <w:altName w:val="Arial Unicode MS"/>
    <w:panose1 w:val="02000000000000000000"/>
    <w:charset w:val="86"/>
    <w:family w:val="auto"/>
    <w:pitch w:val="default"/>
    <w:sig w:usb0="00000000" w:usb1="00000000" w:usb2="00000000" w:usb3="00000000" w:csb0="00040000" w:csb1="00000000"/>
    <w:embedRegular r:id="rId5" w:fontKey="{03F628A9-3B84-40BB-A392-4479E5942EA8}"/>
  </w:font>
  <w:font w:name="方正小标宋简体">
    <w:panose1 w:val="02010601030101010101"/>
    <w:charset w:val="86"/>
    <w:family w:val="script"/>
    <w:pitch w:val="default"/>
    <w:sig w:usb0="00000001" w:usb1="080E0000" w:usb2="00000000" w:usb3="00000000" w:csb0="00040000" w:csb1="00000000"/>
    <w:embedRegular r:id="rId6" w:fontKey="{AA3276A3-D100-4EA2-8A0E-3D9F52FA9CBC}"/>
  </w:font>
  <w:font w:name="方正楷体_GBK">
    <w:altName w:val="Arial Unicode MS"/>
    <w:panose1 w:val="02000000000000000000"/>
    <w:charset w:val="86"/>
    <w:family w:val="auto"/>
    <w:pitch w:val="default"/>
    <w:sig w:usb0="00000000" w:usb1="00000000" w:usb2="00000000" w:usb3="00000000" w:csb0="00040000" w:csb1="00000000"/>
    <w:embedRegular r:id="rId7" w:fontKey="{9B8BC346-9565-4A77-9133-E4047443F4FC}"/>
  </w:font>
  <w:font w:name="楷体_GB2312">
    <w:panose1 w:val="02010609030101010101"/>
    <w:charset w:val="86"/>
    <w:family w:val="auto"/>
    <w:pitch w:val="default"/>
    <w:sig w:usb0="00000001" w:usb1="080E0000" w:usb2="00000000" w:usb3="00000000" w:csb0="00040000" w:csb1="00000000"/>
    <w:embedRegular r:id="rId8" w:fontKey="{0EFEDCB7-4BDB-4D55-81A4-5F728F2EE54C}"/>
  </w:font>
  <w:font w:name="方正仿宋_GBK">
    <w:panose1 w:val="03000509000000000000"/>
    <w:charset w:val="86"/>
    <w:family w:val="auto"/>
    <w:pitch w:val="default"/>
    <w:sig w:usb0="00000001" w:usb1="080E0000" w:usb2="00000000" w:usb3="00000000" w:csb0="00040000" w:csb1="00000000"/>
    <w:embedRegular r:id="rId9" w:fontKey="{D9EDF583-BE24-4214-87E0-99779A06468A}"/>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4lI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KEuJSGQIAACMEAAAOAAAA&#10;AAAAAAEAIAAAAB8BAABkcnMvZTJvRG9jLnhtbFBLBQYAAAAABgAGAFkBAACqBQAAAAA=&#10;">
              <v:fill on="f" focussize="0,0"/>
              <v:stroke on="f" weight="0.5pt"/>
              <v:imagedata o:title=""/>
              <o:lock v:ext="edit" aspectratio="f"/>
              <v:textbox inset="0mm,0mm,0mm,0mm" style="mso-fit-shape-to-text:t;">
                <w:txbxContent>
                  <w:p>
                    <w:pPr>
                      <w:pStyle w:val="1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mYTczNGI0MGI4MWJhYzEzMTRiMDE1MWM2OTM0M2UifQ=="/>
  </w:docVars>
  <w:rsids>
    <w:rsidRoot w:val="00000000"/>
    <w:rsid w:val="017B7EA7"/>
    <w:rsid w:val="03AD5F97"/>
    <w:rsid w:val="03D82B43"/>
    <w:rsid w:val="04D813FD"/>
    <w:rsid w:val="0CC9574D"/>
    <w:rsid w:val="0D3021F9"/>
    <w:rsid w:val="0ED463D8"/>
    <w:rsid w:val="0FBE6FA3"/>
    <w:rsid w:val="0FEE1C19"/>
    <w:rsid w:val="10295D76"/>
    <w:rsid w:val="11661549"/>
    <w:rsid w:val="13F217DA"/>
    <w:rsid w:val="140816A8"/>
    <w:rsid w:val="14DC2C99"/>
    <w:rsid w:val="14FA7AB0"/>
    <w:rsid w:val="15F400E8"/>
    <w:rsid w:val="163F4A7E"/>
    <w:rsid w:val="165B22A3"/>
    <w:rsid w:val="176849B6"/>
    <w:rsid w:val="18414174"/>
    <w:rsid w:val="18A035DE"/>
    <w:rsid w:val="1BA03207"/>
    <w:rsid w:val="1BCD0437"/>
    <w:rsid w:val="1CD51C80"/>
    <w:rsid w:val="1F724F50"/>
    <w:rsid w:val="22AD2D70"/>
    <w:rsid w:val="22BD3D29"/>
    <w:rsid w:val="22F07204"/>
    <w:rsid w:val="2378512C"/>
    <w:rsid w:val="23AF674D"/>
    <w:rsid w:val="27C85286"/>
    <w:rsid w:val="287F5429"/>
    <w:rsid w:val="295A2344"/>
    <w:rsid w:val="2A890531"/>
    <w:rsid w:val="2A916C57"/>
    <w:rsid w:val="2C32317C"/>
    <w:rsid w:val="2CBF201D"/>
    <w:rsid w:val="2D087F46"/>
    <w:rsid w:val="2DD07791"/>
    <w:rsid w:val="304C1B06"/>
    <w:rsid w:val="31BC7F57"/>
    <w:rsid w:val="328E4B16"/>
    <w:rsid w:val="34D41FBA"/>
    <w:rsid w:val="35835552"/>
    <w:rsid w:val="364F51C9"/>
    <w:rsid w:val="3797C89B"/>
    <w:rsid w:val="37BF5DAC"/>
    <w:rsid w:val="39981A47"/>
    <w:rsid w:val="3AA847BA"/>
    <w:rsid w:val="3B0D7569"/>
    <w:rsid w:val="3BE539FB"/>
    <w:rsid w:val="3D37D624"/>
    <w:rsid w:val="3F795D9A"/>
    <w:rsid w:val="3F9461D3"/>
    <w:rsid w:val="411870B7"/>
    <w:rsid w:val="4489364C"/>
    <w:rsid w:val="45A522CC"/>
    <w:rsid w:val="45BE1871"/>
    <w:rsid w:val="46FD6889"/>
    <w:rsid w:val="482F1F1B"/>
    <w:rsid w:val="4EB86278"/>
    <w:rsid w:val="4F42646A"/>
    <w:rsid w:val="4FF07F3A"/>
    <w:rsid w:val="54366321"/>
    <w:rsid w:val="550E66A3"/>
    <w:rsid w:val="552A7732"/>
    <w:rsid w:val="55E31575"/>
    <w:rsid w:val="56BB2FA2"/>
    <w:rsid w:val="56F01038"/>
    <w:rsid w:val="58C940DB"/>
    <w:rsid w:val="5D894191"/>
    <w:rsid w:val="5EFE24D8"/>
    <w:rsid w:val="5F105C3D"/>
    <w:rsid w:val="5F5F6C27"/>
    <w:rsid w:val="60580F5A"/>
    <w:rsid w:val="63235B60"/>
    <w:rsid w:val="63B70D7D"/>
    <w:rsid w:val="64553BE4"/>
    <w:rsid w:val="64DD23E2"/>
    <w:rsid w:val="66067D9A"/>
    <w:rsid w:val="6747F387"/>
    <w:rsid w:val="6C5A227E"/>
    <w:rsid w:val="6D1A13F7"/>
    <w:rsid w:val="6F897271"/>
    <w:rsid w:val="701658F3"/>
    <w:rsid w:val="709A39CE"/>
    <w:rsid w:val="732F2DD6"/>
    <w:rsid w:val="73FF78E2"/>
    <w:rsid w:val="78241175"/>
    <w:rsid w:val="79AF3944"/>
    <w:rsid w:val="7A045892"/>
    <w:rsid w:val="7F053509"/>
    <w:rsid w:val="D1B2A684"/>
    <w:rsid w:val="EF7B847C"/>
    <w:rsid w:val="FBED93A7"/>
    <w:rsid w:val="FFB7D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9"/>
    <w:qFormat/>
    <w:uiPriority w:val="0"/>
    <w:pPr>
      <w:keepNext/>
      <w:keepLines/>
      <w:spacing w:before="260" w:after="260" w:line="415" w:lineRule="auto"/>
      <w:outlineLvl w:val="1"/>
    </w:pPr>
    <w:rPr>
      <w:rFonts w:ascii="Cambria" w:hAnsi="Cambria"/>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rPr>
      <w:rFonts w:ascii="Times New Roman" w:hAnsi="Times New Roman" w:eastAsia="宋体" w:cs="Times New Roman"/>
      <w:kern w:val="0"/>
      <w:sz w:val="20"/>
      <w:szCs w:val="21"/>
    </w:rPr>
  </w:style>
  <w:style w:type="paragraph" w:styleId="5">
    <w:name w:val="Body Text"/>
    <w:basedOn w:val="1"/>
    <w:next w:val="6"/>
    <w:qFormat/>
    <w:uiPriority w:val="0"/>
    <w:pPr>
      <w:spacing w:after="120"/>
    </w:pPr>
  </w:style>
  <w:style w:type="paragraph" w:styleId="6">
    <w:name w:val="Body Text First Indent"/>
    <w:basedOn w:val="5"/>
    <w:next w:val="1"/>
    <w:qFormat/>
    <w:uiPriority w:val="0"/>
    <w:pPr>
      <w:widowControl w:val="0"/>
      <w:autoSpaceDE w:val="0"/>
      <w:autoSpaceDN w:val="0"/>
      <w:adjustRightInd w:val="0"/>
      <w:snapToGrid w:val="0"/>
      <w:spacing w:before="0" w:after="0" w:line="560" w:lineRule="exact"/>
      <w:ind w:left="20" w:right="0"/>
      <w:jc w:val="left"/>
    </w:pPr>
    <w:rPr>
      <w:rFonts w:ascii="宋体" w:hAnsi="Calibri" w:eastAsia="仿宋_GB2312" w:cs="宋体"/>
      <w:kern w:val="0"/>
      <w:sz w:val="32"/>
      <w:szCs w:val="33"/>
      <w:lang w:val="en-US" w:eastAsia="zh-CN" w:bidi="ar-SA"/>
    </w:rPr>
  </w:style>
  <w:style w:type="paragraph" w:styleId="7">
    <w:name w:val="Body Text Indent"/>
    <w:basedOn w:val="1"/>
    <w:next w:val="8"/>
    <w:qFormat/>
    <w:uiPriority w:val="0"/>
    <w:pPr>
      <w:spacing w:after="120"/>
      <w:ind w:left="200" w:leftChars="200"/>
    </w:pPr>
    <w:rPr>
      <w:rFonts w:ascii="仿宋" w:hAnsi="仿宋"/>
      <w:szCs w:val="32"/>
    </w:rPr>
  </w:style>
  <w:style w:type="paragraph" w:styleId="8">
    <w:name w:val="Body Text First Indent 2"/>
    <w:basedOn w:val="7"/>
    <w:next w:val="1"/>
    <w:qFormat/>
    <w:uiPriority w:val="0"/>
    <w:pPr>
      <w:ind w:firstLine="200" w:firstLineChars="200"/>
    </w:pPr>
  </w:style>
  <w:style w:type="paragraph" w:styleId="9">
    <w:name w:val="Plain Text"/>
    <w:basedOn w:val="1"/>
    <w:unhideWhenUsed/>
    <w:qFormat/>
    <w:uiPriority w:val="99"/>
    <w:rPr>
      <w:rFonts w:ascii="宋体" w:hAnsi="Courier New"/>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toc 2"/>
    <w:basedOn w:val="1"/>
    <w:next w:val="1"/>
    <w:qFormat/>
    <w:uiPriority w:val="0"/>
    <w:pPr>
      <w:tabs>
        <w:tab w:val="right" w:leader="dot" w:pos="8296"/>
      </w:tabs>
      <w:ind w:left="200" w:leftChars="200"/>
    </w:pPr>
  </w:style>
  <w:style w:type="paragraph" w:styleId="14">
    <w:name w:val="Normal (Web)"/>
    <w:basedOn w:val="1"/>
    <w:qFormat/>
    <w:uiPriority w:val="0"/>
    <w:pPr>
      <w:shd w:val="clear" w:color="auto" w:fill="auto"/>
      <w:spacing w:before="100" w:beforeAutospacing="1" w:after="100" w:afterAutospacing="1"/>
      <w:ind w:left="0" w:right="0"/>
      <w:jc w:val="left"/>
    </w:pPr>
    <w:rPr>
      <w:kern w:val="0"/>
      <w:sz w:val="24"/>
      <w:shd w:val="clear" w:color="auto" w:fill="auto"/>
      <w:lang w:val="en-US" w:eastAsia="zh-CN" w:bidi="ar"/>
    </w:rPr>
  </w:style>
  <w:style w:type="character" w:styleId="17">
    <w:name w:val="Strong"/>
    <w:basedOn w:val="16"/>
    <w:qFormat/>
    <w:uiPriority w:val="0"/>
    <w:rPr>
      <w:b/>
    </w:rPr>
  </w:style>
  <w:style w:type="character" w:customStyle="1" w:styleId="18">
    <w:name w:val="标题 1 Char"/>
    <w:basedOn w:val="16"/>
    <w:link w:val="3"/>
    <w:qFormat/>
    <w:uiPriority w:val="0"/>
    <w:rPr>
      <w:b/>
      <w:bCs/>
      <w:kern w:val="44"/>
      <w:sz w:val="44"/>
      <w:szCs w:val="44"/>
    </w:rPr>
  </w:style>
  <w:style w:type="character" w:customStyle="1" w:styleId="19">
    <w:name w:val="标题 2 Char"/>
    <w:basedOn w:val="16"/>
    <w:link w:val="4"/>
    <w:qFormat/>
    <w:uiPriority w:val="0"/>
    <w:rPr>
      <w:rFonts w:ascii="Cambria" w:hAnsi="Cambria"/>
      <w:b/>
      <w:bCs/>
      <w:sz w:val="32"/>
      <w:szCs w:val="32"/>
    </w:rPr>
  </w:style>
  <w:style w:type="paragraph" w:styleId="20">
    <w:name w:val="List Paragraph"/>
    <w:basedOn w:val="1"/>
    <w:qFormat/>
    <w:uiPriority w:val="0"/>
    <w:pPr>
      <w:ind w:firstLine="200" w:firstLineChars="200"/>
    </w:pPr>
  </w:style>
  <w:style w:type="paragraph" w:customStyle="1" w:styleId="21">
    <w:name w:val="WPSOffice手动目录 1"/>
    <w:qFormat/>
    <w:uiPriority w:val="0"/>
    <w:pPr>
      <w:ind w:leftChars="0"/>
    </w:pPr>
    <w:rPr>
      <w:rFonts w:ascii="Calibri" w:hAnsi="Calibri" w:eastAsia="宋体" w:cs="Times New Roman"/>
      <w:sz w:val="20"/>
      <w:szCs w:val="20"/>
    </w:rPr>
  </w:style>
  <w:style w:type="paragraph" w:customStyle="1" w:styleId="22">
    <w:name w:val="WPSOffice手动目录 2"/>
    <w:qFormat/>
    <w:uiPriority w:val="0"/>
    <w:pPr>
      <w:ind w:leftChars="200"/>
    </w:pPr>
    <w:rPr>
      <w:rFonts w:ascii="Calibri" w:hAnsi="Calibri" w:eastAsia="宋体" w:cs="Times New Roman"/>
      <w:sz w:val="20"/>
      <w:szCs w:val="20"/>
    </w:rPr>
  </w:style>
  <w:style w:type="paragraph" w:customStyle="1" w:styleId="23">
    <w:name w:val="正文文本1"/>
    <w:basedOn w:val="1"/>
    <w:qFormat/>
    <w:uiPriority w:val="99"/>
    <w:pPr>
      <w:spacing w:before="93"/>
    </w:pPr>
    <w:rPr>
      <w:rFonts w:ascii="仿宋" w:hAnsi="仿宋" w:eastAsia="仿宋" w:cs="仿宋"/>
      <w:kern w:val="0"/>
      <w:sz w:val="30"/>
      <w:szCs w:val="30"/>
    </w:rPr>
  </w:style>
  <w:style w:type="paragraph" w:customStyle="1" w:styleId="24">
    <w:name w:val="列出段落1"/>
    <w:basedOn w:val="1"/>
    <w:qFormat/>
    <w:uiPriority w:val="34"/>
    <w:pPr>
      <w:ind w:firstLine="420" w:firstLineChars="200"/>
    </w:pPr>
    <w:rPr>
      <w:rFonts w:ascii="Calibri" w:hAnsi="Calibri" w:eastAsia="宋体" w:cs="Times New Roman"/>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5179</Words>
  <Characters>5898</Characters>
  <Lines>0</Lines>
  <Paragraphs>0</Paragraphs>
  <TotalTime>4</TotalTime>
  <ScaleCrop>false</ScaleCrop>
  <LinksUpToDate>false</LinksUpToDate>
  <CharactersWithSpaces>6051</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2024-05-12T01:39:00Z</dcterms:created>
  <dc:creator>Hp</dc:creator>
  <cp:lastModifiedBy>lenovo</cp:lastModifiedBy>
  <cp:lastPrinted>2026-10-27T11:03:00Z</cp:lastPrinted>
  <dcterms:modified xsi:type="dcterms:W3CDTF">2026-10-27T03:20:09Z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5B5182CBA3E44A47AC22ED239921088A_13</vt:lpwstr>
  </property>
  <property fmtid="{D5CDD505-2E9C-101B-9397-08002B2CF9AE}" pid="4" name="KSOTemplateDocerSaveRecord">
    <vt:lpwstr>eyJoZGlkIjoiYzUwZDQ5M2M4OWZiNGUyOGM4YzYzYzE5ZjU2NmNlMTgiLCJ1c2VySWQiOiI0MzQ1OTc3NjkifQ==</vt:lpwstr>
  </property>
</Properties>
</file>