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pageBreakBefore w:val="0"/>
        <w:kinsoku/>
        <w:wordWrap/>
        <w:overflowPunct/>
        <w:topLinePunct w:val="0"/>
        <w:autoSpaceDE/>
        <w:autoSpaceDN/>
        <w:bidi w:val="0"/>
        <w:spacing w:line="576" w:lineRule="exact"/>
        <w:textAlignment w:val="auto"/>
        <w:rPr>
          <w:rFonts w:hint="default" w:ascii="Times New Roman" w:hAnsi="Times New Roman" w:eastAsia="微软雅黑" w:cs="Times New Roman"/>
          <w:color w:val="auto"/>
          <w:kern w:val="2"/>
          <w:sz w:val="72"/>
          <w:szCs w:val="72"/>
          <w:highlight w:val="none"/>
          <w:lang w:val="en-US" w:eastAsia="zh-CN" w:bidi="ar-SA"/>
        </w:rPr>
      </w:pPr>
      <w:bookmarkStart w:id="0" w:name="_Toc15396597"/>
      <w:bookmarkStart w:id="1" w:name="_Toc15396475"/>
      <w:bookmarkStart w:id="2" w:name="_Toc15377425"/>
      <w:bookmarkStart w:id="3" w:name="_Toc15306267"/>
      <w:bookmarkStart w:id="4" w:name="_Toc15378441"/>
      <w:bookmarkStart w:id="5" w:name="_Toc15377193"/>
      <w:r>
        <w:rPr>
          <w:rFonts w:hint="default" w:ascii="Times New Roman" w:hAnsi="Times New Roman" w:eastAsia="黑体" w:cs="Times New Roman"/>
          <w:color w:val="auto"/>
          <w:kern w:val="2"/>
          <w:sz w:val="32"/>
          <w:szCs w:val="32"/>
          <w:highlight w:val="none"/>
          <w:lang w:val="en-US" w:eastAsia="zh-CN" w:bidi="ar-SA"/>
        </w:rPr>
        <w:t>附件2</w:t>
      </w:r>
    </w:p>
    <w:p>
      <w:pPr>
        <w:pStyle w:val="8"/>
        <w:pageBreakBefore w:val="0"/>
        <w:kinsoku/>
        <w:wordWrap/>
        <w:overflowPunct/>
        <w:topLinePunct w:val="0"/>
        <w:autoSpaceDE/>
        <w:autoSpaceDN/>
        <w:bidi w:val="0"/>
        <w:spacing w:line="576" w:lineRule="exact"/>
        <w:textAlignment w:val="auto"/>
        <w:rPr>
          <w:rFonts w:hint="default" w:ascii="Times New Roman" w:hAnsi="Times New Roman" w:eastAsia="微软雅黑" w:cs="Times New Roman"/>
          <w:color w:val="auto"/>
          <w:kern w:val="2"/>
          <w:sz w:val="72"/>
          <w:szCs w:val="72"/>
          <w:highlight w:val="none"/>
          <w:lang w:val="en-US" w:eastAsia="zh-CN" w:bidi="ar-SA"/>
        </w:rPr>
      </w:pPr>
    </w:p>
    <w:p>
      <w:pPr>
        <w:pStyle w:val="8"/>
        <w:pageBreakBefore w:val="0"/>
        <w:kinsoku/>
        <w:wordWrap/>
        <w:overflowPunct/>
        <w:topLinePunct w:val="0"/>
        <w:autoSpaceDE/>
        <w:autoSpaceDN/>
        <w:bidi w:val="0"/>
        <w:spacing w:line="576" w:lineRule="exact"/>
        <w:textAlignment w:val="auto"/>
        <w:rPr>
          <w:rFonts w:hint="default" w:ascii="Times New Roman" w:hAnsi="Times New Roman" w:eastAsia="微软雅黑" w:cs="Times New Roman"/>
          <w:color w:val="auto"/>
          <w:kern w:val="2"/>
          <w:sz w:val="72"/>
          <w:szCs w:val="72"/>
          <w:highlight w:val="none"/>
          <w:lang w:val="en-US" w:eastAsia="zh-CN" w:bidi="ar-SA"/>
        </w:rPr>
      </w:pPr>
    </w:p>
    <w:p>
      <w:pPr>
        <w:pStyle w:val="8"/>
        <w:pageBreakBefore w:val="0"/>
        <w:kinsoku/>
        <w:wordWrap/>
        <w:overflowPunct/>
        <w:topLinePunct w:val="0"/>
        <w:autoSpaceDE/>
        <w:autoSpaceDN/>
        <w:bidi w:val="0"/>
        <w:spacing w:line="576" w:lineRule="exact"/>
        <w:textAlignment w:val="auto"/>
        <w:rPr>
          <w:rFonts w:hint="default" w:ascii="Times New Roman" w:hAnsi="Times New Roman" w:eastAsia="微软雅黑" w:cs="Times New Roman"/>
          <w:color w:val="auto"/>
          <w:kern w:val="2"/>
          <w:sz w:val="72"/>
          <w:szCs w:val="72"/>
          <w:highlight w:val="none"/>
          <w:lang w:val="en-US" w:eastAsia="zh-CN" w:bidi="ar-SA"/>
        </w:rPr>
      </w:pPr>
    </w:p>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2025年度县委办部门决算</w:t>
      </w:r>
    </w:p>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公开文字说明</w:t>
      </w:r>
    </w:p>
    <w:p>
      <w:pPr>
        <w:pageBreakBefore w:val="0"/>
        <w:kinsoku/>
        <w:wordWrap/>
        <w:overflowPunct/>
        <w:topLinePunct w:val="0"/>
        <w:autoSpaceDE/>
        <w:autoSpaceDN/>
        <w:bidi w:val="0"/>
        <w:spacing w:line="576" w:lineRule="exact"/>
        <w:jc w:val="center"/>
        <w:textAlignment w:val="auto"/>
        <w:outlineLvl w:val="0"/>
        <w:rPr>
          <w:rFonts w:hint="default" w:ascii="Times New Roman" w:hAnsi="Times New Roman" w:eastAsia="微软雅黑" w:cs="Times New Roman"/>
          <w:color w:val="auto"/>
          <w:sz w:val="72"/>
          <w:szCs w:val="72"/>
          <w:highlight w:val="none"/>
        </w:rPr>
      </w:pPr>
    </w:p>
    <w:p>
      <w:pPr>
        <w:pStyle w:val="19"/>
        <w:pageBreakBefore w:val="0"/>
        <w:kinsoku/>
        <w:wordWrap/>
        <w:overflowPunct/>
        <w:topLinePunct w:val="0"/>
        <w:autoSpaceDE/>
        <w:autoSpaceDN/>
        <w:bidi w:val="0"/>
        <w:spacing w:line="576" w:lineRule="exact"/>
        <w:textAlignment w:val="auto"/>
        <w:rPr>
          <w:rFonts w:hint="default" w:ascii="Times New Roman" w:hAnsi="Times New Roman" w:cs="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pageBreakBefore w:val="0"/>
        <w:kinsoku/>
        <w:wordWrap/>
        <w:overflowPunct/>
        <w:topLinePunct w:val="0"/>
        <w:autoSpaceDE/>
        <w:autoSpaceDN/>
        <w:bidi w:val="0"/>
        <w:spacing w:line="576" w:lineRule="exact"/>
        <w:textAlignment w:val="auto"/>
        <w:rPr>
          <w:rFonts w:hint="default" w:ascii="Times New Roman" w:hAnsi="Times New Roman" w:cs="Times New Roman"/>
        </w:rPr>
      </w:pPr>
    </w:p>
    <w:bookmarkEnd w:id="0"/>
    <w:bookmarkEnd w:id="1"/>
    <w:bookmarkEnd w:id="2"/>
    <w:bookmarkEnd w:id="3"/>
    <w:bookmarkEnd w:id="4"/>
    <w:bookmarkEnd w:id="5"/>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p>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p>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阿坝州壤塘县2025年度县委办</w:t>
      </w:r>
    </w:p>
    <w:p>
      <w:pPr>
        <w:pStyle w:val="8"/>
        <w:pageBreakBefore w:val="0"/>
        <w:kinsoku/>
        <w:wordWrap/>
        <w:overflowPunct/>
        <w:topLinePunct w:val="0"/>
        <w:autoSpaceDE/>
        <w:autoSpaceDN/>
        <w:bidi w:val="0"/>
        <w:spacing w:line="576" w:lineRule="exact"/>
        <w:jc w:val="center"/>
        <w:textAlignment w:val="auto"/>
        <w:rPr>
          <w:rFonts w:hint="default" w:ascii="Times New Roman" w:hAnsi="Times New Roman" w:eastAsia="微软雅黑" w:cs="Times New Roman"/>
          <w:color w:val="auto"/>
          <w:kern w:val="2"/>
          <w:sz w:val="44"/>
          <w:szCs w:val="44"/>
          <w:highlight w:val="none"/>
          <w:lang w:val="en-US" w:eastAsia="zh-CN" w:bidi="ar-SA"/>
        </w:rPr>
      </w:pPr>
      <w:r>
        <w:rPr>
          <w:rFonts w:hint="default" w:ascii="Times New Roman" w:hAnsi="Times New Roman" w:eastAsia="微软雅黑" w:cs="Times New Roman"/>
          <w:color w:val="auto"/>
          <w:kern w:val="2"/>
          <w:sz w:val="44"/>
          <w:szCs w:val="44"/>
          <w:highlight w:val="none"/>
          <w:lang w:val="en-US" w:eastAsia="zh-CN" w:bidi="ar-SA"/>
        </w:rPr>
        <w:t>部门决算公开</w:t>
      </w:r>
    </w:p>
    <w:p>
      <w:pPr>
        <w:pageBreakBefore w:val="0"/>
        <w:widowControl/>
        <w:kinsoku/>
        <w:wordWrap/>
        <w:overflowPunct/>
        <w:topLinePunct w:val="0"/>
        <w:autoSpaceDE/>
        <w:autoSpaceDN/>
        <w:bidi w:val="0"/>
        <w:spacing w:line="576" w:lineRule="exact"/>
        <w:jc w:val="center"/>
        <w:textAlignment w:val="auto"/>
        <w:rPr>
          <w:rFonts w:hint="default" w:ascii="Times New Roman" w:hAnsi="Times New Roman" w:eastAsia="黑体" w:cs="Times New Roman"/>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pageBreakBefore w:val="0"/>
        <w:widowControl/>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目录</w:t>
      </w:r>
    </w:p>
    <w:p>
      <w:pPr>
        <w:pageBreakBefore w:val="0"/>
        <w:widowControl/>
        <w:kinsoku/>
        <w:wordWrap/>
        <w:overflowPunct/>
        <w:topLinePunct w:val="0"/>
        <w:autoSpaceDE/>
        <w:autoSpaceDN/>
        <w:bidi w:val="0"/>
        <w:spacing w:line="576" w:lineRule="exact"/>
        <w:jc w:val="center"/>
        <w:textAlignment w:val="auto"/>
        <w:rPr>
          <w:rFonts w:hint="default" w:ascii="Times New Roman" w:hAnsi="Times New Roman" w:eastAsia="方正仿宋_GBK" w:cs="Times New Roman"/>
          <w:color w:val="auto"/>
          <w:sz w:val="32"/>
          <w:szCs w:val="32"/>
          <w:highlight w:val="none"/>
        </w:rPr>
      </w:pPr>
    </w:p>
    <w:p>
      <w:pPr>
        <w:pStyle w:val="13"/>
        <w:pageBreakBefore w:val="0"/>
        <w:kinsoku/>
        <w:wordWrap/>
        <w:overflowPunct/>
        <w:topLinePunct w:val="0"/>
        <w:autoSpaceDE/>
        <w:autoSpaceDN/>
        <w:bidi w:val="0"/>
        <w:spacing w:line="576" w:lineRule="exac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公开时间：20</w:t>
      </w:r>
      <w:r>
        <w:rPr>
          <w:rFonts w:hint="default" w:ascii="Times New Roman" w:hAnsi="Times New Roman" w:eastAsia="方正仿宋_GBK" w:cs="Times New Roman"/>
          <w:color w:val="auto"/>
          <w:sz w:val="32"/>
          <w:szCs w:val="32"/>
          <w:highlight w:val="none"/>
          <w:lang w:val="en-US" w:eastAsia="zh-CN"/>
        </w:rPr>
        <w:t>26</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rPr>
        <w:t>日</w:t>
      </w:r>
    </w:p>
    <w:p>
      <w:pPr>
        <w:pStyle w:val="13"/>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第一部分部门概况</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rPr>
        <w:t>一、</w:t>
      </w:r>
      <w:r>
        <w:rPr>
          <w:rFonts w:hint="default" w:ascii="Times New Roman" w:hAnsi="Times New Roman" w:eastAsia="方正仿宋_GBK" w:cs="Times New Roman"/>
          <w:color w:val="auto"/>
          <w:sz w:val="32"/>
          <w:szCs w:val="32"/>
          <w:highlight w:val="none"/>
          <w:lang w:eastAsia="zh-CN"/>
        </w:rPr>
        <w:t>部门职责</w:t>
      </w:r>
    </w:p>
    <w:p>
      <w:pPr>
        <w:pStyle w:val="14"/>
        <w:keepNext w:val="0"/>
        <w:keepLines w:val="0"/>
        <w:pageBreakBefore w:val="0"/>
        <w:widowControl w:val="0"/>
        <w:numPr>
          <w:ilvl w:val="0"/>
          <w:numId w:val="1"/>
        </w:numPr>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机构设置</w:t>
      </w:r>
    </w:p>
    <w:p>
      <w:pPr>
        <w:pStyle w:val="13"/>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第二部分</w:t>
      </w:r>
      <w:r>
        <w:rPr>
          <w:rFonts w:hint="default" w:ascii="Times New Roman" w:hAnsi="Times New Roman" w:eastAsia="方正仿宋_GBK" w:cs="Times New Roman"/>
          <w:color w:val="auto"/>
          <w:sz w:val="32"/>
          <w:szCs w:val="32"/>
          <w:highlight w:val="none"/>
          <w:lang w:val="en-US" w:eastAsia="zh-CN"/>
        </w:rPr>
        <w:t>2025年度</w:t>
      </w:r>
      <w:r>
        <w:rPr>
          <w:rFonts w:hint="default" w:ascii="Times New Roman" w:hAnsi="Times New Roman" w:eastAsia="方正仿宋_GBK" w:cs="Times New Roman"/>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七、财政拨款</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九、</w:t>
      </w:r>
      <w:r>
        <w:rPr>
          <w:rFonts w:hint="default" w:ascii="Times New Roman" w:hAnsi="Times New Roman" w:eastAsia="方正仿宋_GBK" w:cs="Times New Roman"/>
          <w:color w:val="auto"/>
          <w:sz w:val="32"/>
          <w:szCs w:val="32"/>
          <w:highlight w:val="none"/>
          <w:lang w:eastAsia="zh-CN"/>
        </w:rPr>
        <w:t>国</w:t>
      </w:r>
      <w:r>
        <w:rPr>
          <w:rFonts w:hint="default" w:ascii="Times New Roman" w:hAnsi="Times New Roman" w:eastAsia="方正仿宋_GBK" w:cs="Times New Roman"/>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十</w:t>
      </w:r>
      <w:r>
        <w:rPr>
          <w:rFonts w:hint="default" w:ascii="Times New Roman" w:hAnsi="Times New Roman" w:eastAsia="方正仿宋_GBK" w:cs="Times New Roman"/>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第三部分名词解释</w:t>
      </w:r>
    </w:p>
    <w:p>
      <w:pPr>
        <w:pStyle w:val="13"/>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第四部分附件</w:t>
      </w:r>
    </w:p>
    <w:p>
      <w:pPr>
        <w:pStyle w:val="13"/>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第五部分附表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八、一般公共预算财政拨款基本支出决算</w:t>
      </w:r>
      <w:r>
        <w:rPr>
          <w:rFonts w:hint="default" w:ascii="Times New Roman" w:hAnsi="Times New Roman" w:eastAsia="方正仿宋_GBK" w:cs="Times New Roman"/>
          <w:color w:val="auto"/>
          <w:sz w:val="32"/>
          <w:szCs w:val="32"/>
          <w:highlight w:val="none"/>
          <w:lang w:eastAsia="zh-CN"/>
        </w:rPr>
        <w:t>明细</w:t>
      </w:r>
      <w:r>
        <w:rPr>
          <w:rFonts w:hint="default" w:ascii="Times New Roman" w:hAnsi="Times New Roman" w:eastAsia="方正仿宋_GBK" w:cs="Times New Roman"/>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十二、</w:t>
      </w:r>
      <w:r>
        <w:rPr>
          <w:rFonts w:hint="default" w:ascii="Times New Roman" w:hAnsi="Times New Roman" w:eastAsia="方正仿宋_GBK" w:cs="Times New Roman"/>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十三、财政拨款“三公”经费支出决算表</w:t>
      </w:r>
    </w:p>
    <w:p>
      <w:pPr>
        <w:pStyle w:val="5"/>
        <w:pageBreakBefore w:val="0"/>
        <w:kinsoku/>
        <w:wordWrap/>
        <w:overflowPunct/>
        <w:topLinePunct w:val="0"/>
        <w:autoSpaceDE/>
        <w:autoSpaceDN/>
        <w:bidi w:val="0"/>
        <w:spacing w:line="576" w:lineRule="exact"/>
        <w:jc w:val="both"/>
        <w:textAlignment w:val="auto"/>
        <w:rPr>
          <w:rFonts w:hint="default" w:ascii="Times New Roman" w:hAnsi="Times New Roman" w:eastAsia="微软雅黑" w:cs="Times New Roman"/>
          <w:b w:val="0"/>
          <w:color w:val="auto"/>
          <w:highlight w:val="none"/>
        </w:rPr>
      </w:pPr>
      <w:bookmarkStart w:id="6" w:name="_Toc15377196"/>
      <w:bookmarkStart w:id="7" w:name="_Toc15396599"/>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rPr>
          <w:rFonts w:hint="default" w:ascii="Times New Roman" w:hAnsi="Times New Roman" w:eastAsia="微软雅黑" w:cs="Times New Roman"/>
          <w:b w:val="0"/>
          <w:color w:val="auto"/>
          <w:highlight w:val="none"/>
        </w:rPr>
      </w:pPr>
    </w:p>
    <w:p>
      <w:pPr>
        <w:pStyle w:val="2"/>
        <w:rPr>
          <w:rFonts w:hint="default" w:ascii="Times New Roman" w:hAnsi="Times New Roman" w:eastAsia="微软雅黑" w:cs="Times New Roman"/>
          <w:b w:val="0"/>
          <w:color w:val="auto"/>
          <w:highlight w:val="none"/>
        </w:rPr>
      </w:pPr>
    </w:p>
    <w:p>
      <w:pPr>
        <w:pStyle w:val="3"/>
        <w:rPr>
          <w:rFonts w:hint="default"/>
        </w:rPr>
      </w:pPr>
    </w:p>
    <w:p>
      <w:pPr>
        <w:rPr>
          <w:rFonts w:hint="default" w:ascii="Times New Roman" w:hAnsi="Times New Roman" w:eastAsia="微软雅黑" w:cs="Times New Roman"/>
          <w:b w:val="0"/>
          <w:color w:val="auto"/>
          <w:highlight w:val="none"/>
        </w:rPr>
      </w:pPr>
    </w:p>
    <w:p>
      <w:pPr>
        <w:pStyle w:val="5"/>
        <w:pageBreakBefore w:val="0"/>
        <w:kinsoku/>
        <w:wordWrap/>
        <w:overflowPunct/>
        <w:topLinePunct w:val="0"/>
        <w:autoSpaceDE/>
        <w:autoSpaceDN/>
        <w:bidi w:val="0"/>
        <w:spacing w:line="576" w:lineRule="exact"/>
        <w:jc w:val="center"/>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微软雅黑" w:cs="Times New Roman"/>
          <w:b w:val="0"/>
          <w:color w:val="auto"/>
          <w:highlight w:val="none"/>
        </w:rPr>
        <w:t>第一部分</w:t>
      </w:r>
      <w:r>
        <w:rPr>
          <w:rStyle w:val="28"/>
          <w:rFonts w:hint="default" w:ascii="Times New Roman" w:hAnsi="Times New Roman" w:eastAsia="微软雅黑" w:cs="Times New Roman"/>
          <w:b w:val="0"/>
          <w:bCs w:val="0"/>
          <w:color w:val="auto"/>
          <w:highlight w:val="none"/>
        </w:rPr>
        <w:t>部门概况</w:t>
      </w:r>
      <w:bookmarkEnd w:id="6"/>
      <w:bookmarkEnd w:id="7"/>
    </w:p>
    <w:p>
      <w:pPr>
        <w:pStyle w:val="6"/>
        <w:pageBreakBefore w:val="0"/>
        <w:numPr>
          <w:ilvl w:val="0"/>
          <w:numId w:val="2"/>
        </w:numPr>
        <w:kinsoku/>
        <w:wordWrap/>
        <w:overflowPunct/>
        <w:topLinePunct w:val="0"/>
        <w:autoSpaceDE/>
        <w:autoSpaceDN/>
        <w:bidi w:val="0"/>
        <w:spacing w:line="576" w:lineRule="exact"/>
        <w:textAlignment w:val="auto"/>
        <w:rPr>
          <w:rFonts w:hint="default" w:ascii="Times New Roman" w:hAnsi="Times New Roman" w:eastAsia="方正黑体_GBK" w:cs="Times New Roman"/>
          <w:b w:val="0"/>
          <w:color w:val="auto"/>
          <w:highlight w:val="none"/>
          <w:lang w:eastAsia="zh-CN"/>
        </w:rPr>
      </w:pPr>
      <w:r>
        <w:rPr>
          <w:rFonts w:hint="default" w:ascii="Times New Roman" w:hAnsi="Times New Roman" w:eastAsia="方正黑体_GBK" w:cs="Times New Roman"/>
          <w:b w:val="0"/>
          <w:color w:val="auto"/>
          <w:highlight w:val="none"/>
          <w:lang w:eastAsia="zh-CN"/>
        </w:rPr>
        <w:t>部门职责</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一是负责</w:t>
      </w:r>
      <w:r>
        <w:rPr>
          <w:rFonts w:hint="default" w:ascii="Times New Roman" w:hAnsi="Times New Roman" w:eastAsia="方正仿宋_GBK" w:cs="Times New Roman"/>
          <w:sz w:val="32"/>
          <w:szCs w:val="32"/>
          <w:lang w:val="en-US" w:eastAsia="zh-CN"/>
        </w:rPr>
        <w:t>州</w:t>
      </w:r>
      <w:r>
        <w:rPr>
          <w:rFonts w:hint="default" w:ascii="Times New Roman" w:hAnsi="Times New Roman" w:eastAsia="方正仿宋_GBK" w:cs="Times New Roman"/>
          <w:sz w:val="32"/>
          <w:szCs w:val="32"/>
        </w:rPr>
        <w:t>委、</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委重大决策部署贯彻落实的协调、督促、检查，</w:t>
      </w:r>
      <w:r>
        <w:rPr>
          <w:rFonts w:hint="default" w:ascii="Times New Roman" w:hAnsi="Times New Roman" w:eastAsia="方正仿宋_GBK" w:cs="Times New Roman"/>
          <w:sz w:val="32"/>
          <w:szCs w:val="32"/>
          <w:lang w:val="en-US" w:eastAsia="zh-CN"/>
        </w:rPr>
        <w:t>州</w:t>
      </w:r>
      <w:r>
        <w:rPr>
          <w:rFonts w:hint="default" w:ascii="Times New Roman" w:hAnsi="Times New Roman" w:eastAsia="方正仿宋_GBK" w:cs="Times New Roman"/>
          <w:sz w:val="32"/>
          <w:szCs w:val="32"/>
        </w:rPr>
        <w:t>委、</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委领导同志批示的传达和督办。二是负责</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委会议、重大活动的准备和实施，</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委领导活动的协调安排，</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委各类文稿的撰写、修改和印制。三是围绕</w:t>
      </w:r>
      <w:r>
        <w:rPr>
          <w:rFonts w:hint="default" w:ascii="Times New Roman" w:hAnsi="Times New Roman" w:eastAsia="方正仿宋_GBK" w:cs="Times New Roman"/>
          <w:sz w:val="32"/>
          <w:szCs w:val="32"/>
          <w:lang w:val="en-US" w:eastAsia="zh-CN"/>
        </w:rPr>
        <w:t>州</w:t>
      </w:r>
      <w:r>
        <w:rPr>
          <w:rFonts w:hint="default" w:ascii="Times New Roman" w:hAnsi="Times New Roman" w:eastAsia="方正仿宋_GBK" w:cs="Times New Roman"/>
          <w:sz w:val="32"/>
          <w:szCs w:val="32"/>
        </w:rPr>
        <w:t>委和</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委的工作部署，综合调研、收集信息、反映动态，为</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委决策提供参考建议。四是负责上级公文的承办和</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委文件的草拟、印制、分发、管理等工作。五是负责全</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党内法规工作，负责督促指导全</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党内规范性文件的制定、审查、报备等工作。六是承担</w:t>
      </w:r>
      <w:r>
        <w:rPr>
          <w:rFonts w:hint="default" w:ascii="Times New Roman" w:hAnsi="Times New Roman" w:eastAsia="方正仿宋_GBK" w:cs="Times New Roman"/>
          <w:sz w:val="32"/>
          <w:szCs w:val="32"/>
          <w:lang w:val="en-US" w:eastAsia="zh-CN"/>
        </w:rPr>
        <w:t>县委</w:t>
      </w:r>
      <w:r>
        <w:rPr>
          <w:rFonts w:hint="default" w:ascii="Times New Roman" w:hAnsi="Times New Roman" w:eastAsia="方正仿宋_GBK" w:cs="Times New Roman"/>
          <w:sz w:val="32"/>
          <w:szCs w:val="32"/>
        </w:rPr>
        <w:t>值班工作，负责全</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党委办公室系统值班指导，对突出事件紧急情况跟踪了解、协调处理。七是负责并协调</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委办公室办公区、生活区的社会治安综合治理和安全防范。八是负责党中央路线方针政策和</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委重大决策部署及重要工作安排落实情况的督促检查。</w:t>
      </w:r>
      <w:r>
        <w:rPr>
          <w:rFonts w:hint="default" w:ascii="Times New Roman" w:hAnsi="Times New Roman" w:eastAsia="方正仿宋_GBK" w:cs="Times New Roman"/>
          <w:sz w:val="32"/>
          <w:szCs w:val="32"/>
          <w:lang w:val="en-US" w:eastAsia="zh-CN"/>
        </w:rPr>
        <w:t>九</w:t>
      </w:r>
      <w:r>
        <w:rPr>
          <w:rFonts w:hint="default" w:ascii="Times New Roman" w:hAnsi="Times New Roman" w:eastAsia="方正仿宋_GBK" w:cs="Times New Roman"/>
          <w:sz w:val="32"/>
          <w:szCs w:val="32"/>
        </w:rPr>
        <w:t>是承办</w:t>
      </w:r>
      <w:r>
        <w:rPr>
          <w:rFonts w:hint="default" w:ascii="Times New Roman" w:hAnsi="Times New Roman" w:eastAsia="方正仿宋_GBK" w:cs="Times New Roman"/>
          <w:sz w:val="32"/>
          <w:szCs w:val="32"/>
          <w:lang w:val="en-US" w:eastAsia="zh-CN"/>
        </w:rPr>
        <w:t>县</w:t>
      </w:r>
      <w:r>
        <w:rPr>
          <w:rFonts w:hint="default" w:ascii="Times New Roman" w:hAnsi="Times New Roman" w:eastAsia="方正仿宋_GBK" w:cs="Times New Roman"/>
          <w:sz w:val="32"/>
          <w:szCs w:val="32"/>
        </w:rPr>
        <w:t>委交办的其他任务。</w:t>
      </w:r>
    </w:p>
    <w:p>
      <w:pPr>
        <w:pStyle w:val="6"/>
        <w:pageBreakBefore w:val="0"/>
        <w:numPr>
          <w:ilvl w:val="0"/>
          <w:numId w:val="2"/>
        </w:numPr>
        <w:kinsoku/>
        <w:wordWrap/>
        <w:overflowPunct/>
        <w:topLinePunct w:val="0"/>
        <w:autoSpaceDE/>
        <w:autoSpaceDN/>
        <w:bidi w:val="0"/>
        <w:spacing w:line="576" w:lineRule="exact"/>
        <w:textAlignment w:val="auto"/>
        <w:rPr>
          <w:rFonts w:hint="default" w:ascii="Times New Roman" w:hAnsi="Times New Roman" w:eastAsia="方正黑体_GBK" w:cs="Times New Roman"/>
          <w:b w:val="0"/>
          <w:color w:val="auto"/>
          <w:highlight w:val="none"/>
          <w:lang w:eastAsia="zh-CN"/>
        </w:rPr>
      </w:pPr>
      <w:bookmarkStart w:id="8" w:name="_Toc15377200"/>
      <w:bookmarkStart w:id="9" w:name="_Toc15396601"/>
      <w:r>
        <w:rPr>
          <w:rFonts w:hint="default" w:ascii="Times New Roman" w:hAnsi="Times New Roman" w:eastAsia="方正黑体_GBK" w:cs="Times New Roman"/>
          <w:b w:val="0"/>
          <w:color w:val="auto"/>
          <w:highlight w:val="none"/>
          <w:lang w:eastAsia="zh-CN"/>
        </w:rPr>
        <w:t>机构设置</w:t>
      </w:r>
      <w:bookmarkEnd w:id="8"/>
      <w:bookmarkEnd w:id="9"/>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中国共产党壤塘县委员会办公室下属无二级单位。县委办公室</w:t>
      </w:r>
      <w:r>
        <w:rPr>
          <w:rFonts w:hint="default" w:ascii="Times New Roman" w:hAnsi="Times New Roman" w:eastAsia="方正仿宋_GBK" w:cs="Times New Roman"/>
          <w:sz w:val="32"/>
          <w:szCs w:val="32"/>
          <w:lang w:val="en-US" w:eastAsia="zh-CN"/>
        </w:rPr>
        <w:t>行政</w:t>
      </w:r>
      <w:r>
        <w:rPr>
          <w:rFonts w:hint="default" w:ascii="Times New Roman" w:hAnsi="Times New Roman" w:eastAsia="方正仿宋_GBK" w:cs="Times New Roman"/>
          <w:sz w:val="32"/>
          <w:szCs w:val="32"/>
        </w:rPr>
        <w:t>总编制</w:t>
      </w:r>
      <w:r>
        <w:rPr>
          <w:rFonts w:hint="default" w:ascii="Times New Roman" w:hAnsi="Times New Roman" w:eastAsia="方正仿宋_GBK" w:cs="Times New Roman"/>
          <w:sz w:val="32"/>
          <w:szCs w:val="32"/>
          <w:lang w:val="en-US" w:eastAsia="zh-CN"/>
        </w:rPr>
        <w:t>35</w:t>
      </w:r>
      <w:r>
        <w:rPr>
          <w:rFonts w:hint="default" w:ascii="Times New Roman" w:hAnsi="Times New Roman" w:eastAsia="方正仿宋_GBK" w:cs="Times New Roman"/>
          <w:sz w:val="32"/>
          <w:szCs w:val="32"/>
        </w:rPr>
        <w:t>名,在职人员总数</w:t>
      </w: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其中:行政</w:t>
      </w: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名，行政工勤</w:t>
      </w: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rPr>
        <w:t>名。县委办公室</w:t>
      </w:r>
      <w:r>
        <w:rPr>
          <w:rFonts w:hint="default" w:ascii="Times New Roman" w:hAnsi="Times New Roman" w:eastAsia="方正仿宋_GBK" w:cs="Times New Roman"/>
          <w:sz w:val="32"/>
          <w:szCs w:val="32"/>
          <w:lang w:val="en-US" w:eastAsia="zh-CN"/>
        </w:rPr>
        <w:t>事业</w:t>
      </w:r>
      <w:r>
        <w:rPr>
          <w:rFonts w:hint="default" w:ascii="Times New Roman" w:hAnsi="Times New Roman" w:eastAsia="方正仿宋_GBK" w:cs="Times New Roman"/>
          <w:sz w:val="32"/>
          <w:szCs w:val="32"/>
        </w:rPr>
        <w:t>总编制</w:t>
      </w:r>
      <w:r>
        <w:rPr>
          <w:rFonts w:hint="default" w:ascii="Times New Roman" w:hAnsi="Times New Roman" w:eastAsia="方正仿宋_GBK" w:cs="Times New Roman"/>
          <w:sz w:val="32"/>
          <w:szCs w:val="32"/>
          <w:lang w:val="en-US" w:eastAsia="zh-CN"/>
        </w:rPr>
        <w:t>2</w:t>
      </w:r>
      <w:r>
        <w:rPr>
          <w:rFonts w:hint="eastAsia" w:eastAsia="方正仿宋_GBK" w:cs="Times New Roman"/>
          <w:sz w:val="32"/>
          <w:szCs w:val="32"/>
          <w:lang w:val="en-US" w:eastAsia="zh-CN"/>
        </w:rPr>
        <w:t>0</w:t>
      </w:r>
      <w:r>
        <w:rPr>
          <w:rFonts w:hint="default" w:ascii="Times New Roman" w:hAnsi="Times New Roman" w:eastAsia="方正仿宋_GBK" w:cs="Times New Roman"/>
          <w:sz w:val="32"/>
          <w:szCs w:val="32"/>
        </w:rPr>
        <w:t>名,在职人员总数</w:t>
      </w: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其中:</w:t>
      </w:r>
      <w:r>
        <w:rPr>
          <w:rFonts w:hint="default" w:ascii="Times New Roman" w:hAnsi="Times New Roman" w:eastAsia="方正仿宋_GBK" w:cs="Times New Roman"/>
          <w:sz w:val="32"/>
          <w:szCs w:val="32"/>
          <w:lang w:val="en-US" w:eastAsia="zh-CN"/>
        </w:rPr>
        <w:t>事业人员20</w:t>
      </w:r>
      <w:r>
        <w:rPr>
          <w:rFonts w:hint="default" w:ascii="Times New Roman" w:hAnsi="Times New Roman" w:eastAsia="方正仿宋_GBK" w:cs="Times New Roman"/>
          <w:sz w:val="32"/>
          <w:szCs w:val="32"/>
        </w:rPr>
        <w:t>名。</w:t>
      </w:r>
    </w:p>
    <w:p>
      <w:pPr>
        <w:pStyle w:val="5"/>
        <w:pageBreakBefore w:val="0"/>
        <w:kinsoku/>
        <w:wordWrap/>
        <w:overflowPunct/>
        <w:topLinePunct w:val="0"/>
        <w:autoSpaceDE/>
        <w:autoSpaceDN/>
        <w:bidi w:val="0"/>
        <w:spacing w:line="576" w:lineRule="exact"/>
        <w:jc w:val="center"/>
        <w:textAlignment w:val="auto"/>
        <w:rPr>
          <w:rFonts w:hint="default" w:ascii="Times New Roman" w:hAnsi="Times New Roman" w:cs="Times New Roman"/>
          <w:color w:val="auto"/>
          <w:highlight w:val="none"/>
        </w:rPr>
      </w:pPr>
      <w:bookmarkStart w:id="10" w:name="_Toc15396602"/>
      <w:bookmarkStart w:id="11" w:name="_Toc15377204"/>
      <w:r>
        <w:rPr>
          <w:rFonts w:hint="default" w:ascii="Times New Roman" w:hAnsi="Times New Roman" w:eastAsia="微软雅黑" w:cs="Times New Roman"/>
          <w:b w:val="0"/>
          <w:color w:val="auto"/>
          <w:highlight w:val="none"/>
        </w:rPr>
        <w:t>第二部分</w:t>
      </w:r>
      <w:r>
        <w:rPr>
          <w:rFonts w:hint="default" w:ascii="Times New Roman" w:hAnsi="Times New Roman" w:eastAsia="微软雅黑" w:cs="Times New Roman"/>
          <w:b w:val="0"/>
          <w:color w:val="auto"/>
          <w:highlight w:val="none"/>
          <w:lang w:val="en-US" w:eastAsia="zh-CN"/>
        </w:rPr>
        <w:t>2025年度</w:t>
      </w:r>
      <w:r>
        <w:rPr>
          <w:rFonts w:hint="default" w:ascii="Times New Roman" w:hAnsi="Times New Roman" w:eastAsia="微软雅黑" w:cs="Times New Roman"/>
          <w:b w:val="0"/>
          <w:color w:val="auto"/>
          <w:highlight w:val="none"/>
        </w:rPr>
        <w:t>部门决算情况说明</w:t>
      </w:r>
      <w:bookmarkEnd w:id="10"/>
      <w:bookmarkEnd w:id="11"/>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12" w:name="_Toc15377205"/>
      <w:bookmarkStart w:id="13"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方正黑体_GBK" w:cs="Times New Roman"/>
          <w:b w:val="0"/>
          <w:bCs/>
          <w:color w:val="auto"/>
          <w:kern w:val="2"/>
          <w:sz w:val="32"/>
          <w:szCs w:val="32"/>
          <w:highlight w:val="none"/>
          <w:lang w:val="en-US" w:eastAsia="zh-CN" w:bidi="ar-SA"/>
        </w:rPr>
        <w:t>收入支出决算总体情况说明</w:t>
      </w:r>
      <w:bookmarkEnd w:id="12"/>
      <w:bookmarkEnd w:id="13"/>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2025年度收入</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支出</w:t>
      </w:r>
      <w:r>
        <w:rPr>
          <w:rFonts w:hint="default" w:ascii="Times New Roman" w:hAnsi="Times New Roman" w:eastAsia="方正仿宋_GBK" w:cs="Times New Roman"/>
          <w:sz w:val="32"/>
          <w:szCs w:val="32"/>
        </w:rPr>
        <w:t>总计</w:t>
      </w:r>
      <w:r>
        <w:rPr>
          <w:rFonts w:hint="default" w:ascii="Times New Roman" w:hAnsi="Times New Roman" w:eastAsia="方正仿宋_GBK" w:cs="Times New Roman"/>
          <w:sz w:val="32"/>
          <w:szCs w:val="32"/>
          <w:lang w:eastAsia="zh-CN"/>
        </w:rPr>
        <w:t>均为</w:t>
      </w:r>
      <w:r>
        <w:rPr>
          <w:rFonts w:hint="default" w:ascii="Times New Roman" w:hAnsi="Times New Roman" w:eastAsia="方正仿宋_GBK" w:cs="Times New Roman"/>
          <w:sz w:val="32"/>
          <w:szCs w:val="32"/>
          <w:lang w:val="en-US" w:eastAsia="zh-CN"/>
        </w:rPr>
        <w:t>1933.97</w:t>
      </w:r>
      <w:r>
        <w:rPr>
          <w:rFonts w:hint="default" w:ascii="Times New Roman" w:hAnsi="Times New Roman" w:eastAsia="方正仿宋_GBK" w:cs="Times New Roman"/>
          <w:sz w:val="32"/>
          <w:szCs w:val="32"/>
        </w:rPr>
        <w:t>万元。与</w:t>
      </w:r>
      <w:r>
        <w:rPr>
          <w:rFonts w:hint="default" w:ascii="Times New Roman" w:hAnsi="Times New Roman" w:eastAsia="方正仿宋_GBK" w:cs="Times New Roman"/>
          <w:sz w:val="32"/>
          <w:szCs w:val="32"/>
          <w:lang w:eastAsia="zh-CN"/>
        </w:rPr>
        <w:t>上</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eastAsia="zh-CN"/>
        </w:rPr>
        <w:t>度</w:t>
      </w:r>
      <w:r>
        <w:rPr>
          <w:rFonts w:hint="default" w:ascii="Times New Roman" w:hAnsi="Times New Roman" w:eastAsia="方正仿宋_GBK" w:cs="Times New Roman"/>
          <w:sz w:val="32"/>
          <w:szCs w:val="32"/>
        </w:rPr>
        <w:t>相比，</w:t>
      </w:r>
      <w:r>
        <w:rPr>
          <w:rFonts w:hint="default" w:ascii="Times New Roman" w:hAnsi="Times New Roman" w:eastAsia="方正仿宋_GBK" w:cs="Times New Roman"/>
          <w:sz w:val="32"/>
          <w:szCs w:val="32"/>
          <w:lang w:eastAsia="zh-CN"/>
        </w:rPr>
        <w:t>收入</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支出</w:t>
      </w:r>
      <w:r>
        <w:rPr>
          <w:rFonts w:hint="default" w:ascii="Times New Roman" w:hAnsi="Times New Roman" w:eastAsia="方正仿宋_GBK" w:cs="Times New Roman"/>
          <w:sz w:val="32"/>
          <w:szCs w:val="32"/>
        </w:rPr>
        <w:t>总计各增加</w:t>
      </w:r>
      <w:r>
        <w:rPr>
          <w:rFonts w:hint="default" w:ascii="Times New Roman" w:hAnsi="Times New Roman" w:eastAsia="方正仿宋_GBK" w:cs="Times New Roman"/>
          <w:sz w:val="32"/>
          <w:szCs w:val="32"/>
          <w:lang w:val="en-US" w:eastAsia="zh-CN"/>
        </w:rPr>
        <w:t>120.72</w:t>
      </w:r>
      <w:r>
        <w:rPr>
          <w:rFonts w:hint="default" w:ascii="Times New Roman" w:hAnsi="Times New Roman" w:eastAsia="方正仿宋_GBK" w:cs="Times New Roman"/>
          <w:sz w:val="32"/>
          <w:szCs w:val="32"/>
        </w:rPr>
        <w:t>万元，增长</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%。主要变动原因是</w:t>
      </w:r>
      <w:r>
        <w:rPr>
          <w:rFonts w:hint="default" w:ascii="Times New Roman" w:hAnsi="Times New Roman" w:eastAsia="方正仿宋_GBK" w:cs="Times New Roman"/>
          <w:sz w:val="32"/>
          <w:szCs w:val="32"/>
          <w:lang w:val="en-US" w:eastAsia="zh-CN"/>
        </w:rPr>
        <w:t>资源勘探工业信息费增加211.88万元。</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（图1：</w:t>
      </w:r>
      <w:r>
        <w:rPr>
          <w:rFonts w:hint="default" w:ascii="Times New Roman" w:hAnsi="Times New Roman" w:eastAsia="方正仿宋_GBK" w:cs="Times New Roman"/>
          <w:sz w:val="32"/>
          <w:szCs w:val="32"/>
          <w:lang w:eastAsia="zh-CN"/>
        </w:rPr>
        <w:t>收入</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支出</w:t>
      </w:r>
      <w:r>
        <w:rPr>
          <w:rFonts w:hint="default" w:ascii="Times New Roman" w:hAnsi="Times New Roman" w:eastAsia="方正仿宋_GBK" w:cs="Times New Roman"/>
          <w:sz w:val="32"/>
          <w:szCs w:val="32"/>
        </w:rPr>
        <w:t>决算总计变动情况图）（柱状图）</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drawing>
          <wp:anchor distT="0" distB="0" distL="114300" distR="114300" simplePos="0" relativeHeight="251661312" behindDoc="0" locked="0" layoutInCell="1" allowOverlap="1">
            <wp:simplePos x="0" y="0"/>
            <wp:positionH relativeFrom="column">
              <wp:posOffset>-66675</wp:posOffset>
            </wp:positionH>
            <wp:positionV relativeFrom="paragraph">
              <wp:posOffset>297180</wp:posOffset>
            </wp:positionV>
            <wp:extent cx="5256530" cy="2988310"/>
            <wp:effectExtent l="5080" t="4445" r="11430" b="952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14" w:name="_Toc15396604"/>
      <w:bookmarkStart w:id="15" w:name="_Toc15377206"/>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2"/>
          <w:sz w:val="32"/>
          <w:szCs w:val="32"/>
          <w:highlight w:val="none"/>
          <w:lang w:val="en-US" w:eastAsia="zh-CN" w:bidi="ar-SA"/>
        </w:rPr>
        <w:t>二、收入决算情况说明</w:t>
      </w:r>
      <w:bookmarkEnd w:id="14"/>
      <w:bookmarkEnd w:id="15"/>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2025年度本年收入合计</w:t>
      </w:r>
      <w:r>
        <w:rPr>
          <w:rFonts w:hint="default" w:ascii="Times New Roman" w:hAnsi="Times New Roman" w:eastAsia="方正仿宋_GBK" w:cs="Times New Roman"/>
          <w:sz w:val="32"/>
          <w:szCs w:val="32"/>
          <w:lang w:val="en-US" w:eastAsia="zh-CN"/>
        </w:rPr>
        <w:t>1933.97</w:t>
      </w:r>
      <w:r>
        <w:rPr>
          <w:rFonts w:hint="default" w:ascii="Times New Roman" w:hAnsi="Times New Roman" w:eastAsia="方正仿宋_GBK" w:cs="Times New Roman"/>
          <w:sz w:val="32"/>
          <w:szCs w:val="32"/>
          <w:lang w:eastAsia="zh-CN"/>
        </w:rPr>
        <w:t>万元，其中：一般公共预算财政拨款收入</w:t>
      </w:r>
      <w:r>
        <w:rPr>
          <w:rFonts w:hint="default" w:ascii="Times New Roman" w:hAnsi="Times New Roman" w:eastAsia="方正仿宋_GBK" w:cs="Times New Roman"/>
          <w:sz w:val="32"/>
          <w:szCs w:val="32"/>
          <w:lang w:val="en-US" w:eastAsia="zh-CN"/>
        </w:rPr>
        <w:t>1933.97</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100</w:t>
      </w:r>
      <w:r>
        <w:rPr>
          <w:rFonts w:hint="default" w:ascii="Times New Roman" w:hAnsi="Times New Roman" w:eastAsia="方正仿宋_GBK" w:cs="Times New Roman"/>
          <w:sz w:val="32"/>
          <w:szCs w:val="32"/>
          <w:lang w:eastAsia="zh-CN"/>
        </w:rPr>
        <w:t>%；政府性基金预算财政拨款收入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%；国有资本经营预算财政拨款收入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%；上级补助收入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%；事业收入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%；经营收入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%；附属单位上缴收入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%；其他收入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宋体" w:cs="Times New Roman"/>
          <w:lang w:eastAsia="zh-CN"/>
        </w:rPr>
        <w:pict>
          <v:shape id="Object 2" o:spid="_x0000_s1027" o:spt="75" type="#_x0000_t75" style="position:absolute;left:0pt;margin-left:6.7pt;margin-top:56.6pt;height:236.4pt;width:415.2pt;mso-wrap-distance-bottom:0pt;mso-wrap-distance-top:0pt;z-index:251659264;mso-width-relative:page;mso-height-relative:page;" o:ole="t" filled="f" stroked="f" coordsize="21600,21600" o:gfxdata="UEsDBAoAAAAAAIdO4kAAAAAAAAAAAAAAAAAEAAAAZHJzL1BLAwQUAAAACACHTuJAP9naTtgAAAAH&#10;AQAADwAAAGRycy9kb3ducmV2LnhtbE3OwU7DMAwG4DsS7xAZiRtLu6K1K00nhIATB9ZNTLt5jWkr&#10;Gqc02da9PeEER/u3fn/FajK9ONHoOssK4lkEgri2uuNGwXbzcpeBcB5ZY2+ZFFzIwaq8viow1/bM&#10;azpVvhGhhF2OClrvh1xKV7dk0M3sQByyTzsa9GEcG6lHPIdy08t5FC2kwY7DhxYHemqp/qqORsHr&#10;d4K7/ZRuPtLHy1uyfn+u9G6r1O1NHD2A8DT5v2P45Qc6lMF0sEfWTvQKgtuHbbIEEdIsiecgDgru&#10;s0UKsizkf3/5A1BLAwQUAAAACACHTuJAYALJ2A4BAACFAgAADgAAAGRycy9lMm9Eb2MueG1srZLP&#10;SgMxEIfvgu8Q5m6zW3elLs32UgRPXvQBxmTSDewmYZK6+vbGtkj1JMXb/IEv32/IevM+jeKNOLng&#10;FdSLCgR5HYzzOwUvzw83KxApozc4Bk8KPijBpr++Ws+xo2UYwmiIRYH41M1RwZBz7KRMeqAJ0yJE&#10;8mVpA0+YS8s7aRjnQp9GuayqOzkHNpGDppTKdHtcwonIfwEGa52mbdD7iXw+UplGzCVSGlxM0B9s&#10;rSWdn6xNlMWooK1WJWxW0DRNC6I8VdfNbRm9Krhvly3Ifo3djjEOTp988C8+vwJO6Hwx+EZtMaPY&#10;s7sApQfkXFi6O1QnKX0x6X+vLLhzRgE/mvrrdvJH4vO+1Oe/p/8EUEsDBAoAAAAAAIdO4kAAAAAA&#10;AAAAAAAAAAAPAAAAZHJzL2VtYmVkZGluZ3MvUEsDBBQAAAAIAIdO4kDg5bmVkyEAACYnAAAdAAAA&#10;ZHJzL2VtYmVkZGluZ3MvV29ya2Jvb2sxLnhsc3iFegVYlcv2N92xkW5JSekSpLuku7tkk9Ig3Q1K&#10;d0kjXRsBaenuBhEp6f42eu7xyL3/883z7Jn3mb3ind/Mu2ZmraUgAw2DBPFQguXXBH8+/FUhglsT&#10;oLGCA9DOkUkBTIYF7kD4SbY9tm8kBQkBoQoFAQH4J5mhnd1z19c26XFy8p3MgMBzyYX2HyB7Ze8A&#10;umfYaxI2CvSKM81DebUbM+9eitKaG3ZChRJWrnE+tUdJE/XDqjLiOiNsOx/s9ZxSSZlY8f9InWvJ&#10;WgATURPIuhux9JxJ4lkCDFYBYI6g9ysOVPrmtYfnahl0NBJUKA61iZP/14II2EZf6QDKfmq6/NPE&#10;T64n1mYDSlLc9T9AUP42rCSkbBYAWciuXi/CsSV7rXUfOWR6bZBd/UITQtqx8nZNHNR6wmVt3BKc&#10;NnmjBaWFgxk9bmIiXEcvn1Lz69w+oThqiTRU0h/0gD0jHOHLmGOCQg7JmgyYU4A6W7YJFVRNLH5Z&#10;oHqHQYTt/JWIujXuyDZpxfABMDrzFVOaWGvbbr/hbqVasNscx2ej+iqOrzw5lTINKkVkXwYCDy/g&#10;7V7A7OO5L5Bsm0G/9dqKqUjlpr79YSZwT3YP9SfsDcThfQJg2PnBsGP8E3ZjoIPpA+5esaPSncxY&#10;QQewy9kbILk5W1aRed/+ciIEeeqlwA0bek5LyZxFEuGWQzHPD63BltOToeQb1Df3l0M+Q30F2pqw&#10;FQY2miVEXRhCkDR64UpljieVSYGYWBo9CQaqZU8leCsttNIyTXWU9Qgb2Grh1qUrfZ/RyjQOjXbz&#10;yLHUeULHzfbyJuCq18Z+uazQNB68YNOGlkdo/PSECPMLywKUyEuAYjSWp+A3XGVniHYWladCPOHr&#10;NN3LevDicwLILzY/08rUj3sX8O/Tah/6czfU1xFFyI2Lys11HV4a33C3tR6Io8pM7odB083dqnxp&#10;atTfLIaxr6U/yzy4ro9GuVdjbW+2SSA0QBNdaR4Vqcv9KFsBxGFToaQkCWQ5AgpRJ+goCWewejqd&#10;nnZBJHhd+4T2NVBEaa1xZ1u6C/NBhT0/Hw7H1f8TbX/4SFpaMNoYYLQx/0Db2dEJ+PoB7/xYIZlO&#10;ZrygA7/77I0M6sF3KVF1xnLqAHSkId38vB01i7ixvHGyOxe2LSx0vZOLo1Y+voPz/AH1SXh4nrmh&#10;ryiiZHC+Ex3s6UumK5bKQnBQu1aLE62jrNASlu2sbSBpUnG23lHnMTiS7NdwZ0OoyAGlMzKq8yMV&#10;tcs1Ziq1x+sNIgWveclkKKipakVg1vFC+17krhwGQpsvra3chdlEcM/O7m1xuy7y3QaQ+qs1lvd9&#10;0pZy01SSJdN8RiTOTWfAKmP71Awv3u+QTrNsWYg5rQMGpkkNdMW47D7Vzni12tXE8uworDpg0PLL&#10;RZqamBKrXpVbu3EHLX3OdkjeV96MnPBugUAz3OzmHo/l6uQA+oJyYJ3DzU4wrS8G4q2yiDCNlHe1&#10;UKF1uk+yD8QDsv/bykCDkXW1+Wlf/jfBQy+YwMnQyMb0sR1CjnK/epiiTvDvwTr9pvtJzvIwR6Yx&#10;g9LQLFiB534HgP0lMy2hPCetm2wFAK4a6dM3+05Ql/gOyvPl+V3wgKY3ZA0OFFfiyl4obGyqRAtU&#10;z87TjjfP4JDLZohfxE19HrEV+zQia0M+yB6UurvazsL8o4NSWNOfhSHWYGR5edfNviQGtj4bj/Xg&#10;+Pk2e58CstUskZyrVNl4R3BJqkM/cVgAq2gF9oHoKMa0MIEBK2Ltp4gRstvdHao0TKnGJwMDAnGd&#10;7EHxb85PAEn1ejRNH4/tzbYhX/h5yzmaTcoSGmHysvEHySsDObHRUz9KudqDJCV8yaCWQj508woY&#10;zPdEG53qlC7z63PNX6tWeQOT5vOT1elnhb5/7Pb+YGeiNEDzCS2fQh89ITDxDdmd1OZ0SzxP0CBc&#10;75hmqvckUt3+rg/0/z1HaL+gdQE6WDtamJo6PZ4GGN36JVbwV/IRBgIC779of7L8nIrIBDngGjMg&#10;6IB+z6fSE5gG06SrEFf8dkRtLlHhfNcmDbHK7nvpa8nrA5c4dkhp9Fa3JfsMN3O+mAUB9TCi9heW&#10;TtK5T/NgapgbJ5oT7u5qQZfSocc62zr4qLRekBIH1cOZcd0zrfSQfEJ+b2gZWyu2I3gUhbt0DaxG&#10;kmgjyhp6RvaTShgPW66LlBjQOplK15TGM5jrSQ2TcmKg1MSJ6EZAwRoKC7k+6v1zqDXbNyItCz/g&#10;PIhv0jR1TpNjceUqblSVNNZlV6EN6aa0m/cdus1wvdTWkE6GKulsz4Ov4No5OOsTpa/ely+2Ay4w&#10;Cy1Tsj7oPj0pCa+GFHNBufmx0vJBbcExhWoR2YZhIE5nDWu+8BlOWAK/6HFXQM7S4gVFtr25+drl&#10;2TMaAImDDrb0HPYMQTWQiT8Hq+77vrDMRscABYPQhwTyxAYf3UgQBCG9Sd8On4q2i0x1FWWwH2mC&#10;PsGp+hZIdicCbS7eEuS7kEhSJutPS7W1kjhxSByVxZw8dqEkIrnr/rU8XeydxjhgAdOme7Jlcc2C&#10;xBg3B5tUQayp8yIpEJE3R/UoRTttO4elJ4ZLuOqOV0FFwoLPewZbpyY/WtOJsEfIs19XcF5Ij1fM&#10;OUB+SfAZ8Oa8wfvrLcAK5E+6sJ/3RlTIN4+5Iffz2fje0NJEurtM35SrTj4Z3REuKncpsyB6IIs3&#10;gt2Ql+1iKN7aFc2M3S4xxlZWlWzAlHjiTOMXZSvS4/3YmaRPZQbrbXJnpP/3mnw4nTx87hamr00f&#10;nU5ixZxwt2EhIJ7h/zLcf5P9JP65Evc0h6MJObBAFEcCEVvy8d+3JKqt6ubkPup+tdXmsFSMHopg&#10;W+9mI5kdsnUU2cNARFRUYJIMQYaHUbGiiqHxGXyXo5R3h8znQY3Jaz+zVwwvuNhKmXHw0sf74NLj&#10;bGNs0wPxNIoZNyCfuO1N9jcPblQNybGi9WWCfS+70fMAUcsQGhn7nkzDVf0l7/tWGQuZbu52kplC&#10;I2TnG41+mxIlDEgUCntfU+5Ac+NuTMpV+mg6MomeFa7sxEirWk0pgJQXkxhiQys/STyEx7DP5elm&#10;ffTNXuM5fyCtEu2EoOCl4GX3u9DuoPgU4ZDkr0r7xGRzR4Y5McToRy93PLAQEdFfeKveXybuyWDX&#10;qOIpNnZPVc6P+wTqGgLkOU/S+AgS46d2I90dC08qIFXK167KvKuXGW4tIZCgNCyHuk5mZ14fnBHA&#10;TkFskhKDPMqWzAY7CO+41LkP2CfaAqezFny8YNvqpwNptFxR+48isT1bl+a+TjG2wG1ebCGBVBd3&#10;JrVx9PyNpMf6kJrmLGzfbJcwkhmLn6cfvskFTc/RpDEpKKCaOn+g7WZI3LViFHLBX4Z+C6VEKfWt&#10;TzOoh+Yt6z65tHiaKzxlWH4K3GtDE77hYKgq1jyzE9FPUtS8dxL4fpFVh1dXs+gVmS+P9AQ8PB3u&#10;d/puM1+R8HE33ivvD7AuSFiaEICu9o/bQHefr4/7uCpIvHe6kTHvr6Mz+e/3kLkAZ6N+o+EVJPdH&#10;J0fhEpmtN3fZ0KDO0d4AdCm/QBdUUg8uTSjrcd+q5HUMH7Zww4gQU1+jwz27xfdVsC2cIhOB811v&#10;Dm0dYwC4h/0n5V3OgOMPlFHJFd2hsHwmEfus+yifVDneY6yuskcuxB9/CG0OHYm13n8uXTZxVohv&#10;8cy+8Xv3TI6bf45KDkKhhvs3/FSD7xqLxMKlDSRxb9nau8eaRVp0RdPI8ONiVSWRc73iBPXMnvvF&#10;WNFzBte36orrluyvUhAiEkIpwl+SFajhVWR9EA0d2ARQTaBcQMZVhW8YdENjTuM+YSU27G/xDgm0&#10;m9XZrtSj2FEX4l+wFMir/izuIEX9PBM+hAVz1jjeNiLuSyBxDDtnFWkYYgLND1vmHT9SVo/gooMY&#10;+IRyufPXfmVOmc9h6gV55KTDoRRfFSzEDtAnaZ7yJo2ydGiZCs4wtspLuhe7brO1xO9FtXWGOh5/&#10;Zwo9fbHgo5DjYZGy9KmSXk17gjfQu3Dk7l4ve3pvs75iAJkWLlEtuP3mc9nwct/c+nmSwosYtjD0&#10;AH5fZAvBVRIUOl6v88+bzgzhq7lzfcy+geHcY5wk5j+MydeFIli5W6c9NymfBO5KuuJj2llPdMov&#10;I70q7CNDPtY2LyuwTWp0RaDEXZ8U50HjgkvOTS3rkit2qpgVv+rmfZZlsxwQwJIsZzQulMNBqiI0&#10;dm6NkOIfoDerbTj6prKhaGFYubYDqihR0xczDn67OGq5yB8Rr70WUZGomG/zQ4a5+rPj12buusxl&#10;SEUdzZE5UDjJtvTl1u8L1d6/n8NnfR3L3D9InU2R65EUohgS/k0l1zz7qKDRlknJalQ5m8bIcMRC&#10;9+YZzvYgxwyjNbScXH7WB5eFo9RUVJpkCFNiH5R6l4skEwVe4XQbjMgVYo2nbqDV4VwGfNyPwaJp&#10;8Drh8uVwiLFJHgmUxPqMbbLQcrVBFra1qIAAH8ZGzt7+tkgiykV5VpJo+6eDNYQUdGOX6goXOvRp&#10;r2ovL9v74+TIFv25+c7EnfqB5DRV4iUFUHhPICtcrdzYRaCAVDJk2hPLSsZ0JtOejEXWNKQS7OGK&#10;o4qyLMOrWv0yL6608aHXtavMEIow4nIwosgnDQaztBZrvhPwBNfqnjtRYPOIsOO+HFfCnuRYpDMb&#10;ZAZCy1Tx6cdzaQyKoOyNfT9sdGKSsfUod5bZDvgoI/hp4IKnaR+fwE/oNUuymByLXqJh/mxX0SLv&#10;FjJf4JxmSkD21WDjfH5D4ssOHmKUjJJj/0WHyY4RV+/yidipNv2kNubKUV1ANEnLQLoSrYPvSNZe&#10;G+SfB/pkxDd10uCT4unv06KjhaGDqYmyk4Olrbnjw2kxHXyDghIC36D8lwyTr4kiQ0IWT8m/In6D&#10;xEl3ak+vTWf5Zks7LRuLxED7nlyIQQNKSkytLNjSXKfCPVD8HYpfE8LQoMvQ/X1aZ2x8sLj8C0Gc&#10;UbnSt6IMaJQBymZaPfiw3/dtKmwgQhVQC2vTQmOhogCQUs5uUtQB0h3hoVAfE7a4yCg/MLCyP2E7&#10;Rgjvy7DEJ8C2MH3apy0pE88gPNHbPunqSUyQEuWbwIqcRGeAKglbeoA7MoVbwjqqmlxcuiDZG1PM&#10;muY4sX4K6ThXesLqZXuIGZx4JYDdPoI2QOIo6mxeljMS2IpT0Xb0jeJcj+Leh490vUDSEDSwh9Z8&#10;bl74vi0fmcpavsED5yx84bQg9/gw5zaYG0+twPuZp0V1v3JNpiTCjRVzi64B1sdPs3Kxzgcae3RJ&#10;E1tn9kAWo6GneLoSF7akPplIXfMTr/7Efs2SJHEDjDsAfERE/31ENAICrR9gj1RWBKYyA7wza+4N&#10;Ll+yxIwE0igEUlskphRLVzt5pBBx+6lWxu5FyI7fXdsg7BTIYb7q8brbrz5oNrb3KJc+Qc0z8gue&#10;IebFg3wl1n3B8jnzTZ9FUOxYgnkNFpHwDTEWKHKpTZtdGEQS4Com/rYEgKs17SisoiUoNqkx8WlQ&#10;6rmJWK3UZmyRFtSgCmRWSZxrlKMIXT/3PtaWQ0hQr+O7Dum8QqSGfVHKBJXU7RK/yWL1AbQ9MfVB&#10;OLT1ArX1BMxK5wyZ51hEjA5qHaBjiNEm77zEnRMdIxWl/Gn88ZhAVyOl0U+EK8aUr5w9jfJ5UKmj&#10;gqWcajelUj5fVZuPFHEtFBQZ8mEOIg84YRgN2xd2b6BdI3zX+AoYvkk23uwFPnktIl4cGVIf7Vln&#10;22QmyrmU6pIE5DHfElkyty0ZeZ9fI5tJ+TGbCq58HfYdpPltlhPhqNRHwH3IreZ3WSggu9yCCbsz&#10;tDlWD9d4bJs09R28i3P9WXxm67h5SZJ+5D5ultEHLOkN97SwMCfHa2vYBXzLEt9v8eyp2IwvahvF&#10;4pHdYY/RGmruemCP9/rrHD7ckR7N2rxBhO7r8356tG9fPY+ywV/qoq8fl72xSa3HGHz8fn7vx4Dt&#10;bWOb3824gpGZ7buSTL4dn62vuH8uiPEsaKOHK6GDPAQE6q8F4ejkBr7iPSyHSZ296HlJ/Puoz/cG&#10;jX7oIaXr71v2qGgXv2u92BF8Visp+ZYOuGbCePPRnFf13bhUoJ4mtwqlSpbdi9B1+XzPLGSikJIo&#10;64NMy7HFVzfIfGzeyckmaa7RlGdv8ruZjlvut9y62YzrK14RaTcYX/luNhIrLn0I89s5a/XdjHqx&#10;5gLcSSyggcleRUOZdxyMcjWCWzvdV28bQ+vAnG9xM0nJhmBYyKIgCVw9KqeEvaUYZ/EjPphxWh0a&#10;OSamCFD2oYTtAVmiQIluzMQplU1R9VTqsKxV7p4cM9uj3Eusr0svO0ZFjryosaHna28Rbd85APE7&#10;vFzmrhGaDF2W5u5chbLu+Xatt4LaSWxA5daZPcmFy56wGwdcqopx0TKq34siXkSEzj6IXKyksNqh&#10;Ims6voJ43p8DwF88hsvqfr1K2FEL1GtWa2VsCYryUcgeBt1NzSDrl4gKNHTV2yLnJITkXNIde1Lk&#10;3Hsfcb/I6mJYyMl/vhDxfENJOF2d/F2Tcnp1tI5Bg34baEHydca938cZD8TzwOaq9OTz9zQUXaN7&#10;dcEZMn6lvQBTp/x5NG+GBRabr9SsYQrL1S/1ESD3AKaeXRxEbFYsL683B7bR7UsoOtGz4kUDioPK&#10;V58/qXdigGBoohFjrWO0jDhZndmMRuPNKVdfzSynuFUjUB80n0PylQPMfC6dorILdY712q3Zj3lj&#10;jmlvZpCzFUe1HRgqJpMriA9fkZ3bpkPuCBfNUlFneYxnOeOc6kRNEelgttA5TdREVaTirAqciHWc&#10;noT9KBtu7wdTnNqJuDmgkeWdW6Wva/1M3zA76r5sPF9mrf7l7nNVT4c3R1RB7W/l9IAz7xCsT7Oe&#10;lNbiMmCrVbxe+sitYw3LP1x02gGFLguFB61Zl47mpYodGbYiXY/aeThyokssH3BxMdXHEhGq42ok&#10;qCsfNldm8fJHJKZmOwcVqdDK7BSEJcu31ViNOO2sknN3yX1Dz04H+K3PAdluxNEgSunVln7T/m+n&#10;WmWMfUpOF/NRpYQcJ/XEmq1Xvku8M1EMguLGHh/RzrRSuw0XxlnKuRDOVSIAWl/b65vGLWq15BqX&#10;bDi1U+iA+t6oG/UTZiXlbwkm5UScR72xP3NZ1ZrJ2dKmtOxgAQaW45I5qmaYlX8gI7JRtcUwrwsN&#10;b3k4tq787uHi1Dleyxul4f6ScCPcIdvHRPnF9YnFcSv+1g5y2eDffdoEUJ/ixLMNCzZwn5hJ393j&#10;m93EIEbXBmcIvD1lItMbFxrgG823necMJuOTuJr6inAbtMTiXnzSAcCJaNrzNY3gm65cVZCmidMX&#10;Rdw1qxSdwuik0FiT3vJdD554CXubDfU0u6AqIg1Lg7RUXh5KgW+U95mYyYYVYTtEhssT2iieym55&#10;K88XEVE6QTcNLBiWXKMj8WFTI8WoZQUTFJnbHExV/rjCrI0ZXAFYYiCAEgyPiKRiaac4K0vatHgY&#10;eWYklpA8IW3YwBz3YXcle9qaveFVqvmmdIoYr3qcHYOuVPz0FLZuHJPEtOEi6vC4CN01623cvHLS&#10;HWjOrOCSlWPNCbmvGTh3Jpdg1sYly9YQpHRhIsmY3lkAV1MaprY9Siar0h2s2BQl3/S6s0683Lip&#10;UsP6KntSQqbVi5sj93S2zy6qLAi3kwJkMZo5rM4cFb2HSbxhvDOKz05l7tEAFXtMGEqyMZYKwk25&#10;BQDHivzc3qthV5ToI6pmdzxrp2tWPpKPpl9VQQWSND4pVkrHpm0tVfYy/06UAopywYsF5QCbHRUJ&#10;ciPsatkLrvAaUilFG6KUVYOik53qfAPELrHyy0s2lZMEW4wIOnVmsMfxCpwbCKBD3q++60NN7WL8&#10;IpmgI6Ji5fYS+aOGlGdSPlle8AKBraGrmCk9PnGPPKxAXACSpU1of2oguY2GbCLUyxClmA9hymF0&#10;BxFKge5hxSsrRGu0vTFdbkh8cQZIK2IJfpQNorRe4X3yQ8VuMbADOeSqGysxrvZurLPzN+P46fxF&#10;TXDBVKpxdK/tNJSoPsxBBm+qKGUXwxYTqQvK0FBtTjx5Y5inqWSWYSo92W7JmAwpnFxjYteHtT1m&#10;1aeyy2rZt/KxJTC429SSHt1/YOwdifjA2BQJwXvJ9R/mzq7YJXlaYxjq0toeeIwy4ErnXd0Zs9ZD&#10;hcH0es+whgFckevNzXVaaM7NiUjoMP7VmU1RjqPnQekuxa+VVTi1Ndo88V4/BZe607Wd5BWVomN+&#10;SGYsw3tzpnnjfEFUq06IZt2nqlqCFTpvPu9Um2+/Wgochqf0Q+95h0p4QM5hEN4F1e7vwZQpkHR3&#10;Y457cE9NJhJCZjJ6XdLnHagxdNmWIZt5S0km2E4Bc5Ef5sZTcXcIFfDl7h2SkGnayAoXzJZlQYLt&#10;csUdc2yQNH3259ShbVqKUxoCla8IqEvtLYLHB9e46PpfvE+5Y/370bJDl0IzHDtPxl8NDYMaXJ3O&#10;vt26DG/vKAo9PXHN3Gz5Mitw72B/pUcO2DQThhinS3NNF7g9Ppk+GPR2eXG9UoFI3P8OS/dk7lta&#10;QTX6Kyb+Ky9h30Ibmifl18OZnij9g/v8hvnZPG7SOpHh0ZJpEHIUlGtuqNJPuaxYMLJoqY1YyB07&#10;cTCFxpNCAoO/RGrLwsgZk+OQxiS7lvsc2bkLiAV/6YBWsoXr2zH/gIWDcajyiYLnerykWoIWMRwR&#10;L8dR0ox0Of326OikHVh4fjDIf8OXb2qfbQeNLeTti6MKoOtFqn81fGf/ovk6U5TIu5eMLGopJA3+&#10;5uTouOZlKgfWc8qCzIz8PU12Gh12nYXbnQHzV8pPcJCRcJHHhwV4769ffro42ckNj+bnvu96BlNn&#10;ALMO9/x5wrfpgLDKBNRwbDxuu5yiMrPONYnNtUJQCmo4LU0r0WvurbxbJUNf2IoJBzwTdypT/55X&#10;MMyj9RRbkPE72B1BgxJ0XO9N3QMrfSmQjuhIo8I1pDDRG3wNP3WZF6gjEOJU0+FWJ+uR2WhsFOts&#10;mIHpDGNL7GMH2qVTNFVxqg9jswcMwH0syPMd3DasrcIzlb2BkTFEnMl6UrNvCb8qWC987z1C+kxZ&#10;zPVVWwZrhv25GVsVmChpsiFp8ATJsJNcfZ2ca5w+APUimDMsXCdKHcKoSv0t9uDb8FnZCgAng5m1&#10;zpdfWrX/IgxfIBB/7jbzNvvWQPgMgv5QB2KbnhTNLnUBlYoSSq9FcBm3szlqPBgB4scnIgJj3pbE&#10;pe8hGxfzF2IIbzUXvsntRuEa4RDHErX56rH7QmI4UTs+AWF88iA7pI/wKqEAeVVOW+yRfpXO11y0&#10;VmOfLFXVqm29lZbb3ds72C0rVtprhQYIkhrPp/fOvb9e0aylqs2J/tjun1K6B8fpiTMYHRmZ2CZV&#10;7iz6jVKJ1JLJd270fgaBVlIAZ/r2X1x/cODjor6Dqc1jN7QH95uWe/B/y2BXNPLfNM8fKMvihqU/&#10;MwO6D8BBgC2QnAs2xqwTE/l3OROvt0my9yPUmHGae6BWIUWGiSb46OTLrdRlT5NmwsWneiwFUS1+&#10;zop+gsDeNyDFQ09XjUU/ydLWSWg3FbsOmOZvP4yuA/y3+BLmnlPG6noqjbAG89LGW47uqCgIZvJy&#10;iBXyCBhT+HO22irY9v8Q784kUZDj61qiC/FohrPnDmy5BAKLd4dWXibnigyz0W+oxKY728RgR/h7&#10;5s60AU7F4OB4hh2c+QcOXKSDS8vMGFHFdAKTlMMWNnXa7BmSe3TkScOosgYvBcfHtzvaY0e1awYk&#10;XwRQ5ezeU7L2fN5458bPoS/p8IOxxOX/60b9X3D22sw6fAfD2ASGkwDcgt2ov8ge4gD/ubj9ha6c&#10;1c9wb+CS0BfQu/R3StIbNtJk81Mv38aAfZGMiIMnPfUVdmT2T/MIgTBAuNbzQcn5xWHuECbZCfiK&#10;LDppwFe5ytYDLE/2CpdXT0Nq690RSLBlJStLgMA6ILfF0Pve01jRN0d5n1h6zGn7uIk4sMlyhtM5&#10;8xQd332IV0z1339AV7EgH37CPMMIiJ3X6gUxKsvy7P6AeK6O6+LJl+2QDCZRyTXLXugQ8UI0zfbM&#10;56wUvQNH5yXdvOkjIMf+eV0lhoFpA07rDjtvCr4yo3cO/CXWKJMpKMtkxL1kP0LXNch5XKKYf3zv&#10;mWz7v6H8KwD1jyjJ/0K1KO0UohaMJhX4MkzxC9X/4vgdMfkJb2B0O1IHM0AUHGUEnNmOuQNiC1pD&#10;Rkq+wpfu1KHWSfWKj7ZxrYgJHbJ/R7s2K7QiOabcx5p1L8xOgEVw6HaZQiUYKuy0QvbDbEJ7diDZ&#10;GY+X4t5YFMVu2C/BN/eJXJnIGk8ZiTd/JoKdQoa017Tw3L47oYe76O1WGPQHZ0UblRsTwdsurNeF&#10;ZHW6iGsnKDyXAvPnrRw151uc8TIC5CodA6L4IfZZeUL950HLSv03DEVNSvqb3x7d9l5gStM4gkcc&#10;CXbLP8RStUWAtk6mtk76Km52po66D3e+MnBwqIMZJegg/oy0WKeQs7KTXQ4L7ZrbVtJY4KkMSqRF&#10;PA0nyt3tAkS8YAR6e74q4bWXHq+8u7+YsrljiEUrvVj91xCUtLPuJilakDjwMrc3JoGt+AxNugoG&#10;y/9uTw5Yg/IW35yXQUwMKyNPVFcot/IQkqgiwssG68g8rTfrREVOcMnlBbqSh8QKTaGayIkHE7Na&#10;dcrHadh7PZ5QhdzeDHVfxhIsuoA5K7HvKkPps9kb1sLtybRw9ISHUa8RGt+PlN+ga2x72VnncMSg&#10;qua5TFaiWraQiJMqfMxeq+wnSfXmqyPQMJ6yQ0aykOE0+PEpDtDXkbntb7NHkYa+fFI0yJ/KLfJj&#10;8PJLup9zHA8GqIhKjc7vMq8XMxR3nEVUAY4ewuqbkYwHG9313NJVlimqOleMaHSMlBebZoH6eT+x&#10;ZE7PhWeRkNJ1C1GmSRSEj2eat4dAq0OZ5XS4uKYLlAAsxSvSV/2bqsBoXW39J0sXMTusew/ZBZBQ&#10;WD8Dp7/SOh7PEniiICAhnoJrDXD1P+bsl4D/Hbd9sNK/CgDcJBP9ttl/Kn1stR94filt/Zvn52fw&#10;b8oeokG/CuCv9h+ZK3/qe5y78kD/S98z8NPfbH9lsjyG6HEKxm/uDPDy/pv7PwkZj9kf5xT8ZkcB&#10;B8J/s/+dYfBvg34Inf8qAHBjBvasgU30vzH8idIm8T9s+uMXfWz8H/T8QgmF5B9s/7UVPJbz2Of6&#10;W84iOKoMft//8sA+lvDYUfRbgtWTXxL+dhv929h/LdIHZgD4F/wLrL+TCv5cIo/TCh64fg2+4g++&#10;30kG/6b5T9QzEH6+9H/iln8qfhy5/K24659sv+OYj8F67Gb9LUAT8FPvPyfs3176IeT/qwDADRL4&#10;YwbP1T82qn/jfdgIfxUAuGEmfcz7n23xz7E/3hgfJPwC3ej/kPBom3yMxeOshN8COf9rOL9FKcjA&#10;/rRc2BDYEFjg3eqG7IHv/wFQSwMECgAAAAAAh07iQAAAAAAAAAAAAAAAAAsAAABkcnMvY2hhcnRz&#10;L1BLAwQUAAAACACHTuJAk1ZKoEAGAACaEAAAFQAAAGRycy9jaGFydHMvY2hhcnQxLnhtbO1Yb2sU&#10;Rxh/X+h32C55Vy63e7nL5Q4vklxIEaMGo76fm529WzK7s87M5V8RpDW2VaQt2JZWaakgtiAFqYpE&#10;bT9Mc2d81a/Q55nZvdxdYqpCaV80G8LMM8888/yf3+TY8Y2YO2tMqkgkDdef9FyHJVQEUdJuuOfP&#10;LRZmXEdpkgSEi4Q13E2m3OOz775zjNZph0i9khLKHBCSqDptuB2t03qxqGiHxURNipQlsBYKGRMN&#10;U9kuBpKsg/CYF0ueN100QtxMAHkLATGJkny/fJ39IgwjyhYE7cYs0VYLyTjR4AHViVLlzoJxAdHM&#10;r3llZ43whuu5RSRykrQtYatTaJ62RCm6ScCCppAJuHGIP6b1Oa6ZTEBUUyQaTsvsjF/LUzGRq920&#10;QEWcgnKtiEd606gLCoLsZkeAHc5ZdrEbSaYaLvXLuSNgeMAVcUSlUCLUkyCxaL2QRwPFVoszxVIW&#10;DzDWL9eV3uTMGuR7JbS2ODjXqLBIOG8Ruoq+GWIesO6v48ZxZ+AuE34c6EhzhgNONkVXG3cLyEuY&#10;DrkUjkmX5ewxUk/EYsQ5sJE6T0YIxZzCwpBRvaRQWDHfCSdtWAktEWwuS0cKjfF1VEoXI6n0ElF6&#10;mUhIRSCCAvoM/Am5WG+4jHNIj0hZOjhYyC3XWZckbbjqYpdI5jokoUCGYGiZT5oa5j66DzRTegW9&#10;aiYpUjJ7AhaeBW0wwxquzS5HbcG+sgd6tFCAExmdug03gVLEspTRKpRkIlbMyHVWIdmAE4IJW4hi&#10;PMKS9SBfSF0JHgXoMzOR7VaTS+vZsoefYeLd+JQILLla8UCO1bobnwlDSy7lZPCzsmLAvWPysZoS&#10;R2+mLIT20HDfj5MC11YYI2MLjNgFqsYWqMIFkG2dY4bGXUAC30FMbSxxkKcP6WpxDicLjDPNMluy&#10;+k250HOSkbE8SyPWxF6G5DUiN5uCi7ySTdwgeRhkHa1HwcZINgoZsMyL2RF6A/kgNGdZiKNwdqXD&#10;mPbfm5if8FFlQ4X1JoEeiRypbkIH0VZudlyqHTjKhg50mu3ffNzbvtu7+uuLX77pf7zdu/oIRa0Z&#10;H6SgN0z2RdqJOR+GmULgN/AlrbMNcAI2+xE7gmVj/Lh5rW6rxdnUwghvXoFHJNTijD+/kMVuhM2W&#10;6ggpyyF7xKL5ObgTAm63HlrTYGVmwLgdmTvf0o6mV/HK/44dSy2uMFyByeKh3EBb80VKTNQOS7a5&#10;iVJ9Ym5i6u8zzjRrzMLRjNt9cnnv0/u9bfh98PLOFci7vYd3+jd/71//qX//N5uPozm4L8OHXoLZ&#10;+Toy/nx2C6T2dm73L9/r/bDz8pMvX3UacPZuPe/f/mzv0ZX+7fsvnn6+98XdI5h3n1x7sXNv78e7&#10;vWs/W31Bwu7O9d0n3w2mVshg+vLbK70H3/dufLX7/AZuf/ZwsNTbfrz79Gs7/ePyR6Om24rLKtpO&#10;8vLLYgQoAn2SdOND+gKEan4oVMA0aA4WOTVFwGY/YIAvCDcRNXjKUEHoSAN5RTj9Sqk0WSqNqn0w&#10;Yt4oA5iyr4yd5HYZg9BU2xgHOak6Yn2JtVkSnGRjNzesXCAANocAFXI3iT5N4gxnZF0U6StMHkpf&#10;ZpIilBqXM2+a1Uq0dVDUEiPQp5fgNszwmekLoP1A7RCv/hUOgGouh3hGFeAZvh3y3ve26APFDd9B&#10;xlGYGNyMlkWmn7kq/8dCY1iolkEhQDf/EBSq1PA7AIWmc8wD19AQFJrKyQh//jNQyKYSJhWm2oVI&#10;nUl4VonZdRhEKp0HpLmq5rJ8a5MUL10oZyi8BbxfEPWeIqNoh20gmkY2GDldCUH40Gv5lZD6tUI1&#10;qAaFcpkEhRlaCgolOkWmqpSVYHAJ7wMEWMtSpMq+gezzRMFbcZ21JtdTNUmTIsPnmD9TtG86s+VE&#10;AIeUPVKt1GqkMF0l04Xy1HS5QKoBK0yFtSql00FpulW9ZFCDUc3goVxZKLnBIyMv3zcHIIg/HHgC&#10;1CqliutQRPwhgFwYxiloqJI2oH3eBvRNAfgfjbcXavgdSDI/z6bRJJvJyUclmXmDWqx8BE7K8TKp&#10;27cPbICz3uBFYk84DIIbv+NTly8QTRwJSLnhyhOBhQIIys+n+KQe6toQGIjRYI8JmomU+ZfC7F9Q&#10;SwMEFAAAAAgAh07iQFZVlvYFBQAA2iYAABUAAABkcnMvY2hhcnRzL3N0eWxlMS54bWztWm1v4jgQ&#10;/itWfkAT6EIBlUrdcpVOorfV7kr32SQO5M6Jc7ZZSn/9zTgvxASW25KmgK75Uk+C43lm/MyLc+ur&#10;kb+gUn/Ta87IS8wTEKixs9A6Hbmu8hcspuoqjnwplAj1lS9iV4Rh5DM3kHQVJXO363W67mYWJ5+G&#10;1mYRKUvgFaGQMdXqSsh5MUfMYRav78Y0ShwSBWOn43mDrnN3CwukL5H6HmnOzIgnX1kIj7yMHc9x&#10;jSiMOK8JWRgyX9fEoUg2wjhKhISX0JGS89kDl+QH5WOnN8TLyPkyfhJBJu73PM+8ko5A/CUMM/F1&#10;IXbLae5uXVh3/iqzxICFX58lUa9GM88hfzOZwP+gNSqBj9tq+lSzuZDre1D+jPVW6bNEfHlCVmNn&#10;2Ov2HOLTdOyEnGr4N07B1iqZO4TyOQDi69wegkfBI9i1ZpzJEK+acTqFFWzjDAqxZRwwVHV+KZZJ&#10;gFbAdWbGyNYNVqkYbgi22mG3mqXMVriXjJJYBLCXKOdi9YdAbb78YFJGAQNtjWwaJayQgUrwvhbc&#10;G7w4d+RtLy2sZaFjbY1H82dcdgvES7YwMiQaNNvKVNMpnTFwzXbs9cnDq+bxN4Vr2x7fLcSWx8NK&#10;f5GOAkvNcvSAnrvUben+DlR8nJMbPqqSh7U9Pj/iVTNVaRPbVKUFLVNZ++oAJUGUrHESmHomgjVE&#10;Gyk0BkmiUv8xkkpPqdLPVEJg7jgEmEgj9YRARMC7PEodshDydVuGz0EkhzsOWUmkbvXPkkrmEP57&#10;Aux23e/d9B2izaAz6A4GDpHVO7PqHZr4MFXG8yQbPGgYdwxmKr1faiBKnYfETI+MkXd6IAqfRZTs&#10;8EfjoQrTmjKuU5i8iLaGZ80zVvaA6wAA9/8uf9o8dUSKYSi4DP3VrVm4J0YiyxVgUE1S9jFx7jF0&#10;lK1uqgows4mR8m3UytH1xGh1KAKdEkSYVHR7n2ATHAUWgrIDnhyQEiCM1nWIDjjMHkcrctd39iED&#10;0KB3U6RdMgneCBUd7U2TLJ8qQSphe6ISst2mgDs19zM57Xt4XwW2LSindA0hmKh1PBNQrviR9Dnw&#10;sYpeGRQveVFU/ubPSLJQ0vgcXbdSMLy/59pAIX7f6eysq84iliSm+ICgigXOxRZitsUCsUo+0x20&#10;AzAA3VtRvxUy3l9UNZHgb6UKzZm5iQx8a3E/DyQVuwVSpGU8OZSXtGLE5nC97+NlgnG1yVR2k+xS&#10;oew97S8VDgXoKpbQhRDypHZHc8C27bAWllBNiRPiHIv4kf5LQa2wNL2gcvVz6FJxSHef6F+npE9z&#10;XvJbH6/a9ht6RUe2LLdMX9Ai75/yVx25UoLd5noa/FHxqDksH7t41bAsGlE2kw0L8ZuZrI7nIpqK&#10;S40TAw+vneCaiGeji+Aa8ZvRtbFkNGDyUqFtOwTzLTTZnCVBW4TQRFjEvDk7PzOrPnw2wjcqplyY&#10;Hvp5HYpgVCxWbnQuBteT81Uk72spJiOmzvyA8bAPbqmZDf+nNDzoPr6q2EJTt3lM30TZvJ/ROthV&#10;JjNzVlI5rCczqhhmxvnnB0gQG621BEbHu3VWN5L95wof3ybuDL0eaGxO549ptqVw0jShapF9HaHW&#10;aiJ0fmBsn64b6CzASvhaPV/9kMi4Q9VlelIVuVXy/Kejpya7i00Y5VfaThvw4ROgJbv4qGhruYJT&#10;/TplfVRlWjYp0KEOdy2yxSObbD5Cu/sXUEsDBBQAAAAIAIdO4kBpMw/OEQEAAFwDAAAWAAAAZHJz&#10;L2NoYXJ0cy9jb2xvcnMxLnhtbJ2T0W6DIBiFX8XwAIIOrZrapLr0btnFnoAhKAlIA6xb335op5ur&#10;N5W7/z+e7xxJ2FNbUC21eXNXyYIvJXu/sCXonDsXEFraMUVsqAQ12mruQqoV1JwLymBjyKfoWxij&#10;KIa0I8aNFPCDIXcUfWa9j+DaKOJsqE07MZT0FJRCRUQPAsVcVwJ6pZKBQDQliBA47ElhTfteSxNc&#10;iCwBPmVR9QzgnVCjBOE1Ia+qKslXHBlK8TFeEXB1rOt0RTjt8hSPgr/ACzGCOKF73+XvODSTH+pF&#10;N7fGKfJngMHlV8tp6ckmz7h+5fyG8pe1HfVA/Fx5GY83xCcbPLvJs4x/mtYP/MmMesAzV17Gz+t/&#10;qGH8fUyH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BEAAABkcnMvY2hhcnRzL19yZWxzL1BL&#10;AwQUAAAACACHTuJAdZBxgvcAAAAhAgAAIAAAAGRycy9jaGFydHMvX3JlbHMvY2hhcnQxLnhtbC5y&#10;ZWxzrZFNS8QwEIbvgv8hzN2kXUFENt2DIuxVVzxn0+kHTTIlE2X7700R0S7Vk8ck5HneeWe7O3kn&#10;3jFyT0FDKQsQGCzVfWg1vBwer25BcDKhNo4CapiQYVddXmyf0JmUP3HXjywyJbCGLqXxTim2HXrD&#10;kkYM+aWh6E3Kx9iq0djBtKg2RXGj4k8GVAum2Nca4r6+BnGYxmw+Y/veRmJqkrTkFTVNb2dqWS6p&#10;ynYmpntyFJ/T5DDTTGwxabDzHZcyBwS17t78h/tMy3OKP63lL9aVNj/HfiD75jGklVK/+v4eW0qF&#10;/oj1vGFWrxSHI9GQAzk+zT2oxWKrD1BLAwQKAAAAAACHTuJAAAAAAAAAAAAAAAAACgAAAGRycy9f&#10;cmVscy9QSwMEFAAAAAgAh07iQKsWzUazAAAAIgEAABkAAABkcnMvX3JlbHMvZTJvRG9jLnhtbC5y&#10;ZWxzhY/NCsIwEITvgu8Q9m7TehCRJr2I0KvUB1jS7Q+2SchGsW9v0IuC4HF2mG92yuoxT+JOgUdn&#10;FRRZDoKsce1oewWX5rTZg+CItsXJWVKwEEOl16vyTBPGFOJh9CwSxbKCIUZ/kJLNQDNy5jzZ5HQu&#10;zBiTDL30aK7Yk9zm+U6GTwboL6aoWwWhbgsQzeJT83+267rR0NGZ20w2/qiQZsAQExBDT1HBS/L7&#10;WmTpU5C6lF/L9BNQSwMEFAAAAAgAh07iQJU6bKc/AQAAlwMAABMAAABbQ29udGVudF9UeXBlc10u&#10;eG1snZPLTsMwEEX3SPxD5C1q3HaBEGraBSlLQKh8gGVPmgi/5HHT9O+ZuKmQECUtK8uPe8/cGXmx&#10;6ozOWgjYOFuwWT5lGVjpVGO3BfvYPE8eWIZRWCW0s1CwAyBbLW9vFpuDB8xIbbFgdYz+kXOUNRiB&#10;ufNg6aZywYhI27DlXshPsQU+n07vuXQ2go2T2Huw5aKESux0zNYdHR8r6TR2LHs6PuxZBRPe60aK&#10;SJXy1qoflImrqkaCcnJnyDtHH0AorAGi0XlaGf8VFUDjdaghTE7KVA7Wjcc7SnyG0N+czzLoXmkK&#10;oVGQvYkQX4ShxFwF5LKm/bDM8r+txtuigtjTbKklyfdU9BjcaRfwErrBYRBHf5mE8aDhQhL2b/8B&#10;SroxhnJ7G6C9oInfMcqAJcneoR1zh7krnbzWfJ1UJ2+evtXyC1BLAQIUABQAAAAIAIdO4kCVOmyn&#10;PwEAAJcDAAATAAAAAAAAAAEAIAAAAAk1AABbQ29udGVudF9UeXBlc10ueG1sUEsBAhQACgAAAAAA&#10;h07iQAAAAAAAAAAAAAAAAAYAAAAAAAAAAAAQAAAAdTEAAF9yZWxzL1BLAQIUABQAAAAIAIdO4kCK&#10;FGY80QAAAJQBAAALAAAAAAAAAAEAIAAAAJkxAABfcmVscy8ucmVsc1BLAQIUAAoAAAAAAIdO4kAA&#10;AAAAAAAAAAAAAAAEAAAAAAAAAAAAEAAAAAAAAABkcnMvUEsBAhQACgAAAAAAh07iQAAAAAAAAAAA&#10;AAAAAAoAAAAAAAAAAAAQAAAA9zMAAGRycy9fcmVscy9QSwECFAAUAAAACACHTuJAqxbNRrMAAAAi&#10;AQAAGQAAAAAAAAABACAAAAAfNAAAZHJzL19yZWxzL2Uyb0RvYy54bWwucmVsc1BLAQIUAAoAAAAA&#10;AIdO4kAAAAAAAAAAAAAAAAALAAAAAAAAAAAAEAAAAFwkAABkcnMvY2hhcnRzL1BLAQIUAAoAAAAA&#10;AIdO4kAAAAAAAAAAAAAAAAARAAAAAAAAAAAAEAAAAJMyAABkcnMvY2hhcnRzL19yZWxzL1BLAQIU&#10;ABQAAAAIAIdO4kB1kHGC9wAAACECAAAgAAAAAAAAAAEAIAAAAMIyAABkcnMvY2hhcnRzL19yZWxz&#10;L2NoYXJ0MS54bWwucmVsc1BLAQIUABQAAAAIAIdO4kCTVkqgQAYAAJoQAAAVAAAAAAAAAAEAIAAA&#10;AIUkAABkcnMvY2hhcnRzL2NoYXJ0MS54bWxQSwECFAAUAAAACACHTuJAaTMPzhEBAABcAwAAFgAA&#10;AAAAAAABACAAAAAwMAAAZHJzL2NoYXJ0cy9jb2xvcnMxLnhtbFBLAQIUABQAAAAIAIdO4kBWVZb2&#10;BQUAANomAAAVAAAAAAAAAAEAIAAAAPgqAABkcnMvY2hhcnRzL3N0eWxlMS54bWxQSwECFAAUAAAA&#10;CACHTuJAP9naTtgAAAAHAQAADwAAAAAAAAABACAAAAAiAAAAZHJzL2Rvd25yZXYueG1sUEsBAhQA&#10;FAAAAAgAh07iQGACydgOAQAAhQIAAA4AAAAAAAAAAQAgAAAAJwEAAGRycy9lMm9Eb2MueG1sUEsB&#10;AhQACgAAAAAAh07iQAAAAAAAAAAAAAAAAA8AAAAAAAAAAAAQAAAAYQIAAGRycy9lbWJlZGRpbmdz&#10;L1BLAQIUABQAAAAIAIdO4kDg5bmVkyEAACYnAAAdAAAAAAAAAAEAIAAAAI4CAABkcnMvZW1iZWRk&#10;aW5ncy9Xb3JrYm9vazEueGxzeFBLBQYAAAAAEAAQAPADAAB5NgAAAAA=&#10;">
            <v:path/>
            <v:fill on="f" focussize="0,0"/>
            <v:stroke on="f"/>
            <v:imagedata r:id="rId12" o:title=""/>
            <o:lock v:ext="edit" aspectratio="t"/>
            <w10:wrap type="topAndBottom"/>
          </v:shape>
          <o:OLEObject Type="Embed" ProgID="Excel.Sheet.8" ShapeID="Object 2" DrawAspect="Content" ObjectID="_1468075725" r:id="rId11">
            <o:LockedField>false</o:LockedField>
          </o:OLEObject>
        </w:pict>
      </w:r>
      <w:r>
        <w:rPr>
          <w:rFonts w:hint="default" w:ascii="Times New Roman" w:hAnsi="Times New Roman" w:eastAsia="仿宋_GB2312" w:cs="Times New Roman"/>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textAlignment w:val="auto"/>
        <w:outlineLvl w:val="1"/>
        <w:rPr>
          <w:rFonts w:hint="default" w:ascii="Times New Roman" w:hAnsi="Times New Roman" w:cs="Times New Roman"/>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16" w:name="_Toc15377207"/>
      <w:bookmarkStart w:id="17" w:name="_Toc15396605"/>
      <w:r>
        <w:rPr>
          <w:rFonts w:hint="default" w:ascii="Times New Roman" w:hAnsi="Times New Roman" w:eastAsia="方正黑体_GBK" w:cs="Times New Roman"/>
          <w:b w:val="0"/>
          <w:bCs/>
          <w:color w:val="auto"/>
          <w:kern w:val="2"/>
          <w:sz w:val="32"/>
          <w:szCs w:val="32"/>
          <w:highlight w:val="none"/>
          <w:lang w:val="en-US" w:eastAsia="zh-CN" w:bidi="ar-SA"/>
        </w:rPr>
        <w:t>三、支出决算情况说明</w:t>
      </w:r>
      <w:bookmarkEnd w:id="16"/>
      <w:bookmarkEnd w:id="17"/>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2025年度本年支出合计</w:t>
      </w:r>
      <w:r>
        <w:rPr>
          <w:rFonts w:hint="default" w:ascii="Times New Roman" w:hAnsi="Times New Roman" w:eastAsia="方正仿宋_GBK" w:cs="Times New Roman"/>
          <w:sz w:val="32"/>
          <w:szCs w:val="32"/>
          <w:lang w:val="en-US" w:eastAsia="zh-CN"/>
        </w:rPr>
        <w:t>1933.97</w:t>
      </w:r>
      <w:r>
        <w:rPr>
          <w:rFonts w:hint="default" w:ascii="Times New Roman" w:hAnsi="Times New Roman" w:eastAsia="方正仿宋_GBK" w:cs="Times New Roman"/>
          <w:sz w:val="32"/>
          <w:szCs w:val="32"/>
          <w:lang w:eastAsia="zh-CN"/>
        </w:rPr>
        <w:t>万元，其中：基本支出</w:t>
      </w:r>
      <w:r>
        <w:rPr>
          <w:rFonts w:hint="default" w:ascii="Times New Roman" w:hAnsi="Times New Roman" w:eastAsia="方正仿宋_GBK" w:cs="Times New Roman"/>
          <w:sz w:val="32"/>
          <w:szCs w:val="32"/>
          <w:lang w:val="en-US" w:eastAsia="zh-CN"/>
        </w:rPr>
        <w:t>1381.03</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71</w:t>
      </w:r>
      <w:r>
        <w:rPr>
          <w:rFonts w:hint="default" w:ascii="Times New Roman" w:hAnsi="Times New Roman" w:eastAsia="方正仿宋_GBK" w:cs="Times New Roman"/>
          <w:sz w:val="32"/>
          <w:szCs w:val="32"/>
          <w:lang w:eastAsia="zh-CN"/>
        </w:rPr>
        <w:t>%；项目支出</w:t>
      </w:r>
      <w:r>
        <w:rPr>
          <w:rFonts w:hint="default" w:ascii="Times New Roman" w:hAnsi="Times New Roman" w:eastAsia="方正仿宋_GBK" w:cs="Times New Roman"/>
          <w:sz w:val="32"/>
          <w:szCs w:val="32"/>
          <w:lang w:val="en-US" w:eastAsia="zh-CN"/>
        </w:rPr>
        <w:t>552.94</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lang w:eastAsia="zh-CN"/>
        </w:rPr>
        <w:t>%；上缴上级支出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%；经营支出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%；对附属单位补助支出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万元，占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（图3：支出决算结构图）（饼状图）</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黑体_GBK" w:cs="Times New Roman"/>
          <w:b w:val="0"/>
          <w:bCs/>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posOffset>38100</wp:posOffset>
            </wp:positionH>
            <wp:positionV relativeFrom="paragraph">
              <wp:posOffset>52070</wp:posOffset>
            </wp:positionV>
            <wp:extent cx="5256530" cy="2718435"/>
            <wp:effectExtent l="4445" t="4445" r="12065" b="508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bookmarkStart w:id="18" w:name="_Toc15396606"/>
      <w:bookmarkStart w:id="19" w:name="_Toc15377208"/>
      <w:r>
        <w:rPr>
          <w:rFonts w:hint="default" w:ascii="Times New Roman" w:hAnsi="Times New Roman" w:eastAsia="方正黑体_GBK" w:cs="Times New Roman"/>
          <w:b w:val="0"/>
          <w:bCs/>
          <w:color w:val="auto"/>
          <w:kern w:val="2"/>
          <w:sz w:val="32"/>
          <w:szCs w:val="32"/>
          <w:highlight w:val="none"/>
          <w:lang w:val="en-US" w:eastAsia="zh-CN" w:bidi="ar-SA"/>
        </w:rPr>
        <w:t>四、财政拨款收入支出决算总体情况说明</w:t>
      </w:r>
      <w:bookmarkEnd w:id="18"/>
      <w:bookmarkEnd w:id="19"/>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2025年度财政拨款收入、支出总计均为1933.97万元。与上年度相比，财政拨款收入、支出总计各增加120.72万元，增长12%。主要变动原因是资源勘探工业信息费增加211.88万元。</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（图4：财政拨款收、支决算总计变动情况）（柱状图）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posOffset>-86995</wp:posOffset>
            </wp:positionH>
            <wp:positionV relativeFrom="paragraph">
              <wp:posOffset>67310</wp:posOffset>
            </wp:positionV>
            <wp:extent cx="5256530" cy="2988310"/>
            <wp:effectExtent l="5080" t="4445" r="11430" b="952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20" w:name="_Toc15377209"/>
      <w:bookmarkStart w:id="21" w:name="_Toc15396607"/>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2"/>
          <w:sz w:val="32"/>
          <w:szCs w:val="32"/>
          <w:highlight w:val="none"/>
          <w:lang w:val="en-US" w:eastAsia="zh-CN" w:bidi="ar-SA"/>
        </w:rPr>
        <w:t>五、一般公共预算财政拨款支出决算情况说明</w:t>
      </w:r>
      <w:bookmarkEnd w:id="20"/>
      <w:bookmarkEnd w:id="21"/>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楷体_GBK" w:cs="Times New Roman"/>
          <w:b/>
          <w:color w:val="auto"/>
          <w:sz w:val="32"/>
          <w:szCs w:val="32"/>
          <w:highlight w:val="none"/>
        </w:rPr>
      </w:pPr>
      <w:bookmarkStart w:id="22" w:name="_Toc15377210"/>
      <w:r>
        <w:rPr>
          <w:rFonts w:hint="default" w:ascii="Times New Roman" w:hAnsi="Times New Roman" w:eastAsia="方正楷体_GBK" w:cs="Times New Roman"/>
          <w:b/>
          <w:color w:val="auto"/>
          <w:sz w:val="32"/>
          <w:szCs w:val="32"/>
          <w:highlight w:val="none"/>
        </w:rPr>
        <w:t>（一）一般公共预算财政拨款支出决算总体情况</w:t>
      </w:r>
      <w:bookmarkEnd w:id="22"/>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2025年度一般公共预算财政拨款支出1933.97万元，占本年支出合计的100%。与上年度相比，一般公共预算财政拨款支出增加120.72万元，增长12%。主要变动原因是资源勘探工业信息费增加211.88万元。</w:t>
      </w:r>
    </w:p>
    <w:p>
      <w:pPr>
        <w:pageBreakBefore w:val="0"/>
        <w:kinsoku/>
        <w:wordWrap/>
        <w:overflowPunct/>
        <w:topLinePunct w:val="0"/>
        <w:autoSpaceDE/>
        <w:autoSpaceDN/>
        <w:bidi w:val="0"/>
        <w:spacing w:line="576" w:lineRule="exact"/>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3360" behindDoc="0" locked="0" layoutInCell="1" allowOverlap="1">
            <wp:simplePos x="0" y="0"/>
            <wp:positionH relativeFrom="column">
              <wp:posOffset>132080</wp:posOffset>
            </wp:positionH>
            <wp:positionV relativeFrom="paragraph">
              <wp:posOffset>545465</wp:posOffset>
            </wp:positionV>
            <wp:extent cx="5256530" cy="2887345"/>
            <wp:effectExtent l="4445" t="4445" r="12065" b="1905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default" w:ascii="Times New Roman" w:hAnsi="Times New Roman" w:eastAsia="方正仿宋_GBK" w:cs="Times New Roman"/>
          <w:sz w:val="32"/>
          <w:szCs w:val="32"/>
          <w:lang w:val="en-US" w:eastAsia="zh-CN"/>
        </w:rPr>
        <w:t>（图5：一般公共预算财政拨款支出决算变动情况）（柱状图）</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楷体_GB2312" w:cs="Times New Roman"/>
          <w:b/>
          <w:color w:val="auto"/>
          <w:sz w:val="32"/>
          <w:szCs w:val="32"/>
          <w:highlight w:val="none"/>
        </w:rPr>
      </w:pPr>
      <w:bookmarkStart w:id="23" w:name="_Toc15377211"/>
      <w:r>
        <w:rPr>
          <w:rFonts w:hint="default" w:ascii="Times New Roman" w:hAnsi="Times New Roman" w:eastAsia="楷体_GB2312" w:cs="Times New Roman"/>
          <w:b/>
          <w:color w:val="auto"/>
          <w:sz w:val="32"/>
          <w:szCs w:val="32"/>
          <w:highlight w:val="none"/>
        </w:rPr>
        <w:t>（二）</w:t>
      </w:r>
      <w:r>
        <w:rPr>
          <w:rFonts w:hint="default" w:ascii="Times New Roman" w:hAnsi="Times New Roman" w:eastAsia="方正楷体_GBK" w:cs="Times New Roman"/>
          <w:b/>
          <w:color w:val="auto"/>
          <w:sz w:val="32"/>
          <w:szCs w:val="32"/>
          <w:highlight w:val="none"/>
        </w:rPr>
        <w:t>一般公共预算财政拨款支出决算结构情况</w:t>
      </w:r>
      <w:bookmarkEnd w:id="23"/>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支出1933.97万元，主要用于以下方面：一般公共服务支出1298.71万元，占67%；公共安全支出89.99万元，占5%；资源勘探工业信息支出211.88万元，占11%；卫生健康支出64.02万元，占3%；社会保障和就业支出181.63万元，占9%；住房保障支出87.74万元，占5%。</w:t>
      </w:r>
    </w:p>
    <w:p>
      <w:pPr>
        <w:pageBreakBefore w:val="0"/>
        <w:kinsoku/>
        <w:wordWrap/>
        <w:overflowPunct/>
        <w:topLinePunct w:val="0"/>
        <w:autoSpaceDE/>
        <w:autoSpaceDN/>
        <w:bidi w:val="0"/>
        <w:spacing w:line="576" w:lineRule="exact"/>
        <w:ind w:firstLine="42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5408" behindDoc="0" locked="0" layoutInCell="1" allowOverlap="1">
            <wp:simplePos x="0" y="0"/>
            <wp:positionH relativeFrom="column">
              <wp:posOffset>-20955</wp:posOffset>
            </wp:positionH>
            <wp:positionV relativeFrom="paragraph">
              <wp:posOffset>655320</wp:posOffset>
            </wp:positionV>
            <wp:extent cx="5333365" cy="2388870"/>
            <wp:effectExtent l="4445" t="4445" r="11430" b="1460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方正仿宋_GBK" w:cs="Times New Roman"/>
          <w:sz w:val="32"/>
          <w:szCs w:val="32"/>
          <w:lang w:val="en-US" w:eastAsia="zh-CN"/>
        </w:rPr>
        <w:t>（图6：一般公共预算财政拨款支出决算结构）（饼状图）</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楷体_GBK" w:cs="Times New Roman"/>
          <w:b/>
          <w:color w:val="auto"/>
          <w:sz w:val="32"/>
          <w:szCs w:val="32"/>
          <w:highlight w:val="none"/>
        </w:rPr>
      </w:pPr>
      <w:bookmarkStart w:id="24" w:name="_Toc15377212"/>
      <w:r>
        <w:rPr>
          <w:rFonts w:hint="default" w:ascii="Times New Roman" w:hAnsi="Times New Roman" w:eastAsia="方正楷体_GBK" w:cs="Times New Roman"/>
          <w:b/>
          <w:color w:val="auto"/>
          <w:sz w:val="32"/>
          <w:szCs w:val="32"/>
          <w:highlight w:val="none"/>
        </w:rPr>
        <w:t>（三）一般公共预算财政拨款支出决算具体情况</w:t>
      </w:r>
      <w:bookmarkEnd w:id="24"/>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bookmarkStart w:id="25" w:name="_Toc15377444"/>
      <w:bookmarkStart w:id="26" w:name="_Toc15378460"/>
      <w:bookmarkStart w:id="27" w:name="_Toc15377213"/>
      <w:r>
        <w:rPr>
          <w:rFonts w:hint="default" w:ascii="Times New Roman" w:hAnsi="Times New Roman" w:eastAsia="方正仿宋_GBK" w:cs="Times New Roman"/>
          <w:sz w:val="32"/>
          <w:szCs w:val="32"/>
          <w:lang w:val="en-US" w:eastAsia="zh-CN"/>
        </w:rPr>
        <w:t>2025年度一般公共预算支出决算数为1933.97</w:t>
      </w:r>
      <w:r>
        <w:rPr>
          <w:rFonts w:hint="eastAsia" w:eastAsia="方正仿宋_GBK" w:cs="Times New Roman"/>
          <w:sz w:val="32"/>
          <w:szCs w:val="32"/>
          <w:lang w:val="en-US" w:eastAsia="zh-CN"/>
        </w:rPr>
        <w:t>万元</w:t>
      </w:r>
      <w:r>
        <w:rPr>
          <w:rFonts w:hint="default" w:ascii="Times New Roman" w:hAnsi="Times New Roman" w:eastAsia="方正仿宋_GBK" w:cs="Times New Roman"/>
          <w:sz w:val="32"/>
          <w:szCs w:val="32"/>
          <w:lang w:val="en-US" w:eastAsia="zh-CN"/>
        </w:rPr>
        <w:t>，完成预算100%。其中：</w:t>
      </w:r>
      <w:bookmarkEnd w:id="25"/>
      <w:bookmarkEnd w:id="26"/>
      <w:bookmarkEnd w:id="27"/>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1.一般公共服务（类）201（款）31（项）:支出决算为1298.71万元，完成预算100%，决算数等于预算数。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2.公共安全（类）204（款）99（项）:支出决算为89.99万元，完成预算100%，决算数等于预算数。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3.社会保障和就业（类）208（款）05（项）:支出决算为181.63万元，完成预算100%，决算数等于预算数。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4.卫生健康（类）210（款）11（项）:支出决算为64.02万元，完成预算100%，决算数等于预算数。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5.住房保障支出（类）221（款）02（项）:支出决算为87.74万元，完成预算100%，决算数等于预算数。</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6.资源勘探工业信息支出（类）215（款）99（项）：支出决算为211.88万元，完成预算100%，决算数等于预算数。</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28" w:name="_Toc15377214"/>
      <w:bookmarkStart w:id="29" w:name="_Toc15396608"/>
      <w:r>
        <w:rPr>
          <w:rFonts w:hint="default" w:ascii="Times New Roman" w:hAnsi="Times New Roman" w:eastAsia="方正黑体_GBK" w:cs="Times New Roman"/>
          <w:b w:val="0"/>
          <w:bCs/>
          <w:color w:val="auto"/>
          <w:kern w:val="2"/>
          <w:sz w:val="32"/>
          <w:szCs w:val="32"/>
          <w:highlight w:val="none"/>
          <w:lang w:val="en-US" w:eastAsia="zh-CN" w:bidi="ar-SA"/>
        </w:rPr>
        <w:t>六、一般公共预算财政拨款基本支出决算情况说明</w:t>
      </w:r>
      <w:bookmarkEnd w:id="28"/>
      <w:bookmarkEnd w:id="29"/>
      <w:r>
        <w:rPr>
          <w:rFonts w:hint="default" w:ascii="Times New Roman" w:hAnsi="Times New Roman" w:eastAsia="方正黑体_GBK" w:cs="Times New Roman"/>
          <w:b w:val="0"/>
          <w:bCs/>
          <w:color w:val="auto"/>
          <w:kern w:val="2"/>
          <w:sz w:val="32"/>
          <w:szCs w:val="32"/>
          <w:highlight w:val="none"/>
          <w:lang w:val="en-US" w:eastAsia="zh-CN" w:bidi="ar-SA"/>
        </w:rPr>
        <w:tab/>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2025年度一般公共预算财政拨款基本支出1381.03万元，其中：</w:t>
      </w:r>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人员经费1182.68万元，主要包括：基本工资、津贴补贴、奖金、绩效工资、机关事业单位基本养老保险缴费、职业年金缴费、其他社会保障缴费、其他工资福利支出、生活补助、医疗费补助、奖励金、住房公积金等。</w:t>
      </w:r>
      <w:r>
        <w:rPr>
          <w:rFonts w:hint="default" w:ascii="Times New Roman" w:hAnsi="Times New Roman" w:eastAsia="方正仿宋_GBK" w:cs="Times New Roman"/>
          <w:sz w:val="32"/>
          <w:szCs w:val="32"/>
          <w:lang w:val="en-US" w:eastAsia="zh-CN"/>
        </w:rPr>
        <w:br w:type="textWrapping"/>
      </w:r>
      <w:r>
        <w:rPr>
          <w:rFonts w:hint="default" w:ascii="Times New Roman" w:hAnsi="Times New Roman" w:eastAsia="方正仿宋_GBK" w:cs="Times New Roman"/>
          <w:sz w:val="32"/>
          <w:szCs w:val="32"/>
          <w:lang w:val="en-US" w:eastAsia="zh-CN"/>
        </w:rPr>
        <w:t>　　公用经费198.35万元，主要包括：办公费、印刷费、手续费、电费、邮电费、取暖费、物业管理费、差旅费、维修（护）费、租赁费、会议费、劳务费、委托业务费、公务用车运行维护费、税金及附加费用、其他商品和服务支出等。</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30" w:name="_Toc15377215"/>
      <w:bookmarkStart w:id="31" w:name="_Toc15396609"/>
      <w:r>
        <w:rPr>
          <w:rFonts w:hint="default" w:ascii="Times New Roman" w:hAnsi="Times New Roman" w:eastAsia="方正黑体_GBK" w:cs="Times New Roman"/>
          <w:b w:val="0"/>
          <w:bCs/>
          <w:color w:val="auto"/>
          <w:kern w:val="2"/>
          <w:sz w:val="32"/>
          <w:szCs w:val="32"/>
          <w:highlight w:val="none"/>
          <w:lang w:val="en-US" w:eastAsia="zh-CN" w:bidi="ar-SA"/>
        </w:rPr>
        <w:t>七、财政拨款“三公”经费支出决算情况说明</w:t>
      </w:r>
      <w:bookmarkEnd w:id="30"/>
      <w:bookmarkEnd w:id="31"/>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楷体_GBK" w:cs="Times New Roman"/>
          <w:b/>
          <w:color w:val="auto"/>
          <w:sz w:val="32"/>
          <w:szCs w:val="32"/>
          <w:highlight w:val="none"/>
        </w:rPr>
      </w:pPr>
      <w:bookmarkStart w:id="32" w:name="_Toc15377216"/>
      <w:r>
        <w:rPr>
          <w:rFonts w:hint="default" w:ascii="Times New Roman" w:hAnsi="Times New Roman" w:eastAsia="方正楷体_GBK" w:cs="Times New Roman"/>
          <w:b/>
          <w:color w:val="auto"/>
          <w:sz w:val="32"/>
          <w:szCs w:val="32"/>
          <w:highlight w:val="none"/>
        </w:rPr>
        <w:t>（一）财政拨款“三公”经费支出决算总体情况说明</w:t>
      </w:r>
      <w:bookmarkEnd w:id="32"/>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2025年度财政拨款“三公”经费支出决算为75.79万元，完成预算100%，较上年度增加13.58万元，增长1.3%。决算数与预算数持平。</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楷体_GBK" w:cs="Times New Roman"/>
          <w:b/>
          <w:color w:val="auto"/>
          <w:sz w:val="32"/>
          <w:szCs w:val="32"/>
          <w:highlight w:val="none"/>
        </w:rPr>
      </w:pPr>
      <w:bookmarkStart w:id="33" w:name="_Toc15377217"/>
      <w:r>
        <w:rPr>
          <w:rFonts w:hint="default" w:ascii="Times New Roman" w:hAnsi="Times New Roman" w:eastAsia="方正楷体_GBK" w:cs="Times New Roman"/>
          <w:b/>
          <w:color w:val="auto"/>
          <w:sz w:val="32"/>
          <w:szCs w:val="32"/>
          <w:highlight w:val="none"/>
        </w:rPr>
        <w:t>（二）财政拨款“三公”经费支出决算具体情况说明</w:t>
      </w:r>
      <w:bookmarkEnd w:id="33"/>
    </w:p>
    <w:p>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2025年度财政拨款“三公”经费支出决算中，因公出国（境）费支出决算0万元，占0%；公务用车购置及运行维护费支出决算75.79万元，占100%；公务接待费支出决算0万元，占0%。具体情况如下：</w:t>
      </w:r>
    </w:p>
    <w:p>
      <w:pPr>
        <w:pageBreakBefore w:val="0"/>
        <w:kinsoku/>
        <w:wordWrap/>
        <w:overflowPunct/>
        <w:topLinePunct w:val="0"/>
        <w:autoSpaceDE/>
        <w:autoSpaceDN/>
        <w:bidi w:val="0"/>
        <w:spacing w:line="576" w:lineRule="exact"/>
        <w:ind w:firstLine="420" w:firstLineChars="20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cs="Times New Roman" w:eastAsiaTheme="minorEastAsia"/>
          <w:lang w:eastAsia="zh-CN"/>
        </w:rPr>
        <w:drawing>
          <wp:anchor distT="0" distB="0" distL="114300" distR="114300" simplePos="0" relativeHeight="251664384" behindDoc="0" locked="0" layoutInCell="1" allowOverlap="1">
            <wp:simplePos x="0" y="0"/>
            <wp:positionH relativeFrom="column">
              <wp:posOffset>73025</wp:posOffset>
            </wp:positionH>
            <wp:positionV relativeFrom="paragraph">
              <wp:posOffset>667385</wp:posOffset>
            </wp:positionV>
            <wp:extent cx="5256530" cy="2658745"/>
            <wp:effectExtent l="4445" t="4445" r="12065" b="190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default" w:ascii="Times New Roman" w:hAnsi="Times New Roman" w:eastAsia="方正仿宋_GBK" w:cs="Times New Roman"/>
          <w:sz w:val="32"/>
          <w:szCs w:val="32"/>
          <w:lang w:val="en-US" w:eastAsia="zh-CN"/>
        </w:rPr>
        <w:t>（图7：财政拨款“三公”经费支出结构）（饼状图）</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方正仿宋_GBK" w:cs="Times New Roman"/>
          <w:sz w:val="32"/>
          <w:szCs w:val="32"/>
          <w:lang w:val="en-US" w:eastAsia="zh-CN"/>
        </w:rPr>
        <w:t>全年安排因公出国（境）团组0次，出国（境）0人。因公出国（境）支出决算比上年度</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2.公务用车购置及运行维护费支出75.79万元，完成预算100%。</w:t>
      </w:r>
      <w:r>
        <w:rPr>
          <w:rFonts w:hint="default" w:ascii="Times New Roman" w:hAnsi="Times New Roman" w:eastAsia="方正仿宋_GBK" w:cs="Times New Roman"/>
          <w:sz w:val="32"/>
          <w:szCs w:val="32"/>
          <w:lang w:val="en-US" w:eastAsia="zh-CN"/>
        </w:rPr>
        <w:t>公务用车购置及运行维护费支出决算比上年度增加13.58万元，增长1.3%。</w:t>
      </w:r>
      <w:r>
        <w:rPr>
          <w:rFonts w:hint="eastAsia" w:eastAsia="方正仿宋_GBK" w:cs="Times New Roman"/>
          <w:sz w:val="32"/>
          <w:szCs w:val="32"/>
          <w:lang w:val="en-US" w:eastAsia="zh-CN"/>
        </w:rPr>
        <w:t>主要原因：</w:t>
      </w:r>
      <w:r>
        <w:rPr>
          <w:rFonts w:hint="default" w:ascii="Times New Roman" w:hAnsi="Times New Roman" w:eastAsia="方正仿宋_GBK" w:cs="Times New Roman"/>
          <w:sz w:val="32"/>
          <w:szCs w:val="32"/>
          <w:lang w:val="en-US" w:eastAsia="zh-CN"/>
        </w:rPr>
        <w:t>单位持续落实厉行节约相关要求，公务车辆行驶里程有所增加，叠加车辆老化维修、燃油价格波动等因素影响。单位严格规范公务活动审批流程，各项开支均按制度标准执行，切实保障履职必需。</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其中：公务用车购置支出0万元。全年按规定更新购置公务用车0辆。截至2025年12月31日，单位共有公务用车8辆，其中：轿车0辆、越野8辆、载客汽车0辆。</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公务用车运行维护费支出75.79万元。主要用于开展日常工作所需的公务用车燃料费、维修费、过路过桥费、保险费等支出。</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3.公务接待费支出0万元，完成预算0%。</w:t>
      </w:r>
      <w:r>
        <w:rPr>
          <w:rFonts w:hint="default" w:ascii="Times New Roman" w:hAnsi="Times New Roman" w:eastAsia="方正仿宋_GBK" w:cs="Times New Roman"/>
          <w:sz w:val="32"/>
          <w:szCs w:val="32"/>
          <w:lang w:val="en-US" w:eastAsia="zh-CN"/>
        </w:rPr>
        <w:t>公务接待费支出决算比上年度</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0%。国内公务接待支出0万元。国内公务接待0批次，0人次，共计支出0万元。</w:t>
      </w:r>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lang w:val="en-US" w:eastAsia="zh-CN"/>
        </w:rPr>
        <w:t>外事接待支出0万元。外事接待0批次，0人次，共计支出0万元。</w:t>
      </w:r>
      <w:bookmarkStart w:id="34" w:name="_Toc15396610"/>
      <w:bookmarkStart w:id="35" w:name="_Toc15377218"/>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r>
        <w:rPr>
          <w:rFonts w:hint="default" w:ascii="Times New Roman" w:hAnsi="Times New Roman" w:eastAsia="方正黑体_GBK" w:cs="Times New Roman"/>
          <w:b w:val="0"/>
          <w:bCs/>
          <w:color w:val="auto"/>
          <w:kern w:val="2"/>
          <w:sz w:val="32"/>
          <w:szCs w:val="32"/>
          <w:highlight w:val="none"/>
          <w:lang w:val="en-US" w:eastAsia="zh-CN" w:bidi="ar-SA"/>
        </w:rPr>
        <w:t>八、政府性基金预算支出决算情况说明</w:t>
      </w:r>
      <w:bookmarkEnd w:id="34"/>
      <w:bookmarkEnd w:id="35"/>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2025年度政府性基金预算财政拨款支出0万元，占本年支出合计的0%。与上年度相比，政府性基金预算财政拨款支出</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36" w:name="_Toc15396611"/>
      <w:bookmarkStart w:id="37" w:name="_Toc15377219"/>
      <w:r>
        <w:rPr>
          <w:rFonts w:hint="default" w:ascii="Times New Roman" w:hAnsi="Times New Roman" w:eastAsia="方正黑体_GBK" w:cs="Times New Roman"/>
          <w:b w:val="0"/>
          <w:bCs/>
          <w:color w:val="auto"/>
          <w:kern w:val="2"/>
          <w:sz w:val="32"/>
          <w:szCs w:val="32"/>
          <w:highlight w:val="none"/>
          <w:lang w:val="en-US" w:eastAsia="zh-CN" w:bidi="ar-SA"/>
        </w:rPr>
        <w:t>九、国有资本经营预算支出决算情况说明</w:t>
      </w:r>
      <w:bookmarkEnd w:id="36"/>
      <w:bookmarkEnd w:id="37"/>
    </w:p>
    <w:p>
      <w:pPr>
        <w:pageBreakBefore w:val="0"/>
        <w:kinsoku/>
        <w:wordWrap/>
        <w:overflowPunct/>
        <w:topLinePunct w:val="0"/>
        <w:autoSpaceDE/>
        <w:autoSpaceDN/>
        <w:bidi w:val="0"/>
        <w:spacing w:line="576" w:lineRule="exact"/>
        <w:ind w:firstLine="64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2025年度国有资本经营预算财政拨款支出0万元，占本年支出合计的0%。与上年度相比，国有资本经营预算财政拨款支出</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0万元，</w:t>
      </w:r>
      <w:r>
        <w:rPr>
          <w:rFonts w:hint="eastAsia" w:eastAsia="方正仿宋_GBK" w:cs="Times New Roman"/>
          <w:sz w:val="32"/>
          <w:szCs w:val="32"/>
          <w:lang w:val="en-US" w:eastAsia="zh-CN"/>
        </w:rPr>
        <w:t>无变动</w:t>
      </w:r>
      <w:r>
        <w:rPr>
          <w:rFonts w:hint="default" w:ascii="Times New Roman" w:hAnsi="Times New Roman" w:eastAsia="方正仿宋_GBK" w:cs="Times New Roman"/>
          <w:sz w:val="32"/>
          <w:szCs w:val="32"/>
          <w:lang w:val="en-US" w:eastAsia="zh-CN"/>
        </w:rPr>
        <w:t>0%。</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方正黑体_GBK" w:cs="Times New Roman"/>
          <w:b w:val="0"/>
          <w:bCs/>
          <w:color w:val="auto"/>
          <w:kern w:val="2"/>
          <w:sz w:val="32"/>
          <w:szCs w:val="32"/>
          <w:highlight w:val="none"/>
          <w:lang w:val="en-US" w:eastAsia="zh-CN" w:bidi="ar-SA"/>
        </w:rPr>
      </w:pPr>
      <w:bookmarkStart w:id="38" w:name="_Toc15377221"/>
      <w:bookmarkStart w:id="39" w:name="_Toc15396612"/>
      <w:r>
        <w:rPr>
          <w:rFonts w:hint="default" w:ascii="Times New Roman" w:hAnsi="Times New Roman" w:eastAsia="方正黑体_GBK" w:cs="Times New Roman"/>
          <w:b w:val="0"/>
          <w:bCs/>
          <w:color w:val="auto"/>
          <w:kern w:val="2"/>
          <w:sz w:val="32"/>
          <w:szCs w:val="32"/>
          <w:highlight w:val="none"/>
          <w:lang w:val="en-US" w:eastAsia="zh-CN" w:bidi="ar-SA"/>
        </w:rPr>
        <w:t>十、其他重要事项的情况说明</w:t>
      </w:r>
      <w:bookmarkEnd w:id="38"/>
      <w:bookmarkEnd w:id="39"/>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仿宋_GBK" w:cs="Times New Roman"/>
          <w:sz w:val="32"/>
          <w:szCs w:val="32"/>
          <w:lang w:val="en-US" w:eastAsia="zh-CN"/>
        </w:rPr>
      </w:pPr>
      <w:bookmarkStart w:id="40" w:name="_Toc15377222"/>
      <w:r>
        <w:rPr>
          <w:rFonts w:hint="default" w:ascii="Times New Roman" w:hAnsi="Times New Roman" w:eastAsia="方正楷体_GBK" w:cs="Times New Roman"/>
          <w:b/>
          <w:color w:val="auto"/>
          <w:sz w:val="32"/>
          <w:szCs w:val="32"/>
          <w:highlight w:val="none"/>
        </w:rPr>
        <w:t>（一）机关运行经费支出情况</w:t>
      </w:r>
      <w:bookmarkEnd w:id="40"/>
      <w:r>
        <w:rPr>
          <w:rFonts w:hint="default" w:ascii="Times New Roman" w:hAnsi="Times New Roman" w:eastAsia="方正仿宋_GBK" w:cs="Times New Roman"/>
          <w:sz w:val="32"/>
          <w:szCs w:val="32"/>
          <w:lang w:val="en-US" w:eastAsia="zh-CN"/>
        </w:rPr>
        <w:t>2025年度，县委办机关运行经费支出181.01万元，比上年度增加18万元，增长1.8%。主要原因是目督中心增加8人。</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仿宋_GBK" w:cs="Times New Roman"/>
          <w:sz w:val="32"/>
          <w:szCs w:val="32"/>
          <w:lang w:val="en-US" w:eastAsia="zh-CN"/>
        </w:rPr>
      </w:pPr>
      <w:bookmarkStart w:id="41" w:name="_Toc15377223"/>
      <w:r>
        <w:rPr>
          <w:rFonts w:hint="default" w:ascii="Times New Roman" w:hAnsi="Times New Roman" w:eastAsia="方正楷体_GBK" w:cs="Times New Roman"/>
          <w:b/>
          <w:color w:val="auto"/>
          <w:sz w:val="32"/>
          <w:szCs w:val="32"/>
          <w:highlight w:val="none"/>
        </w:rPr>
        <w:t>（二）政府采购支出情况</w:t>
      </w:r>
      <w:bookmarkEnd w:id="41"/>
      <w:r>
        <w:rPr>
          <w:rFonts w:hint="default" w:ascii="Times New Roman" w:hAnsi="Times New Roman" w:eastAsia="方正仿宋_GBK" w:cs="Times New Roman"/>
          <w:sz w:val="32"/>
          <w:szCs w:val="32"/>
          <w:lang w:val="en-US" w:eastAsia="zh-CN"/>
        </w:rPr>
        <w:t>2025年度，县委办政府采购支出总额24.9万元，其中：政府采购货物支出24.9万元、政府采购工程支出0万元、政府采购服务支出0万元。主要用于购买复印机。授予中小企业合同金额0万元，占政府采购支出总额的0%，其中：授予小微企业合同金额24.9万元，占政府采购支出总额的</w:t>
      </w:r>
      <w:r>
        <w:rPr>
          <w:rFonts w:hint="eastAsia" w:eastAsia="方正仿宋_GBK" w:cs="Times New Roman"/>
          <w:sz w:val="32"/>
          <w:szCs w:val="32"/>
          <w:lang w:val="en-US" w:eastAsia="zh-CN"/>
        </w:rPr>
        <w:t>10</w:t>
      </w:r>
      <w:r>
        <w:rPr>
          <w:rFonts w:hint="default" w:ascii="Times New Roman" w:hAnsi="Times New Roman" w:eastAsia="方正仿宋_GBK" w:cs="Times New Roman"/>
          <w:sz w:val="32"/>
          <w:szCs w:val="32"/>
          <w:lang w:val="en-US" w:eastAsia="zh-CN"/>
        </w:rPr>
        <w:t>0%。</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42" w:name="_Toc15377224"/>
      <w:r>
        <w:rPr>
          <w:rFonts w:hint="default" w:ascii="Times New Roman" w:hAnsi="Times New Roman" w:eastAsia="方正楷体_GBK" w:cs="Times New Roman"/>
          <w:b/>
          <w:color w:val="auto"/>
          <w:sz w:val="32"/>
          <w:szCs w:val="32"/>
          <w:highlight w:val="none"/>
        </w:rPr>
        <w:t>（三）国有资产占有使用情况</w:t>
      </w:r>
      <w:bookmarkEnd w:id="42"/>
      <w:r>
        <w:rPr>
          <w:rFonts w:hint="default" w:ascii="Times New Roman" w:hAnsi="Times New Roman" w:eastAsia="方正仿宋_GBK" w:cs="Times New Roman"/>
          <w:sz w:val="32"/>
          <w:szCs w:val="32"/>
          <w:lang w:val="en-US" w:eastAsia="zh-CN"/>
        </w:rPr>
        <w:t>截至2025年12月31日，县委办车辆8辆，其中：副部（省）级及以上领导用车</w:t>
      </w:r>
      <w:r>
        <w:rPr>
          <w:rFonts w:hint="eastAsia" w:eastAsia="方正仿宋_GBK" w:cs="Times New Roman"/>
          <w:sz w:val="32"/>
          <w:szCs w:val="32"/>
          <w:lang w:val="en-US" w:eastAsia="zh-CN"/>
        </w:rPr>
        <w:t>0</w:t>
      </w:r>
      <w:r>
        <w:rPr>
          <w:rFonts w:hint="default" w:ascii="Times New Roman" w:hAnsi="Times New Roman" w:eastAsia="方正仿宋_GBK" w:cs="Times New Roman"/>
          <w:sz w:val="32"/>
          <w:szCs w:val="32"/>
          <w:lang w:val="en-US" w:eastAsia="zh-CN"/>
        </w:rPr>
        <w:t>辆、主要负责人用车0辆、机要通信用车0辆、应急保障用车0辆、执法执勤用车0辆、特种专业技术用车1辆、离退休干部服务用车0辆、其他用车</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lang w:val="en-US" w:eastAsia="zh-CN"/>
        </w:rPr>
        <w:t>辆，其他用车主要是用于公务。单价100万元（含）以上设备（不含车辆）0台（套）。</w:t>
      </w:r>
    </w:p>
    <w:p>
      <w:pPr>
        <w:pageBreakBefore w:val="0"/>
        <w:kinsoku/>
        <w:wordWrap/>
        <w:overflowPunct/>
        <w:topLinePunct w:val="0"/>
        <w:autoSpaceDE/>
        <w:autoSpaceDN/>
        <w:bidi w:val="0"/>
        <w:spacing w:line="576" w:lineRule="exact"/>
        <w:ind w:firstLine="642" w:firstLineChars="200"/>
        <w:textAlignment w:val="auto"/>
        <w:outlineLvl w:val="2"/>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b/>
          <w:color w:val="auto"/>
          <w:sz w:val="32"/>
          <w:szCs w:val="32"/>
          <w:highlight w:val="none"/>
        </w:rPr>
        <w:t>（四）预算绩效管理情况</w:t>
      </w:r>
      <w:r>
        <w:rPr>
          <w:rFonts w:hint="default" w:ascii="Times New Roman" w:hAnsi="Times New Roman" w:eastAsia="方正仿宋_GBK" w:cs="Times New Roman"/>
          <w:sz w:val="32"/>
          <w:szCs w:val="32"/>
          <w:lang w:val="en-US" w:eastAsia="zh-CN"/>
        </w:rPr>
        <w:t>根据预算绩效管理要求，县委办在2025年度，组织对日常公用经费等60个项目涉及金额1933.97万元开展了事前绩效评估，对</w:t>
      </w:r>
      <w:r>
        <w:rPr>
          <w:rFonts w:hint="eastAsia" w:eastAsia="方正仿宋_GBK" w:cs="Times New Roman"/>
          <w:sz w:val="32"/>
          <w:szCs w:val="32"/>
          <w:lang w:val="en-US" w:eastAsia="zh-CN"/>
        </w:rPr>
        <w:t>60</w:t>
      </w:r>
      <w:r>
        <w:rPr>
          <w:rFonts w:hint="default" w:ascii="Times New Roman" w:hAnsi="Times New Roman" w:eastAsia="方正仿宋_GBK" w:cs="Times New Roman"/>
          <w:sz w:val="32"/>
          <w:szCs w:val="32"/>
          <w:lang w:val="en-US" w:eastAsia="zh-CN"/>
        </w:rPr>
        <w:t>个项目编制了绩效目标。</w:t>
      </w:r>
    </w:p>
    <w:p>
      <w:pPr>
        <w:pageBreakBefore w:val="0"/>
        <w:kinsoku/>
        <w:wordWrap/>
        <w:overflowPunct/>
        <w:topLinePunct w:val="0"/>
        <w:bidi w:val="0"/>
        <w:spacing w:line="576" w:lineRule="exact"/>
        <w:textAlignment w:val="auto"/>
        <w:rPr>
          <w:rFonts w:hint="default" w:ascii="Times New Roman" w:hAnsi="Times New Roman" w:eastAsia="仿宋_GB2312" w:cs="Times New Roman"/>
          <w:color w:val="auto"/>
          <w:sz w:val="32"/>
          <w:szCs w:val="32"/>
          <w:highlight w:val="none"/>
          <w:lang w:eastAsia="zh-CN"/>
        </w:rPr>
      </w:pPr>
      <w:bookmarkStart w:id="43" w:name="_Toc15396614"/>
      <w:bookmarkStart w:id="44" w:name="_Toc15377226"/>
    </w:p>
    <w:p>
      <w:pPr>
        <w:pStyle w:val="2"/>
        <w:rPr>
          <w:rFonts w:hint="default" w:ascii="Times New Roman" w:hAnsi="Times New Roman" w:eastAsia="仿宋_GB2312" w:cs="Times New Roman"/>
          <w:color w:val="auto"/>
          <w:sz w:val="32"/>
          <w:szCs w:val="32"/>
          <w:highlight w:val="none"/>
          <w:lang w:eastAsia="zh-CN"/>
        </w:rPr>
      </w:pPr>
    </w:p>
    <w:p>
      <w:pPr>
        <w:pStyle w:val="3"/>
        <w:rPr>
          <w:rFonts w:hint="default" w:ascii="Times New Roman" w:hAnsi="Times New Roman" w:eastAsia="仿宋_GB2312" w:cs="Times New Roman"/>
          <w:color w:val="auto"/>
          <w:sz w:val="32"/>
          <w:szCs w:val="32"/>
          <w:highlight w:val="none"/>
          <w:lang w:eastAsia="zh-CN"/>
        </w:rPr>
      </w:pPr>
    </w:p>
    <w:p>
      <w:pPr>
        <w:pStyle w:val="3"/>
        <w:rPr>
          <w:rFonts w:hint="default" w:ascii="Times New Roman" w:hAnsi="Times New Roman" w:eastAsia="仿宋_GB2312" w:cs="Times New Roman"/>
          <w:color w:val="auto"/>
          <w:sz w:val="32"/>
          <w:szCs w:val="32"/>
          <w:highlight w:val="none"/>
          <w:lang w:eastAsia="zh-CN"/>
        </w:rPr>
      </w:pPr>
    </w:p>
    <w:p>
      <w:pPr>
        <w:pStyle w:val="3"/>
        <w:rPr>
          <w:rFonts w:hint="default" w:ascii="Times New Roman" w:hAnsi="Times New Roman" w:eastAsia="仿宋_GB2312" w:cs="Times New Roman"/>
          <w:color w:val="auto"/>
          <w:sz w:val="32"/>
          <w:szCs w:val="32"/>
          <w:highlight w:val="none"/>
          <w:lang w:eastAsia="zh-CN"/>
        </w:rPr>
      </w:pPr>
    </w:p>
    <w:p>
      <w:pPr>
        <w:pStyle w:val="3"/>
        <w:ind w:left="0" w:leftChars="0" w:firstLine="0" w:firstLineChars="0"/>
        <w:rPr>
          <w:rFonts w:hint="default" w:ascii="Times New Roman" w:hAnsi="Times New Roman" w:eastAsia="仿宋_GB2312" w:cs="Times New Roman"/>
          <w:color w:val="auto"/>
          <w:sz w:val="32"/>
          <w:szCs w:val="32"/>
          <w:highlight w:val="none"/>
          <w:lang w:eastAsia="zh-CN"/>
        </w:rPr>
      </w:pPr>
    </w:p>
    <w:p>
      <w:pPr>
        <w:pStyle w:val="3"/>
        <w:ind w:left="0" w:leftChars="0" w:firstLine="0" w:firstLineChars="0"/>
        <w:rPr>
          <w:rFonts w:hint="default" w:ascii="Times New Roman" w:hAnsi="Times New Roman" w:eastAsia="仿宋_GB2312" w:cs="Times New Roman"/>
          <w:color w:val="auto"/>
          <w:sz w:val="32"/>
          <w:szCs w:val="32"/>
          <w:highlight w:val="none"/>
          <w:lang w:eastAsia="zh-CN"/>
        </w:rPr>
      </w:pPr>
    </w:p>
    <w:p>
      <w:pPr>
        <w:pStyle w:val="2"/>
        <w:pageBreakBefore w:val="0"/>
        <w:kinsoku/>
        <w:wordWrap/>
        <w:overflowPunct/>
        <w:topLinePunct w:val="0"/>
        <w:bidi w:val="0"/>
        <w:spacing w:line="576" w:lineRule="exact"/>
        <w:textAlignment w:val="auto"/>
        <w:rPr>
          <w:rFonts w:hint="default"/>
          <w:lang w:eastAsia="zh-CN"/>
        </w:rPr>
      </w:pPr>
    </w:p>
    <w:p>
      <w:pPr>
        <w:pageBreakBefore w:val="0"/>
        <w:numPr>
          <w:ilvl w:val="0"/>
          <w:numId w:val="0"/>
        </w:numPr>
        <w:kinsoku/>
        <w:wordWrap/>
        <w:overflowPunct/>
        <w:topLinePunct w:val="0"/>
        <w:bidi w:val="0"/>
        <w:spacing w:line="576" w:lineRule="exact"/>
        <w:jc w:val="center"/>
        <w:textAlignment w:val="auto"/>
        <w:outlineLvl w:val="0"/>
        <w:rPr>
          <w:rStyle w:val="28"/>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44"/>
          <w:szCs w:val="44"/>
          <w:highlight w:val="none"/>
          <w:lang w:eastAsia="zh-CN"/>
        </w:rPr>
        <w:t>第三部分</w:t>
      </w:r>
      <w:r>
        <w:rPr>
          <w:rFonts w:hint="default" w:ascii="Times New Roman" w:hAnsi="Times New Roman" w:eastAsia="黑体" w:cs="Times New Roman"/>
          <w:color w:val="auto"/>
          <w:sz w:val="44"/>
          <w:szCs w:val="44"/>
          <w:highlight w:val="none"/>
        </w:rPr>
        <w:t>名</w:t>
      </w:r>
      <w:r>
        <w:rPr>
          <w:rStyle w:val="28"/>
          <w:rFonts w:hint="default" w:ascii="Times New Roman" w:hAnsi="Times New Roman" w:eastAsia="黑体" w:cs="Times New Roman"/>
          <w:b w:val="0"/>
          <w:color w:val="auto"/>
          <w:highlight w:val="none"/>
        </w:rPr>
        <w:t>词解释</w:t>
      </w:r>
    </w:p>
    <w:p>
      <w:pPr>
        <w:pageBreakBefore w:val="0"/>
        <w:kinsoku/>
        <w:wordWrap/>
        <w:overflowPunct/>
        <w:topLinePunct w:val="0"/>
        <w:bidi w:val="0"/>
        <w:spacing w:line="576" w:lineRule="exact"/>
        <w:jc w:val="left"/>
        <w:textAlignment w:val="auto"/>
        <w:rPr>
          <w:rFonts w:hint="default" w:ascii="Times New Roman" w:hAnsi="Times New Roman" w:cs="Times New Roman"/>
          <w:b/>
          <w:color w:val="auto"/>
          <w:sz w:val="44"/>
          <w:szCs w:val="44"/>
          <w:highlight w:val="none"/>
        </w:rPr>
      </w:pP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.一般公共服务（类）</w:t>
      </w:r>
      <w:r>
        <w:rPr>
          <w:rFonts w:hint="default" w:ascii="Times New Roman" w:hAnsi="Times New Roman" w:eastAsia="方正仿宋_GBK" w:cs="Times New Roman"/>
          <w:color w:val="auto"/>
          <w:sz w:val="32"/>
          <w:szCs w:val="32"/>
          <w:highlight w:val="none"/>
          <w:lang w:val="en-US" w:eastAsia="zh-CN"/>
        </w:rPr>
        <w:t>201</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31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01</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行政运行</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.公共安全（类）</w:t>
      </w:r>
      <w:r>
        <w:rPr>
          <w:rFonts w:hint="default" w:ascii="Times New Roman" w:hAnsi="Times New Roman" w:eastAsia="方正仿宋_GBK" w:cs="Times New Roman"/>
          <w:color w:val="auto"/>
          <w:sz w:val="32"/>
          <w:szCs w:val="32"/>
          <w:highlight w:val="none"/>
          <w:lang w:val="en-US" w:eastAsia="zh-CN"/>
        </w:rPr>
        <w:t>204</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99</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99</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其他公共安全支出</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.教育（类）</w:t>
      </w:r>
      <w:r>
        <w:rPr>
          <w:rFonts w:hint="default" w:ascii="Times New Roman" w:hAnsi="Times New Roman" w:eastAsia="方正仿宋_GBK" w:cs="Times New Roman"/>
          <w:color w:val="auto"/>
          <w:sz w:val="32"/>
          <w:szCs w:val="32"/>
          <w:highlight w:val="none"/>
          <w:lang w:val="en-US" w:eastAsia="zh-CN"/>
        </w:rPr>
        <w:t>205</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08</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99</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其他进修及培训</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.文化</w:t>
      </w:r>
      <w:r>
        <w:rPr>
          <w:rFonts w:hint="default" w:ascii="Times New Roman" w:hAnsi="Times New Roman" w:eastAsia="方正仿宋_GBK" w:cs="Times New Roman"/>
          <w:color w:val="auto"/>
          <w:sz w:val="32"/>
          <w:szCs w:val="32"/>
          <w:highlight w:val="none"/>
          <w:lang w:eastAsia="zh-CN"/>
        </w:rPr>
        <w:t>旅游</w:t>
      </w:r>
      <w:r>
        <w:rPr>
          <w:rFonts w:hint="default" w:ascii="Times New Roman" w:hAnsi="Times New Roman" w:eastAsia="方正仿宋_GBK" w:cs="Times New Roman"/>
          <w:color w:val="auto"/>
          <w:sz w:val="32"/>
          <w:szCs w:val="32"/>
          <w:highlight w:val="none"/>
        </w:rPr>
        <w:t>体育与传媒（类）</w:t>
      </w:r>
      <w:r>
        <w:rPr>
          <w:rFonts w:hint="default" w:ascii="Times New Roman" w:hAnsi="Times New Roman" w:eastAsia="方正仿宋_GBK" w:cs="Times New Roman"/>
          <w:color w:val="auto"/>
          <w:sz w:val="32"/>
          <w:szCs w:val="32"/>
          <w:highlight w:val="none"/>
          <w:lang w:val="en-US" w:eastAsia="zh-CN"/>
        </w:rPr>
        <w:t>207</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08</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文化活动</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.社会保障和就业（类）</w:t>
      </w:r>
      <w:r>
        <w:rPr>
          <w:rFonts w:hint="default" w:ascii="Times New Roman" w:hAnsi="Times New Roman" w:eastAsia="方正仿宋_GBK" w:cs="Times New Roman"/>
          <w:color w:val="auto"/>
          <w:sz w:val="32"/>
          <w:szCs w:val="32"/>
          <w:highlight w:val="none"/>
          <w:lang w:val="en-US" w:eastAsia="zh-CN"/>
        </w:rPr>
        <w:t>208</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05</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05</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机关事业单位基本养老保险</w:t>
      </w:r>
      <w:r>
        <w:rPr>
          <w:rFonts w:hint="default" w:ascii="Times New Roman" w:hAnsi="Times New Roman" w:eastAsia="方正仿宋_GBK" w:cs="Times New Roman"/>
          <w:color w:val="auto"/>
          <w:sz w:val="32"/>
          <w:szCs w:val="32"/>
          <w:highlight w:val="none"/>
        </w:rPr>
        <w:t>。</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rPr>
        <w:t>.社会保障和就业（类）</w:t>
      </w:r>
      <w:r>
        <w:rPr>
          <w:rFonts w:hint="default" w:ascii="Times New Roman" w:hAnsi="Times New Roman" w:eastAsia="方正仿宋_GBK" w:cs="Times New Roman"/>
          <w:color w:val="auto"/>
          <w:sz w:val="32"/>
          <w:szCs w:val="32"/>
          <w:highlight w:val="none"/>
          <w:lang w:val="en-US" w:eastAsia="zh-CN"/>
        </w:rPr>
        <w:t>208</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05</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06</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机关事业单位职业年金</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8</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w:t>
      </w:r>
      <w:r>
        <w:rPr>
          <w:rFonts w:hint="default" w:ascii="Times New Roman" w:hAnsi="Times New Roman" w:eastAsia="方正仿宋_GBK" w:cs="Times New Roman"/>
          <w:color w:val="auto"/>
          <w:sz w:val="32"/>
          <w:szCs w:val="32"/>
          <w:highlight w:val="none"/>
        </w:rPr>
        <w:t>（类）</w:t>
      </w:r>
      <w:r>
        <w:rPr>
          <w:rFonts w:hint="default" w:ascii="Times New Roman" w:hAnsi="Times New Roman" w:eastAsia="方正仿宋_GBK" w:cs="Times New Roman"/>
          <w:color w:val="auto"/>
          <w:sz w:val="32"/>
          <w:szCs w:val="32"/>
          <w:highlight w:val="none"/>
          <w:lang w:val="en-US" w:eastAsia="zh-CN"/>
        </w:rPr>
        <w:t>210</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04</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09</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重大公共卫生服务</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9</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w:t>
      </w:r>
      <w:r>
        <w:rPr>
          <w:rFonts w:hint="default" w:ascii="Times New Roman" w:hAnsi="Times New Roman" w:eastAsia="方正仿宋_GBK" w:cs="Times New Roman"/>
          <w:color w:val="auto"/>
          <w:sz w:val="32"/>
          <w:szCs w:val="32"/>
          <w:highlight w:val="none"/>
        </w:rPr>
        <w:t>（类）</w:t>
      </w:r>
      <w:r>
        <w:rPr>
          <w:rFonts w:hint="default" w:ascii="Times New Roman" w:hAnsi="Times New Roman" w:eastAsia="方正仿宋_GBK" w:cs="Times New Roman"/>
          <w:color w:val="auto"/>
          <w:sz w:val="32"/>
          <w:szCs w:val="32"/>
          <w:highlight w:val="none"/>
          <w:lang w:val="en-US" w:eastAsia="zh-CN"/>
        </w:rPr>
        <w:t>210</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01</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行政单位医疗。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10</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w:t>
      </w:r>
      <w:r>
        <w:rPr>
          <w:rFonts w:hint="default" w:ascii="Times New Roman" w:hAnsi="Times New Roman" w:eastAsia="方正仿宋_GBK" w:cs="Times New Roman"/>
          <w:color w:val="auto"/>
          <w:sz w:val="32"/>
          <w:szCs w:val="32"/>
          <w:highlight w:val="none"/>
        </w:rPr>
        <w:t>（类）</w:t>
      </w:r>
      <w:r>
        <w:rPr>
          <w:rFonts w:hint="default" w:ascii="Times New Roman" w:hAnsi="Times New Roman" w:eastAsia="方正仿宋_GBK" w:cs="Times New Roman"/>
          <w:color w:val="auto"/>
          <w:sz w:val="32"/>
          <w:szCs w:val="32"/>
          <w:highlight w:val="none"/>
          <w:lang w:val="en-US" w:eastAsia="zh-CN"/>
        </w:rPr>
        <w:t>210</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02</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事业单位医疗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w:t>
      </w:r>
      <w:r>
        <w:rPr>
          <w:rFonts w:hint="default" w:ascii="Times New Roman" w:hAnsi="Times New Roman" w:eastAsia="方正仿宋_GBK" w:cs="Times New Roman"/>
          <w:color w:val="auto"/>
          <w:sz w:val="32"/>
          <w:szCs w:val="32"/>
          <w:highlight w:val="none"/>
        </w:rPr>
        <w:t>（类）</w:t>
      </w:r>
      <w:r>
        <w:rPr>
          <w:rFonts w:hint="default" w:ascii="Times New Roman" w:hAnsi="Times New Roman" w:eastAsia="方正仿宋_GBK" w:cs="Times New Roman"/>
          <w:color w:val="auto"/>
          <w:sz w:val="32"/>
          <w:szCs w:val="32"/>
          <w:highlight w:val="none"/>
          <w:lang w:val="en-US" w:eastAsia="zh-CN"/>
        </w:rPr>
        <w:t>210</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03</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公务员医疗补助。</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12</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卫生健康</w:t>
      </w:r>
      <w:r>
        <w:rPr>
          <w:rFonts w:hint="default" w:ascii="Times New Roman" w:hAnsi="Times New Roman" w:eastAsia="方正仿宋_GBK" w:cs="Times New Roman"/>
          <w:color w:val="auto"/>
          <w:sz w:val="32"/>
          <w:szCs w:val="32"/>
          <w:highlight w:val="none"/>
        </w:rPr>
        <w:t>（类）</w:t>
      </w:r>
      <w:r>
        <w:rPr>
          <w:rFonts w:hint="default" w:ascii="Times New Roman" w:hAnsi="Times New Roman" w:eastAsia="方正仿宋_GBK" w:cs="Times New Roman"/>
          <w:color w:val="auto"/>
          <w:sz w:val="32"/>
          <w:szCs w:val="32"/>
          <w:highlight w:val="none"/>
          <w:lang w:val="en-US" w:eastAsia="zh-CN"/>
        </w:rPr>
        <w:t>210</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11</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99</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其他行政事业单位医疗支出。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13</w:t>
      </w:r>
      <w:r>
        <w:rPr>
          <w:rFonts w:hint="default" w:ascii="Times New Roman" w:hAnsi="Times New Roman" w:eastAsia="方正仿宋_GBK" w:cs="Times New Roman"/>
          <w:color w:val="auto"/>
          <w:sz w:val="32"/>
          <w:szCs w:val="32"/>
          <w:highlight w:val="none"/>
        </w:rPr>
        <w:t>.住房保障（类）</w:t>
      </w:r>
      <w:r>
        <w:rPr>
          <w:rFonts w:hint="default" w:ascii="Times New Roman" w:hAnsi="Times New Roman" w:eastAsia="方正仿宋_GBK" w:cs="Times New Roman"/>
          <w:color w:val="auto"/>
          <w:sz w:val="32"/>
          <w:szCs w:val="32"/>
          <w:highlight w:val="none"/>
          <w:lang w:val="en-US" w:eastAsia="zh-CN"/>
        </w:rPr>
        <w:t>221</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02</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01</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住房公积金</w:t>
      </w:r>
      <w:r>
        <w:rPr>
          <w:rFonts w:hint="default" w:ascii="Times New Roman" w:hAnsi="Times New Roman" w:eastAsia="方正仿宋_GBK" w:cs="Times New Roman"/>
          <w:color w:val="auto"/>
          <w:sz w:val="32"/>
          <w:szCs w:val="32"/>
          <w:highlight w:val="none"/>
        </w:rPr>
        <w:t>。</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14</w:t>
      </w:r>
      <w:r>
        <w:rPr>
          <w:rFonts w:hint="default" w:ascii="Times New Roman" w:hAnsi="Times New Roman" w:eastAsia="方正仿宋_GBK" w:cs="Times New Roman"/>
          <w:color w:val="auto"/>
          <w:sz w:val="32"/>
          <w:szCs w:val="32"/>
          <w:highlight w:val="none"/>
        </w:rPr>
        <w:t>.住房保障（类）</w:t>
      </w:r>
      <w:r>
        <w:rPr>
          <w:rFonts w:hint="default" w:ascii="Times New Roman" w:hAnsi="Times New Roman" w:eastAsia="方正仿宋_GBK" w:cs="Times New Roman"/>
          <w:color w:val="auto"/>
          <w:sz w:val="32"/>
          <w:szCs w:val="32"/>
          <w:highlight w:val="none"/>
          <w:lang w:val="en-US" w:eastAsia="zh-CN"/>
        </w:rPr>
        <w:t>221</w:t>
      </w:r>
      <w:r>
        <w:rPr>
          <w:rFonts w:hint="default" w:ascii="Times New Roman" w:hAnsi="Times New Roman" w:eastAsia="方正仿宋_GBK" w:cs="Times New Roman"/>
          <w:color w:val="auto"/>
          <w:sz w:val="32"/>
          <w:szCs w:val="32"/>
          <w:highlight w:val="none"/>
        </w:rPr>
        <w:t>（款）</w:t>
      </w:r>
      <w:r>
        <w:rPr>
          <w:rFonts w:hint="default" w:ascii="Times New Roman" w:hAnsi="Times New Roman" w:eastAsia="方正仿宋_GBK" w:cs="Times New Roman"/>
          <w:color w:val="auto"/>
          <w:sz w:val="32"/>
          <w:szCs w:val="32"/>
          <w:highlight w:val="none"/>
          <w:lang w:val="en-US" w:eastAsia="zh-CN"/>
        </w:rPr>
        <w:t>02</w:t>
      </w:r>
      <w:r>
        <w:rPr>
          <w:rFonts w:hint="default" w:ascii="Times New Roman" w:hAnsi="Times New Roman" w:eastAsia="方正仿宋_GBK" w:cs="Times New Roman"/>
          <w:color w:val="auto"/>
          <w:sz w:val="32"/>
          <w:szCs w:val="32"/>
          <w:highlight w:val="none"/>
        </w:rPr>
        <w:t>（项）</w:t>
      </w:r>
      <w:r>
        <w:rPr>
          <w:rFonts w:hint="default" w:ascii="Times New Roman" w:hAnsi="Times New Roman" w:eastAsia="方正仿宋_GBK" w:cs="Times New Roman"/>
          <w:color w:val="auto"/>
          <w:sz w:val="32"/>
          <w:szCs w:val="32"/>
          <w:highlight w:val="none"/>
          <w:lang w:val="en-US" w:eastAsia="zh-CN"/>
        </w:rPr>
        <w:t>03</w:t>
      </w:r>
      <w:r>
        <w:rPr>
          <w:rFonts w:hint="default" w:ascii="Times New Roman" w:hAnsi="Times New Roman" w:eastAsia="方正仿宋_GBK" w:cs="Times New Roman"/>
          <w:color w:val="auto"/>
          <w:sz w:val="32"/>
          <w:szCs w:val="32"/>
          <w:highlight w:val="none"/>
        </w:rPr>
        <w:t>：指</w:t>
      </w:r>
      <w:r>
        <w:rPr>
          <w:rFonts w:hint="default" w:ascii="Times New Roman" w:hAnsi="Times New Roman" w:eastAsia="方正仿宋_GBK" w:cs="Times New Roman"/>
          <w:color w:val="auto"/>
          <w:sz w:val="32"/>
          <w:szCs w:val="32"/>
          <w:highlight w:val="none"/>
          <w:lang w:val="en-US" w:eastAsia="zh-CN"/>
        </w:rPr>
        <w:t>购房补贴</w:t>
      </w:r>
      <w:r>
        <w:rPr>
          <w:rFonts w:hint="default" w:ascii="Times New Roman" w:hAnsi="Times New Roman" w:eastAsia="方正仿宋_GBK" w:cs="Times New Roman"/>
          <w:color w:val="auto"/>
          <w:sz w:val="32"/>
          <w:szCs w:val="32"/>
          <w:highlight w:val="none"/>
        </w:rPr>
        <w:t>。</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rPr>
        <w:t>.基本支出：指为保障机构正常运转、完成日常工作任务而发生的人员支出和公用支出。</w:t>
      </w:r>
    </w:p>
    <w:p>
      <w:pPr>
        <w:pageBreakBefore w:val="0"/>
        <w:kinsoku/>
        <w:wordWrap/>
        <w:overflowPunct/>
        <w:topLinePunct w:val="0"/>
        <w:bidi w:val="0"/>
        <w:spacing w:line="576"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16</w:t>
      </w:r>
      <w:r>
        <w:rPr>
          <w:rFonts w:hint="default" w:ascii="Times New Roman" w:hAnsi="Times New Roman" w:eastAsia="方正仿宋_GBK" w:cs="Times New Roman"/>
          <w:color w:val="auto"/>
          <w:sz w:val="32"/>
          <w:szCs w:val="32"/>
          <w:highlight w:val="none"/>
        </w:rPr>
        <w:t>.项目支出：指在基本支出之外为完成特定行政任务和事业发展目标所发生的支出。</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17</w:t>
      </w:r>
      <w:r>
        <w:rPr>
          <w:rFonts w:hint="default" w:ascii="Times New Roman" w:hAnsi="Times New Roman" w:eastAsia="方正仿宋_GBK" w:cs="Times New Roman"/>
          <w:color w:val="auto"/>
          <w:sz w:val="32"/>
          <w:szCs w:val="32"/>
          <w:highlight w:val="none"/>
        </w:rPr>
        <w:t>.“三公”经费：指</w:t>
      </w:r>
      <w:r>
        <w:rPr>
          <w:rFonts w:hint="default" w:ascii="Times New Roman" w:hAnsi="Times New Roman" w:eastAsia="方正仿宋_GBK" w:cs="Times New Roman"/>
          <w:color w:val="auto"/>
          <w:sz w:val="32"/>
          <w:szCs w:val="32"/>
          <w:highlight w:val="none"/>
          <w:lang w:eastAsia="zh-CN"/>
        </w:rPr>
        <w:t>单位</w:t>
      </w:r>
      <w:r>
        <w:rPr>
          <w:rFonts w:hint="default" w:ascii="Times New Roman" w:hAnsi="Times New Roman" w:eastAsia="方正仿宋_GBK" w:cs="Times New Roman"/>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18</w:t>
      </w:r>
      <w:r>
        <w:rPr>
          <w:rFonts w:hint="default" w:ascii="Times New Roman" w:hAnsi="Times New Roman" w:eastAsia="方正仿宋_GBK" w:cs="Times New Roman"/>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wordWrap/>
        <w:overflowPunct/>
        <w:topLinePunct w:val="0"/>
        <w:autoSpaceDE/>
        <w:autoSpaceDN/>
        <w:bidi w:val="0"/>
        <w:spacing w:line="576" w:lineRule="exact"/>
        <w:jc w:val="center"/>
        <w:textAlignment w:val="auto"/>
        <w:rPr>
          <w:rStyle w:val="28"/>
          <w:rFonts w:hint="default" w:ascii="Times New Roman" w:hAnsi="Times New Roman" w:eastAsia="黑体" w:cs="Times New Roman"/>
          <w:b w:val="0"/>
          <w:color w:val="auto"/>
          <w:highlight w:val="none"/>
          <w:lang w:eastAsia="zh-CN"/>
        </w:rPr>
      </w:pPr>
      <w:r>
        <w:rPr>
          <w:rFonts w:hint="default" w:ascii="Times New Roman" w:hAnsi="Times New Roman" w:eastAsia="方正仿宋_GBK" w:cs="Times New Roman"/>
          <w:b/>
          <w:color w:val="auto"/>
          <w:sz w:val="32"/>
          <w:szCs w:val="32"/>
          <w:highlight w:val="none"/>
        </w:rPr>
        <w:br w:type="page"/>
      </w:r>
      <w:r>
        <w:rPr>
          <w:rFonts w:hint="default" w:ascii="Times New Roman" w:hAnsi="Times New Roman" w:eastAsia="黑体" w:cs="Times New Roman"/>
          <w:color w:val="auto"/>
          <w:sz w:val="44"/>
          <w:szCs w:val="44"/>
          <w:highlight w:val="none"/>
        </w:rPr>
        <w:t>第四部分附件</w:t>
      </w:r>
      <w:bookmarkEnd w:id="43"/>
    </w:p>
    <w:p>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FF0000"/>
          <w:sz w:val="32"/>
          <w:szCs w:val="32"/>
          <w:highlight w:val="none"/>
        </w:rPr>
      </w:pPr>
    </w:p>
    <w:p>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微软雅黑" w:cs="Times New Roman"/>
          <w:b w:val="0"/>
          <w:bCs/>
          <w:sz w:val="44"/>
          <w:szCs w:val="44"/>
          <w:highlight w:val="none"/>
          <w:shd w:val="clear" w:color="auto" w:fill="FFFFFF"/>
        </w:rPr>
      </w:pPr>
      <w:r>
        <w:rPr>
          <w:rFonts w:hint="default" w:ascii="Times New Roman" w:hAnsi="Times New Roman" w:eastAsia="微软雅黑" w:cs="Times New Roman"/>
          <w:b w:val="0"/>
          <w:bCs/>
          <w:sz w:val="44"/>
          <w:szCs w:val="44"/>
          <w:highlight w:val="none"/>
          <w:shd w:val="clear" w:color="auto" w:fill="FFFFFF"/>
        </w:rPr>
        <w:t>部门</w:t>
      </w:r>
      <w:r>
        <w:rPr>
          <w:rFonts w:hint="default" w:ascii="Times New Roman" w:hAnsi="Times New Roman" w:eastAsia="微软雅黑" w:cs="Times New Roman"/>
          <w:b w:val="0"/>
          <w:bCs/>
          <w:sz w:val="44"/>
          <w:szCs w:val="44"/>
          <w:highlight w:val="none"/>
          <w:shd w:val="clear" w:color="auto" w:fill="FFFFFF"/>
          <w:lang w:eastAsia="zh-CN"/>
        </w:rPr>
        <w:t>预算</w:t>
      </w:r>
      <w:r>
        <w:rPr>
          <w:rFonts w:hint="default" w:ascii="Times New Roman" w:hAnsi="Times New Roman" w:eastAsia="微软雅黑" w:cs="Times New Roman"/>
          <w:b w:val="0"/>
          <w:bCs/>
          <w:sz w:val="44"/>
          <w:szCs w:val="44"/>
          <w:highlight w:val="none"/>
          <w:shd w:val="clear" w:color="auto" w:fill="FFFFFF"/>
        </w:rPr>
        <w:t>绩效</w:t>
      </w:r>
      <w:r>
        <w:rPr>
          <w:rFonts w:hint="default" w:ascii="Times New Roman" w:hAnsi="Times New Roman" w:eastAsia="微软雅黑" w:cs="Times New Roman"/>
          <w:b w:val="0"/>
          <w:bCs/>
          <w:sz w:val="44"/>
          <w:szCs w:val="44"/>
          <w:highlight w:val="none"/>
          <w:shd w:val="clear" w:color="auto" w:fill="FFFFFF"/>
          <w:lang w:eastAsia="zh-CN"/>
        </w:rPr>
        <w:t>评价</w:t>
      </w:r>
      <w:r>
        <w:rPr>
          <w:rFonts w:hint="default" w:ascii="Times New Roman" w:hAnsi="Times New Roman" w:eastAsia="微软雅黑"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楷体_GB2312" w:cs="Times New Roman"/>
          <w:b/>
          <w:color w:val="auto"/>
          <w:sz w:val="32"/>
          <w:szCs w:val="32"/>
          <w:highlight w:val="none"/>
          <w:lang w:val="zh-CN"/>
        </w:rPr>
        <w:t>（一）机构组成。</w:t>
      </w:r>
      <w:r>
        <w:rPr>
          <w:rFonts w:hint="default" w:ascii="Times New Roman" w:hAnsi="Times New Roman" w:eastAsia="方正仿宋_GBK" w:cs="Times New Roman"/>
          <w:color w:val="auto"/>
          <w:kern w:val="2"/>
          <w:sz w:val="32"/>
          <w:szCs w:val="32"/>
          <w:highlight w:val="none"/>
          <w:lang w:val="en-US" w:eastAsia="zh-CN" w:bidi="ar-SA"/>
        </w:rPr>
        <w:t>县委办内设10个股室及无下属单位。</w:t>
      </w:r>
    </w:p>
    <w:p>
      <w:pPr>
        <w:pageBreakBefore w:val="0"/>
        <w:kinsoku/>
        <w:wordWrap/>
        <w:overflowPunct/>
        <w:topLinePunct w:val="0"/>
        <w:bidi w:val="0"/>
        <w:spacing w:line="576" w:lineRule="exact"/>
        <w:ind w:firstLine="642"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楷体_GB2312" w:cs="Times New Roman"/>
          <w:b/>
          <w:color w:val="auto"/>
          <w:sz w:val="32"/>
          <w:szCs w:val="32"/>
          <w:highlight w:val="none"/>
          <w:lang w:val="zh-CN"/>
        </w:rPr>
        <w:t>（二）机构职能。</w:t>
      </w:r>
      <w:r>
        <w:rPr>
          <w:rFonts w:hint="default" w:ascii="Times New Roman" w:hAnsi="Times New Roman" w:eastAsia="方正仿宋_GBK" w:cs="Times New Roman"/>
          <w:color w:val="auto"/>
          <w:kern w:val="2"/>
          <w:sz w:val="32"/>
          <w:szCs w:val="32"/>
          <w:highlight w:val="none"/>
          <w:lang w:val="en-US" w:eastAsia="zh-CN" w:bidi="ar-SA"/>
        </w:rPr>
        <w:t>县委办</w:t>
      </w:r>
      <w:r>
        <w:rPr>
          <w:rFonts w:hint="default" w:ascii="Times New Roman" w:hAnsi="Times New Roman" w:eastAsia="方正仿宋_GBK" w:cs="Times New Roman"/>
          <w:sz w:val="32"/>
          <w:szCs w:val="32"/>
          <w:lang w:val="en-US" w:eastAsia="zh-CN"/>
        </w:rPr>
        <w:t>职责和功能。</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（一）负责县委日常文书的处理，中央、省委、州委和县委重要工作部署贯彻落实的督促检查，中央、省委、州委和县委领导同志指示的传达和催办落实。</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（二）围绕中央、省委、州委和县委部署，收集信息，反映动态，综合调研，承办县委文件、文稿收集、修改和校核工作；负责中央、省委、州委和县委文件的收发、管理和传递等工作。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（三）负责县委常委会议及其他各种会议的会务工作和县委领导同志参加重大活动的组织安排。</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负责贯彻落实中央、省委、州委关于全面深化改革工作的重大方针、决策、部署。负责全县全面深化改革工作的总体布局、统筹协调、整体推进、督促落实。负责处理县委全面深化改革工作领导小组的日常事务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（五）负责贯彻落实中央、省委、州委关于国家安全工作的总体要求和具体部署。负责全县国家安全工作的协调推进。负责处理县委国家安全委员会的日常事务工作。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（六）负责全县党政系统的密码通信和密码管理。负责中央、省委、州委、县委文件和党政军领导机关及其要害部门核心机密电文、信件的传递工作。负责全县密码保护工作。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负责贯彻执行党和国家有关保密工作的方针、政策、法律、法规和县委关于保密工作的指示和决定。制定全县保密工作计划，并组织实施。组织、指导保密宣传教育、理论研究，干部培训工作。指导、督促、检查印刷复印行业的保密管理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（八）负责全县目标绩效考核方案的制定，集中成立考核组，对全县绩效考核开展验收,及时对当年绩效考核细则进行修改、下发、汇总、排名。按时核算绩效考核金。对全县各单位、各部门二次考核进行检查。</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九）负责制定本行政区域内的档案事业发展计划和档案工作规章制度，并组织实施。负责监督、指导本行政区域内的档案工作，依法查处档案违法行为，组织、指导本行政区域内档案理论与科学技术研究、档案宣传与档案教育、档案工作人员培训。</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（十）负责全县公务服务，车辆安排、管理、维护，周转房的分配、管理和日常维护工作，行政办公用房的使用调配维修审批、监督管理工作，并提出经费安排建议。负责县级行政事业单位国有资产管理。</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（十一）负责县委的行政后勤保障工作，管理县委机关房产、地籍和其他固定资产负责县委机关行政事业经费的预算、财务管理、财务审计、基建计划及实施等。</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（十二）负责县委机关的安全防范和社会治安综合治理工作。</w:t>
      </w:r>
      <w:r>
        <w:rPr>
          <w:rFonts w:hint="default" w:ascii="Times New Roman" w:hAnsi="Times New Roman" w:eastAsia="方正仿宋_GBK" w:cs="Times New Roman"/>
          <w:sz w:val="32"/>
          <w:szCs w:val="32"/>
        </w:rPr>
        <w:br w:type="textWrapping"/>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（十三）负责原县委领导和办公室退休人员的管理、服务工作。</w:t>
      </w:r>
      <w:r>
        <w:rPr>
          <w:rFonts w:hint="default" w:ascii="Times New Roman" w:hAnsi="Times New Roman" w:eastAsia="方正仿宋_GBK" w:cs="Times New Roman"/>
          <w:sz w:val="32"/>
          <w:szCs w:val="32"/>
        </w:rPr>
        <w:br w:type="textWrapping"/>
      </w:r>
      <w:r>
        <w:rPr>
          <w:rFonts w:hint="eastAsia" w:eastAsia="方正仿宋_GBK" w:cs="Times New Roman"/>
          <w:sz w:val="32"/>
          <w:szCs w:val="32"/>
          <w:lang w:val="en-US" w:eastAsia="zh-CN"/>
        </w:rPr>
        <w:t xml:space="preserve">   </w:t>
      </w:r>
      <w:r>
        <w:rPr>
          <w:rFonts w:hint="default" w:ascii="Times New Roman" w:hAnsi="Times New Roman" w:eastAsia="方正仿宋_GBK" w:cs="Times New Roman"/>
          <w:sz w:val="32"/>
          <w:szCs w:val="32"/>
        </w:rPr>
        <w:t>（十四）负责全县党政网的规划、建设、管理、运行、维护、使用工作。</w:t>
      </w:r>
    </w:p>
    <w:p>
      <w:pPr>
        <w:pageBreakBefore w:val="0"/>
        <w:kinsoku/>
        <w:wordWrap/>
        <w:overflowPunct/>
        <w:topLinePunct w:val="0"/>
        <w:bidi w:val="0"/>
        <w:spacing w:line="576" w:lineRule="exact"/>
        <w:ind w:firstLine="640" w:firstLineChars="200"/>
        <w:textAlignment w:val="auto"/>
        <w:rPr>
          <w:rFonts w:hint="default" w:ascii="Times New Roman" w:hAnsi="Times New Roman" w:eastAsia="方正仿宋_GBK" w:cs="Times New Roman"/>
          <w:b/>
          <w:bCs/>
          <w:color w:val="000000"/>
          <w:kern w:val="0"/>
          <w:sz w:val="32"/>
          <w:szCs w:val="32"/>
          <w:highlight w:val="none"/>
          <w:shd w:val="clear" w:color="auto" w:fill="FFFFFF"/>
          <w:lang w:val="zh-CN"/>
        </w:rPr>
      </w:pPr>
      <w:r>
        <w:rPr>
          <w:rFonts w:hint="default" w:ascii="Times New Roman" w:hAnsi="Times New Roman" w:eastAsia="方正仿宋_GBK" w:cs="Times New Roman"/>
          <w:sz w:val="32"/>
          <w:szCs w:val="32"/>
        </w:rPr>
        <w:t>（十五）完成县委和县委领导交办的其他工作。</w:t>
      </w:r>
    </w:p>
    <w:p>
      <w:pPr>
        <w:pageBreakBefore w:val="0"/>
        <w:kinsoku/>
        <w:wordWrap/>
        <w:overflowPunct/>
        <w:topLinePunct w:val="0"/>
        <w:bidi w:val="0"/>
        <w:spacing w:line="576" w:lineRule="exact"/>
        <w:ind w:firstLine="642" w:firstLineChars="200"/>
        <w:textAlignment w:val="auto"/>
        <w:rPr>
          <w:rFonts w:hint="eastAsia" w:ascii="方正仿宋_GBK" w:hAnsi="方正仿宋_GBK" w:eastAsia="方正仿宋_GBK" w:cs="方正仿宋_GBK"/>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eastAsia" w:ascii="方正仿宋_GBK" w:hAnsi="方正仿宋_GBK" w:eastAsia="方正仿宋_GBK" w:cs="方正仿宋_GBK"/>
          <w:sz w:val="32"/>
          <w:szCs w:val="32"/>
          <w:lang w:val="en-US" w:eastAsia="zh-CN"/>
        </w:rPr>
        <w:t>截至2025年末，实有人数情况。</w:t>
      </w:r>
      <w:r>
        <w:rPr>
          <w:rFonts w:hint="eastAsia" w:ascii="方正仿宋_GBK" w:hAnsi="方正仿宋_GBK" w:eastAsia="方正仿宋_GBK" w:cs="方正仿宋_GBK"/>
          <w:sz w:val="32"/>
          <w:szCs w:val="32"/>
        </w:rPr>
        <w:t>其中:行政</w:t>
      </w:r>
      <w:r>
        <w:rPr>
          <w:rFonts w:hint="eastAsia" w:ascii="方正仿宋_GBK" w:hAnsi="方正仿宋_GBK" w:eastAsia="方正仿宋_GBK" w:cs="方正仿宋_GBK"/>
          <w:sz w:val="32"/>
          <w:szCs w:val="32"/>
          <w:lang w:val="en-US" w:eastAsia="zh-CN"/>
        </w:rPr>
        <w:t>在职人数21</w:t>
      </w:r>
      <w:r>
        <w:rPr>
          <w:rFonts w:hint="eastAsia" w:ascii="方正仿宋_GBK" w:hAnsi="方正仿宋_GBK" w:eastAsia="方正仿宋_GBK" w:cs="方正仿宋_GBK"/>
          <w:sz w:val="32"/>
          <w:szCs w:val="32"/>
        </w:rPr>
        <w:t>名，行政工勤</w:t>
      </w:r>
      <w:r>
        <w:rPr>
          <w:rFonts w:hint="eastAsia" w:ascii="方正仿宋_GBK" w:hAnsi="方正仿宋_GBK" w:eastAsia="方正仿宋_GBK" w:cs="方正仿宋_GBK"/>
          <w:sz w:val="32"/>
          <w:szCs w:val="32"/>
          <w:lang w:val="en-US" w:eastAsia="zh-CN"/>
        </w:rPr>
        <w:t>在职人数</w:t>
      </w:r>
      <w:r>
        <w:rPr>
          <w:rFonts w:hint="eastAsia" w:ascii="方正仿宋_GBK" w:hAnsi="方正仿宋_GBK" w:eastAsia="方正仿宋_GBK" w:cs="方正仿宋_GBK"/>
          <w:sz w:val="32"/>
          <w:szCs w:val="32"/>
        </w:rPr>
        <w:t>8名。,其中:</w:t>
      </w:r>
      <w:r>
        <w:rPr>
          <w:rFonts w:hint="eastAsia" w:ascii="方正仿宋_GBK" w:hAnsi="方正仿宋_GBK" w:eastAsia="方正仿宋_GBK" w:cs="方正仿宋_GBK"/>
          <w:sz w:val="32"/>
          <w:szCs w:val="32"/>
          <w:lang w:val="en-US" w:eastAsia="zh-CN"/>
        </w:rPr>
        <w:t>事业人员20</w:t>
      </w:r>
      <w:r>
        <w:rPr>
          <w:rFonts w:hint="eastAsia" w:ascii="方正仿宋_GBK" w:hAnsi="方正仿宋_GBK" w:eastAsia="方正仿宋_GBK" w:cs="方正仿宋_GBK"/>
          <w:sz w:val="32"/>
          <w:szCs w:val="32"/>
        </w:rPr>
        <w:t>名。</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方正仿宋_GBK"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default" w:ascii="Times New Roman" w:hAnsi="Times New Roman" w:eastAsia="方正仿宋_GBK" w:cs="Times New Roman"/>
          <w:color w:val="auto"/>
          <w:kern w:val="2"/>
          <w:sz w:val="32"/>
          <w:szCs w:val="32"/>
          <w:highlight w:val="none"/>
          <w:lang w:val="en-US" w:eastAsia="zh-CN" w:bidi="ar-SA"/>
        </w:rPr>
        <w:t>县委办</w:t>
      </w:r>
      <w:r>
        <w:rPr>
          <w:rFonts w:hint="default" w:ascii="Times New Roman" w:hAnsi="Times New Roman" w:eastAsia="方正仿宋_GBK" w:cs="Times New Roman"/>
          <w:sz w:val="32"/>
          <w:szCs w:val="32"/>
          <w:lang w:val="en-US" w:eastAsia="zh-CN"/>
        </w:rPr>
        <w:t>2025年年初预算收入等于决算报表收入1933.97万元。</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default" w:ascii="Times New Roman" w:hAnsi="Times New Roman" w:eastAsia="方正仿宋_GBK" w:cs="Times New Roman"/>
          <w:color w:val="auto"/>
          <w:kern w:val="2"/>
          <w:sz w:val="32"/>
          <w:szCs w:val="32"/>
          <w:highlight w:val="none"/>
          <w:lang w:val="en-US" w:eastAsia="zh-CN" w:bidi="ar-SA"/>
        </w:rPr>
        <w:t>县委办2025年年初预算支出等于决算报表支出1933.97万元。</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（三）结余分配和结转结余情况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方正仿宋_GBK" w:cs="Times New Roman"/>
          <w:color w:val="auto"/>
          <w:kern w:val="2"/>
          <w:sz w:val="32"/>
          <w:szCs w:val="32"/>
          <w:highlight w:val="none"/>
          <w:lang w:val="en-US" w:eastAsia="zh-CN" w:bidi="ar-SA"/>
        </w:rPr>
        <w:t>县委办2025年决算报表结转结余6万财政代管资金。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eastAsia" w:ascii="方正仿宋_GBK" w:hAnsi="方正仿宋_GBK" w:eastAsia="方正仿宋_GBK" w:cs="方正仿宋_GBK"/>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Times New Roman" w:hAnsi="Times New Roman" w:eastAsia="方正仿宋_GBK" w:cs="Times New Roman"/>
          <w:color w:val="auto"/>
          <w:kern w:val="2"/>
          <w:sz w:val="32"/>
          <w:szCs w:val="32"/>
          <w:highlight w:val="none"/>
          <w:lang w:val="zh-CN" w:eastAsia="zh-CN" w:bidi="ar-SA"/>
        </w:rPr>
        <w:t>根</w:t>
      </w:r>
      <w:r>
        <w:rPr>
          <w:rFonts w:hint="eastAsia" w:ascii="方正仿宋_GBK" w:hAnsi="方正仿宋_GBK" w:eastAsia="方正仿宋_GBK" w:cs="方正仿宋_GBK"/>
          <w:color w:val="auto"/>
          <w:kern w:val="2"/>
          <w:sz w:val="32"/>
          <w:szCs w:val="32"/>
          <w:highlight w:val="none"/>
          <w:lang w:val="zh-CN" w:eastAsia="zh-CN" w:bidi="ar-SA"/>
        </w:rPr>
        <w:t>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auto"/>
          <w:kern w:val="2"/>
          <w:sz w:val="32"/>
          <w:szCs w:val="32"/>
          <w:highlight w:val="none"/>
          <w:lang w:val="en-US" w:eastAsia="zh-CN" w:bidi="ar-SA"/>
        </w:rPr>
        <w:t>1.</w:t>
      </w:r>
      <w:r>
        <w:rPr>
          <w:rFonts w:hint="eastAsia" w:ascii="方正仿宋_GBK" w:hAnsi="方正仿宋_GBK" w:eastAsia="方正仿宋_GBK" w:cs="方正仿宋_GBK"/>
          <w:color w:val="auto"/>
          <w:kern w:val="2"/>
          <w:sz w:val="32"/>
          <w:szCs w:val="32"/>
          <w:highlight w:val="none"/>
          <w:lang w:val="zh-CN" w:eastAsia="zh-CN" w:bidi="ar-SA"/>
        </w:rPr>
        <w:t>履职效能。</w:t>
      </w:r>
      <w:r>
        <w:rPr>
          <w:rFonts w:hint="eastAsia" w:ascii="方正仿宋_GBK" w:hAnsi="方正仿宋_GBK" w:eastAsia="方正仿宋_GBK" w:cs="方正仿宋_GBK"/>
          <w:sz w:val="32"/>
          <w:szCs w:val="32"/>
        </w:rPr>
        <w:t>一、强化政治引领，筑牢忠诚履职思想根基</w:t>
      </w:r>
      <w:r>
        <w:rPr>
          <w:rFonts w:hint="eastAsia" w:ascii="方正仿宋_GBK" w:hAnsi="方正仿宋_GBK" w:eastAsia="方正仿宋_GBK" w:cs="方正仿宋_GBK"/>
          <w:sz w:val="32"/>
          <w:szCs w:val="32"/>
          <w:lang w:eastAsia="zh-CN"/>
        </w:rPr>
        <w:t>。始终把党的政治建设摆在首位</w:t>
      </w:r>
      <w:r>
        <w:rPr>
          <w:rFonts w:hint="eastAsia" w:ascii="方正仿宋_GBK" w:hAnsi="方正仿宋_GBK" w:eastAsia="方正仿宋_GBK" w:cs="方正仿宋_GBK"/>
          <w:sz w:val="32"/>
          <w:szCs w:val="32"/>
        </w:rPr>
        <w:t>，深刻领悟</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两个确立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的决定性意义，增强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四个意识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、坚定</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四个自信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、做到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两个维护</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bCs/>
          <w:sz w:val="32"/>
          <w:szCs w:val="32"/>
        </w:rPr>
        <w:t>一是持续深化理论武装。</w:t>
      </w:r>
      <w:r>
        <w:rPr>
          <w:rFonts w:hint="eastAsia" w:ascii="方正仿宋_GBK" w:hAnsi="方正仿宋_GBK" w:eastAsia="方正仿宋_GBK" w:cs="方正仿宋_GBK"/>
          <w:sz w:val="32"/>
          <w:szCs w:val="32"/>
        </w:rPr>
        <w:t>坚持把学习党的创新理论作为首要政治任务，健全完善</w:t>
      </w:r>
      <w:r>
        <w:rPr>
          <w:rFonts w:hint="eastAsia" w:ascii="方正仿宋_GBK" w:hAnsi="方正仿宋_GBK" w:eastAsia="方正仿宋_GBK" w:cs="方正仿宋_GBK"/>
          <w:sz w:val="32"/>
          <w:szCs w:val="32"/>
          <w:lang w:eastAsia="zh-CN"/>
        </w:rPr>
        <w:t>班子会、干部职工会“</w:t>
      </w:r>
      <w:r>
        <w:rPr>
          <w:rFonts w:hint="eastAsia" w:ascii="方正仿宋_GBK" w:hAnsi="方正仿宋_GBK" w:eastAsia="方正仿宋_GBK" w:cs="方正仿宋_GBK"/>
          <w:sz w:val="32"/>
          <w:szCs w:val="32"/>
        </w:rPr>
        <w:t>第一议题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理论学习中心组学习等制度，第一时间传达学习党中央重要会议精神、重大决策部署和习近平总书记重要讲话、重要指示批示精神，引导全体干部职工不断提高政治判断力、政治领悟力、政治执行力，自觉在思想上政治上行动上同党中央保持高度一致。</w:t>
      </w:r>
      <w:r>
        <w:rPr>
          <w:rFonts w:hint="eastAsia" w:ascii="方正仿宋_GBK" w:hAnsi="方正仿宋_GBK" w:eastAsia="方正仿宋_GBK" w:cs="方正仿宋_GBK"/>
          <w:color w:val="000000"/>
          <w:sz w:val="32"/>
          <w:szCs w:val="32"/>
          <w:lang w:val="en-US" w:eastAsia="zh-CN"/>
        </w:rPr>
        <w:t>全年开展集中学习7次、专题研讨4次、交流发言40余人次。</w:t>
      </w:r>
      <w:r>
        <w:rPr>
          <w:rFonts w:hint="eastAsia" w:ascii="方正仿宋_GBK" w:hAnsi="方正仿宋_GBK" w:eastAsia="方正仿宋_GBK" w:cs="方正仿宋_GBK"/>
          <w:b/>
          <w:bCs/>
          <w:sz w:val="32"/>
          <w:szCs w:val="32"/>
        </w:rPr>
        <w:t>二是严明政治纪律规矩。</w:t>
      </w:r>
      <w:r>
        <w:rPr>
          <w:rFonts w:hint="eastAsia" w:ascii="方正仿宋_GBK" w:hAnsi="方正仿宋_GBK" w:eastAsia="方正仿宋_GBK" w:cs="方正仿宋_GBK"/>
          <w:sz w:val="32"/>
          <w:szCs w:val="32"/>
        </w:rPr>
        <w:t>严格遵守党的政治纪律和政治规矩，不折不扣贯彻执行中央、省委、州委和县委的各项决定。严格执行重大事项请示报告制度，确保办公室各项工作始终沿着正确政治方向前进。</w:t>
      </w:r>
      <w:r>
        <w:rPr>
          <w:rFonts w:hint="eastAsia" w:ascii="方正仿宋_GBK" w:hAnsi="方正仿宋_GBK" w:eastAsia="方正仿宋_GBK" w:cs="方正仿宋_GBK"/>
          <w:b/>
          <w:bCs/>
          <w:sz w:val="32"/>
          <w:szCs w:val="32"/>
        </w:rPr>
        <w:t>三是巩固拓展</w:t>
      </w:r>
      <w:r>
        <w:rPr>
          <w:rFonts w:hint="eastAsia" w:ascii="方正仿宋_GBK" w:hAnsi="方正仿宋_GBK" w:eastAsia="方正仿宋_GBK" w:cs="方正仿宋_GBK"/>
          <w:b/>
          <w:bCs/>
          <w:sz w:val="32"/>
          <w:szCs w:val="32"/>
          <w:lang w:eastAsia="zh-CN"/>
        </w:rPr>
        <w:t>党纪学习</w:t>
      </w:r>
      <w:r>
        <w:rPr>
          <w:rFonts w:hint="eastAsia" w:ascii="方正仿宋_GBK" w:hAnsi="方正仿宋_GBK" w:eastAsia="方正仿宋_GBK" w:cs="方正仿宋_GBK"/>
          <w:b/>
          <w:bCs/>
          <w:sz w:val="32"/>
          <w:szCs w:val="32"/>
        </w:rPr>
        <w:t>教育成果。</w:t>
      </w:r>
      <w:r>
        <w:rPr>
          <w:rFonts w:hint="eastAsia" w:ascii="方正仿宋_GBK" w:hAnsi="方正仿宋_GBK" w:eastAsia="方正仿宋_GBK" w:cs="方正仿宋_GBK"/>
          <w:sz w:val="32"/>
          <w:szCs w:val="32"/>
        </w:rPr>
        <w:t>建立健全常态化长效化学习机制，将</w:t>
      </w:r>
      <w:r>
        <w:rPr>
          <w:rFonts w:hint="eastAsia" w:ascii="方正仿宋_GBK" w:hAnsi="方正仿宋_GBK" w:eastAsia="方正仿宋_GBK" w:cs="方正仿宋_GBK"/>
          <w:sz w:val="32"/>
          <w:szCs w:val="32"/>
          <w:lang w:eastAsia="zh-CN"/>
        </w:rPr>
        <w:t>党纪学习</w:t>
      </w:r>
      <w:r>
        <w:rPr>
          <w:rFonts w:hint="eastAsia" w:ascii="方正仿宋_GBK" w:hAnsi="方正仿宋_GBK" w:eastAsia="方正仿宋_GBK" w:cs="方正仿宋_GBK"/>
          <w:sz w:val="32"/>
          <w:szCs w:val="32"/>
        </w:rPr>
        <w:t>教育中形成的好经验好做法固化为制度规范，引导党员干部把学习成效转化为推动工作的强大动力和实际成效。</w:t>
      </w:r>
      <w:r>
        <w:rPr>
          <w:rFonts w:hint="eastAsia" w:ascii="方正仿宋_GBK" w:hAnsi="方正仿宋_GBK" w:eastAsia="方正仿宋_GBK" w:cs="方正仿宋_GBK"/>
          <w:color w:val="000000"/>
          <w:sz w:val="32"/>
          <w:szCs w:val="32"/>
          <w:lang w:val="en-US" w:eastAsia="zh-CN"/>
        </w:rPr>
        <w:t>全年召开党纪学习教育集中学习会议7次，交流研讨40余人次，实地参观红色教育基地1次，引领全体党员干部学纪、知纪、明纪、守纪。</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sz w:val="32"/>
          <w:szCs w:val="32"/>
          <w:lang w:val="en-US" w:eastAsia="zh-CN"/>
        </w:rPr>
        <w:t>二、聚焦主责主业，提升服务大局能力水平。</w:t>
      </w:r>
      <w:r>
        <w:rPr>
          <w:rFonts w:hint="eastAsia" w:ascii="方正仿宋_GBK" w:hAnsi="方正仿宋_GBK" w:eastAsia="方正仿宋_GBK" w:cs="方正仿宋_GBK"/>
          <w:color w:val="000000"/>
          <w:sz w:val="32"/>
          <w:szCs w:val="32"/>
          <w:lang w:val="en-US" w:eastAsia="zh-CN"/>
        </w:rPr>
        <w:t>牢固树立党办无小事、事事牵大局理念，坚持以最高站位、最高标准，一体推进机要保密、深化改革、基层减负、督查督办等业务工作，以过硬实绩彰显委办标准。</w:t>
      </w:r>
      <w:r>
        <w:rPr>
          <w:rFonts w:hint="eastAsia" w:ascii="方正仿宋_GBK" w:hAnsi="方正仿宋_GBK" w:eastAsia="方正仿宋_GBK" w:cs="方正仿宋_GBK"/>
          <w:b/>
          <w:bCs/>
          <w:sz w:val="32"/>
          <w:szCs w:val="32"/>
          <w:lang w:val="en-US" w:eastAsia="zh-CN"/>
        </w:rPr>
        <w:t>精确掌握信息动态。</w:t>
      </w:r>
      <w:r>
        <w:rPr>
          <w:rFonts w:hint="eastAsia" w:ascii="方正仿宋_GBK" w:hAnsi="方正仿宋_GBK" w:eastAsia="方正仿宋_GBK" w:cs="方正仿宋_GBK"/>
          <w:color w:val="000000"/>
          <w:sz w:val="32"/>
          <w:szCs w:val="32"/>
          <w:lang w:val="en-US" w:eastAsia="zh-CN"/>
        </w:rPr>
        <w:t>紧扣县委县政府中心工作，聚焦经济社会发展、基层治理、乡村振兴等重点领域，深挖壤塘特色亮点、提炼实践经验方法，着力提升信息报送的质量和效率。全年累计撰写并上报党委信息182期，州委信息办采用59期（2025年前三季度）；自10月31日起，按要求向省委办公厅报送《每日要情》8期，有效向上传递了“壤塘声音”。</w:t>
      </w:r>
      <w:r>
        <w:rPr>
          <w:rFonts w:hint="eastAsia" w:ascii="方正仿宋_GBK" w:hAnsi="方正仿宋_GBK" w:eastAsia="方正仿宋_GBK" w:cs="方正仿宋_GBK"/>
          <w:b/>
          <w:bCs/>
          <w:sz w:val="32"/>
          <w:szCs w:val="32"/>
          <w:lang w:val="en-US" w:eastAsia="zh-CN"/>
        </w:rPr>
        <w:t>深化改革稳步推进。</w:t>
      </w:r>
      <w:r>
        <w:rPr>
          <w:rFonts w:hint="eastAsia" w:ascii="方正仿宋_GBK" w:hAnsi="方正仿宋_GBK" w:eastAsia="方正仿宋_GBK" w:cs="方正仿宋_GBK"/>
          <w:color w:val="000000"/>
          <w:sz w:val="32"/>
          <w:szCs w:val="32"/>
          <w:lang w:val="en-US" w:eastAsia="zh-CN"/>
        </w:rPr>
        <w:t>坚持高位推动，系统集成抓统筹。组织召开县委深改委会议1次，县委常委会传达学习中央、省委、州委深改委会议精神6期，以“清单制+责任制”形式细化年度重点改革任务，逐一落实牵头领导、责任部门和完成时限，制定改革台账和改革要点，及时向上报送我县改革经验，不断扩大改革影响力。2025年，向州委改革办报送典型案例2期、改革信息42条，其中7篇在《阿坝改革信息专报》刊登。</w:t>
      </w:r>
      <w:r>
        <w:rPr>
          <w:rFonts w:hint="eastAsia" w:ascii="方正仿宋_GBK" w:hAnsi="方正仿宋_GBK" w:eastAsia="方正仿宋_GBK" w:cs="方正仿宋_GBK"/>
          <w:b/>
          <w:bCs/>
          <w:sz w:val="32"/>
          <w:szCs w:val="32"/>
          <w:lang w:val="en-US" w:eastAsia="zh-CN"/>
        </w:rPr>
        <w:t>督查督办提质增效。</w:t>
      </w:r>
      <w:r>
        <w:rPr>
          <w:rFonts w:hint="eastAsia" w:ascii="方正仿宋_GBK" w:hAnsi="方正仿宋_GBK" w:eastAsia="方正仿宋_GBK" w:cs="方正仿宋_GBK"/>
          <w:color w:val="000000"/>
          <w:sz w:val="32"/>
          <w:szCs w:val="32"/>
          <w:lang w:val="en-US" w:eastAsia="zh-CN"/>
        </w:rPr>
        <w:t>聚焦党中央重大决策部署、省委州委工作要求和县委重点工作安排，</w:t>
      </w:r>
      <w:r>
        <w:rPr>
          <w:rFonts w:hint="eastAsia" w:ascii="方正仿宋_GBK" w:hAnsi="方正仿宋_GBK" w:eastAsia="方正仿宋_GBK" w:cs="方正仿宋_GBK"/>
          <w:color w:val="000000"/>
          <w:sz w:val="32"/>
          <w:szCs w:val="32"/>
          <w:highlight w:val="none"/>
        </w:rPr>
        <w:t>对标县委</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六化工作法</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七大转变</w:t>
      </w:r>
      <w:r>
        <w:rPr>
          <w:rFonts w:hint="eastAsia" w:ascii="方正仿宋_GBK" w:hAnsi="方正仿宋_GBK" w:eastAsia="方正仿宋_GBK" w:cs="方正仿宋_GBK"/>
          <w:color w:val="000000"/>
          <w:sz w:val="32"/>
          <w:szCs w:val="32"/>
          <w:highlight w:val="none"/>
          <w:lang w:eastAsia="zh-CN"/>
        </w:rPr>
        <w:t>”</w:t>
      </w:r>
      <w:r>
        <w:rPr>
          <w:rFonts w:hint="eastAsia" w:ascii="方正仿宋_GBK" w:hAnsi="方正仿宋_GBK" w:eastAsia="方正仿宋_GBK" w:cs="方正仿宋_GBK"/>
          <w:color w:val="000000"/>
          <w:sz w:val="32"/>
          <w:szCs w:val="32"/>
          <w:highlight w:val="none"/>
        </w:rPr>
        <w:t>工作要求，切</w:t>
      </w:r>
      <w:r>
        <w:rPr>
          <w:rFonts w:hint="eastAsia" w:ascii="方正仿宋_GBK" w:hAnsi="方正仿宋_GBK" w:eastAsia="方正仿宋_GBK" w:cs="方正仿宋_GBK"/>
          <w:color w:val="000000"/>
          <w:sz w:val="32"/>
          <w:szCs w:val="32"/>
        </w:rPr>
        <w:t>实加强和改进督查工作，深入乡镇、部门督促检查</w:t>
      </w:r>
      <w:r>
        <w:rPr>
          <w:rFonts w:hint="eastAsia" w:ascii="方正仿宋_GBK" w:hAnsi="方正仿宋_GBK" w:eastAsia="方正仿宋_GBK" w:cs="方正仿宋_GBK"/>
          <w:color w:val="000000"/>
          <w:sz w:val="32"/>
          <w:szCs w:val="32"/>
          <w:lang w:val="en-US" w:eastAsia="zh-CN"/>
        </w:rPr>
        <w:t>10余次</w:t>
      </w:r>
      <w:r>
        <w:rPr>
          <w:rFonts w:hint="eastAsia" w:ascii="方正仿宋_GBK" w:hAnsi="方正仿宋_GBK" w:eastAsia="方正仿宋_GBK" w:cs="方正仿宋_GBK"/>
          <w:color w:val="000000"/>
          <w:sz w:val="32"/>
          <w:szCs w:val="32"/>
        </w:rPr>
        <w:t>。坚持明查与暗访相结合，进一步加大领导交办事项的查办力度，确保件件有着落，事事有回音，有力推进各项工作落实。</w:t>
      </w:r>
      <w:r>
        <w:rPr>
          <w:rFonts w:hint="eastAsia" w:ascii="方正仿宋_GBK" w:hAnsi="方正仿宋_GBK" w:eastAsia="方正仿宋_GBK" w:cs="方正仿宋_GBK"/>
          <w:b/>
          <w:bCs/>
          <w:sz w:val="32"/>
          <w:szCs w:val="32"/>
          <w:lang w:val="en-US" w:eastAsia="zh-CN"/>
        </w:rPr>
        <w:t>基层减负成效明显。</w:t>
      </w:r>
      <w:r>
        <w:rPr>
          <w:rFonts w:hint="eastAsia" w:ascii="方正仿宋_GBK" w:hAnsi="方正仿宋_GBK" w:eastAsia="方正仿宋_GBK" w:cs="方正仿宋_GBK"/>
          <w:sz w:val="32"/>
          <w:szCs w:val="32"/>
        </w:rPr>
        <w:t>深入贯彻</w:t>
      </w:r>
      <w:r>
        <w:rPr>
          <w:rFonts w:hint="eastAsia" w:ascii="方正仿宋_GBK" w:hAnsi="方正仿宋_GBK" w:eastAsia="方正仿宋_GBK" w:cs="方正仿宋_GBK"/>
          <w:sz w:val="32"/>
          <w:szCs w:val="32"/>
          <w:lang w:eastAsia="zh-CN"/>
        </w:rPr>
        <w:t>州委“</w:t>
      </w:r>
      <w:r>
        <w:rPr>
          <w:rFonts w:hint="eastAsia" w:ascii="方正仿宋_GBK" w:hAnsi="方正仿宋_GBK" w:eastAsia="方正仿宋_GBK" w:cs="方正仿宋_GBK"/>
          <w:sz w:val="32"/>
          <w:szCs w:val="32"/>
        </w:rPr>
        <w:t>六不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工作要求</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专题传达学习《</w:t>
      </w:r>
      <w:r>
        <w:rPr>
          <w:rFonts w:hint="eastAsia" w:ascii="方正仿宋_GBK" w:hAnsi="方正仿宋_GBK" w:eastAsia="方正仿宋_GBK" w:cs="方正仿宋_GBK"/>
          <w:sz w:val="32"/>
          <w:szCs w:val="32"/>
          <w:lang w:eastAsia="zh-CN"/>
        </w:rPr>
        <w:t>违反整治形式主义为基层监督工作清单</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制发文件与为基层减负一致性评估清单</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color w:val="000000"/>
          <w:sz w:val="32"/>
          <w:szCs w:val="32"/>
          <w:lang w:val="en-US" w:eastAsia="zh-CN"/>
        </w:rPr>
        <w:t>。2025年县委、县委办文件，会议数量分别同比下降44.06%、21.74%。</w:t>
      </w:r>
      <w:r>
        <w:rPr>
          <w:rFonts w:hint="eastAsia" w:ascii="方正仿宋_GBK" w:hAnsi="方正仿宋_GBK" w:eastAsia="方正仿宋_GBK" w:cs="方正仿宋_GBK"/>
          <w:b/>
          <w:bCs/>
          <w:sz w:val="32"/>
          <w:szCs w:val="32"/>
          <w:lang w:val="en-US" w:eastAsia="zh-CN"/>
        </w:rPr>
        <w:t>文稿服务精准细致。</w:t>
      </w:r>
      <w:r>
        <w:rPr>
          <w:rFonts w:hint="eastAsia" w:ascii="方正仿宋_GBK" w:hAnsi="方正仿宋_GBK" w:eastAsia="方正仿宋_GBK" w:cs="方正仿宋_GBK"/>
          <w:color w:val="000000"/>
          <w:sz w:val="32"/>
          <w:szCs w:val="32"/>
          <w:lang w:val="en-US" w:eastAsia="zh-CN"/>
        </w:rPr>
        <w:t>紧紧围绕县委中心工作和事关全局的重大问题，深入开展调查研究，努力提升文稿服务质量。全年高质量完成县委全会报告、县委主要领导重要讲话、重要汇报材料等综合性文稿100余篇，较好地发挥了以文辅政、服务决策的作用。</w:t>
      </w:r>
      <w:r>
        <w:rPr>
          <w:rFonts w:hint="eastAsia" w:ascii="方正仿宋_GBK" w:hAnsi="方正仿宋_GBK" w:eastAsia="方正仿宋_GBK" w:cs="方正仿宋_GBK"/>
          <w:b/>
          <w:bCs/>
          <w:sz w:val="32"/>
          <w:szCs w:val="32"/>
          <w:lang w:val="en-US" w:eastAsia="zh-CN"/>
        </w:rPr>
        <w:t>办文办会高质高效。</w:t>
      </w:r>
      <w:r>
        <w:rPr>
          <w:rFonts w:hint="eastAsia" w:ascii="方正仿宋_GBK" w:hAnsi="方正仿宋_GBK" w:eastAsia="方正仿宋_GBK" w:cs="方正仿宋_GBK"/>
          <w:color w:val="000000"/>
          <w:sz w:val="32"/>
          <w:szCs w:val="32"/>
          <w:lang w:val="en-US" w:eastAsia="zh-CN"/>
        </w:rPr>
        <w:t>规范公文处理流程，提高运转效率，全年接收办理各类文件3000余件，发文280余件，办文质效稳步提升。充分发挥运转中枢作用，加强上下联动、左右协调、内外统筹，全年高效组织筹办县委常委会会议、县委专题会议等各类重要会议67场次，</w:t>
      </w:r>
      <w:r>
        <w:rPr>
          <w:rFonts w:hint="eastAsia" w:ascii="方正仿宋_GBK" w:hAnsi="方正仿宋_GBK" w:eastAsia="方正仿宋_GBK" w:cs="方正仿宋_GBK"/>
          <w:b/>
          <w:bCs/>
          <w:sz w:val="32"/>
          <w:szCs w:val="32"/>
          <w:lang w:val="en-US" w:eastAsia="zh-CN"/>
        </w:rPr>
        <w:t>后勤保障优质规范。</w:t>
      </w:r>
      <w:r>
        <w:rPr>
          <w:rFonts w:hint="eastAsia" w:ascii="方正仿宋_GBK" w:hAnsi="方正仿宋_GBK" w:eastAsia="方正仿宋_GBK" w:cs="方正仿宋_GBK"/>
          <w:sz w:val="32"/>
          <w:szCs w:val="32"/>
          <w:lang w:eastAsia="zh-CN"/>
        </w:rPr>
        <w:t>制定完善《县委办公室应急物资储备方案》，</w:t>
      </w:r>
      <w:r>
        <w:rPr>
          <w:rFonts w:hint="eastAsia" w:ascii="方正仿宋_GBK" w:hAnsi="方正仿宋_GBK" w:eastAsia="方正仿宋_GBK" w:cs="方正仿宋_GBK"/>
          <w:sz w:val="32"/>
          <w:szCs w:val="32"/>
        </w:rPr>
        <w:t>建立健全统一领导、分级负责、反应迅速、保障有力的应急物资储备体系，为处置突发事件、维护机关稳定运行提供坚实的物质支撑</w:t>
      </w:r>
      <w:r>
        <w:rPr>
          <w:rFonts w:hint="eastAsia" w:ascii="方正仿宋_GBK" w:hAnsi="方正仿宋_GBK" w:eastAsia="方正仿宋_GBK" w:cs="方正仿宋_GBK"/>
          <w:sz w:val="32"/>
          <w:szCs w:val="32"/>
          <w:lang w:eastAsia="zh-CN"/>
        </w:rPr>
        <w:t>，全年</w:t>
      </w:r>
      <w:r>
        <w:rPr>
          <w:rFonts w:hint="eastAsia" w:ascii="方正仿宋_GBK" w:hAnsi="方正仿宋_GBK" w:eastAsia="方正仿宋_GBK" w:cs="方正仿宋_GBK"/>
          <w:color w:val="000000"/>
          <w:sz w:val="32"/>
          <w:szCs w:val="32"/>
          <w:lang w:val="en-US" w:eastAsia="zh-CN"/>
        </w:rPr>
        <w:t>高效稳妥处理各类突发事件和紧急事务20余件，确保了县委日常工作高效有序运转。</w:t>
      </w:r>
      <w:r>
        <w:rPr>
          <w:rFonts w:hint="eastAsia" w:ascii="方正仿宋_GBK" w:hAnsi="方正仿宋_GBK" w:eastAsia="方正仿宋_GBK" w:cs="方正仿宋_GBK"/>
          <w:b/>
          <w:bCs/>
          <w:sz w:val="32"/>
          <w:szCs w:val="32"/>
          <w:lang w:val="en-US" w:eastAsia="zh-CN"/>
        </w:rPr>
        <w:t>值班值守严谨细致。</w:t>
      </w:r>
      <w:r>
        <w:rPr>
          <w:rFonts w:hint="eastAsia" w:ascii="方正仿宋_GBK" w:hAnsi="方正仿宋_GBK" w:eastAsia="方正仿宋_GBK" w:cs="方正仿宋_GBK"/>
          <w:color w:val="000000"/>
          <w:sz w:val="32"/>
          <w:szCs w:val="32"/>
          <w:lang w:val="en-US" w:eastAsia="zh-CN"/>
        </w:rPr>
        <w:t>严格落实全县四级带班、值班人员24小时值守制度，全年值守无脱岗、漏岗、误岗现象发</w:t>
      </w:r>
      <w:r>
        <w:rPr>
          <w:rFonts w:hint="eastAsia" w:ascii="方正仿宋_GBK" w:hAnsi="方正仿宋_GBK" w:eastAsia="方正仿宋_GBK" w:cs="方正仿宋_GBK"/>
          <w:sz w:val="32"/>
          <w:szCs w:val="32"/>
          <w:lang w:val="en-US" w:eastAsia="zh-CN"/>
        </w:rPr>
        <w:t>生；坚持“快、准、实、深”原则，建立信息采集、筛选、审核、报送全流程管控机制，确保信息报送及时、准确、规范，坚决杜绝迟报、漏报、错报等问题，充分发挥信息“前哨”作用。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sz w:val="32"/>
          <w:szCs w:val="32"/>
          <w:lang w:val="en-US" w:eastAsia="zh-CN"/>
        </w:rPr>
        <w:t>三、加强自身建设，锻造全面过硬干部队伍。</w:t>
      </w:r>
      <w:r>
        <w:rPr>
          <w:rFonts w:hint="eastAsia" w:ascii="方正仿宋_GBK" w:hAnsi="方正仿宋_GBK" w:eastAsia="方正仿宋_GBK" w:cs="方正仿宋_GBK"/>
          <w:color w:val="000000"/>
          <w:sz w:val="32"/>
          <w:szCs w:val="32"/>
          <w:lang w:val="en-US" w:eastAsia="zh-CN"/>
        </w:rPr>
        <w:t>坚持把廉洁自律作为党办人的自觉行动和不懈追求，认真履行党风廉政建设主体责任，示范带动委办干部强化自我修炼、自我约束、自我塑造，始终在廉洁自律上作表率。</w:t>
      </w:r>
      <w:r>
        <w:rPr>
          <w:rFonts w:hint="eastAsia" w:ascii="方正仿宋_GBK" w:hAnsi="方正仿宋_GBK" w:eastAsia="方正仿宋_GBK" w:cs="方正仿宋_GBK"/>
          <w:b/>
          <w:bCs/>
          <w:sz w:val="32"/>
          <w:szCs w:val="32"/>
          <w:lang w:val="en-US" w:eastAsia="zh-CN"/>
        </w:rPr>
        <w:t>一是完善机关制度建设。</w:t>
      </w:r>
      <w:r>
        <w:rPr>
          <w:rFonts w:hint="eastAsia" w:ascii="方正仿宋_GBK" w:hAnsi="方正仿宋_GBK" w:eastAsia="方正仿宋_GBK" w:cs="方正仿宋_GBK"/>
          <w:color w:val="000000"/>
          <w:sz w:val="32"/>
          <w:szCs w:val="32"/>
        </w:rPr>
        <w:t>建立健全县委办公室班子和工作人员分工制度和目标绩效考核管理办法，修订完善办公室财经、工作、生活等工作制度和工作规则。加强基础设施日常维护，认真贯彻中央八项规定</w:t>
      </w:r>
      <w:r>
        <w:rPr>
          <w:rFonts w:hint="eastAsia" w:ascii="方正仿宋_GBK" w:hAnsi="方正仿宋_GBK" w:eastAsia="方正仿宋_GBK" w:cs="方正仿宋_GBK"/>
          <w:color w:val="000000"/>
          <w:sz w:val="32"/>
          <w:szCs w:val="32"/>
          <w:lang w:eastAsia="zh-CN"/>
        </w:rPr>
        <w:t>精神</w:t>
      </w:r>
      <w:r>
        <w:rPr>
          <w:rFonts w:hint="eastAsia" w:ascii="方正仿宋_GBK" w:hAnsi="方正仿宋_GBK" w:eastAsia="方正仿宋_GBK" w:cs="方正仿宋_GBK"/>
          <w:color w:val="000000"/>
          <w:sz w:val="32"/>
          <w:szCs w:val="32"/>
        </w:rPr>
        <w:t>，加强公务接待管理，严格财务报销手续，从严控制差旅、会议和活动费开支。进一步完善、健全公务应急用车的各种管理制度，确保安全行车无事故</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b/>
          <w:bCs/>
          <w:sz w:val="32"/>
          <w:szCs w:val="32"/>
          <w:lang w:val="en-US" w:eastAsia="zh-CN"/>
        </w:rPr>
        <w:t>二是强化干部能力建设。</w:t>
      </w:r>
      <w:r>
        <w:rPr>
          <w:rFonts w:hint="eastAsia" w:ascii="方正仿宋_GBK" w:hAnsi="方正仿宋_GBK" w:eastAsia="方正仿宋_GBK" w:cs="方正仿宋_GBK"/>
          <w:color w:val="000000"/>
          <w:sz w:val="32"/>
          <w:szCs w:val="32"/>
          <w:lang w:val="en-US" w:eastAsia="zh-CN"/>
        </w:rPr>
        <w:t>举办2025年全县办公室主任培训班，覆盖人数110余人次，为全县办公室干部搭建学习交流平台，营造比学赶超、争当行家里手的浓厚氛围，队伍综合素质和专业化水平得到提升；</w:t>
      </w:r>
      <w:r>
        <w:rPr>
          <w:rFonts w:hint="eastAsia" w:ascii="方正仿宋_GBK" w:hAnsi="方正仿宋_GBK" w:eastAsia="方正仿宋_GBK" w:cs="方正仿宋_GBK"/>
          <w:sz w:val="32"/>
          <w:szCs w:val="32"/>
          <w:lang w:val="en-US" w:eastAsia="zh-CN" w:bidi="ar-SA"/>
        </w:rPr>
        <w:t>选调3名县级部门年轻干部跟班学习，分批次组织办公室20余名干部职工前往绵阳、温州等地考察交流，在工作实践中培养锻炼人才。</w:t>
      </w:r>
      <w:r>
        <w:rPr>
          <w:rFonts w:hint="eastAsia" w:ascii="方正仿宋_GBK" w:hAnsi="方正仿宋_GBK" w:eastAsia="方正仿宋_GBK" w:cs="方正仿宋_GBK"/>
          <w:b/>
          <w:bCs/>
          <w:sz w:val="32"/>
          <w:szCs w:val="32"/>
          <w:lang w:val="en-US" w:eastAsia="zh-CN"/>
        </w:rPr>
        <w:t>三是锤炼过硬工作作风。</w:t>
      </w:r>
      <w:r>
        <w:rPr>
          <w:rFonts w:hint="eastAsia" w:ascii="方正仿宋_GBK" w:hAnsi="方正仿宋_GBK" w:eastAsia="方正仿宋_GBK" w:cs="方正仿宋_GBK"/>
          <w:color w:val="000000"/>
          <w:sz w:val="32"/>
          <w:szCs w:val="32"/>
          <w:lang w:val="en-US" w:eastAsia="zh-CN"/>
        </w:rPr>
        <w:t>大力弘扬极端负责、严谨细致、精益求精的工作作风，力戒形式主义、官僚主义。教育引导干部职工树立强烈的事业心和责任感，保持昂扬向上的精神状态和务实肯干的工作劲头。</w:t>
      </w:r>
      <w:r>
        <w:rPr>
          <w:rFonts w:hint="eastAsia" w:ascii="方正仿宋_GBK" w:hAnsi="方正仿宋_GBK" w:eastAsia="方正仿宋_GBK" w:cs="方正仿宋_GBK"/>
          <w:b/>
          <w:bCs/>
          <w:sz w:val="32"/>
          <w:szCs w:val="32"/>
          <w:lang w:val="en-US" w:eastAsia="zh-CN"/>
        </w:rPr>
        <w:t>四是严明严守纪律底线。</w:t>
      </w:r>
      <w:r>
        <w:rPr>
          <w:rFonts w:hint="eastAsia" w:ascii="方正仿宋_GBK" w:hAnsi="方正仿宋_GBK" w:eastAsia="方正仿宋_GBK" w:cs="方正仿宋_GBK"/>
          <w:color w:val="000000"/>
          <w:sz w:val="32"/>
          <w:szCs w:val="32"/>
          <w:lang w:val="en-US" w:eastAsia="zh-CN"/>
        </w:rPr>
        <w:t>全面落实中央、省委、州委和县委关于党风廉政建设部署要求，坚持民主集中制，严格执行“三重一大”集体决策制度规定，领导班子成员严格履行“一岗双责”，通过召开班子会、周例会等方式研究部署党风廉政建设工作4次。严格执行中央八项规定及其实施细则精神，引导干部职工知敬畏、存戒惧、守底线，营造风清气正的政治生态。</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方正仿宋_GBK" w:hAnsi="方正仿宋_GBK" w:eastAsia="方正仿宋_GBK" w:cs="方正仿宋_GBK"/>
          <w:bCs/>
          <w:sz w:val="32"/>
          <w:szCs w:val="32"/>
          <w:highlight w:val="none"/>
          <w:lang w:val="zh-CN"/>
        </w:rPr>
      </w:pPr>
      <w:r>
        <w:rPr>
          <w:rFonts w:hint="eastAsia" w:ascii="方正仿宋_GBK" w:hAnsi="方正仿宋_GBK" w:eastAsia="方正仿宋_GBK" w:cs="方正仿宋_GBK"/>
          <w:color w:val="auto"/>
          <w:kern w:val="2"/>
          <w:sz w:val="32"/>
          <w:szCs w:val="32"/>
          <w:highlight w:val="none"/>
          <w:lang w:val="en-US" w:eastAsia="zh-CN" w:bidi="ar-SA"/>
        </w:rPr>
        <w:t>2.</w:t>
      </w:r>
      <w:r>
        <w:rPr>
          <w:rFonts w:hint="eastAsia" w:ascii="方正仿宋_GBK" w:hAnsi="方正仿宋_GBK" w:eastAsia="方正仿宋_GBK" w:cs="方正仿宋_GBK"/>
          <w:color w:val="auto"/>
          <w:kern w:val="2"/>
          <w:sz w:val="32"/>
          <w:szCs w:val="32"/>
          <w:highlight w:val="none"/>
          <w:lang w:val="zh-CN" w:eastAsia="zh-CN" w:bidi="ar-SA"/>
        </w:rPr>
        <w:t>预算管理。</w:t>
      </w:r>
      <w:r>
        <w:rPr>
          <w:rFonts w:hint="eastAsia" w:ascii="方正仿宋_GBK" w:hAnsi="方正仿宋_GBK" w:eastAsia="方正仿宋_GBK" w:cs="方正仿宋_GBK"/>
          <w:sz w:val="32"/>
          <w:szCs w:val="32"/>
          <w:lang w:val="en-US" w:eastAsia="zh-CN"/>
        </w:rPr>
        <w:t>结合单位业务情况，进行科学合理分配细化，部门预算经批复后，跟踪预算执行进度，及时组织收入，科学合理安排支出，降低预算支出的波动幅度。严格执行项目支出预算，积极组织项目实施。加强对预算执行过程的控制和结果的反馈，及时向领导和相关科室进行反馈，</w:t>
      </w:r>
      <w:r>
        <w:rPr>
          <w:rFonts w:hint="eastAsia" w:ascii="方正仿宋_GBK" w:hAnsi="方正仿宋_GBK" w:eastAsia="方正仿宋_GBK" w:cs="方正仿宋_GBK"/>
          <w:bCs/>
          <w:sz w:val="32"/>
          <w:szCs w:val="32"/>
          <w:highlight w:val="none"/>
          <w:lang w:val="zh-CN"/>
        </w:rPr>
        <w:t>按照年初预算管理要求，做到应编尽编的原则，将全年支出纳入预算管理。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仿宋_GBK" w:hAnsi="方正仿宋_GBK" w:eastAsia="方正仿宋_GBK" w:cs="方正仿宋_GBK"/>
          <w:bCs/>
          <w:sz w:val="32"/>
          <w:szCs w:val="32"/>
        </w:rPr>
      </w:pPr>
      <w:r>
        <w:rPr>
          <w:rFonts w:hint="eastAsia" w:ascii="方正仿宋_GBK" w:hAnsi="方正仿宋_GBK" w:eastAsia="方正仿宋_GBK" w:cs="方正仿宋_GBK"/>
          <w:color w:val="auto"/>
          <w:kern w:val="2"/>
          <w:sz w:val="32"/>
          <w:szCs w:val="32"/>
          <w:highlight w:val="none"/>
          <w:lang w:val="en-US" w:eastAsia="zh-CN" w:bidi="ar-SA"/>
        </w:rPr>
        <w:t>3.</w:t>
      </w:r>
      <w:r>
        <w:rPr>
          <w:rFonts w:hint="eastAsia" w:ascii="方正仿宋_GBK" w:hAnsi="方正仿宋_GBK" w:eastAsia="方正仿宋_GBK" w:cs="方正仿宋_GBK"/>
          <w:color w:val="auto"/>
          <w:kern w:val="2"/>
          <w:sz w:val="32"/>
          <w:szCs w:val="32"/>
          <w:highlight w:val="none"/>
          <w:lang w:val="zh-CN" w:eastAsia="zh-CN" w:bidi="ar-SA"/>
        </w:rPr>
        <w:t>财务管理。</w:t>
      </w:r>
      <w:r>
        <w:rPr>
          <w:rFonts w:hint="eastAsia" w:ascii="方正仿宋_GBK" w:hAnsi="方正仿宋_GBK" w:eastAsia="方正仿宋_GBK" w:cs="方正仿宋_GBK"/>
          <w:bCs/>
          <w:sz w:val="32"/>
          <w:szCs w:val="32"/>
          <w:lang w:val="zh-CN"/>
        </w:rPr>
        <w:t>我办建立了完善的财务审核机制，对每一笔经济业务都进行严格的审核，包括原始凭证的真实性、合法性、准确性以及审批手续的完整性。定期进行财务对账工作。</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方正仿宋_GBK" w:hAnsi="方正仿宋_GBK" w:eastAsia="方正仿宋_GBK" w:cs="方正仿宋_GBK"/>
          <w:color w:val="auto"/>
          <w:kern w:val="2"/>
          <w:sz w:val="32"/>
          <w:szCs w:val="32"/>
          <w:highlight w:val="none"/>
          <w:lang w:val="zh-CN" w:eastAsia="zh-CN" w:bidi="ar-SA"/>
        </w:rPr>
      </w:pPr>
      <w:r>
        <w:rPr>
          <w:rFonts w:hint="eastAsia" w:ascii="方正仿宋_GBK" w:hAnsi="方正仿宋_GBK" w:eastAsia="方正仿宋_GBK" w:cs="方正仿宋_GBK"/>
          <w:color w:val="auto"/>
          <w:kern w:val="2"/>
          <w:sz w:val="32"/>
          <w:szCs w:val="32"/>
          <w:highlight w:val="none"/>
          <w:lang w:val="en-US" w:eastAsia="zh-CN" w:bidi="ar-SA"/>
        </w:rPr>
        <w:t>4.</w:t>
      </w:r>
      <w:r>
        <w:rPr>
          <w:rFonts w:hint="eastAsia" w:ascii="方正仿宋_GBK" w:hAnsi="方正仿宋_GBK" w:eastAsia="方正仿宋_GBK" w:cs="方正仿宋_GBK"/>
          <w:color w:val="auto"/>
          <w:kern w:val="2"/>
          <w:sz w:val="32"/>
          <w:szCs w:val="32"/>
          <w:highlight w:val="none"/>
          <w:lang w:val="zh-CN" w:eastAsia="zh-CN" w:bidi="ar-SA"/>
        </w:rPr>
        <w:t>资产管理。</w:t>
      </w:r>
      <w:r>
        <w:rPr>
          <w:rFonts w:hint="eastAsia" w:ascii="方正仿宋_GBK" w:hAnsi="方正仿宋_GBK" w:eastAsia="方正仿宋_GBK" w:cs="方正仿宋_GBK"/>
          <w:bCs/>
          <w:sz w:val="32"/>
          <w:szCs w:val="32"/>
          <w:lang w:val="zh-CN"/>
        </w:rPr>
        <w:t>严格执行现行固定资产管理制度，并按照数量、金额登记明细账，编制固定资产卡片，确保账面上能真实、完整的反映单位的固定资产情况，并结合本单位的实际情况，完善固定资产管理制度。</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方正仿宋_GBK" w:hAnsi="方正仿宋_GBK" w:eastAsia="方正仿宋_GBK" w:cs="方正仿宋_GBK"/>
          <w:sz w:val="32"/>
          <w:szCs w:val="32"/>
          <w:lang w:val="zh-CN"/>
        </w:rPr>
      </w:pPr>
      <w:r>
        <w:rPr>
          <w:rFonts w:hint="eastAsia" w:ascii="方正仿宋_GBK" w:hAnsi="方正仿宋_GBK" w:eastAsia="方正仿宋_GBK" w:cs="方正仿宋_GBK"/>
          <w:color w:val="auto"/>
          <w:kern w:val="2"/>
          <w:sz w:val="32"/>
          <w:szCs w:val="32"/>
          <w:highlight w:val="none"/>
          <w:lang w:val="en-US" w:eastAsia="zh-CN" w:bidi="ar-SA"/>
        </w:rPr>
        <w:t>5.</w:t>
      </w:r>
      <w:r>
        <w:rPr>
          <w:rFonts w:hint="eastAsia" w:ascii="方正仿宋_GBK" w:hAnsi="方正仿宋_GBK" w:eastAsia="方正仿宋_GBK" w:cs="方正仿宋_GBK"/>
          <w:color w:val="auto"/>
          <w:kern w:val="2"/>
          <w:sz w:val="32"/>
          <w:szCs w:val="32"/>
          <w:highlight w:val="none"/>
          <w:lang w:val="zh-CN" w:eastAsia="zh-CN" w:bidi="ar-SA"/>
        </w:rPr>
        <w:t>采购管理。</w:t>
      </w:r>
      <w:r>
        <w:rPr>
          <w:rFonts w:hint="eastAsia" w:ascii="方正仿宋_GBK" w:hAnsi="方正仿宋_GBK" w:eastAsia="方正仿宋_GBK" w:cs="方正仿宋_GBK"/>
          <w:bCs/>
          <w:sz w:val="32"/>
          <w:szCs w:val="32"/>
          <w:highlight w:val="none"/>
          <w:lang w:val="zh-CN"/>
        </w:rPr>
        <w:t>按照政府采购相关要求，</w:t>
      </w:r>
      <w:r>
        <w:rPr>
          <w:rFonts w:hint="eastAsia" w:ascii="方正仿宋_GBK" w:hAnsi="方正仿宋_GBK" w:eastAsia="方正仿宋_GBK" w:cs="方正仿宋_GBK"/>
          <w:bCs/>
          <w:sz w:val="32"/>
          <w:szCs w:val="32"/>
          <w:lang w:val="zh-CN"/>
        </w:rPr>
        <w:t>健全完善部门内控制度，全面梳理业务流程，明确业务环节，分析风险隐患，完善风险评估机制，制定风险应对策略，确保采购资金安全、合理、有效使用，最大限度发挥财政资金使用效益。</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642" w:firstLineChars="200"/>
        <w:contextualSpacing/>
        <w:jc w:val="left"/>
        <w:textAlignment w:val="auto"/>
        <w:rPr>
          <w:rFonts w:hint="default" w:ascii="方正仿宋_GBK" w:hAnsi="方正仿宋_GBK" w:eastAsia="方正仿宋_GBK" w:cs="方正仿宋_GBK"/>
          <w:bCs/>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方正仿宋_GBK" w:hAnsi="方正仿宋_GBK" w:eastAsia="方正仿宋_GBK" w:cs="方正仿宋_GBK"/>
          <w:bCs/>
          <w:sz w:val="32"/>
          <w:szCs w:val="32"/>
          <w:lang w:val="en-US" w:eastAsia="zh-CN"/>
        </w:rPr>
        <w:t>常年项目绩效分析。</w:t>
      </w:r>
      <w:r>
        <w:rPr>
          <w:rFonts w:hint="default" w:ascii="方正仿宋_GBK" w:hAnsi="方正仿宋_GBK" w:eastAsia="方正仿宋_GBK" w:cs="方正仿宋_GBK"/>
          <w:bCs/>
          <w:sz w:val="32"/>
          <w:szCs w:val="32"/>
          <w:lang w:val="zh-CN" w:eastAsia="zh-CN"/>
        </w:rPr>
        <w:t>该类项目总数</w:t>
      </w:r>
      <w:r>
        <w:rPr>
          <w:rFonts w:hint="default" w:ascii="方正仿宋_GBK" w:hAnsi="方正仿宋_GBK" w:eastAsia="方正仿宋_GBK" w:cs="方正仿宋_GBK"/>
          <w:bCs/>
          <w:sz w:val="32"/>
          <w:szCs w:val="32"/>
          <w:lang w:val="en-US" w:eastAsia="zh-CN"/>
        </w:rPr>
        <w:t>60</w:t>
      </w:r>
      <w:r>
        <w:rPr>
          <w:rFonts w:hint="default" w:ascii="方正仿宋_GBK" w:hAnsi="方正仿宋_GBK" w:eastAsia="方正仿宋_GBK" w:cs="方正仿宋_GBK"/>
          <w:bCs/>
          <w:sz w:val="32"/>
          <w:szCs w:val="32"/>
          <w:lang w:val="zh-CN" w:eastAsia="zh-CN"/>
        </w:rPr>
        <w:t>个，涉及预算总金额</w:t>
      </w:r>
      <w:r>
        <w:rPr>
          <w:rFonts w:hint="default" w:ascii="方正仿宋_GBK" w:hAnsi="方正仿宋_GBK" w:eastAsia="方正仿宋_GBK" w:cs="方正仿宋_GBK"/>
          <w:bCs/>
          <w:sz w:val="32"/>
          <w:szCs w:val="32"/>
          <w:lang w:val="en-US" w:eastAsia="zh-CN"/>
        </w:rPr>
        <w:t>1933.97</w:t>
      </w:r>
      <w:r>
        <w:rPr>
          <w:rFonts w:hint="default" w:ascii="方正仿宋_GBK" w:hAnsi="方正仿宋_GBK" w:eastAsia="方正仿宋_GBK" w:cs="方正仿宋_GBK"/>
          <w:bCs/>
          <w:sz w:val="32"/>
          <w:szCs w:val="32"/>
          <w:lang w:val="zh-CN" w:eastAsia="zh-CN"/>
        </w:rPr>
        <w:t>万元，1—1</w:t>
      </w:r>
      <w:r>
        <w:rPr>
          <w:rFonts w:hint="default" w:ascii="方正仿宋_GBK" w:hAnsi="方正仿宋_GBK" w:eastAsia="方正仿宋_GBK" w:cs="方正仿宋_GBK"/>
          <w:bCs/>
          <w:sz w:val="32"/>
          <w:szCs w:val="32"/>
          <w:lang w:val="en-US" w:eastAsia="zh-CN"/>
        </w:rPr>
        <w:t>2</w:t>
      </w:r>
      <w:r>
        <w:rPr>
          <w:rFonts w:hint="default" w:ascii="方正仿宋_GBK" w:hAnsi="方正仿宋_GBK" w:eastAsia="方正仿宋_GBK" w:cs="方正仿宋_GBK"/>
          <w:bCs/>
          <w:sz w:val="32"/>
          <w:szCs w:val="32"/>
          <w:lang w:val="zh-CN" w:eastAsia="zh-CN"/>
        </w:rPr>
        <w:t>月预算执行总体进度为</w:t>
      </w:r>
      <w:r>
        <w:rPr>
          <w:rFonts w:hint="default" w:ascii="方正仿宋_GBK" w:hAnsi="方正仿宋_GBK" w:eastAsia="方正仿宋_GBK" w:cs="方正仿宋_GBK"/>
          <w:bCs/>
          <w:sz w:val="32"/>
          <w:szCs w:val="32"/>
          <w:lang w:val="en-US" w:eastAsia="zh-CN"/>
        </w:rPr>
        <w:t>100</w:t>
      </w:r>
      <w:r>
        <w:rPr>
          <w:rFonts w:hint="default" w:ascii="方正仿宋_GBK" w:hAnsi="方正仿宋_GBK" w:eastAsia="方正仿宋_GBK" w:cs="方正仿宋_GBK"/>
          <w:bCs/>
          <w:sz w:val="32"/>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方正仿宋_GBK" w:hAnsi="方正仿宋_GBK" w:eastAsia="方正仿宋_GBK" w:cs="方正仿宋_GBK"/>
          <w:color w:val="auto"/>
          <w:kern w:val="2"/>
          <w:sz w:val="32"/>
          <w:szCs w:val="32"/>
          <w:highlight w:val="none"/>
          <w:lang w:val="zh-CN" w:eastAsia="zh-CN" w:bidi="ar-SA"/>
        </w:rPr>
      </w:pPr>
      <w:r>
        <w:rPr>
          <w:rFonts w:hint="default" w:ascii="方正仿宋_GBK" w:hAnsi="方正仿宋_GBK" w:eastAsia="方正仿宋_GBK" w:cs="方正仿宋_GBK"/>
          <w:bCs/>
          <w:sz w:val="32"/>
          <w:szCs w:val="32"/>
          <w:lang w:val="en-US" w:eastAsia="zh-CN"/>
        </w:rPr>
        <w:t>1.</w:t>
      </w:r>
      <w:r>
        <w:rPr>
          <w:rFonts w:hint="default" w:ascii="方正仿宋_GBK" w:hAnsi="方正仿宋_GBK" w:eastAsia="方正仿宋_GBK" w:cs="方正仿宋_GBK"/>
          <w:bCs/>
          <w:sz w:val="32"/>
          <w:szCs w:val="32"/>
          <w:lang w:val="zh-CN" w:eastAsia="zh-CN"/>
        </w:rPr>
        <w:t>项目决策。</w:t>
      </w:r>
      <w:r>
        <w:rPr>
          <w:rFonts w:hint="eastAsia" w:ascii="方正仿宋_GBK" w:hAnsi="方正仿宋_GBK" w:eastAsia="方正仿宋_GBK" w:cs="方正仿宋_GBK"/>
          <w:color w:val="auto"/>
          <w:kern w:val="2"/>
          <w:sz w:val="32"/>
          <w:szCs w:val="32"/>
          <w:highlight w:val="none"/>
          <w:lang w:val="zh-CN" w:eastAsia="zh-CN" w:bidi="ar-SA"/>
        </w:rPr>
        <w:t>围绕部门中心工作，按照时间节点要求，设置各类项目目标绩效目标，在单位完成“三重一大”集体讨论程序后，按要求在预算管理一体化中进行申报，根据相关科室（中心）项目推进要求，及时将项目入库，并编制绩效目标。</w:t>
      </w:r>
    </w:p>
    <w:p>
      <w:pPr>
        <w:pageBreakBefore w:val="0"/>
        <w:kinsoku/>
        <w:wordWrap/>
        <w:overflowPunct/>
        <w:topLinePunct w:val="0"/>
        <w:bidi w:val="0"/>
        <w:adjustRightInd w:val="0"/>
        <w:snapToGrid w:val="0"/>
        <w:spacing w:line="576" w:lineRule="exact"/>
        <w:ind w:firstLine="640" w:firstLineChars="200"/>
        <w:contextualSpacing/>
        <w:textAlignment w:val="auto"/>
        <w:rPr>
          <w:rFonts w:hint="eastAsia" w:ascii="方正仿宋_GBK" w:hAnsi="方正仿宋_GBK" w:eastAsia="方正仿宋_GBK" w:cs="方正仿宋_GBK"/>
          <w:color w:val="auto"/>
          <w:kern w:val="2"/>
          <w:sz w:val="32"/>
          <w:szCs w:val="32"/>
          <w:highlight w:val="none"/>
          <w:lang w:val="zh-CN" w:eastAsia="zh-CN" w:bidi="ar-SA"/>
        </w:rPr>
      </w:pPr>
      <w:r>
        <w:rPr>
          <w:rFonts w:hint="default" w:ascii="方正仿宋_GBK" w:hAnsi="方正仿宋_GBK" w:eastAsia="方正仿宋_GBK" w:cs="方正仿宋_GBK"/>
          <w:bCs/>
          <w:sz w:val="32"/>
          <w:szCs w:val="32"/>
          <w:lang w:val="en-US" w:eastAsia="zh-CN"/>
        </w:rPr>
        <w:t>2.项目执行</w:t>
      </w:r>
      <w:r>
        <w:rPr>
          <w:rFonts w:hint="default" w:ascii="方正仿宋_GBK" w:hAnsi="方正仿宋_GBK" w:eastAsia="方正仿宋_GBK" w:cs="方正仿宋_GBK"/>
          <w:bCs/>
          <w:sz w:val="32"/>
          <w:szCs w:val="32"/>
          <w:lang w:val="zh-CN" w:eastAsia="zh-CN"/>
        </w:rPr>
        <w:t>。</w:t>
      </w:r>
      <w:r>
        <w:rPr>
          <w:rFonts w:hint="eastAsia" w:ascii="方正仿宋_GBK" w:hAnsi="方正仿宋_GBK" w:eastAsia="方正仿宋_GBK" w:cs="方正仿宋_GBK"/>
          <w:color w:val="auto"/>
          <w:kern w:val="2"/>
          <w:sz w:val="32"/>
          <w:szCs w:val="32"/>
          <w:highlight w:val="none"/>
          <w:lang w:val="zh-CN" w:eastAsia="zh-CN" w:bidi="ar-SA"/>
        </w:rPr>
        <w:t>根据项目绩效目标，及时推进项目执行，在</w:t>
      </w:r>
      <w:r>
        <w:rPr>
          <w:rFonts w:hint="eastAsia" w:ascii="方正仿宋_GBK" w:hAnsi="方正仿宋_GBK" w:eastAsia="方正仿宋_GBK" w:cs="方正仿宋_GBK"/>
          <w:color w:val="auto"/>
          <w:kern w:val="2"/>
          <w:sz w:val="32"/>
          <w:szCs w:val="32"/>
          <w:highlight w:val="none"/>
          <w:lang w:val="en-US" w:eastAsia="zh-CN" w:bidi="ar-SA"/>
        </w:rPr>
        <w:t>规定的时</w:t>
      </w:r>
      <w:r>
        <w:rPr>
          <w:rFonts w:hint="eastAsia" w:ascii="方正仿宋_GBK" w:hAnsi="方正仿宋_GBK" w:eastAsia="方正仿宋_GBK" w:cs="方正仿宋_GBK"/>
          <w:color w:val="auto"/>
          <w:kern w:val="2"/>
          <w:sz w:val="32"/>
          <w:szCs w:val="32"/>
          <w:highlight w:val="none"/>
          <w:lang w:val="zh-CN" w:eastAsia="zh-CN" w:bidi="ar-SA"/>
        </w:rPr>
        <w:t>间节点完成相应工作。</w:t>
      </w:r>
    </w:p>
    <w:p>
      <w:pPr>
        <w:pageBreakBefore w:val="0"/>
        <w:kinsoku/>
        <w:wordWrap/>
        <w:overflowPunct/>
        <w:topLinePunct w:val="0"/>
        <w:bidi w:val="0"/>
        <w:adjustRightInd w:val="0"/>
        <w:snapToGrid w:val="0"/>
        <w:spacing w:line="576" w:lineRule="exact"/>
        <w:ind w:firstLine="640" w:firstLineChars="200"/>
        <w:contextualSpacing/>
        <w:textAlignment w:val="auto"/>
        <w:rPr>
          <w:rFonts w:hint="default" w:ascii="方正仿宋_GBK" w:hAnsi="方正仿宋_GBK" w:eastAsia="方正仿宋_GBK" w:cs="方正仿宋_GBK"/>
          <w:color w:val="auto"/>
          <w:kern w:val="2"/>
          <w:sz w:val="32"/>
          <w:szCs w:val="32"/>
          <w:highlight w:val="none"/>
          <w:lang w:val="zh-CN" w:eastAsia="zh-CN" w:bidi="ar-SA"/>
        </w:rPr>
      </w:pPr>
      <w:r>
        <w:rPr>
          <w:rFonts w:hint="default" w:ascii="方正仿宋_GBK" w:hAnsi="方正仿宋_GBK" w:eastAsia="方正仿宋_GBK" w:cs="方正仿宋_GBK"/>
          <w:bCs/>
          <w:sz w:val="32"/>
          <w:szCs w:val="32"/>
          <w:lang w:val="en-US" w:eastAsia="zh-CN"/>
        </w:rPr>
        <w:t>3.</w:t>
      </w:r>
      <w:r>
        <w:rPr>
          <w:rFonts w:hint="default" w:ascii="方正仿宋_GBK" w:hAnsi="方正仿宋_GBK" w:eastAsia="方正仿宋_GBK" w:cs="方正仿宋_GBK"/>
          <w:bCs/>
          <w:sz w:val="32"/>
          <w:szCs w:val="32"/>
          <w:lang w:val="zh-CN" w:eastAsia="zh-CN"/>
        </w:rPr>
        <w:t>目标实现。</w:t>
      </w:r>
      <w:r>
        <w:rPr>
          <w:rFonts w:hint="eastAsia" w:ascii="方正仿宋_GBK" w:hAnsi="方正仿宋_GBK" w:eastAsia="方正仿宋_GBK" w:cs="方正仿宋_GBK"/>
          <w:color w:val="auto"/>
          <w:kern w:val="2"/>
          <w:sz w:val="32"/>
          <w:szCs w:val="32"/>
          <w:highlight w:val="none"/>
          <w:lang w:val="zh-CN" w:eastAsia="zh-CN" w:bidi="ar-SA"/>
        </w:rPr>
        <w:t>本年度绩效评价表现较好，</w:t>
      </w:r>
      <w:r>
        <w:rPr>
          <w:rFonts w:hint="eastAsia" w:ascii="方正仿宋_GBK" w:hAnsi="方正仿宋_GBK" w:eastAsia="方正仿宋_GBK" w:cs="方正仿宋_GBK"/>
          <w:color w:val="auto"/>
          <w:kern w:val="2"/>
          <w:sz w:val="32"/>
          <w:szCs w:val="32"/>
          <w:highlight w:val="none"/>
          <w:lang w:val="en-US" w:eastAsia="zh-CN" w:bidi="ar-SA"/>
        </w:rPr>
        <w:t>但需</w:t>
      </w:r>
      <w:r>
        <w:rPr>
          <w:rFonts w:hint="eastAsia" w:ascii="方正仿宋_GBK" w:hAnsi="方正仿宋_GBK" w:eastAsia="方正仿宋_GBK" w:cs="方正仿宋_GBK"/>
          <w:color w:val="auto"/>
          <w:kern w:val="2"/>
          <w:sz w:val="32"/>
          <w:szCs w:val="32"/>
          <w:highlight w:val="none"/>
          <w:lang w:val="zh-CN" w:eastAsia="zh-CN" w:bidi="ar-SA"/>
        </w:rPr>
        <w:t>对目标偏离的问题采取有效的改进措施，以提高单位的整体绩效水平。</w:t>
      </w:r>
    </w:p>
    <w:p>
      <w:pPr>
        <w:pageBreakBefore w:val="0"/>
        <w:kinsoku/>
        <w:wordWrap/>
        <w:overflowPunct/>
        <w:topLinePunct w:val="0"/>
        <w:bidi w:val="0"/>
        <w:snapToGrid w:val="0"/>
        <w:spacing w:line="576" w:lineRule="exact"/>
        <w:ind w:firstLine="642" w:firstLineChars="200"/>
        <w:textAlignment w:val="auto"/>
        <w:rPr>
          <w:rFonts w:hint="default" w:ascii="方正仿宋_GBK" w:hAnsi="方正仿宋_GBK" w:eastAsia="方正仿宋_GBK" w:cs="方正仿宋_GBK"/>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方正仿宋_GBK" w:hAnsi="方正仿宋_GBK" w:eastAsia="方正仿宋_GBK" w:cs="方正仿宋_GBK"/>
          <w:color w:val="auto"/>
          <w:kern w:val="2"/>
          <w:sz w:val="32"/>
          <w:szCs w:val="32"/>
          <w:highlight w:val="none"/>
          <w:lang w:val="zh-CN" w:eastAsia="zh-CN" w:bidi="ar-SA"/>
        </w:rPr>
        <w:t>围绕单位经济活动合法合规、资产安全和使用有效、财务信息真实完整，提高公共服务的效率和效果等单个或整体控制目标的实现程度，来保证单位目标的实现。</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方正仿宋_GBK" w:cs="Times New Roman"/>
          <w:color w:val="auto"/>
          <w:kern w:val="2"/>
          <w:sz w:val="32"/>
          <w:szCs w:val="32"/>
          <w:highlight w:val="none"/>
          <w:lang w:val="en-US" w:eastAsia="zh-CN" w:bidi="ar-SA"/>
        </w:rPr>
        <w:t>本部门严格按照预算绩效管理相关要求，对本年度部门预算项目开展绩效自评工作。部门预算资金基本按规定拨付使</w:t>
      </w:r>
      <w:bookmarkStart w:id="59" w:name="_GoBack"/>
      <w:bookmarkEnd w:id="59"/>
      <w:r>
        <w:rPr>
          <w:rFonts w:hint="default" w:ascii="Times New Roman" w:hAnsi="Times New Roman" w:eastAsia="方正仿宋_GBK" w:cs="Times New Roman"/>
          <w:color w:val="auto"/>
          <w:kern w:val="2"/>
          <w:sz w:val="32"/>
          <w:szCs w:val="32"/>
          <w:highlight w:val="none"/>
          <w:lang w:val="en-US" w:eastAsia="zh-CN" w:bidi="ar-SA"/>
        </w:rPr>
        <w:t>用，各项工作任务有序推进，预算资金实现预期效益，较好完成年度设定的绩效目标。但在预算执行、过程管理、效益发挥等方面仍存在短板，绩效管控水平有待进一步提升。</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方正仿宋_GBK" w:cs="Times New Roman"/>
          <w:color w:val="auto"/>
          <w:kern w:val="2"/>
          <w:sz w:val="32"/>
          <w:szCs w:val="32"/>
          <w:highlight w:val="none"/>
          <w:lang w:val="en-US" w:eastAsia="zh-CN" w:bidi="ar-SA"/>
        </w:rPr>
        <w:t>一是预算编制精准度不足，部分项目前期论证不够充分，少量预算执行进度偏慢，资金统筹使用效率有待提高。二是绩效过程管理不够扎实，绩效监控跟踪不够及时，部分绩效指标设置偏笼统，量化程度不足。</w:t>
      </w:r>
    </w:p>
    <w:p>
      <w:pPr>
        <w:keepNext w:val="0"/>
        <w:keepLines w:val="0"/>
        <w:pageBreakBefore w:val="0"/>
        <w:widowControl/>
        <w:kinsoku/>
        <w:wordWrap/>
        <w:overflowPunct/>
        <w:topLinePunct w:val="0"/>
        <w:autoSpaceDE/>
        <w:autoSpaceDN/>
        <w:bidi w:val="0"/>
        <w:adjustRightInd w:val="0"/>
        <w:snapToGrid w:val="0"/>
        <w:spacing w:line="576" w:lineRule="exact"/>
        <w:ind w:firstLine="642"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default" w:ascii="Times New Roman" w:hAnsi="Times New Roman" w:eastAsia="方正仿宋_GBK" w:cs="Times New Roman"/>
          <w:color w:val="auto"/>
          <w:kern w:val="2"/>
          <w:sz w:val="32"/>
          <w:szCs w:val="32"/>
          <w:highlight w:val="none"/>
          <w:lang w:val="en-US" w:eastAsia="zh-CN" w:bidi="ar-SA"/>
        </w:rPr>
        <w:t>做好编制预算的充分准备工作，扎实推进绩效管理。</w:t>
      </w: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zh-CN" w:eastAsia="zh-CN" w:bidi="ar-SA"/>
        </w:rPr>
      </w:pP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方正仿宋_GBK" w:cs="Times New Roman"/>
          <w:color w:val="auto"/>
          <w:kern w:val="2"/>
          <w:sz w:val="32"/>
          <w:szCs w:val="32"/>
          <w:highlight w:val="none"/>
          <w:lang w:val="zh-CN" w:eastAsia="zh-CN" w:bidi="ar-SA"/>
        </w:rPr>
      </w:pPr>
    </w:p>
    <w:p>
      <w:pPr>
        <w:pStyle w:val="2"/>
        <w:rPr>
          <w:rFonts w:hint="default" w:ascii="Times New Roman" w:hAnsi="Times New Roman" w:eastAsia="方正仿宋_GBK" w:cs="Times New Roman"/>
          <w:color w:val="auto"/>
          <w:kern w:val="2"/>
          <w:sz w:val="32"/>
          <w:szCs w:val="32"/>
          <w:highlight w:val="none"/>
          <w:lang w:val="zh-CN" w:eastAsia="zh-CN" w:bidi="ar-SA"/>
        </w:rPr>
      </w:pPr>
    </w:p>
    <w:p>
      <w:pPr>
        <w:pStyle w:val="3"/>
        <w:rPr>
          <w:rFonts w:hint="default"/>
          <w:lang w:val="zh-CN" w:eastAsia="zh-CN"/>
        </w:rPr>
      </w:pPr>
    </w:p>
    <w:p>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cs="Times New Roman"/>
          <w:sz w:val="32"/>
          <w:szCs w:val="32"/>
          <w:highlight w:val="yellow"/>
          <w:lang w:val="zh-CN" w:eastAsia="zh-CN"/>
        </w:rPr>
      </w:pPr>
      <w:r>
        <w:rPr>
          <w:rFonts w:hint="default" w:ascii="Times New Roman" w:hAnsi="Times New Roman" w:eastAsia="方正仿宋_GBK" w:cs="Times New Roman"/>
          <w:color w:val="auto"/>
          <w:kern w:val="2"/>
          <w:sz w:val="32"/>
          <w:szCs w:val="32"/>
          <w:highlight w:val="none"/>
          <w:lang w:val="zh-CN" w:eastAsia="zh-CN" w:bidi="ar-SA"/>
        </w:rPr>
        <w:t>附表：</w:t>
      </w:r>
      <w:r>
        <w:rPr>
          <w:rFonts w:hint="default" w:ascii="Times New Roman" w:hAnsi="Times New Roman" w:eastAsia="方正仿宋_GBK" w:cs="Times New Roman"/>
          <w:color w:val="auto"/>
          <w:kern w:val="2"/>
          <w:sz w:val="32"/>
          <w:szCs w:val="32"/>
          <w:highlight w:val="none"/>
          <w:lang w:val="en-US" w:eastAsia="zh-CN" w:bidi="ar-SA"/>
        </w:rPr>
        <w:t>部门预算项目支出绩效自评表（2025年度）</w:t>
      </w:r>
    </w:p>
    <w:tbl>
      <w:tblPr>
        <w:tblStyle w:val="15"/>
        <w:tblW w:w="8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71"/>
        <w:gridCol w:w="1158"/>
        <w:gridCol w:w="709"/>
        <w:gridCol w:w="726"/>
        <w:gridCol w:w="709"/>
        <w:gridCol w:w="861"/>
        <w:gridCol w:w="726"/>
        <w:gridCol w:w="709"/>
        <w:gridCol w:w="7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51000021Y000000011490-日常公用经费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44.58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44.58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51323021T000000067121-县委全委会、县委各种日常会议经费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负责承办全县性重要会议，检查指导、协办县委主要领导出席的其他有关会议。负责县委领导重要公务活动的统筹安排和组织协调</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27.70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27.70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常委会30余次，大型会议1-2次，日常较大会议96余次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场次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县委常委会议100余次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批次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每次办会效率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在规定的时间节点完成相应的会议</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会议精神传达率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参会人员对办会情况的满意度</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全年会议费用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51323021T000000067122-县委维稳保障经费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51323021T000000067124-督查工作经费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51323021T000000067161-县委机要应急设备配套资金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49.25%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49.25%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51323022T000000331097-慰问经费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51323022T000000348039-机要密码系统应急密码通信演练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51323023R000009292593-公务员奖励经费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51323023T000007661319-电子政务内网租赁费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47.70%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47.70%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51323023T000008006130-法律顾问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51323023T000009723928-保密机要局机房性能维持服务项目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51323023T000009828861-办公室主任培训会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51323024R000010372937-职工体检费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74.26%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74.26%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165.15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165.15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79.38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82.38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82.38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79.38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82.38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82.38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39.69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34.73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51323024R000010632747-编内退休人员一次性退休补贴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51323024R000010636289-公务员规范津贴补贴（新）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94.43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96.18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96.18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94.43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96.18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96.18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86.06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88.32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86.06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88.32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88.32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51323024R000010692771-遗属补助（新）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26.47%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51323024T000010298631-应急费用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74.57%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74.57%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59.40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88.73%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59.40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88.73%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51323024Y000010444866-定额公用经费（新）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113.98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93.57%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121.81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113.98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93.57%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52.99</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52.99</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52.99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51323025R000013657186-退休人员生活补助①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51323025T000012789115-县委办公楼维修维护费2025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51323025T000012798264-党办培训费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39.80%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51323025T000012798278-党委信息宣传工作经费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51323025T000012801400-打印设置购置费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24.90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24.90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99.59%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51323025T000012803991-县委维稳特情费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51323025T000012807963-供暖经费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55.42%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55.42%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51323025T000012875367-应急密码通信系统升级换装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193.96</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193.96</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87.35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51323025T000013712236-第三批“天府英才”工程专项资金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51323026T000014381221-目督中心办公桌椅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51323026T000014494048-四川省党政机关深化AK替代国产芯片“国货国用”项目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297.78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211.88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297.78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211.88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51323026T000014526843-会议终端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51323026T000014554637-目督中心督查培训经费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51323026T000014555556-督查经费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51323026T000014941215-鹿城区交流学习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98.02%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98.02%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51323024R000010440034-工资性支出（新）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87.56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137.61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137.61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87.56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137.61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137.61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51323024R000010441706-机关事业单位基本养老保险缴费支出（新）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51323024R000010441938-机关事业单位职业年金缴费支出（新）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51323024R000010442151-职工基本医疗保险缴费（新）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51323024R000010442387-公务员医疗补助（新）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51323024R000010442598-住房公积金（新）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28.39</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28.39</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28.39</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51323024R000010442824-其他单位缴费（新）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2.16</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2.16</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2.16</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51323024R000010638359-艰苦边远地区津贴（新）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51323024R000010638937-高海拔地区折算工龄补贴（新）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51323024R000010668191-乡镇工作补贴（新）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3.84</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51323024Y000010443500-日常公用经费（新）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提高预算编制质量，严格执行预算，保障单位日常运转。</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72.62%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21.78</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72.62%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科目调整次数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预算编制准确率（计算方法为：∣（执行数-预算数）/预算数∣）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“三公经费”控制率[计算方法为：（三公经费实际支出数/预算安排数]×100%）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运转保障率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51323025R000012670735-残疾人就业保障金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51323025R000013352112-在职人员基础绩效奖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51.77</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51.77</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51.77</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发放（缴纳）覆盖率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足额保障率（参保率）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4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51323025R000013373711-在职人员年度考核奖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中国共产党壤塘县委员会办公室</w:t>
            </w:r>
          </w:p>
        </w:tc>
        <w:tc>
          <w:tcPr>
            <w:tcW w:w="78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实施单位（盖章）</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壤塘县委办公室网管中心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31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07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26.51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26.51</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26.25</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99.01%</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23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黑体" w:cs="Times New Roman"/>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7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7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微软雅黑" w:cs="Times New Roman"/>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28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786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9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471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646"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1、报表说明:该报表查询项目信息、绩效目标信息、预算及执行情况，用于预算单位查询导出开展项目自评。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646"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2、取数口径：部门项目绩效目标表信息，包括年初预算、追加预算、结转预算和调整预算的绩效目标（以项目的最终绩效目标为准）。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646"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适用地区：全省范围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646" w:type="dxa"/>
            <w:gridSpan w:val="1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适用用户：部门用户、单位用户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c>
          <w:tcPr>
            <w:tcW w:w="786" w:type="dxa"/>
            <w:tcBorders>
              <w:top w:val="nil"/>
              <w:left w:val="nil"/>
              <w:bottom w:val="nil"/>
              <w:right w:val="nil"/>
            </w:tcBorders>
            <w:shd w:val="clear" w:color="auto" w:fill="auto"/>
            <w:vAlign w:val="center"/>
          </w:tcPr>
          <w:p>
            <w:pPr>
              <w:rPr>
                <w:rFonts w:hint="default" w:ascii="Times New Roman" w:hAnsi="Times New Roman" w:eastAsia="宋体" w:cs="Times New Roman"/>
                <w:i w:val="0"/>
                <w:iCs w:val="0"/>
                <w:color w:val="000000"/>
                <w:sz w:val="18"/>
                <w:szCs w:val="18"/>
                <w:u w:val="none"/>
              </w:rPr>
            </w:pPr>
          </w:p>
        </w:tc>
      </w:tr>
    </w:tbl>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3"/>
        <w:keepNext w:val="0"/>
        <w:keepLines w:val="0"/>
        <w:pageBreakBefore w:val="0"/>
        <w:numPr>
          <w:ilvl w:val="0"/>
          <w:numId w:val="0"/>
        </w:numPr>
        <w:kinsoku/>
        <w:wordWrap/>
        <w:overflowPunct/>
        <w:topLinePunct w:val="0"/>
        <w:autoSpaceDE/>
        <w:autoSpaceDN/>
        <w:bidi w:val="0"/>
        <w:spacing w:line="576" w:lineRule="exact"/>
        <w:textAlignment w:val="auto"/>
        <w:rPr>
          <w:rFonts w:hint="default" w:ascii="Times New Roman" w:hAnsi="Times New Roman" w:cs="Times New Roman"/>
          <w:sz w:val="32"/>
          <w:szCs w:val="32"/>
          <w:highlight w:val="yellow"/>
          <w:lang w:val="zh-CN" w:eastAsia="zh-CN"/>
        </w:rPr>
      </w:pPr>
    </w:p>
    <w:p>
      <w:pPr>
        <w:pStyle w:val="8"/>
        <w:pageBreakBefore w:val="0"/>
        <w:kinsoku/>
        <w:wordWrap/>
        <w:overflowPunct/>
        <w:topLinePunct w:val="0"/>
        <w:autoSpaceDE/>
        <w:autoSpaceDN/>
        <w:bidi w:val="0"/>
        <w:spacing w:line="576" w:lineRule="exact"/>
        <w:textAlignment w:val="auto"/>
        <w:rPr>
          <w:rFonts w:hint="default" w:ascii="Times New Roman" w:hAnsi="Times New Roman" w:cs="Times New Roman"/>
          <w:color w:val="FF0000"/>
          <w:kern w:val="0"/>
          <w:sz w:val="32"/>
          <w:szCs w:val="32"/>
          <w:highlight w:val="yellow"/>
          <w:shd w:val="clear" w:color="auto" w:fill="FFFFFF"/>
          <w:lang w:val="zh-CN"/>
        </w:rPr>
      </w:pPr>
    </w:p>
    <w:p>
      <w:pPr>
        <w:pageBreakBefore w:val="0"/>
        <w:widowControl/>
        <w:kinsoku/>
        <w:wordWrap/>
        <w:overflowPunct/>
        <w:topLinePunct w:val="0"/>
        <w:autoSpaceDE/>
        <w:autoSpaceDN/>
        <w:bidi w:val="0"/>
        <w:spacing w:line="576" w:lineRule="exact"/>
        <w:jc w:val="center"/>
        <w:textAlignment w:val="auto"/>
        <w:rPr>
          <w:rFonts w:hint="default" w:ascii="Times New Roman" w:hAnsi="Times New Roman" w:eastAsia="仿宋" w:cs="Times New Roman"/>
          <w:b w:val="0"/>
          <w:color w:val="auto"/>
          <w:highlight w:val="none"/>
        </w:rPr>
      </w:pPr>
      <w:bookmarkStart w:id="45" w:name="_Toc15396618"/>
      <w:r>
        <w:rPr>
          <w:rFonts w:hint="default" w:ascii="Times New Roman" w:hAnsi="Times New Roman" w:eastAsia="黑体" w:cs="Times New Roman"/>
          <w:color w:val="auto"/>
          <w:sz w:val="44"/>
          <w:szCs w:val="44"/>
          <w:highlight w:val="none"/>
        </w:rPr>
        <w:t>第</w:t>
      </w:r>
      <w:r>
        <w:rPr>
          <w:rStyle w:val="28"/>
          <w:rFonts w:hint="default" w:ascii="Times New Roman" w:hAnsi="Times New Roman" w:eastAsia="黑体" w:cs="Times New Roman"/>
          <w:b w:val="0"/>
          <w:color w:val="auto"/>
          <w:highlight w:val="none"/>
        </w:rPr>
        <w:t>五部分附表</w:t>
      </w:r>
      <w:bookmarkEnd w:id="44"/>
      <w:bookmarkEnd w:id="45"/>
      <w:bookmarkStart w:id="46" w:name="_Toc15396619"/>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仿宋_GB2312" w:cs="Times New Roman"/>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bookmarkEnd w:id="46"/>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47" w:name="_Toc15396620"/>
      <w:r>
        <w:rPr>
          <w:rFonts w:hint="default" w:ascii="Times New Roman" w:hAnsi="Times New Roman" w:eastAsia="方正仿宋_GBK" w:cs="Times New Roman"/>
          <w:color w:val="auto"/>
          <w:sz w:val="32"/>
          <w:szCs w:val="32"/>
          <w:highlight w:val="none"/>
        </w:rPr>
        <w:t>二、收入决算表</w:t>
      </w:r>
      <w:bookmarkEnd w:id="47"/>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48" w:name="_Toc15396621"/>
      <w:r>
        <w:rPr>
          <w:rFonts w:hint="default" w:ascii="Times New Roman" w:hAnsi="Times New Roman" w:eastAsia="方正仿宋_GBK" w:cs="Times New Roman"/>
          <w:color w:val="auto"/>
          <w:sz w:val="32"/>
          <w:szCs w:val="32"/>
          <w:highlight w:val="none"/>
        </w:rPr>
        <w:t>三、支出决算表</w:t>
      </w:r>
      <w:bookmarkEnd w:id="48"/>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49" w:name="_Toc15396622"/>
      <w:r>
        <w:rPr>
          <w:rFonts w:hint="default" w:ascii="Times New Roman" w:hAnsi="Times New Roman" w:eastAsia="方正仿宋_GBK" w:cs="Times New Roman"/>
          <w:color w:val="auto"/>
          <w:sz w:val="32"/>
          <w:szCs w:val="32"/>
          <w:highlight w:val="none"/>
        </w:rPr>
        <w:t>四、财政拨款收入支出决算总表</w:t>
      </w:r>
      <w:bookmarkEnd w:id="49"/>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0" w:name="_Toc15396623"/>
      <w:r>
        <w:rPr>
          <w:rFonts w:hint="default" w:ascii="Times New Roman" w:hAnsi="Times New Roman" w:eastAsia="方正仿宋_GBK" w:cs="Times New Roman"/>
          <w:color w:val="auto"/>
          <w:sz w:val="32"/>
          <w:szCs w:val="32"/>
          <w:highlight w:val="none"/>
        </w:rPr>
        <w:t>五、财政拨款支出决算明细表</w:t>
      </w:r>
      <w:bookmarkEnd w:id="50"/>
      <w:bookmarkStart w:id="51" w:name="_Toc15396624"/>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bookmarkEnd w:id="51"/>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2" w:name="_Toc15396625"/>
      <w:r>
        <w:rPr>
          <w:rFonts w:hint="default" w:ascii="Times New Roman" w:hAnsi="Times New Roman" w:eastAsia="方正仿宋_GBK" w:cs="Times New Roman"/>
          <w:color w:val="auto"/>
          <w:sz w:val="32"/>
          <w:szCs w:val="32"/>
          <w:highlight w:val="none"/>
        </w:rPr>
        <w:t>七、一般公共预算财政拨款支出决算明细表</w:t>
      </w:r>
      <w:bookmarkEnd w:id="52"/>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3" w:name="_Toc15396626"/>
      <w:r>
        <w:rPr>
          <w:rFonts w:hint="default" w:ascii="Times New Roman" w:hAnsi="Times New Roman" w:eastAsia="方正仿宋_GBK" w:cs="Times New Roman"/>
          <w:color w:val="auto"/>
          <w:sz w:val="32"/>
          <w:szCs w:val="32"/>
          <w:highlight w:val="none"/>
        </w:rPr>
        <w:t>八、一般公共预算财政拨款基本支出决算表</w:t>
      </w:r>
      <w:bookmarkEnd w:id="53"/>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4" w:name="_Toc15396627"/>
      <w:r>
        <w:rPr>
          <w:rFonts w:hint="default" w:ascii="Times New Roman" w:hAnsi="Times New Roman" w:eastAsia="方正仿宋_GBK" w:cs="Times New Roman"/>
          <w:color w:val="auto"/>
          <w:sz w:val="32"/>
          <w:szCs w:val="32"/>
          <w:highlight w:val="none"/>
        </w:rPr>
        <w:t>九、一般公共预算财政拨款项目支出决算表</w:t>
      </w:r>
      <w:bookmarkEnd w:id="54"/>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5" w:name="_Toc15396628"/>
      <w:r>
        <w:rPr>
          <w:rFonts w:hint="default" w:ascii="Times New Roman" w:hAnsi="Times New Roman" w:eastAsia="方正仿宋_GBK" w:cs="Times New Roman"/>
          <w:color w:val="auto"/>
          <w:sz w:val="32"/>
          <w:szCs w:val="32"/>
          <w:highlight w:val="none"/>
        </w:rPr>
        <w:t>十、</w:t>
      </w:r>
      <w:bookmarkEnd w:id="55"/>
      <w:r>
        <w:rPr>
          <w:rFonts w:hint="default" w:ascii="Times New Roman" w:hAnsi="Times New Roman" w:eastAsia="方正仿宋_GBK" w:cs="Times New Roman"/>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6" w:name="_Toc15396629"/>
      <w:r>
        <w:rPr>
          <w:rFonts w:hint="default" w:ascii="Times New Roman" w:hAnsi="Times New Roman" w:eastAsia="方正仿宋_GBK" w:cs="Times New Roman"/>
          <w:color w:val="auto"/>
          <w:sz w:val="32"/>
          <w:szCs w:val="32"/>
          <w:highlight w:val="none"/>
        </w:rPr>
        <w:t>十一、</w:t>
      </w:r>
      <w:bookmarkEnd w:id="56"/>
      <w:r>
        <w:rPr>
          <w:rFonts w:hint="default" w:ascii="Times New Roman" w:hAnsi="Times New Roman" w:eastAsia="方正仿宋_GBK" w:cs="Times New Roman"/>
          <w:color w:val="auto"/>
          <w:sz w:val="32"/>
          <w:szCs w:val="32"/>
          <w:highlight w:val="none"/>
        </w:rPr>
        <w:t>国有资本经营预算</w:t>
      </w:r>
      <w:r>
        <w:rPr>
          <w:rFonts w:hint="default" w:ascii="Times New Roman" w:hAnsi="Times New Roman" w:eastAsia="方正仿宋_GBK" w:cs="Times New Roman"/>
          <w:color w:val="auto"/>
          <w:sz w:val="32"/>
          <w:szCs w:val="32"/>
          <w:highlight w:val="none"/>
          <w:lang w:eastAsia="zh-CN"/>
        </w:rPr>
        <w:t>财政拨款收入</w:t>
      </w:r>
      <w:r>
        <w:rPr>
          <w:rFonts w:hint="default" w:ascii="Times New Roman" w:hAnsi="Times New Roman" w:eastAsia="方正仿宋_GBK" w:cs="Times New Roman"/>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rPr>
      </w:pPr>
      <w:bookmarkStart w:id="57" w:name="_Toc15396630"/>
      <w:r>
        <w:rPr>
          <w:rFonts w:hint="default" w:ascii="Times New Roman" w:hAnsi="Times New Roman" w:eastAsia="方正仿宋_GBK" w:cs="Times New Roman"/>
          <w:color w:val="auto"/>
          <w:sz w:val="32"/>
          <w:szCs w:val="32"/>
          <w:highlight w:val="none"/>
        </w:rPr>
        <w:t>十二、</w:t>
      </w:r>
      <w:bookmarkEnd w:id="57"/>
      <w:r>
        <w:rPr>
          <w:rFonts w:hint="default" w:ascii="Times New Roman" w:hAnsi="Times New Roman" w:eastAsia="方正仿宋_GBK" w:cs="Times New Roman"/>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方正仿宋_GBK" w:cs="Times New Roman"/>
          <w:color w:val="auto"/>
          <w:sz w:val="32"/>
          <w:szCs w:val="32"/>
          <w:highlight w:val="none"/>
          <w:lang w:eastAsia="zh-CN"/>
        </w:rPr>
      </w:pPr>
      <w:bookmarkStart w:id="58" w:name="_Toc15396631"/>
      <w:r>
        <w:rPr>
          <w:rFonts w:hint="default" w:ascii="Times New Roman" w:hAnsi="Times New Roman" w:eastAsia="方正仿宋_GBK" w:cs="Times New Roman"/>
          <w:color w:val="auto"/>
          <w:sz w:val="32"/>
          <w:szCs w:val="32"/>
          <w:highlight w:val="none"/>
        </w:rPr>
        <w:t>十三、</w:t>
      </w:r>
      <w:bookmarkEnd w:id="58"/>
      <w:r>
        <w:rPr>
          <w:rFonts w:hint="default" w:ascii="Times New Roman" w:hAnsi="Times New Roman" w:eastAsia="方正仿宋_GBK" w:cs="Times New Roman"/>
          <w:color w:val="auto"/>
          <w:sz w:val="32"/>
          <w:szCs w:val="32"/>
          <w:highlight w:val="none"/>
          <w:lang w:eastAsia="zh-CN"/>
        </w:rPr>
        <w:t>财政拨款“三公”经费支出决算表</w:t>
      </w:r>
    </w:p>
    <w:p>
      <w:pPr>
        <w:pageBreakBefore w:val="0"/>
        <w:kinsoku/>
        <w:wordWrap/>
        <w:overflowPunct/>
        <w:topLinePunct w:val="0"/>
        <w:autoSpaceDE/>
        <w:autoSpaceDN/>
        <w:bidi w:val="0"/>
        <w:spacing w:line="576" w:lineRule="exact"/>
        <w:textAlignment w:val="auto"/>
        <w:rPr>
          <w:rFonts w:hint="default" w:ascii="Times New Roman" w:hAnsi="Times New Roman" w:eastAsia="方正仿宋_GBK" w:cs="Times New Roman"/>
          <w:sz w:val="32"/>
          <w:szCs w:val="32"/>
          <w:lang w:eastAsia="zh-CN"/>
        </w:rPr>
      </w:pPr>
    </w:p>
    <w:sectPr>
      <w:footerReference r:id="rId8" w:type="first"/>
      <w:footerReference r:id="rId7"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微软雅黑">
    <w:altName w:val="黑体"/>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C9ACB1"/>
    <w:multiLevelType w:val="singleLevel"/>
    <w:tmpl w:val="F3C9ACB1"/>
    <w:lvl w:ilvl="0" w:tentative="0">
      <w:start w:val="1"/>
      <w:numFmt w:val="chineseCounting"/>
      <w:suff w:val="nothing"/>
      <w:lvlText w:val="%1、"/>
      <w:lvlJc w:val="left"/>
      <w:rPr>
        <w:rFonts w:hint="eastAsia"/>
      </w:rPr>
    </w:lvl>
  </w:abstractNum>
  <w:abstractNum w:abstractNumId="1">
    <w:nsid w:val="196526E6"/>
    <w:multiLevelType w:val="singleLevel"/>
    <w:tmpl w:val="196526E6"/>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9048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35F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730582"/>
    <w:rsid w:val="01B91719"/>
    <w:rsid w:val="01CC7C92"/>
    <w:rsid w:val="02317B1B"/>
    <w:rsid w:val="02FEBE30"/>
    <w:rsid w:val="03BB1D6C"/>
    <w:rsid w:val="04210B99"/>
    <w:rsid w:val="05982825"/>
    <w:rsid w:val="05B747B5"/>
    <w:rsid w:val="05DF62C8"/>
    <w:rsid w:val="061E35DE"/>
    <w:rsid w:val="06606BFB"/>
    <w:rsid w:val="066E0107"/>
    <w:rsid w:val="06896D36"/>
    <w:rsid w:val="06D66EBD"/>
    <w:rsid w:val="07222102"/>
    <w:rsid w:val="07996F6E"/>
    <w:rsid w:val="07B72711"/>
    <w:rsid w:val="07CB7718"/>
    <w:rsid w:val="07DFD8BA"/>
    <w:rsid w:val="08387E2F"/>
    <w:rsid w:val="08DB07E4"/>
    <w:rsid w:val="09594501"/>
    <w:rsid w:val="09867E8F"/>
    <w:rsid w:val="09B2776D"/>
    <w:rsid w:val="09DD2A0F"/>
    <w:rsid w:val="0A2032A3"/>
    <w:rsid w:val="0A5D1DCF"/>
    <w:rsid w:val="0AAE6186"/>
    <w:rsid w:val="0AF65D7F"/>
    <w:rsid w:val="0B057D70"/>
    <w:rsid w:val="0BEF6A57"/>
    <w:rsid w:val="0C2C32DA"/>
    <w:rsid w:val="0C6C4794"/>
    <w:rsid w:val="0CA8290A"/>
    <w:rsid w:val="0D1150F2"/>
    <w:rsid w:val="0D35B1ED"/>
    <w:rsid w:val="0D3B0FD3"/>
    <w:rsid w:val="0D843493"/>
    <w:rsid w:val="0DE07E2B"/>
    <w:rsid w:val="0EA4331A"/>
    <w:rsid w:val="0F6E4136"/>
    <w:rsid w:val="0F98263C"/>
    <w:rsid w:val="0FA062BA"/>
    <w:rsid w:val="0FDB78DE"/>
    <w:rsid w:val="101860EC"/>
    <w:rsid w:val="105C0497"/>
    <w:rsid w:val="10963D8A"/>
    <w:rsid w:val="10C055FF"/>
    <w:rsid w:val="11351728"/>
    <w:rsid w:val="11553800"/>
    <w:rsid w:val="11772AA4"/>
    <w:rsid w:val="118107EC"/>
    <w:rsid w:val="12070D49"/>
    <w:rsid w:val="12D06EB6"/>
    <w:rsid w:val="13D50BC4"/>
    <w:rsid w:val="14022904"/>
    <w:rsid w:val="14042C01"/>
    <w:rsid w:val="14150A03"/>
    <w:rsid w:val="151C63E2"/>
    <w:rsid w:val="15221AAA"/>
    <w:rsid w:val="152F2A07"/>
    <w:rsid w:val="155838BF"/>
    <w:rsid w:val="15BD7BC5"/>
    <w:rsid w:val="16175528"/>
    <w:rsid w:val="16481B85"/>
    <w:rsid w:val="165E0673"/>
    <w:rsid w:val="16BB723D"/>
    <w:rsid w:val="17CC78C9"/>
    <w:rsid w:val="18291542"/>
    <w:rsid w:val="186504BB"/>
    <w:rsid w:val="18A1732B"/>
    <w:rsid w:val="1938089F"/>
    <w:rsid w:val="198A0323"/>
    <w:rsid w:val="19A445FC"/>
    <w:rsid w:val="1A442663"/>
    <w:rsid w:val="1A444411"/>
    <w:rsid w:val="1AE37742"/>
    <w:rsid w:val="1AF50371"/>
    <w:rsid w:val="1AF51BB0"/>
    <w:rsid w:val="1B0B4F2F"/>
    <w:rsid w:val="1B7D550C"/>
    <w:rsid w:val="1BE8440E"/>
    <w:rsid w:val="1CD147AE"/>
    <w:rsid w:val="1D155CEE"/>
    <w:rsid w:val="1D2664CF"/>
    <w:rsid w:val="1D4A4435"/>
    <w:rsid w:val="1DE81558"/>
    <w:rsid w:val="1DFC3255"/>
    <w:rsid w:val="1E740ACF"/>
    <w:rsid w:val="1EA731C1"/>
    <w:rsid w:val="1ED146E2"/>
    <w:rsid w:val="1EDE2087"/>
    <w:rsid w:val="1FF13FC9"/>
    <w:rsid w:val="1FF22625"/>
    <w:rsid w:val="1FF35744"/>
    <w:rsid w:val="1FF6BC77"/>
    <w:rsid w:val="200F7E6B"/>
    <w:rsid w:val="21962A9E"/>
    <w:rsid w:val="21AE7C77"/>
    <w:rsid w:val="21F273B2"/>
    <w:rsid w:val="220F3557"/>
    <w:rsid w:val="22BB723B"/>
    <w:rsid w:val="22BC3C41"/>
    <w:rsid w:val="22F015DA"/>
    <w:rsid w:val="23447230"/>
    <w:rsid w:val="23860B96"/>
    <w:rsid w:val="23A579AE"/>
    <w:rsid w:val="240371BF"/>
    <w:rsid w:val="24523BCF"/>
    <w:rsid w:val="245B2DEE"/>
    <w:rsid w:val="25937F25"/>
    <w:rsid w:val="25BB0A6F"/>
    <w:rsid w:val="260F557C"/>
    <w:rsid w:val="26146435"/>
    <w:rsid w:val="265E0957"/>
    <w:rsid w:val="26F86CAF"/>
    <w:rsid w:val="271A054F"/>
    <w:rsid w:val="27433CA3"/>
    <w:rsid w:val="27440052"/>
    <w:rsid w:val="28136333"/>
    <w:rsid w:val="281408E2"/>
    <w:rsid w:val="2829733C"/>
    <w:rsid w:val="284F6DA3"/>
    <w:rsid w:val="28500425"/>
    <w:rsid w:val="28EF7C3E"/>
    <w:rsid w:val="28FB65E3"/>
    <w:rsid w:val="298D2E39"/>
    <w:rsid w:val="29F23E8A"/>
    <w:rsid w:val="29FD04D3"/>
    <w:rsid w:val="2A6E7289"/>
    <w:rsid w:val="2AA1765E"/>
    <w:rsid w:val="2AE43DCB"/>
    <w:rsid w:val="2B2D0DA2"/>
    <w:rsid w:val="2B7E174D"/>
    <w:rsid w:val="2BFF7BC6"/>
    <w:rsid w:val="2C0E487F"/>
    <w:rsid w:val="2C5B070C"/>
    <w:rsid w:val="2C8A61B5"/>
    <w:rsid w:val="2D2E01CF"/>
    <w:rsid w:val="2DF04E50"/>
    <w:rsid w:val="2E9545B0"/>
    <w:rsid w:val="2F040D46"/>
    <w:rsid w:val="2FAE5751"/>
    <w:rsid w:val="2FB1A395"/>
    <w:rsid w:val="2FD9A7D8"/>
    <w:rsid w:val="30B005FB"/>
    <w:rsid w:val="30D84E82"/>
    <w:rsid w:val="30DE49BA"/>
    <w:rsid w:val="319F7F4E"/>
    <w:rsid w:val="321B2544"/>
    <w:rsid w:val="32747406"/>
    <w:rsid w:val="3304709D"/>
    <w:rsid w:val="34281836"/>
    <w:rsid w:val="34873A5C"/>
    <w:rsid w:val="349D6851"/>
    <w:rsid w:val="34D95A2F"/>
    <w:rsid w:val="351D5B33"/>
    <w:rsid w:val="353E3843"/>
    <w:rsid w:val="35487054"/>
    <w:rsid w:val="35BA6CAF"/>
    <w:rsid w:val="364D14C1"/>
    <w:rsid w:val="36785717"/>
    <w:rsid w:val="36AA5135"/>
    <w:rsid w:val="36BE0DA7"/>
    <w:rsid w:val="36C070BE"/>
    <w:rsid w:val="36F30723"/>
    <w:rsid w:val="37270EEB"/>
    <w:rsid w:val="374101FF"/>
    <w:rsid w:val="376B6AA6"/>
    <w:rsid w:val="376D39B2"/>
    <w:rsid w:val="37C4498C"/>
    <w:rsid w:val="37E16F03"/>
    <w:rsid w:val="37F53A3B"/>
    <w:rsid w:val="385C6972"/>
    <w:rsid w:val="389B6C89"/>
    <w:rsid w:val="38D469F0"/>
    <w:rsid w:val="393125F0"/>
    <w:rsid w:val="39627CCD"/>
    <w:rsid w:val="397BAF1F"/>
    <w:rsid w:val="39E906DA"/>
    <w:rsid w:val="39F5707E"/>
    <w:rsid w:val="3A241712"/>
    <w:rsid w:val="3A43428E"/>
    <w:rsid w:val="3A9E2201"/>
    <w:rsid w:val="3AAF36D1"/>
    <w:rsid w:val="3AB79AF3"/>
    <w:rsid w:val="3B7EF35A"/>
    <w:rsid w:val="3B9FDB6C"/>
    <w:rsid w:val="3BF5BC2F"/>
    <w:rsid w:val="3C7B5999"/>
    <w:rsid w:val="3CEBA265"/>
    <w:rsid w:val="3D4F21FC"/>
    <w:rsid w:val="3D98207C"/>
    <w:rsid w:val="3D9B0D99"/>
    <w:rsid w:val="3DEE7CF3"/>
    <w:rsid w:val="3DF02244"/>
    <w:rsid w:val="3E78745D"/>
    <w:rsid w:val="3F1A6B7C"/>
    <w:rsid w:val="3F402AB0"/>
    <w:rsid w:val="3F43088C"/>
    <w:rsid w:val="3FF4CAE0"/>
    <w:rsid w:val="3FF7B227"/>
    <w:rsid w:val="40D64434"/>
    <w:rsid w:val="40E54C45"/>
    <w:rsid w:val="42CF2B62"/>
    <w:rsid w:val="43A407DF"/>
    <w:rsid w:val="43D917BF"/>
    <w:rsid w:val="44515BEA"/>
    <w:rsid w:val="44805933"/>
    <w:rsid w:val="44A952B3"/>
    <w:rsid w:val="44D21C0F"/>
    <w:rsid w:val="44E268DA"/>
    <w:rsid w:val="451C7BB5"/>
    <w:rsid w:val="453F7E5B"/>
    <w:rsid w:val="4575131D"/>
    <w:rsid w:val="47B57F37"/>
    <w:rsid w:val="47F92762"/>
    <w:rsid w:val="48256D81"/>
    <w:rsid w:val="48650DF8"/>
    <w:rsid w:val="486A6C7A"/>
    <w:rsid w:val="48855A71"/>
    <w:rsid w:val="48D04F3E"/>
    <w:rsid w:val="49176D9B"/>
    <w:rsid w:val="499F1197"/>
    <w:rsid w:val="49C2133F"/>
    <w:rsid w:val="4A627F82"/>
    <w:rsid w:val="4AF018C8"/>
    <w:rsid w:val="4B0E749A"/>
    <w:rsid w:val="4B133808"/>
    <w:rsid w:val="4B4F25DA"/>
    <w:rsid w:val="4BDA0CFB"/>
    <w:rsid w:val="4BE068DB"/>
    <w:rsid w:val="4C304F6D"/>
    <w:rsid w:val="4C8B19C3"/>
    <w:rsid w:val="4C9D11F4"/>
    <w:rsid w:val="4CF11C4B"/>
    <w:rsid w:val="4D2717ED"/>
    <w:rsid w:val="4D3C0CCC"/>
    <w:rsid w:val="4D577224"/>
    <w:rsid w:val="4DBF1CEB"/>
    <w:rsid w:val="4E027201"/>
    <w:rsid w:val="4E287413"/>
    <w:rsid w:val="4E564138"/>
    <w:rsid w:val="4EAB630A"/>
    <w:rsid w:val="4ECE2238"/>
    <w:rsid w:val="4F4C1097"/>
    <w:rsid w:val="4F833267"/>
    <w:rsid w:val="4FE9BD67"/>
    <w:rsid w:val="4FFB052F"/>
    <w:rsid w:val="501C315F"/>
    <w:rsid w:val="507A1C34"/>
    <w:rsid w:val="51D71203"/>
    <w:rsid w:val="52940ADB"/>
    <w:rsid w:val="52B94DF7"/>
    <w:rsid w:val="53083A92"/>
    <w:rsid w:val="530F7AAE"/>
    <w:rsid w:val="532D11DF"/>
    <w:rsid w:val="536E37EB"/>
    <w:rsid w:val="537E6D0A"/>
    <w:rsid w:val="53AF27A2"/>
    <w:rsid w:val="53F74C96"/>
    <w:rsid w:val="54EF47C6"/>
    <w:rsid w:val="5523289A"/>
    <w:rsid w:val="56350AD7"/>
    <w:rsid w:val="56E47B74"/>
    <w:rsid w:val="572A43B4"/>
    <w:rsid w:val="57B541EA"/>
    <w:rsid w:val="57BD3DD4"/>
    <w:rsid w:val="580A7D41"/>
    <w:rsid w:val="58DF2F7C"/>
    <w:rsid w:val="58F509F1"/>
    <w:rsid w:val="592A4241"/>
    <w:rsid w:val="5A2C6D21"/>
    <w:rsid w:val="5A5A4FB0"/>
    <w:rsid w:val="5AF92295"/>
    <w:rsid w:val="5AFB50E7"/>
    <w:rsid w:val="5B4B673D"/>
    <w:rsid w:val="5BDD79E6"/>
    <w:rsid w:val="5BF561CA"/>
    <w:rsid w:val="5BFF5DFC"/>
    <w:rsid w:val="5C3972AC"/>
    <w:rsid w:val="5CB564CD"/>
    <w:rsid w:val="5CD71FC4"/>
    <w:rsid w:val="5D1F11B5"/>
    <w:rsid w:val="5D2673CB"/>
    <w:rsid w:val="5DAE1B18"/>
    <w:rsid w:val="5DE7D9E5"/>
    <w:rsid w:val="5ECEC941"/>
    <w:rsid w:val="5F463D55"/>
    <w:rsid w:val="5F493CB7"/>
    <w:rsid w:val="5FBF9FF3"/>
    <w:rsid w:val="5FC87DF3"/>
    <w:rsid w:val="5FCD4E2C"/>
    <w:rsid w:val="5FD15F49"/>
    <w:rsid w:val="5FEF394A"/>
    <w:rsid w:val="5FF67715"/>
    <w:rsid w:val="604843CA"/>
    <w:rsid w:val="60A960F0"/>
    <w:rsid w:val="6200468F"/>
    <w:rsid w:val="62662018"/>
    <w:rsid w:val="626F5370"/>
    <w:rsid w:val="62BF3928"/>
    <w:rsid w:val="63223165"/>
    <w:rsid w:val="639C2195"/>
    <w:rsid w:val="643924DB"/>
    <w:rsid w:val="647F5392"/>
    <w:rsid w:val="65044496"/>
    <w:rsid w:val="651E6BDA"/>
    <w:rsid w:val="661632D0"/>
    <w:rsid w:val="664B1D71"/>
    <w:rsid w:val="66642A17"/>
    <w:rsid w:val="67AA3209"/>
    <w:rsid w:val="681C4F0D"/>
    <w:rsid w:val="69046D0F"/>
    <w:rsid w:val="693C70F5"/>
    <w:rsid w:val="698D0931"/>
    <w:rsid w:val="69995D70"/>
    <w:rsid w:val="69EC1F51"/>
    <w:rsid w:val="6A7F1D30"/>
    <w:rsid w:val="6A84533B"/>
    <w:rsid w:val="6A993CED"/>
    <w:rsid w:val="6B053271"/>
    <w:rsid w:val="6BCE6674"/>
    <w:rsid w:val="6BE97F42"/>
    <w:rsid w:val="6C4A05C8"/>
    <w:rsid w:val="6C5172C5"/>
    <w:rsid w:val="6C635F46"/>
    <w:rsid w:val="6C8742B8"/>
    <w:rsid w:val="6C8A170F"/>
    <w:rsid w:val="6CB54609"/>
    <w:rsid w:val="6D1A237D"/>
    <w:rsid w:val="6D3E2288"/>
    <w:rsid w:val="6D5C4743"/>
    <w:rsid w:val="6DBF5E93"/>
    <w:rsid w:val="6DFF077E"/>
    <w:rsid w:val="6E3D6323"/>
    <w:rsid w:val="6E4C520D"/>
    <w:rsid w:val="6E7E3605"/>
    <w:rsid w:val="6E7FDCC7"/>
    <w:rsid w:val="6EBE56B6"/>
    <w:rsid w:val="6ED6A62E"/>
    <w:rsid w:val="6EDF73DA"/>
    <w:rsid w:val="6EE00B15"/>
    <w:rsid w:val="6F544B20"/>
    <w:rsid w:val="6F6FB3EB"/>
    <w:rsid w:val="6F784160"/>
    <w:rsid w:val="6F8731EA"/>
    <w:rsid w:val="6FAE5687"/>
    <w:rsid w:val="6FCE6052"/>
    <w:rsid w:val="6FD57C00"/>
    <w:rsid w:val="6FD607DD"/>
    <w:rsid w:val="6FE8322C"/>
    <w:rsid w:val="6FEFFFD8"/>
    <w:rsid w:val="6FF5CC65"/>
    <w:rsid w:val="6FFB47EC"/>
    <w:rsid w:val="6FFF034A"/>
    <w:rsid w:val="70496804"/>
    <w:rsid w:val="712A28F1"/>
    <w:rsid w:val="715C0E4B"/>
    <w:rsid w:val="72233669"/>
    <w:rsid w:val="72345C6E"/>
    <w:rsid w:val="72734D90"/>
    <w:rsid w:val="72AA7D31"/>
    <w:rsid w:val="7332FE48"/>
    <w:rsid w:val="736031D2"/>
    <w:rsid w:val="73AB61DA"/>
    <w:rsid w:val="73AD73D5"/>
    <w:rsid w:val="73B6EB34"/>
    <w:rsid w:val="73FA497D"/>
    <w:rsid w:val="744568C7"/>
    <w:rsid w:val="744731E5"/>
    <w:rsid w:val="74527205"/>
    <w:rsid w:val="745D7ABB"/>
    <w:rsid w:val="74BBD01D"/>
    <w:rsid w:val="74ED5379"/>
    <w:rsid w:val="74FC2395"/>
    <w:rsid w:val="75DEEEC2"/>
    <w:rsid w:val="76B25806"/>
    <w:rsid w:val="76E3355F"/>
    <w:rsid w:val="76E62EB5"/>
    <w:rsid w:val="76FF5125"/>
    <w:rsid w:val="776F6FFA"/>
    <w:rsid w:val="778769C8"/>
    <w:rsid w:val="77DC22F5"/>
    <w:rsid w:val="780F5AA2"/>
    <w:rsid w:val="78191561"/>
    <w:rsid w:val="786848E4"/>
    <w:rsid w:val="79086DAD"/>
    <w:rsid w:val="79556C16"/>
    <w:rsid w:val="79974F09"/>
    <w:rsid w:val="79D7FD79"/>
    <w:rsid w:val="79EE5BA4"/>
    <w:rsid w:val="7A687671"/>
    <w:rsid w:val="7A894339"/>
    <w:rsid w:val="7AC1208A"/>
    <w:rsid w:val="7ADB75EF"/>
    <w:rsid w:val="7AFF7572"/>
    <w:rsid w:val="7B3F165E"/>
    <w:rsid w:val="7B542EFE"/>
    <w:rsid w:val="7B6C7DFB"/>
    <w:rsid w:val="7BBFBED0"/>
    <w:rsid w:val="7BC3E394"/>
    <w:rsid w:val="7BCE4A5E"/>
    <w:rsid w:val="7C1F3737"/>
    <w:rsid w:val="7C7C7E49"/>
    <w:rsid w:val="7CB4634A"/>
    <w:rsid w:val="7CBFC87B"/>
    <w:rsid w:val="7CDE5175"/>
    <w:rsid w:val="7CFE0F48"/>
    <w:rsid w:val="7D527116"/>
    <w:rsid w:val="7D7EC23E"/>
    <w:rsid w:val="7D916348"/>
    <w:rsid w:val="7E8ADEBF"/>
    <w:rsid w:val="7ED446CD"/>
    <w:rsid w:val="7EEF11D3"/>
    <w:rsid w:val="7F0971A6"/>
    <w:rsid w:val="7F1822E0"/>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B93773"/>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image" Target="media/image1.png"/><Relationship Id="rId11" Type="http://schemas.openxmlformats.org/officeDocument/2006/relationships/oleObject" Target="embeddings/oleObject1.bin"/><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a:t>
            </a:r>
            <a:endParaRPr u="heavy"/>
          </a:p>
        </c:rich>
      </c:tx>
      <c:layout>
        <c:manualLayout>
          <c:xMode val="edge"/>
          <c:yMode val="edge"/>
          <c:x val="0.423532254167673"/>
          <c:y val="0.0227369315767106"/>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delete val="1"/>
          </c:dLbls>
          <c:cat>
            <c:strRef>
              <c:f>Sheet1!$A$2</c:f>
              <c:strCache>
                <c:ptCount val="1"/>
                <c:pt idx="0">
                  <c:v>收入/支出</c:v>
                </c:pt>
              </c:strCache>
            </c:strRef>
          </c:cat>
          <c:val>
            <c:numRef>
              <c:f>Sheet1!$B$2</c:f>
              <c:numCache>
                <c:formatCode>General</c:formatCode>
                <c:ptCount val="1"/>
                <c:pt idx="0">
                  <c:v>1933.97</c:v>
                </c:pt>
              </c:numCache>
            </c:numRef>
          </c:val>
        </c:ser>
        <c:ser>
          <c:idx val="1"/>
          <c:order val="1"/>
          <c:tx>
            <c:strRef>
              <c:f>Sheet1!$C$1</c:f>
              <c:strCache>
                <c:ptCount val="1"/>
                <c:pt idx="0">
                  <c:v>2024</c:v>
                </c:pt>
              </c:strCache>
            </c:strRef>
          </c:tx>
          <c:spPr>
            <a:solidFill>
              <a:schemeClr val="accent2"/>
            </a:solidFill>
            <a:ln>
              <a:noFill/>
            </a:ln>
            <a:effectLst/>
          </c:spPr>
          <c:invertIfNegative val="0"/>
          <c:dLbls>
            <c:delete val="1"/>
          </c:dLbls>
          <c:cat>
            <c:strRef>
              <c:f>Sheet1!$A$2</c:f>
              <c:strCache>
                <c:ptCount val="1"/>
                <c:pt idx="0">
                  <c:v>收入/支出</c:v>
                </c:pt>
              </c:strCache>
            </c:strRef>
          </c:cat>
          <c:val>
            <c:numRef>
              <c:f>Sheet1!$C$2</c:f>
              <c:numCache>
                <c:formatCode>General</c:formatCode>
                <c:ptCount val="1"/>
                <c:pt idx="0">
                  <c:v>1813.25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支出合计</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1381.03</c:v>
                </c:pt>
                <c:pt idx="1">
                  <c:v>552.94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a:t>
            </a:r>
            <a:endParaRPr u="heavy"/>
          </a:p>
        </c:rich>
      </c:tx>
      <c:layout>
        <c:manualLayout>
          <c:xMode val="edge"/>
          <c:yMode val="edge"/>
          <c:x val="0.423532254167673"/>
          <c:y val="0.0227369315767106"/>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delete val="1"/>
          </c:dLbls>
          <c:cat>
            <c:strRef>
              <c:f>Sheet1!$A$2</c:f>
              <c:strCache>
                <c:ptCount val="1"/>
                <c:pt idx="0">
                  <c:v>收入/支出</c:v>
                </c:pt>
              </c:strCache>
            </c:strRef>
          </c:cat>
          <c:val>
            <c:numRef>
              <c:f>Sheet1!$B$2</c:f>
              <c:numCache>
                <c:formatCode>General</c:formatCode>
                <c:ptCount val="1"/>
                <c:pt idx="0">
                  <c:v>1933.97</c:v>
                </c:pt>
              </c:numCache>
            </c:numRef>
          </c:val>
        </c:ser>
        <c:ser>
          <c:idx val="1"/>
          <c:order val="1"/>
          <c:tx>
            <c:strRef>
              <c:f>Sheet1!$C$1</c:f>
              <c:strCache>
                <c:ptCount val="1"/>
                <c:pt idx="0">
                  <c:v>2024</c:v>
                </c:pt>
              </c:strCache>
            </c:strRef>
          </c:tx>
          <c:spPr>
            <a:solidFill>
              <a:schemeClr val="accent2"/>
            </a:solidFill>
            <a:ln>
              <a:noFill/>
            </a:ln>
            <a:effectLst/>
          </c:spPr>
          <c:invertIfNegative val="0"/>
          <c:dLbls>
            <c:delete val="1"/>
          </c:dLbls>
          <c:cat>
            <c:strRef>
              <c:f>Sheet1!$A$2</c:f>
              <c:strCache>
                <c:ptCount val="1"/>
                <c:pt idx="0">
                  <c:v>收入/支出</c:v>
                </c:pt>
              </c:strCache>
            </c:strRef>
          </c:cat>
          <c:val>
            <c:numRef>
              <c:f>Sheet1!$C$2</c:f>
              <c:numCache>
                <c:formatCode>General</c:formatCode>
                <c:ptCount val="1"/>
                <c:pt idx="0">
                  <c:v>1813.25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u="heavy"/>
              <a:t>一般公共预算财政拨款支出</a:t>
            </a:r>
            <a:endParaRPr u="heavy"/>
          </a:p>
        </c:rich>
      </c:tx>
      <c:layout>
        <c:manualLayout>
          <c:xMode val="edge"/>
          <c:yMode val="edge"/>
          <c:x val="0.249577192558589"/>
          <c:y val="0.0539736506587336"/>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delete val="1"/>
          </c:dLbls>
          <c:cat>
            <c:strRef>
              <c:f>Sheet1!$A$2</c:f>
              <c:strCache>
                <c:ptCount val="1"/>
                <c:pt idx="0">
                  <c:v>收入/支出</c:v>
                </c:pt>
              </c:strCache>
            </c:strRef>
          </c:cat>
          <c:val>
            <c:numRef>
              <c:f>Sheet1!$B$2</c:f>
              <c:numCache>
                <c:formatCode>General</c:formatCode>
                <c:ptCount val="1"/>
                <c:pt idx="0">
                  <c:v>1933.97</c:v>
                </c:pt>
              </c:numCache>
            </c:numRef>
          </c:val>
        </c:ser>
        <c:ser>
          <c:idx val="1"/>
          <c:order val="1"/>
          <c:tx>
            <c:strRef>
              <c:f>Sheet1!$C$1</c:f>
              <c:strCache>
                <c:ptCount val="1"/>
                <c:pt idx="0">
                  <c:v>2024</c:v>
                </c:pt>
              </c:strCache>
            </c:strRef>
          </c:tx>
          <c:spPr>
            <a:solidFill>
              <a:schemeClr val="accent2"/>
            </a:solidFill>
            <a:ln>
              <a:noFill/>
            </a:ln>
            <a:effectLst/>
          </c:spPr>
          <c:invertIfNegative val="0"/>
          <c:dLbls>
            <c:delete val="1"/>
          </c:dLbls>
          <c:cat>
            <c:strRef>
              <c:f>Sheet1!$A$2</c:f>
              <c:strCache>
                <c:ptCount val="1"/>
                <c:pt idx="0">
                  <c:v>收入/支出</c:v>
                </c:pt>
              </c:strCache>
            </c:strRef>
          </c:cat>
          <c:val>
            <c:numRef>
              <c:f>Sheet1!$C$2</c:f>
              <c:numCache>
                <c:formatCode>General</c:formatCode>
                <c:ptCount val="1"/>
                <c:pt idx="0">
                  <c:v>1813.25</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c:f>
              <c:strCache>
                <c:ptCount val="1"/>
                <c:pt idx="0">
                  <c:v>收入/支出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188693998"/>
        <c:axId val="65217301"/>
      </c:barChart>
      <c:catAx>
        <c:axId val="18869399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217301"/>
        <c:crosses val="autoZero"/>
        <c:auto val="1"/>
        <c:lblAlgn val="ctr"/>
        <c:lblOffset val="100"/>
        <c:noMultiLvlLbl val="0"/>
      </c:catAx>
      <c:valAx>
        <c:axId val="6521730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693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993570663174187"/>
          <c:y val="0.00735113942661112"/>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307803817347185"/>
          <c:y val="0.143858903527412"/>
          <c:w val="0.361923169847789"/>
          <c:h val="0.636634084147896"/>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Sheet1!$A$3:$A$7</c:f>
              <c:strCache>
                <c:ptCount val="5"/>
                <c:pt idx="0">
                  <c:v>公共安全支出</c:v>
                </c:pt>
                <c:pt idx="1">
                  <c:v>资源勘探工业信息支出</c:v>
                </c:pt>
                <c:pt idx="2">
                  <c:v>社会保障和就业支出</c:v>
                </c:pt>
                <c:pt idx="3">
                  <c:v>住房保障支出</c:v>
                </c:pt>
                <c:pt idx="4">
                  <c:v>卫生健康支出</c:v>
                </c:pt>
              </c:strCache>
            </c:strRef>
          </c:cat>
          <c:val>
            <c:numRef>
              <c:f>Sheet1!$B$3:$B$7</c:f>
              <c:numCache>
                <c:formatCode>General</c:formatCode>
                <c:ptCount val="5"/>
                <c:pt idx="0">
                  <c:v>89.99</c:v>
                </c:pt>
                <c:pt idx="1">
                  <c:v>211.88</c:v>
                </c:pt>
                <c:pt idx="2">
                  <c:v>181.63</c:v>
                </c:pt>
                <c:pt idx="3">
                  <c:v>87.74</c:v>
                </c:pt>
                <c:pt idx="4">
                  <c:v>64.02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156680357574293"/>
          <c:y val="0.83680407989800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75.79</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131</Pages>
  <Words>9089</Words>
  <Characters>9688</Characters>
  <Lines>61</Lines>
  <Paragraphs>17</Paragraphs>
  <TotalTime>14</TotalTime>
  <ScaleCrop>false</ScaleCrop>
  <LinksUpToDate>false</LinksUpToDate>
  <CharactersWithSpaces>9697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2026-10-17T11:46:00Z</cp:lastPrinted>
  <dcterms:modified xsi:type="dcterms:W3CDTF">2026-10-19T10:04:48Z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8893044BF7F241CB8BE798DFA11B1B63_13</vt:lpwstr>
  </property>
  <property fmtid="{D5CDD505-2E9C-101B-9397-08002B2CF9AE}" pid="4" name="KSOTemplateDocerSaveRecord">
    <vt:lpwstr>eyJoZGlkIjoiNTEwZDVjYzg5ZDA3MWY3NTRhMTA2YjM0ZTYzYTRiNTkiLCJ1c2VySWQiOiIyNDU5ODA0MzkifQ==</vt:lpwstr>
  </property>
</Properties>
</file>