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hAnsi="Times New Roman" w:eastAsia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/>
          <w:bCs/>
          <w:kern w:val="2"/>
          <w:sz w:val="44"/>
          <w:szCs w:val="44"/>
        </w:rPr>
        <w:t>公开目录</w:t>
      </w:r>
    </w:p>
    <w:p>
      <w:pPr>
        <w:tabs>
          <w:tab w:val="left" w:pos="816"/>
        </w:tabs>
        <w:spacing w:line="380" w:lineRule="exact"/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1.</w:t>
      </w:r>
      <w:r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</w:rPr>
        <w:t>壤塘县</w:t>
      </w:r>
      <w:r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</w:rPr>
        <w:t>财政决算情况和202</w:t>
      </w:r>
      <w:r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仿宋_GB2312"/>
          <w:b w:val="0"/>
          <w:bCs w:val="0"/>
          <w:snapToGrid w:val="0"/>
          <w:sz w:val="32"/>
          <w:szCs w:val="32"/>
        </w:rPr>
        <w:t>年上半年财政预算执行情况的报告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2.壤塘县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“三公”经费决算汇总情况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3.壤塘县关于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举借债务的情况说明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4.壤塘县关于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决算转移支付安排情况的说明</w:t>
      </w:r>
    </w:p>
    <w:p>
      <w:pPr>
        <w:tabs>
          <w:tab w:val="left" w:pos="816"/>
        </w:tabs>
        <w:spacing w:line="380" w:lineRule="exact"/>
        <w:rPr>
          <w:rFonts w:hint="eastAsia" w:ascii="仿宋_GB2312" w:hAnsi="黑体" w:eastAsia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napToGrid w:val="0"/>
          <w:sz w:val="32"/>
          <w:szCs w:val="32"/>
        </w:rPr>
        <w:t>5.壤塘县</w:t>
      </w:r>
      <w:r>
        <w:rPr>
          <w:rFonts w:hint="eastAsia" w:ascii="仿宋_GB2312" w:hAnsi="黑体" w:eastAsia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/>
          <w:snapToGrid w:val="0"/>
          <w:sz w:val="32"/>
          <w:szCs w:val="32"/>
        </w:rPr>
        <w:t>预算绩效</w:t>
      </w:r>
      <w:r>
        <w:rPr>
          <w:rFonts w:hint="eastAsia" w:ascii="仿宋_GB2312" w:hAnsi="黑体" w:eastAsia="仿宋_GB2312"/>
          <w:snapToGrid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黑体" w:eastAsia="仿宋_GB2312"/>
          <w:snapToGrid w:val="0"/>
          <w:sz w:val="32"/>
          <w:szCs w:val="32"/>
        </w:rPr>
        <w:t>情况</w:t>
      </w:r>
      <w:r>
        <w:rPr>
          <w:rFonts w:hint="eastAsia" w:ascii="仿宋_GB2312" w:hAnsi="黑体" w:eastAsia="仿宋_GB2312"/>
          <w:snapToGrid w:val="0"/>
          <w:sz w:val="32"/>
          <w:szCs w:val="32"/>
          <w:lang w:val="en-US" w:eastAsia="zh-CN"/>
        </w:rPr>
        <w:t>报告</w:t>
      </w:r>
    </w:p>
    <w:p>
      <w:pPr>
        <w:tabs>
          <w:tab w:val="left" w:pos="816"/>
        </w:tabs>
        <w:spacing w:line="380" w:lineRule="exact"/>
        <w:rPr>
          <w:rFonts w:hint="default" w:ascii="仿宋_GB2312" w:hAnsi="黑体" w:eastAsia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napToGrid w:val="0"/>
          <w:sz w:val="32"/>
          <w:szCs w:val="32"/>
        </w:rPr>
        <w:t>6.</w:t>
      </w:r>
      <w:r>
        <w:rPr>
          <w:rFonts w:hint="eastAsia" w:ascii="仿宋_GB2312" w:hAnsi="黑体" w:eastAsia="仿宋_GB2312"/>
          <w:snapToGrid w:val="0"/>
          <w:sz w:val="32"/>
          <w:szCs w:val="32"/>
          <w:lang w:val="en-US" w:eastAsia="zh-CN"/>
        </w:rPr>
        <w:t>壤塘县</w:t>
      </w:r>
      <w:r>
        <w:rPr>
          <w:rFonts w:hint="eastAsia" w:ascii="仿宋_GB2312" w:hAnsi="黑体" w:eastAsia="仿宋_GB2312"/>
          <w:snapToGrid w:val="0"/>
          <w:sz w:val="32"/>
          <w:szCs w:val="32"/>
        </w:rPr>
        <w:t>关于</w:t>
      </w:r>
      <w:r>
        <w:rPr>
          <w:rFonts w:hint="eastAsia" w:ascii="仿宋_GB2312" w:hAnsi="黑体" w:eastAsia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/>
          <w:snapToGrid w:val="0"/>
          <w:sz w:val="32"/>
          <w:szCs w:val="32"/>
          <w:lang w:val="en-US" w:eastAsia="zh-CN"/>
        </w:rPr>
        <w:t>部门、政策和项目支出财政重点绩效评价工作的报告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7.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壤塘县地方一般公共预算收入决算表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8.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壤塘县一般公共预算支出决算表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9.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壤塘县一般公共预算收支决算平衡表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10.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壤塘县县级一般公共预算收入决算表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11.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壤塘县县级一般公共预算支出决算表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12.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壤塘县县级一般公共预算收支决算平衡表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sz w:val="32"/>
          <w:szCs w:val="32"/>
        </w:rPr>
        <w:t>13.</w:t>
      </w:r>
      <w:r>
        <w:rPr>
          <w:rFonts w:hint="eastAsia" w:ascii="仿宋_GB2312" w:hAnsi="黑体" w:eastAsia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/>
          <w:snapToGrid w:val="0"/>
          <w:sz w:val="32"/>
          <w:szCs w:val="32"/>
        </w:rPr>
        <w:t>壤塘县本级一般公共预算经济分类科目支出决      算表</w:t>
      </w:r>
      <w:bookmarkStart w:id="0" w:name="_GoBack"/>
      <w:bookmarkEnd w:id="0"/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sz w:val="32"/>
          <w:szCs w:val="32"/>
        </w:rPr>
        <w:t>14.</w:t>
      </w:r>
      <w:r>
        <w:rPr>
          <w:rFonts w:hint="eastAsia" w:ascii="仿宋_GB2312" w:hAnsi="黑体" w:eastAsia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/>
          <w:snapToGrid w:val="0"/>
          <w:sz w:val="32"/>
          <w:szCs w:val="32"/>
        </w:rPr>
        <w:t>壤塘县本级一般公共预算经济分类科目基本支出决算表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 w:cs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15.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壤塘县对下一般公共预算转移支付和税收返还决算表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16.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壤塘县转移支付分地区决算数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17.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壤塘县（县级）预算内基本建设决算表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18.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壤塘县本级重大政府投资计划和重大投资项目决算表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19.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壤塘县政府性基金预算收入决算表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20.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壤塘县政府性基金预算支出决算表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21.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壤塘县政府性基金预算收支决算平衡表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22.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壤塘县（县级）政府性基金预算收入决算表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23.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壤塘县（县级）政府性基金预算支出决算表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24.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壤塘县（县级）政府性基金预算收支决算平衡表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 w:cs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25.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壤塘县对下政府性基金预算转移支付决算表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26.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壤塘县国有资本经营预算收入决算表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27.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壤塘县国有资本经营预算支出决算表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28.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壤塘县国有资本经营预算收支决算平衡表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29.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壤塘县（县级）国有资本经营预算收入决算表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30.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壤塘县（县级）国有资本经营预算支出决算表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31.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壤塘县（县级）国有资本经营预算收支决算平衡表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 w:cs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32.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壤塘县对下国有资本经营预算转移支付决算表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33.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壤塘县社会保险基金预算收入决算表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34.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壤塘县社会保险基金预算支出决算表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35.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壤塘县社会保险基金预算收支决算平衡表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36.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壤塘县（县级）社会保险基金预算收入决算表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37.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壤塘县（县级）社会保险基金预算支出决算表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38.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壤塘县（县级）社会保险基金预算收支决算平衡表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39.壤塘县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地方政府债务限额及余额决算情况表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40.壤塘县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地方政府债务相关情况表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41.壤塘县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本级地方政府专项债务表</w:t>
      </w:r>
    </w:p>
    <w:p>
      <w:pPr>
        <w:tabs>
          <w:tab w:val="left" w:pos="816"/>
        </w:tabs>
        <w:spacing w:line="380" w:lineRule="exact"/>
        <w:rPr>
          <w:rFonts w:ascii="仿宋_GB2312" w:hAnsi="黑体" w:eastAsia="仿宋_GB2312"/>
          <w:snapToGrid w:val="0"/>
          <w:sz w:val="32"/>
          <w:szCs w:val="32"/>
        </w:rPr>
      </w:pP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42.壤塘县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  <w:lang w:eastAsia="zh-CN"/>
        </w:rPr>
        <w:t>2024年</w:t>
      </w:r>
      <w:r>
        <w:rPr>
          <w:rFonts w:hint="eastAsia" w:ascii="仿宋_GB2312" w:hAnsi="黑体" w:eastAsia="仿宋_GB2312" w:cs="仿宋_GB2312"/>
          <w:snapToGrid w:val="0"/>
          <w:sz w:val="32"/>
          <w:szCs w:val="32"/>
        </w:rPr>
        <w:t>地方政府债券使用情况表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17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</w:rPr>
                  <w:t xml:space="preserve">  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8058B"/>
    <w:rsid w:val="000A39FC"/>
    <w:rsid w:val="00105BFD"/>
    <w:rsid w:val="00153138"/>
    <w:rsid w:val="001568CA"/>
    <w:rsid w:val="00166F87"/>
    <w:rsid w:val="00167E61"/>
    <w:rsid w:val="00323B43"/>
    <w:rsid w:val="003760BD"/>
    <w:rsid w:val="003D37D8"/>
    <w:rsid w:val="003E4DDB"/>
    <w:rsid w:val="00402471"/>
    <w:rsid w:val="00406B72"/>
    <w:rsid w:val="00412B44"/>
    <w:rsid w:val="00421911"/>
    <w:rsid w:val="00426133"/>
    <w:rsid w:val="004358AB"/>
    <w:rsid w:val="00454C38"/>
    <w:rsid w:val="004B3B72"/>
    <w:rsid w:val="004E4D8F"/>
    <w:rsid w:val="006670D9"/>
    <w:rsid w:val="006E3B45"/>
    <w:rsid w:val="00740C4C"/>
    <w:rsid w:val="0075547C"/>
    <w:rsid w:val="008B7726"/>
    <w:rsid w:val="009254DF"/>
    <w:rsid w:val="00961783"/>
    <w:rsid w:val="009A04E8"/>
    <w:rsid w:val="009B69C9"/>
    <w:rsid w:val="00A41FBE"/>
    <w:rsid w:val="00AD10CE"/>
    <w:rsid w:val="00D31D50"/>
    <w:rsid w:val="00D835E2"/>
    <w:rsid w:val="00D94742"/>
    <w:rsid w:val="00EA525F"/>
    <w:rsid w:val="00EE4865"/>
    <w:rsid w:val="00F1292C"/>
    <w:rsid w:val="00F27FE9"/>
    <w:rsid w:val="00F32335"/>
    <w:rsid w:val="04A3008A"/>
    <w:rsid w:val="09DF6598"/>
    <w:rsid w:val="0CC2091F"/>
    <w:rsid w:val="23F93B6E"/>
    <w:rsid w:val="25014FDF"/>
    <w:rsid w:val="359D5DC7"/>
    <w:rsid w:val="6A0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ahoma" w:hAnsi="Tahoma" w:cs="Tahoma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ahoma" w:hAnsi="Tahoma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4B85C-681B-4D6A-B178-A79B7AF4F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958</Characters>
  <Lines>7</Lines>
  <Paragraphs>2</Paragraphs>
  <TotalTime>4</TotalTime>
  <ScaleCrop>false</ScaleCrop>
  <LinksUpToDate>false</LinksUpToDate>
  <CharactersWithSpaces>1123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2022-07-20T10:50:00Z</dcterms:created>
  <dc:creator>Administrator</dc:creator>
  <cp:lastModifiedBy>admin</cp:lastModifiedBy>
  <cp:lastPrinted>2025-10-16T08:47:00Z</cp:lastPrinted>
  <dcterms:modified xsi:type="dcterms:W3CDTF">2025-10-16T08:53:18Z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