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方正小标宋简体" w:cs="Times New Roman"/>
          <w:color w:val="000000"/>
          <w:sz w:val="52"/>
          <w:szCs w:val="52"/>
          <w:u w:val="none" w:color="auto"/>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-40005</wp:posOffset>
                </wp:positionV>
                <wp:extent cx="1748155" cy="617220"/>
                <wp:effectExtent l="0" t="0" r="4445" b="11430"/>
                <wp:wrapNone/>
                <wp:docPr id="1" name="文本框 1"/>
                <wp:cNvGraphicFramePr/>
                <a:graphic xmlns:a="http://schemas.openxmlformats.org/drawingml/2006/main">
                  <a:graphicData uri="http://schemas.microsoft.com/office/word/2010/wordprocessingShape">
                    <wps:wsp>
                      <wps:cNvSpPr txBox="1"/>
                      <wps:spPr>
                        <a:xfrm>
                          <a:off x="0" y="0"/>
                          <a:ext cx="1748155" cy="617220"/>
                        </a:xfrm>
                        <a:prstGeom prst="rect">
                          <a:avLst/>
                        </a:prstGeom>
                        <a:solidFill>
                          <a:srgbClr val="FFFFFF"/>
                        </a:solidFill>
                        <a:ln>
                          <a:noFill/>
                        </a:ln>
                      </wps:spPr>
                      <wps:txbx>
                        <w:txbxContent>
                          <w:p>
                            <w:pPr>
                              <w:spacing w:line="400" w:lineRule="exact"/>
                              <w:jc w:val="distribute"/>
                              <w:rPr>
                                <w:rFonts w:hint="eastAsia" w:ascii="楷体_GB2312" w:eastAsia="楷体_GB2312"/>
                                <w:b w:val="0"/>
                                <w:bCs w:val="0"/>
                                <w:sz w:val="28"/>
                                <w:szCs w:val="32"/>
                              </w:rPr>
                            </w:pPr>
                            <w:r>
                              <w:rPr>
                                <w:rFonts w:hint="eastAsia" w:ascii="楷体_GB2312" w:eastAsia="楷体_GB2312"/>
                                <w:b w:val="0"/>
                                <w:bCs w:val="0"/>
                                <w:spacing w:val="11"/>
                                <w:sz w:val="28"/>
                                <w:szCs w:val="32"/>
                                <w:lang w:val="en-US" w:eastAsia="zh-CN"/>
                              </w:rPr>
                              <w:t>壤塘县</w:t>
                            </w:r>
                            <w:r>
                              <w:rPr>
                                <w:rFonts w:hint="eastAsia" w:ascii="楷体_GB2312" w:eastAsia="楷体_GB2312"/>
                                <w:b w:val="0"/>
                                <w:bCs w:val="0"/>
                                <w:spacing w:val="11"/>
                                <w:sz w:val="28"/>
                                <w:szCs w:val="32"/>
                              </w:rPr>
                              <w:t>十</w:t>
                            </w:r>
                            <w:r>
                              <w:rPr>
                                <w:rFonts w:hint="eastAsia" w:ascii="楷体_GB2312" w:eastAsia="楷体_GB2312"/>
                                <w:b w:val="0"/>
                                <w:bCs w:val="0"/>
                                <w:spacing w:val="11"/>
                                <w:sz w:val="28"/>
                                <w:szCs w:val="32"/>
                                <w:lang w:eastAsia="zh-CN"/>
                              </w:rPr>
                              <w:t>五</w:t>
                            </w:r>
                            <w:r>
                              <w:rPr>
                                <w:rFonts w:hint="eastAsia" w:ascii="楷体_GB2312" w:eastAsia="楷体_GB2312"/>
                                <w:b w:val="0"/>
                                <w:bCs w:val="0"/>
                                <w:spacing w:val="11"/>
                                <w:sz w:val="28"/>
                                <w:szCs w:val="32"/>
                              </w:rPr>
                              <w:t>届人大</w:t>
                            </w:r>
                          </w:p>
                          <w:p>
                            <w:pPr>
                              <w:spacing w:line="400" w:lineRule="exact"/>
                              <w:rPr>
                                <w:rFonts w:hint="eastAsia" w:ascii="楷体_GB2312" w:eastAsia="楷体_GB2312"/>
                                <w:b w:val="0"/>
                                <w:bCs w:val="0"/>
                                <w:w w:val="60"/>
                                <w:sz w:val="28"/>
                                <w:szCs w:val="28"/>
                              </w:rPr>
                            </w:pPr>
                            <w:r>
                              <w:rPr>
                                <w:rFonts w:hint="eastAsia" w:ascii="楷体_GB2312" w:eastAsia="楷体_GB2312"/>
                                <w:b w:val="0"/>
                                <w:bCs w:val="0"/>
                                <w:sz w:val="28"/>
                                <w:szCs w:val="32"/>
                                <w:lang w:eastAsia="zh-CN"/>
                              </w:rPr>
                              <w:t>六</w:t>
                            </w:r>
                            <w:r>
                              <w:rPr>
                                <w:rFonts w:hint="eastAsia" w:ascii="楷体_GB2312" w:eastAsia="楷体_GB2312"/>
                                <w:b w:val="0"/>
                                <w:bCs w:val="0"/>
                                <w:sz w:val="28"/>
                                <w:szCs w:val="32"/>
                              </w:rPr>
                              <w:t>次会议文件</w:t>
                            </w:r>
                            <w:r>
                              <w:rPr>
                                <w:rFonts w:hint="eastAsia" w:ascii="楷体_GB2312" w:eastAsia="楷体_GB2312"/>
                                <w:b w:val="0"/>
                                <w:bCs w:val="0"/>
                                <w:w w:val="60"/>
                                <w:sz w:val="28"/>
                                <w:szCs w:val="32"/>
                              </w:rPr>
                              <w:t>（</w:t>
                            </w:r>
                            <w:r>
                              <w:rPr>
                                <w:rFonts w:hint="eastAsia" w:ascii="楷体_GB2312" w:eastAsia="楷体_GB2312"/>
                                <w:b w:val="0"/>
                                <w:bCs w:val="0"/>
                                <w:w w:val="60"/>
                                <w:sz w:val="28"/>
                                <w:szCs w:val="32"/>
                                <w:lang w:eastAsia="zh-CN"/>
                              </w:rPr>
                              <w:t>二十五</w:t>
                            </w:r>
                            <w:r>
                              <w:rPr>
                                <w:rFonts w:hint="eastAsia" w:ascii="楷体_GB2312" w:eastAsia="楷体_GB2312"/>
                                <w:b w:val="0"/>
                                <w:bCs w:val="0"/>
                                <w:w w:val="60"/>
                                <w:sz w:val="28"/>
                                <w:szCs w:val="32"/>
                              </w:rPr>
                              <w:t>）</w:t>
                            </w:r>
                          </w:p>
                        </w:txbxContent>
                      </wps:txbx>
                      <wps:bodyPr upright="1"/>
                    </wps:wsp>
                  </a:graphicData>
                </a:graphic>
              </wp:anchor>
            </w:drawing>
          </mc:Choice>
          <mc:Fallback>
            <w:pict>
              <v:shape id="_x0000_s1026" o:spid="_x0000_s1026" o:spt="202" type="#_x0000_t202" style="position:absolute;left:0pt;margin-left:-1.05pt;margin-top:-3.15pt;height:48.6pt;width:137.65pt;z-index:251659264;mso-width-relative:page;mso-height-relative:page;" fillcolor="#FFFFFF" filled="t" stroked="f" coordsize="21600,21600" o:gfxdata="UEsDBAoAAAAAAIdO4kAAAAAAAAAAAAAAAAAEAAAAZHJzL1BLAwQUAAAACACHTuJA2azoCNcAAAAI&#10;AQAADwAAAGRycy9kb3ducmV2LnhtbE2PwU7DMBBE70j8g7VIXFBrJ4WEhDiVQAJxbekHbOJtEhHb&#10;Uew27d+znOA0Ws1o5m21vdhRnGkOg3cakrUCQa71ZnCdhsPX++oZRIjoDI7ekYYrBdjWtzcVlsYv&#10;bkfnfewEl7hQooY+xqmUMrQ9WQxrP5Fj7+hni5HPuZNmxoXL7ShTpTJpcXC80ONEbz213/uT1XD8&#10;XB6eiqX5iId895i94pA3/qr1/V2iXkBEusS/MPziMzrUzNT4kzNBjBpWacJJ1mwDgv0036QgGg2F&#10;KkDWlfz/QP0DUEsDBBQAAAAIAIdO4kA4mKhEpgEAACkDAAAOAAAAZHJzL2Uyb0RvYy54bWytUktu&#10;2zAQ3RfIHQjua1pG84FgOUAbOJuiLZDmADRFSQRIDjFkLPkC7Q266qb7nsvn6JB2nLTdBdGCImfe&#10;PM57w+X15CzbaowGfMOr2Zwz7RW0xvcNv/+6fnvFWUzSt9KC1w3f6civV2dvlmOo9QIGsK1GRiQ+&#10;1mNo+JBSqIWIatBOxhkE7SnZATqZ6Ii9aFGOxO6sWMznF2IEbAOC0jFS9OaQ5KvC33Vapc9dF3Vi&#10;tuHUWyorlnWTV7FayrpHGQajjm3IF3ThpPF06YnqRibJHtD8R+WMQojQpZkCJ6DrjNJFA6mp5v+o&#10;uRtk0EULmRPDyab4erTq0/YLMtPS7Djz0tGI9j++73/+3v/6xqpszxhiTai7QLg0vYcpQ4/xSMGs&#10;eurQ5T/pYZQno3cnc/WUmMpFl++uqvNzzhTlLqrLxaK4L56qA8Z0q8GxvGk40vCKp3L7MSa6kaCP&#10;kHxZBGvatbG2HLDffLDItpIGvS5fbpJK/oJZn8EectkhnSMiazxoybs0baajwA20O9L9END0A/VU&#10;lBc4zaPQH99OHvjzcyF9euG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Nms6AjXAAAACAEAAA8A&#10;AAAAAAAAAQAgAAAAIgAAAGRycy9kb3ducmV2LnhtbFBLAQIUABQAAAAIAIdO4kA4mKhEpgEAACkD&#10;AAAOAAAAAAAAAAEAIAAAACYBAABkcnMvZTJvRG9jLnhtbFBLBQYAAAAABgAGAFkBAAA+BQAAAAA=&#10;">
                <v:fill on="t" focussize="0,0"/>
                <v:stroke on="f"/>
                <v:imagedata o:title=""/>
                <o:lock v:ext="edit" aspectratio="f"/>
                <v:textbox>
                  <w:txbxContent>
                    <w:p>
                      <w:pPr>
                        <w:spacing w:line="400" w:lineRule="exact"/>
                        <w:jc w:val="distribute"/>
                        <w:rPr>
                          <w:rFonts w:hint="eastAsia" w:ascii="楷体_GB2312" w:eastAsia="楷体_GB2312"/>
                          <w:b w:val="0"/>
                          <w:bCs w:val="0"/>
                          <w:sz w:val="28"/>
                          <w:szCs w:val="32"/>
                        </w:rPr>
                      </w:pPr>
                      <w:r>
                        <w:rPr>
                          <w:rFonts w:hint="eastAsia" w:ascii="楷体_GB2312" w:eastAsia="楷体_GB2312"/>
                          <w:b w:val="0"/>
                          <w:bCs w:val="0"/>
                          <w:spacing w:val="11"/>
                          <w:sz w:val="28"/>
                          <w:szCs w:val="32"/>
                          <w:lang w:val="en-US" w:eastAsia="zh-CN"/>
                        </w:rPr>
                        <w:t>壤塘县</w:t>
                      </w:r>
                      <w:r>
                        <w:rPr>
                          <w:rFonts w:hint="eastAsia" w:ascii="楷体_GB2312" w:eastAsia="楷体_GB2312"/>
                          <w:b w:val="0"/>
                          <w:bCs w:val="0"/>
                          <w:spacing w:val="11"/>
                          <w:sz w:val="28"/>
                          <w:szCs w:val="32"/>
                        </w:rPr>
                        <w:t>十</w:t>
                      </w:r>
                      <w:r>
                        <w:rPr>
                          <w:rFonts w:hint="eastAsia" w:ascii="楷体_GB2312" w:eastAsia="楷体_GB2312"/>
                          <w:b w:val="0"/>
                          <w:bCs w:val="0"/>
                          <w:spacing w:val="11"/>
                          <w:sz w:val="28"/>
                          <w:szCs w:val="32"/>
                          <w:lang w:eastAsia="zh-CN"/>
                        </w:rPr>
                        <w:t>五</w:t>
                      </w:r>
                      <w:r>
                        <w:rPr>
                          <w:rFonts w:hint="eastAsia" w:ascii="楷体_GB2312" w:eastAsia="楷体_GB2312"/>
                          <w:b w:val="0"/>
                          <w:bCs w:val="0"/>
                          <w:spacing w:val="11"/>
                          <w:sz w:val="28"/>
                          <w:szCs w:val="32"/>
                        </w:rPr>
                        <w:t>届人大</w:t>
                      </w:r>
                    </w:p>
                    <w:p>
                      <w:pPr>
                        <w:spacing w:line="400" w:lineRule="exact"/>
                        <w:rPr>
                          <w:rFonts w:hint="eastAsia" w:ascii="楷体_GB2312" w:eastAsia="楷体_GB2312"/>
                          <w:b w:val="0"/>
                          <w:bCs w:val="0"/>
                          <w:w w:val="60"/>
                          <w:sz w:val="28"/>
                          <w:szCs w:val="28"/>
                        </w:rPr>
                      </w:pPr>
                      <w:r>
                        <w:rPr>
                          <w:rFonts w:hint="eastAsia" w:ascii="楷体_GB2312" w:eastAsia="楷体_GB2312"/>
                          <w:b w:val="0"/>
                          <w:bCs w:val="0"/>
                          <w:sz w:val="28"/>
                          <w:szCs w:val="32"/>
                          <w:lang w:eastAsia="zh-CN"/>
                        </w:rPr>
                        <w:t>六</w:t>
                      </w:r>
                      <w:r>
                        <w:rPr>
                          <w:rFonts w:hint="eastAsia" w:ascii="楷体_GB2312" w:eastAsia="楷体_GB2312"/>
                          <w:b w:val="0"/>
                          <w:bCs w:val="0"/>
                          <w:sz w:val="28"/>
                          <w:szCs w:val="32"/>
                        </w:rPr>
                        <w:t>次会议文件</w:t>
                      </w:r>
                      <w:r>
                        <w:rPr>
                          <w:rFonts w:hint="eastAsia" w:ascii="楷体_GB2312" w:eastAsia="楷体_GB2312"/>
                          <w:b w:val="0"/>
                          <w:bCs w:val="0"/>
                          <w:w w:val="60"/>
                          <w:sz w:val="28"/>
                          <w:szCs w:val="32"/>
                        </w:rPr>
                        <w:t>（</w:t>
                      </w:r>
                      <w:r>
                        <w:rPr>
                          <w:rFonts w:hint="eastAsia" w:ascii="楷体_GB2312" w:eastAsia="楷体_GB2312"/>
                          <w:b w:val="0"/>
                          <w:bCs w:val="0"/>
                          <w:w w:val="60"/>
                          <w:sz w:val="28"/>
                          <w:szCs w:val="32"/>
                          <w:lang w:eastAsia="zh-CN"/>
                        </w:rPr>
                        <w:t>二十五</w:t>
                      </w:r>
                      <w:r>
                        <w:rPr>
                          <w:rFonts w:hint="eastAsia" w:ascii="楷体_GB2312" w:eastAsia="楷体_GB2312"/>
                          <w:b w:val="0"/>
                          <w:bCs w:val="0"/>
                          <w:w w:val="60"/>
                          <w:sz w:val="28"/>
                          <w:szCs w:val="32"/>
                        </w:rPr>
                        <w:t>）</w:t>
                      </w:r>
                    </w:p>
                  </w:txbxContent>
                </v:textbox>
              </v:shape>
            </w:pict>
          </mc:Fallback>
        </mc:AlternateContent>
      </w:r>
      <w:r>
        <w:rPr>
          <w:rFonts w:hint="default" w:ascii="Times New Roman" w:hAnsi="Times New Roman" w:eastAsia="仿宋_GB2312" w:cs="Times New Roman"/>
          <w:color w:val="auto"/>
          <w:sz w:val="32"/>
          <w:szCs w:val="32"/>
          <w:highlight w:val="none"/>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line="660" w:lineRule="exact"/>
        <w:jc w:val="center"/>
        <w:textAlignment w:val="auto"/>
        <w:rPr>
          <w:rFonts w:hint="default" w:ascii="Times New Roman" w:hAnsi="Times New Roman" w:eastAsia="方正小标宋简体" w:cs="Times New Roman"/>
          <w:snapToGrid w:val="0"/>
          <w:color w:val="auto"/>
          <w:kern w:val="0"/>
          <w:sz w:val="44"/>
          <w:szCs w:val="44"/>
          <w:highlight w:val="none"/>
          <w:lang w:eastAsia="zh-CN"/>
        </w:rPr>
      </w:pPr>
    </w:p>
    <w:p>
      <w:pPr>
        <w:keepNext w:val="0"/>
        <w:keepLines w:val="0"/>
        <w:pageBreakBefore w:val="0"/>
        <w:widowControl w:val="0"/>
        <w:kinsoku/>
        <w:wordWrap/>
        <w:overflowPunct w:val="0"/>
        <w:topLinePunct w:val="0"/>
        <w:autoSpaceDE/>
        <w:autoSpaceDN/>
        <w:bidi w:val="0"/>
        <w:adjustRightInd w:val="0"/>
        <w:snapToGrid w:val="0"/>
        <w:spacing w:line="660" w:lineRule="exact"/>
        <w:jc w:val="center"/>
        <w:textAlignment w:val="auto"/>
        <w:rPr>
          <w:rFonts w:hint="default" w:ascii="Times New Roman" w:hAnsi="Times New Roman" w:eastAsia="方正小标宋简体" w:cs="Times New Roman"/>
          <w:snapToGrid w:val="0"/>
          <w:color w:val="auto"/>
          <w:kern w:val="0"/>
          <w:sz w:val="44"/>
          <w:szCs w:val="44"/>
          <w:highlight w:val="none"/>
          <w:lang w:eastAsia="zh-CN"/>
        </w:rPr>
      </w:pPr>
      <w:r>
        <w:rPr>
          <w:rFonts w:hint="default" w:ascii="Times New Roman" w:hAnsi="Times New Roman" w:eastAsia="方正小标宋简体" w:cs="Times New Roman"/>
          <w:snapToGrid w:val="0"/>
          <w:color w:val="auto"/>
          <w:kern w:val="0"/>
          <w:sz w:val="44"/>
          <w:szCs w:val="44"/>
          <w:highlight w:val="none"/>
          <w:lang w:eastAsia="zh-CN"/>
        </w:rPr>
        <w:t>壤塘县人民政府</w:t>
      </w:r>
    </w:p>
    <w:p>
      <w:pPr>
        <w:keepNext w:val="0"/>
        <w:keepLines w:val="0"/>
        <w:pageBreakBefore w:val="0"/>
        <w:widowControl w:val="0"/>
        <w:kinsoku/>
        <w:wordWrap/>
        <w:overflowPunct w:val="0"/>
        <w:topLinePunct w:val="0"/>
        <w:autoSpaceDE/>
        <w:autoSpaceDN/>
        <w:bidi w:val="0"/>
        <w:adjustRightInd w:val="0"/>
        <w:snapToGrid w:val="0"/>
        <w:spacing w:line="660" w:lineRule="exact"/>
        <w:jc w:val="center"/>
        <w:textAlignment w:val="auto"/>
        <w:rPr>
          <w:rFonts w:hint="default" w:ascii="Times New Roman" w:hAnsi="Times New Roman" w:eastAsia="方正小标宋简体" w:cs="Times New Roman"/>
          <w:snapToGrid w:val="0"/>
          <w:color w:val="auto"/>
          <w:kern w:val="0"/>
          <w:sz w:val="44"/>
          <w:szCs w:val="44"/>
          <w:highlight w:val="none"/>
          <w:lang w:eastAsia="zh-CN"/>
        </w:rPr>
      </w:pPr>
      <w:r>
        <w:rPr>
          <w:rFonts w:hint="default" w:ascii="Times New Roman" w:hAnsi="Times New Roman" w:eastAsia="方正小标宋简体" w:cs="Times New Roman"/>
          <w:snapToGrid w:val="0"/>
          <w:color w:val="auto"/>
          <w:kern w:val="0"/>
          <w:sz w:val="44"/>
          <w:szCs w:val="44"/>
          <w:highlight w:val="none"/>
          <w:lang w:eastAsia="zh-CN"/>
        </w:rPr>
        <w:t>关于壤塘县2025年财政预算执行情况</w:t>
      </w:r>
    </w:p>
    <w:p>
      <w:pPr>
        <w:keepNext w:val="0"/>
        <w:keepLines w:val="0"/>
        <w:pageBreakBefore w:val="0"/>
        <w:widowControl w:val="0"/>
        <w:kinsoku/>
        <w:wordWrap/>
        <w:overflowPunct w:val="0"/>
        <w:topLinePunct w:val="0"/>
        <w:autoSpaceDE/>
        <w:autoSpaceDN/>
        <w:bidi w:val="0"/>
        <w:adjustRightInd w:val="0"/>
        <w:snapToGrid w:val="0"/>
        <w:spacing w:line="660" w:lineRule="exact"/>
        <w:jc w:val="center"/>
        <w:textAlignment w:val="auto"/>
        <w:rPr>
          <w:rFonts w:hint="default" w:ascii="Times New Roman" w:hAnsi="Times New Roman" w:eastAsia="方正小标宋简体" w:cs="Times New Roman"/>
          <w:snapToGrid w:val="0"/>
          <w:color w:val="auto"/>
          <w:kern w:val="0"/>
          <w:sz w:val="44"/>
          <w:szCs w:val="44"/>
          <w:highlight w:val="none"/>
          <w:lang w:eastAsia="zh-CN"/>
        </w:rPr>
      </w:pPr>
      <w:r>
        <w:rPr>
          <w:rFonts w:hint="default" w:ascii="Times New Roman" w:hAnsi="Times New Roman" w:eastAsia="方正小标宋简体" w:cs="Times New Roman"/>
          <w:snapToGrid w:val="0"/>
          <w:color w:val="auto"/>
          <w:kern w:val="0"/>
          <w:sz w:val="44"/>
          <w:szCs w:val="44"/>
          <w:highlight w:val="none"/>
          <w:lang w:eastAsia="zh-CN"/>
        </w:rPr>
        <w:t>和2026年财政预算（草案）的报告</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topLinePunct w:val="0"/>
        <w:autoSpaceDE/>
        <w:autoSpaceDN/>
        <w:bidi w:val="0"/>
        <w:spacing w:line="56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lang w:eastAsia="zh-CN"/>
        </w:rPr>
        <w:t>202</w:t>
      </w:r>
      <w:r>
        <w:rPr>
          <w:rFonts w:hint="default" w:ascii="Times New Roman" w:hAnsi="Times New Roman" w:eastAsia="楷体_GB2312" w:cs="Times New Roman"/>
          <w:b/>
          <w:bCs/>
          <w:color w:val="auto"/>
          <w:sz w:val="32"/>
          <w:szCs w:val="32"/>
          <w:highlight w:val="none"/>
          <w:lang w:val="en-US" w:eastAsia="zh-CN"/>
        </w:rPr>
        <w:t>6</w:t>
      </w:r>
      <w:r>
        <w:rPr>
          <w:rFonts w:hint="default" w:ascii="Times New Roman" w:hAnsi="Times New Roman" w:eastAsia="楷体_GB2312" w:cs="Times New Roman"/>
          <w:b/>
          <w:bCs/>
          <w:color w:val="auto"/>
          <w:sz w:val="32"/>
          <w:szCs w:val="32"/>
          <w:highlight w:val="none"/>
        </w:rPr>
        <w:t>年</w:t>
      </w:r>
      <w:r>
        <w:rPr>
          <w:rFonts w:hint="eastAsia" w:ascii="Times New Roman" w:hAnsi="Times New Roman" w:eastAsia="楷体_GB2312" w:cs="Times New Roman"/>
          <w:b/>
          <w:bCs/>
          <w:color w:val="auto"/>
          <w:sz w:val="32"/>
          <w:szCs w:val="32"/>
          <w:highlight w:val="none"/>
          <w:lang w:val="en-US" w:eastAsia="zh-CN"/>
        </w:rPr>
        <w:t>1</w:t>
      </w:r>
      <w:r>
        <w:rPr>
          <w:rFonts w:hint="default" w:ascii="Times New Roman" w:hAnsi="Times New Roman" w:eastAsia="楷体_GB2312" w:cs="Times New Roman"/>
          <w:b/>
          <w:bCs/>
          <w:color w:val="auto"/>
          <w:sz w:val="32"/>
          <w:szCs w:val="32"/>
          <w:highlight w:val="none"/>
        </w:rPr>
        <w:t>月</w:t>
      </w:r>
      <w:r>
        <w:rPr>
          <w:rFonts w:hint="eastAsia" w:ascii="Times New Roman" w:hAnsi="Times New Roman" w:eastAsia="楷体_GB2312" w:cs="Times New Roman"/>
          <w:b/>
          <w:bCs/>
          <w:color w:val="auto"/>
          <w:sz w:val="32"/>
          <w:szCs w:val="32"/>
          <w:highlight w:val="none"/>
          <w:lang w:val="en-US" w:eastAsia="zh-CN"/>
        </w:rPr>
        <w:t>18</w:t>
      </w:r>
      <w:r>
        <w:rPr>
          <w:rFonts w:hint="default" w:ascii="Times New Roman" w:hAnsi="Times New Roman" w:eastAsia="楷体_GB2312" w:cs="Times New Roman"/>
          <w:b/>
          <w:bCs/>
          <w:color w:val="auto"/>
          <w:sz w:val="32"/>
          <w:szCs w:val="32"/>
          <w:highlight w:val="none"/>
        </w:rPr>
        <w:t>日在壤塘县第十五届人民代表大会第</w:t>
      </w:r>
      <w:r>
        <w:rPr>
          <w:rFonts w:hint="default" w:ascii="Times New Roman" w:hAnsi="Times New Roman" w:eastAsia="楷体_GB2312" w:cs="Times New Roman"/>
          <w:b/>
          <w:bCs/>
          <w:color w:val="auto"/>
          <w:sz w:val="32"/>
          <w:szCs w:val="32"/>
          <w:highlight w:val="none"/>
          <w:lang w:eastAsia="zh-CN"/>
        </w:rPr>
        <w:t>六</w:t>
      </w:r>
      <w:r>
        <w:rPr>
          <w:rFonts w:hint="default" w:ascii="Times New Roman" w:hAnsi="Times New Roman" w:eastAsia="楷体_GB2312" w:cs="Times New Roman"/>
          <w:b/>
          <w:bCs/>
          <w:color w:val="auto"/>
          <w:sz w:val="32"/>
          <w:szCs w:val="32"/>
          <w:highlight w:val="none"/>
        </w:rPr>
        <w:t>次会议上</w:t>
      </w:r>
    </w:p>
    <w:p>
      <w:pPr>
        <w:keepNext w:val="0"/>
        <w:keepLines w:val="0"/>
        <w:pageBreakBefore w:val="0"/>
        <w:widowControl w:val="0"/>
        <w:kinsoku/>
        <w:wordWrap/>
        <w:topLinePunct w:val="0"/>
        <w:autoSpaceDE/>
        <w:autoSpaceDN/>
        <w:bidi w:val="0"/>
        <w:spacing w:line="560" w:lineRule="exact"/>
        <w:jc w:val="center"/>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壤塘县财政局</w:t>
      </w: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各位代表：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受县人民政府委托，现将壤塘县“十四五”期间财政工作成效</w:t>
      </w:r>
      <w:r>
        <w:rPr>
          <w:rFonts w:hint="default" w:ascii="Times New Roman" w:hAnsi="Times New Roman" w:eastAsia="仿宋_GB2312" w:cs="Times New Roman"/>
          <w:color w:val="auto"/>
          <w:sz w:val="32"/>
          <w:szCs w:val="32"/>
          <w:highlight w:val="none"/>
          <w:lang w:eastAsia="zh-CN"/>
        </w:rPr>
        <w:t>及2025</w:t>
      </w:r>
      <w:r>
        <w:rPr>
          <w:rFonts w:hint="default" w:ascii="Times New Roman" w:hAnsi="Times New Roman" w:eastAsia="仿宋_GB2312" w:cs="Times New Roman"/>
          <w:color w:val="auto"/>
          <w:sz w:val="32"/>
          <w:szCs w:val="32"/>
          <w:highlight w:val="none"/>
        </w:rPr>
        <w:t>年财政预算执行情况和</w:t>
      </w:r>
      <w:r>
        <w:rPr>
          <w:rFonts w:hint="default" w:ascii="Times New Roman" w:hAnsi="Times New Roman" w:eastAsia="仿宋_GB2312" w:cs="Times New Roman"/>
          <w:color w:val="auto"/>
          <w:sz w:val="32"/>
          <w:szCs w:val="32"/>
          <w:highlight w:val="none"/>
          <w:lang w:eastAsia="zh-CN"/>
        </w:rPr>
        <w:t>2026</w:t>
      </w:r>
      <w:r>
        <w:rPr>
          <w:rFonts w:hint="default" w:ascii="Times New Roman" w:hAnsi="Times New Roman" w:eastAsia="仿宋_GB2312" w:cs="Times New Roman"/>
          <w:color w:val="auto"/>
          <w:sz w:val="32"/>
          <w:szCs w:val="32"/>
          <w:highlight w:val="none"/>
        </w:rPr>
        <w:t>年财政预算（草案）提请壤塘县第十五届人民代表大会第</w:t>
      </w:r>
      <w:r>
        <w:rPr>
          <w:rFonts w:hint="default"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rPr>
        <w:t>次会议审查，并请县政协委员和列席同志提出意见。</w:t>
      </w:r>
    </w:p>
    <w:p>
      <w:pPr>
        <w:pStyle w:val="11"/>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firstLine="720" w:firstLineChars="200"/>
        <w:jc w:val="center"/>
        <w:textAlignment w:val="auto"/>
        <w:rPr>
          <w:rFonts w:hint="default" w:ascii="Times New Roman" w:hAnsi="Times New Roman" w:eastAsia="方正小标宋_GBK" w:cs="Times New Roman"/>
          <w:bCs/>
          <w:color w:val="auto"/>
          <w:kern w:val="0"/>
          <w:sz w:val="32"/>
          <w:szCs w:val="32"/>
          <w:highlight w:val="none"/>
          <w:lang w:eastAsia="zh-CN"/>
        </w:rPr>
      </w:pPr>
      <w:r>
        <w:rPr>
          <w:rFonts w:hint="default" w:ascii="Times New Roman" w:hAnsi="Times New Roman" w:eastAsia="方正小标宋_GBK" w:cs="Times New Roman"/>
          <w:bCs/>
          <w:color w:val="auto"/>
          <w:kern w:val="0"/>
          <w:sz w:val="36"/>
          <w:szCs w:val="36"/>
          <w:highlight w:val="none"/>
          <w:lang w:eastAsia="zh-CN"/>
        </w:rPr>
        <w:t>“十四五”</w:t>
      </w:r>
      <w:r>
        <w:rPr>
          <w:rFonts w:hint="default" w:ascii="Times New Roman" w:hAnsi="Times New Roman" w:eastAsia="方正小标宋_GBK" w:cs="Times New Roman"/>
          <w:bCs/>
          <w:color w:val="auto"/>
          <w:kern w:val="0"/>
          <w:sz w:val="36"/>
          <w:szCs w:val="36"/>
          <w:highlight w:val="none"/>
          <w:lang w:val="en-US" w:eastAsia="zh-CN"/>
        </w:rPr>
        <w:t>及2025年</w:t>
      </w:r>
      <w:r>
        <w:rPr>
          <w:rFonts w:hint="default" w:ascii="Times New Roman" w:hAnsi="Times New Roman" w:eastAsia="方正小标宋_GBK" w:cs="Times New Roman"/>
          <w:bCs/>
          <w:color w:val="auto"/>
          <w:kern w:val="0"/>
          <w:sz w:val="36"/>
          <w:szCs w:val="36"/>
          <w:highlight w:val="none"/>
          <w:lang w:eastAsia="zh-CN"/>
        </w:rPr>
        <w:t>财政工作</w:t>
      </w:r>
      <w:r>
        <w:rPr>
          <w:rFonts w:hint="default" w:ascii="Times New Roman" w:hAnsi="Times New Roman" w:eastAsia="方正小标宋_GBK" w:cs="Times New Roman"/>
          <w:bCs/>
          <w:color w:val="auto"/>
          <w:kern w:val="0"/>
          <w:sz w:val="36"/>
          <w:szCs w:val="36"/>
          <w:highlight w:val="none"/>
          <w:lang w:val="en-US" w:eastAsia="zh-CN"/>
        </w:rPr>
        <w:t>回顾</w:t>
      </w:r>
    </w:p>
    <w:p>
      <w:pPr>
        <w:pStyle w:val="11"/>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color w:val="auto"/>
          <w:sz w:val="32"/>
          <w:szCs w:val="32"/>
          <w:highlight w:val="none"/>
          <w:lang w:eastAsia="zh-CN"/>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snapToGrid w:val="0"/>
          <w:color w:val="auto"/>
          <w:kern w:val="0"/>
          <w:sz w:val="32"/>
          <w:szCs w:val="32"/>
          <w:highlight w:val="none"/>
          <w:lang w:val="en-US" w:eastAsia="zh-CN"/>
        </w:rPr>
        <w:t>一、“十四五”期间财政工作成效</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“十四五”期间在县委的坚强领导下，壤塘财政坚持以习近平新时代中国特色社会主义思想为指导，全面贯彻落实党的</w:t>
      </w:r>
      <w:r>
        <w:rPr>
          <w:rFonts w:hint="default" w:ascii="Times New Roman" w:hAnsi="Times New Roman" w:eastAsia="仿宋_GB2312" w:cs="Times New Roman"/>
          <w:color w:val="auto"/>
          <w:sz w:val="32"/>
          <w:szCs w:val="32"/>
          <w:highlight w:val="none"/>
          <w:lang w:eastAsia="zh-CN"/>
        </w:rPr>
        <w:t>二十</w:t>
      </w:r>
      <w:r>
        <w:rPr>
          <w:rFonts w:hint="default" w:ascii="Times New Roman" w:hAnsi="Times New Roman" w:eastAsia="仿宋_GB2312" w:cs="Times New Roman"/>
          <w:color w:val="auto"/>
          <w:sz w:val="32"/>
          <w:szCs w:val="32"/>
          <w:highlight w:val="none"/>
          <w:lang w:val="en-US" w:eastAsia="zh-CN"/>
        </w:rPr>
        <w:t>大及二十届历次全会</w:t>
      </w:r>
      <w:r>
        <w:rPr>
          <w:rFonts w:hint="default" w:ascii="Times New Roman" w:hAnsi="Times New Roman" w:eastAsia="仿宋_GB2312" w:cs="Times New Roman"/>
          <w:color w:val="auto"/>
          <w:sz w:val="32"/>
          <w:szCs w:val="32"/>
          <w:highlight w:val="none"/>
        </w:rPr>
        <w:t>精神</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省委、州委、县委决策部署，紧紧围绕“农牧立县、文旅兴县、能源富县、开放活县”战略，坚持“以政领财、以财辅政”，加强财政资源统筹，深化财税体制改革，强化国资国企监管。财政基础更加夯实、支撑更加有力、质效更加凸显、运行更加稳健，财政事业成绩亮眼、成果丰硕。</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楷体_GB2312" w:cs="Times New Roman"/>
          <w:b/>
          <w:color w:val="auto"/>
          <w:sz w:val="32"/>
          <w:szCs w:val="32"/>
          <w:highlight w:val="none"/>
          <w:lang w:val="en-US" w:eastAsia="zh-CN"/>
        </w:rPr>
        <w:t>（一）财政收入实现突破，财力基础持续夯实。</w:t>
      </w:r>
      <w:r>
        <w:rPr>
          <w:rFonts w:hint="default" w:ascii="Times New Roman" w:hAnsi="Times New Roman" w:eastAsia="仿宋_GB2312" w:cs="Times New Roman"/>
          <w:color w:val="auto"/>
          <w:sz w:val="32"/>
          <w:szCs w:val="32"/>
          <w:highlight w:val="none"/>
          <w:lang w:val="en-US" w:eastAsia="zh-CN"/>
        </w:rPr>
        <w:t>五年来，</w:t>
      </w:r>
      <w:r>
        <w:rPr>
          <w:rFonts w:hint="default" w:ascii="Times New Roman" w:hAnsi="Times New Roman" w:eastAsia="仿宋_GB2312" w:cs="Times New Roman"/>
          <w:b w:val="0"/>
          <w:bCs w:val="0"/>
          <w:sz w:val="32"/>
          <w:szCs w:val="32"/>
          <w:highlight w:val="none"/>
          <w:lang w:val="en-US" w:eastAsia="zh-CN"/>
        </w:rPr>
        <w:t>面对复杂严峻的经济形势，多措并举壮大财政收入规模，</w:t>
      </w:r>
      <w:r>
        <w:rPr>
          <w:rFonts w:hint="default" w:ascii="Times New Roman" w:hAnsi="Times New Roman" w:eastAsia="仿宋_GB2312" w:cs="Times New Roman"/>
          <w:color w:val="auto"/>
          <w:sz w:val="32"/>
          <w:szCs w:val="32"/>
          <w:highlight w:val="none"/>
          <w:lang w:val="en-US" w:eastAsia="zh-CN"/>
        </w:rPr>
        <w:t>财政收入迎来历史性突破。</w:t>
      </w:r>
      <w:r>
        <w:rPr>
          <w:rFonts w:hint="default" w:ascii="Times New Roman" w:hAnsi="Times New Roman" w:eastAsia="仿宋_GB2312" w:cs="Times New Roman"/>
          <w:b/>
          <w:bCs/>
          <w:color w:val="auto"/>
          <w:sz w:val="32"/>
          <w:szCs w:val="32"/>
          <w:highlight w:val="none"/>
          <w:lang w:val="en-US" w:eastAsia="zh-CN"/>
        </w:rPr>
        <w:t>一是地方一般公共预算收入迈上新台阶。</w:t>
      </w:r>
      <w:r>
        <w:rPr>
          <w:rFonts w:hint="default" w:ascii="Times New Roman" w:hAnsi="Times New Roman" w:eastAsia="仿宋_GB2312" w:cs="Times New Roman"/>
          <w:sz w:val="32"/>
          <w:szCs w:val="32"/>
          <w:highlight w:val="none"/>
          <w:lang w:val="en-US" w:eastAsia="zh-CN"/>
        </w:rPr>
        <w:t>地方一般公共预算收入从2021年的2659万元到2024年迈上亿元台阶，2025年达到13776万元，财政自给率从2021年1.6%上升到历史新高6.41%，人均一般公共预算收入达到3014.44元。</w:t>
      </w:r>
      <w:r>
        <w:rPr>
          <w:rFonts w:hint="default" w:ascii="Times New Roman" w:hAnsi="Times New Roman" w:eastAsia="仿宋_GB2312" w:cs="Times New Roman"/>
          <w:color w:val="auto"/>
          <w:sz w:val="32"/>
          <w:szCs w:val="32"/>
          <w:highlight w:val="none"/>
          <w:lang w:val="en-US" w:eastAsia="zh-CN"/>
        </w:rPr>
        <w:t>地方一般公共预算收入累计完成36054万元，同比增加24805万元，增长2.2倍。</w:t>
      </w:r>
      <w:r>
        <w:rPr>
          <w:rFonts w:hint="default" w:ascii="Times New Roman" w:hAnsi="Times New Roman" w:eastAsia="仿宋_GB2312" w:cs="Times New Roman"/>
          <w:b/>
          <w:bCs/>
          <w:color w:val="auto"/>
          <w:sz w:val="32"/>
          <w:szCs w:val="32"/>
          <w:highlight w:val="none"/>
          <w:lang w:val="en-US" w:eastAsia="zh-CN"/>
        </w:rPr>
        <w:t>二是专项资金争取取得新成果。</w:t>
      </w:r>
      <w:r>
        <w:rPr>
          <w:rFonts w:hint="default" w:ascii="Times New Roman" w:hAnsi="Times New Roman" w:eastAsia="仿宋_GB2312" w:cs="Times New Roman"/>
          <w:color w:val="auto"/>
          <w:sz w:val="32"/>
          <w:szCs w:val="32"/>
          <w:highlight w:val="none"/>
          <w:lang w:val="en-US" w:eastAsia="zh-CN"/>
        </w:rPr>
        <w:t>一般公共预算上级补助收入从2021年的152225万元上升到2025年的18</w:t>
      </w:r>
      <w:r>
        <w:rPr>
          <w:rFonts w:hint="eastAsia" w:ascii="Times New Roman" w:hAnsi="Times New Roman" w:eastAsia="仿宋_GB2312" w:cs="Times New Roman"/>
          <w:color w:val="auto"/>
          <w:sz w:val="32"/>
          <w:szCs w:val="32"/>
          <w:highlight w:val="none"/>
          <w:lang w:val="en-US" w:eastAsia="zh-CN"/>
        </w:rPr>
        <w:t>6012</w:t>
      </w:r>
      <w:r>
        <w:rPr>
          <w:rFonts w:hint="default" w:ascii="Times New Roman" w:hAnsi="Times New Roman" w:eastAsia="仿宋_GB2312" w:cs="Times New Roman"/>
          <w:color w:val="auto"/>
          <w:sz w:val="32"/>
          <w:szCs w:val="32"/>
          <w:highlight w:val="none"/>
          <w:lang w:val="en-US" w:eastAsia="zh-CN"/>
        </w:rPr>
        <w:t>万元，年均增速约5.1</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%，累计达到843</w:t>
      </w:r>
      <w:r>
        <w:rPr>
          <w:rFonts w:hint="eastAsia" w:ascii="Times New Roman" w:hAnsi="Times New Roman" w:eastAsia="仿宋_GB2312" w:cs="Times New Roman"/>
          <w:color w:val="auto"/>
          <w:sz w:val="32"/>
          <w:szCs w:val="32"/>
          <w:highlight w:val="none"/>
          <w:lang w:val="en-US" w:eastAsia="zh-CN"/>
        </w:rPr>
        <w:t>780</w:t>
      </w:r>
      <w:r>
        <w:rPr>
          <w:rFonts w:hint="default" w:ascii="Times New Roman" w:hAnsi="Times New Roman" w:eastAsia="仿宋_GB2312" w:cs="Times New Roman"/>
          <w:color w:val="auto"/>
          <w:sz w:val="32"/>
          <w:szCs w:val="32"/>
          <w:highlight w:val="none"/>
          <w:lang w:val="en-US" w:eastAsia="zh-CN"/>
        </w:rPr>
        <w:t>万元，同比增加9</w:t>
      </w:r>
      <w:r>
        <w:rPr>
          <w:rFonts w:hint="eastAsia" w:ascii="Times New Roman" w:hAnsi="Times New Roman" w:eastAsia="仿宋_GB2312" w:cs="Times New Roman"/>
          <w:color w:val="auto"/>
          <w:sz w:val="32"/>
          <w:szCs w:val="32"/>
          <w:highlight w:val="none"/>
          <w:lang w:val="en-US" w:eastAsia="zh-CN"/>
        </w:rPr>
        <w:t>3000</w:t>
      </w:r>
      <w:r>
        <w:rPr>
          <w:rFonts w:hint="default" w:ascii="Times New Roman" w:hAnsi="Times New Roman" w:eastAsia="仿宋_GB2312" w:cs="Times New Roman"/>
          <w:color w:val="auto"/>
          <w:sz w:val="32"/>
          <w:szCs w:val="32"/>
          <w:highlight w:val="none"/>
          <w:lang w:val="en-US" w:eastAsia="zh-CN"/>
        </w:rPr>
        <w:t>万元，增长12.3</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三是债券资金申报迎来新突破。</w:t>
      </w:r>
      <w:r>
        <w:rPr>
          <w:rFonts w:hint="default" w:ascii="Times New Roman" w:hAnsi="Times New Roman" w:eastAsia="仿宋_GB2312" w:cs="Times New Roman"/>
          <w:b w:val="0"/>
          <w:bCs w:val="0"/>
          <w:sz w:val="32"/>
          <w:szCs w:val="32"/>
          <w:highlight w:val="none"/>
          <w:lang w:val="en-US" w:eastAsia="zh-CN"/>
        </w:rPr>
        <w:t>申报发行债券资金从2021年的4730万元突破到2025年26126万元。累计申报专项债券项目28个，涉及总投资168157万元，资金总需求123008万元，发行资金30169万元；申报发行一般债券项目8个，发行资金18600万元，共计发行新增债券资金48769万元。“十四五”总计新增债券资金66157万元，同比增加41941万元，增长1.73倍。</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val="en-US" w:eastAsia="zh-CN"/>
        </w:rPr>
        <w:t>（二）财政支出持续有力，保障效能全面彰显。</w:t>
      </w:r>
      <w:r>
        <w:rPr>
          <w:rFonts w:hint="default" w:ascii="Times New Roman" w:hAnsi="Times New Roman" w:eastAsia="仿宋_GB2312" w:cs="Times New Roman"/>
          <w:color w:val="auto"/>
          <w:sz w:val="32"/>
          <w:szCs w:val="32"/>
          <w:highlight w:val="none"/>
          <w:lang w:val="en-US" w:eastAsia="zh-CN"/>
        </w:rPr>
        <w:t>一般公共预算支出从2021年的166199万元上升到2025年的214855万元，年均增速约6.63%，一般公共预算支出累计完成921214万元，同比增长14.14%。</w:t>
      </w:r>
      <w:r>
        <w:rPr>
          <w:rFonts w:hint="default" w:ascii="Times New Roman" w:hAnsi="Times New Roman" w:eastAsia="仿宋_GB2312" w:cs="Times New Roman"/>
          <w:b/>
          <w:bCs/>
          <w:sz w:val="32"/>
          <w:szCs w:val="32"/>
          <w:highlight w:val="none"/>
          <w:lang w:val="en-US" w:eastAsia="zh-CN"/>
        </w:rPr>
        <w:t>一是教育支出强根基。</w:t>
      </w:r>
      <w:r>
        <w:rPr>
          <w:rFonts w:hint="default" w:ascii="Times New Roman" w:hAnsi="Times New Roman" w:eastAsia="仿宋_GB2312" w:cs="Times New Roman"/>
          <w:color w:val="auto"/>
          <w:sz w:val="32"/>
          <w:szCs w:val="32"/>
          <w:highlight w:val="none"/>
          <w:lang w:val="en-US" w:eastAsia="zh-CN"/>
        </w:rPr>
        <w:t>教育支出110039万元，同比增加25532万元，增长30.21%；</w:t>
      </w:r>
      <w:r>
        <w:rPr>
          <w:rFonts w:hint="default" w:ascii="Times New Roman" w:hAnsi="Times New Roman" w:eastAsia="仿宋_GB2312" w:cs="Times New Roman"/>
          <w:b/>
          <w:bCs/>
          <w:sz w:val="32"/>
          <w:szCs w:val="32"/>
          <w:highlight w:val="none"/>
          <w:lang w:val="en-US" w:eastAsia="zh-CN"/>
        </w:rPr>
        <w:t>二是社保支出兜底线。</w:t>
      </w:r>
      <w:r>
        <w:rPr>
          <w:rFonts w:hint="default" w:ascii="Times New Roman" w:hAnsi="Times New Roman" w:eastAsia="仿宋_GB2312" w:cs="Times New Roman"/>
          <w:color w:val="auto"/>
          <w:sz w:val="32"/>
          <w:szCs w:val="32"/>
          <w:highlight w:val="none"/>
          <w:lang w:val="en-US" w:eastAsia="zh-CN"/>
        </w:rPr>
        <w:t>社会保障和就业支出109788万元，同比增加30913万元，增长39.19%</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三是卫健支出优服务。</w:t>
      </w:r>
      <w:r>
        <w:rPr>
          <w:rFonts w:hint="default" w:ascii="Times New Roman" w:hAnsi="Times New Roman" w:eastAsia="仿宋_GB2312" w:cs="Times New Roman"/>
          <w:color w:val="auto"/>
          <w:sz w:val="32"/>
          <w:szCs w:val="32"/>
          <w:highlight w:val="none"/>
          <w:lang w:val="en-US" w:eastAsia="zh-CN"/>
        </w:rPr>
        <w:t>卫生健康支出73074万元，同比增加18103万元，增长32.93%；</w:t>
      </w:r>
      <w:r>
        <w:rPr>
          <w:rFonts w:hint="default" w:ascii="Times New Roman" w:hAnsi="Times New Roman" w:eastAsia="仿宋_GB2312" w:cs="Times New Roman"/>
          <w:b/>
          <w:bCs/>
          <w:sz w:val="32"/>
          <w:szCs w:val="32"/>
          <w:highlight w:val="none"/>
          <w:lang w:val="en-US" w:eastAsia="zh-CN"/>
        </w:rPr>
        <w:t>四是乡村振兴促发展。</w:t>
      </w:r>
      <w:r>
        <w:rPr>
          <w:rFonts w:hint="default" w:ascii="Times New Roman" w:hAnsi="Times New Roman" w:eastAsia="仿宋_GB2312" w:cs="Times New Roman"/>
          <w:color w:val="auto"/>
          <w:sz w:val="32"/>
          <w:szCs w:val="32"/>
          <w:highlight w:val="none"/>
          <w:lang w:val="en-US" w:eastAsia="zh-CN"/>
        </w:rPr>
        <w:t>农林水支出244384万元，同比增加62492万元，增长34.36%。</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val="en-US" w:eastAsia="zh-CN"/>
        </w:rPr>
        <w:t>（三）财政改革稳步推进，体制机制不断完善。</w:t>
      </w:r>
      <w:r>
        <w:rPr>
          <w:rFonts w:hint="default" w:ascii="Times New Roman" w:hAnsi="Times New Roman" w:eastAsia="楷体_GB2312" w:cs="Times New Roman"/>
          <w:b w:val="0"/>
          <w:bCs/>
          <w:color w:val="auto"/>
          <w:sz w:val="32"/>
          <w:szCs w:val="32"/>
          <w:highlight w:val="none"/>
          <w:lang w:val="en-US" w:eastAsia="zh-CN"/>
        </w:rPr>
        <w:t>五年来，</w:t>
      </w:r>
      <w:r>
        <w:rPr>
          <w:rFonts w:hint="default" w:ascii="Times New Roman" w:hAnsi="Times New Roman" w:eastAsia="仿宋_GB2312" w:cs="Times New Roman"/>
          <w:color w:val="auto"/>
          <w:sz w:val="32"/>
          <w:szCs w:val="32"/>
          <w:highlight w:val="none"/>
          <w:lang w:val="en-US" w:eastAsia="zh-CN"/>
        </w:rPr>
        <w:t>秉持迎难而上之决心，以创新思维破解发展难题，全面深化财税体制改革。</w:t>
      </w:r>
      <w:r>
        <w:rPr>
          <w:rFonts w:hint="default" w:ascii="Times New Roman" w:hAnsi="Times New Roman" w:eastAsia="仿宋_GB2312" w:cs="Times New Roman"/>
          <w:b/>
          <w:bCs/>
          <w:color w:val="auto"/>
          <w:sz w:val="32"/>
          <w:szCs w:val="32"/>
          <w:highlight w:val="none"/>
          <w:lang w:val="en-US" w:eastAsia="zh-CN"/>
        </w:rPr>
        <w:t>一是深化零基预算改革。</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打破“基数+增长”固化模式，按照“先谋事，再谋钱”的预算管理理念，以轻重缓急原则编制预算，优先保障“三保”支出，重点保障县委中心工作。</w:t>
      </w:r>
      <w:r>
        <w:rPr>
          <w:rFonts w:hint="default" w:ascii="Times New Roman" w:hAnsi="Times New Roman" w:eastAsia="仿宋_GB2312" w:cs="Times New Roman"/>
          <w:b/>
          <w:bCs/>
          <w:color w:val="auto"/>
          <w:sz w:val="32"/>
          <w:szCs w:val="32"/>
          <w:highlight w:val="none"/>
          <w:lang w:val="en-US" w:eastAsia="zh-CN"/>
        </w:rPr>
        <w:t>二是强化结余资金盘活</w:t>
      </w:r>
      <w:r>
        <w:rPr>
          <w:rFonts w:hint="default" w:ascii="Times New Roman" w:hAnsi="Times New Roman" w:eastAsia="仿宋_GB2312" w:cs="Times New Roman"/>
          <w:b/>
          <w:bCs/>
          <w:color w:val="auto"/>
          <w:sz w:val="32"/>
          <w:szCs w:val="32"/>
          <w:highlight w:val="none"/>
          <w:lang w:val="zh-CN"/>
        </w:rPr>
        <w:t>。</w:t>
      </w:r>
      <w:r>
        <w:rPr>
          <w:rFonts w:hint="default" w:ascii="Times New Roman" w:hAnsi="Times New Roman" w:eastAsia="仿宋_GB2312" w:cs="Times New Roman"/>
          <w:color w:val="auto"/>
          <w:sz w:val="32"/>
          <w:szCs w:val="32"/>
          <w:highlight w:val="none"/>
          <w:lang w:val="en-US" w:eastAsia="zh-CN"/>
        </w:rPr>
        <w:t>全面贯彻落实“三项清理”制度，收回</w:t>
      </w:r>
      <w:r>
        <w:rPr>
          <w:rFonts w:hint="default" w:ascii="Times New Roman" w:hAnsi="Times New Roman" w:eastAsia="仿宋_GB2312" w:cs="Times New Roman"/>
          <w:color w:val="auto"/>
          <w:sz w:val="32"/>
          <w:szCs w:val="32"/>
          <w:highlight w:val="none"/>
          <w:lang w:val="zh-CN"/>
        </w:rPr>
        <w:t>低效无效、闲置沉淀和项目净结余资金</w:t>
      </w:r>
      <w:r>
        <w:rPr>
          <w:rFonts w:hint="default" w:ascii="Times New Roman" w:hAnsi="Times New Roman" w:eastAsia="仿宋_GB2312" w:cs="Times New Roman"/>
          <w:color w:val="auto"/>
          <w:sz w:val="32"/>
          <w:szCs w:val="32"/>
          <w:highlight w:val="none"/>
          <w:lang w:val="en-US" w:eastAsia="zh-CN"/>
        </w:rPr>
        <w:t>85466.07万元，全部统筹用于民生和重点领域支出。</w:t>
      </w:r>
      <w:r>
        <w:rPr>
          <w:rFonts w:hint="default" w:ascii="Times New Roman" w:hAnsi="Times New Roman" w:eastAsia="仿宋_GB2312" w:cs="Times New Roman"/>
          <w:b/>
          <w:bCs/>
          <w:color w:val="auto"/>
          <w:sz w:val="32"/>
          <w:szCs w:val="32"/>
          <w:highlight w:val="none"/>
          <w:lang w:val="en-US" w:eastAsia="zh-CN"/>
        </w:rPr>
        <w:t>三是实化预算绩效管理。</w:t>
      </w:r>
      <w:r>
        <w:rPr>
          <w:rFonts w:hint="default" w:ascii="Times New Roman" w:hAnsi="Times New Roman" w:eastAsia="仿宋_GB2312" w:cs="Times New Roman"/>
          <w:color w:val="auto"/>
          <w:kern w:val="0"/>
          <w:sz w:val="32"/>
          <w:szCs w:val="32"/>
          <w:highlight w:val="none"/>
          <w:lang w:val="en-US" w:eastAsia="zh-CN"/>
        </w:rPr>
        <w:t>建立健全绩效监管体系，全覆盖开展部门绩效自评，开展事前绩效评估42个项目15233.49万元，事中绩效监控34个项目32511.59万元，事后绩效评价247个项目106667.71万元，持续深化预算绩效管理，强化预算绩效评价结果应用。</w:t>
      </w:r>
      <w:r>
        <w:rPr>
          <w:rFonts w:hint="default" w:ascii="Times New Roman" w:hAnsi="Times New Roman" w:eastAsia="仿宋_GB2312" w:cs="Times New Roman"/>
          <w:b/>
          <w:bCs w:val="0"/>
          <w:color w:val="auto"/>
          <w:sz w:val="32"/>
          <w:highlight w:val="none"/>
          <w:lang w:val="en-US" w:eastAsia="zh-CN"/>
        </w:rPr>
        <w:t>四是</w:t>
      </w:r>
      <w:r>
        <w:rPr>
          <w:rFonts w:hint="default" w:ascii="Times New Roman" w:hAnsi="Times New Roman" w:eastAsia="仿宋_GB2312" w:cs="Times New Roman"/>
          <w:b/>
          <w:bCs/>
          <w:color w:val="auto"/>
          <w:sz w:val="32"/>
          <w:szCs w:val="32"/>
          <w:highlight w:val="none"/>
          <w:lang w:val="en-US" w:eastAsia="zh-CN"/>
        </w:rPr>
        <w:t>细化</w:t>
      </w:r>
      <w:r>
        <w:rPr>
          <w:rFonts w:hint="default" w:ascii="Times New Roman" w:hAnsi="Times New Roman" w:eastAsia="仿宋_GB2312" w:cs="Times New Roman"/>
          <w:b/>
          <w:bCs w:val="0"/>
          <w:color w:val="auto"/>
          <w:sz w:val="32"/>
          <w:highlight w:val="none"/>
          <w:lang w:val="en-US" w:eastAsia="zh-CN"/>
        </w:rPr>
        <w:t>国库规范管理。</w:t>
      </w:r>
      <w:r>
        <w:rPr>
          <w:rFonts w:hint="default" w:ascii="Times New Roman" w:hAnsi="Times New Roman" w:eastAsia="仿宋_GB2312" w:cs="Times New Roman"/>
          <w:color w:val="auto"/>
          <w:sz w:val="32"/>
          <w:szCs w:val="32"/>
          <w:highlight w:val="none"/>
          <w:lang w:val="en-US" w:eastAsia="zh-CN"/>
        </w:rPr>
        <w:t>制定《壤塘县财政局国库集中支付应急预案》《国库集中支付大额资金拨付申请审批表》，对单笔支付额度超过200万元资金实时监控；实行“日收集+周研判”会商机制，研判计划支付金额，精准把控清算额度，防范支付风险。</w:t>
      </w:r>
      <w:r>
        <w:rPr>
          <w:rFonts w:hint="default" w:ascii="Times New Roman" w:hAnsi="Times New Roman" w:eastAsia="仿宋_GB2312" w:cs="Times New Roman"/>
          <w:b/>
          <w:bCs/>
          <w:color w:val="auto"/>
          <w:sz w:val="32"/>
          <w:szCs w:val="32"/>
          <w:highlight w:val="none"/>
          <w:lang w:val="en-US" w:eastAsia="zh-CN"/>
        </w:rPr>
        <w:t>五是</w:t>
      </w:r>
      <w:r>
        <w:rPr>
          <w:rFonts w:hint="default" w:ascii="Times New Roman" w:hAnsi="Times New Roman" w:eastAsia="仿宋_GB2312" w:cs="Times New Roman"/>
          <w:b/>
          <w:bCs/>
          <w:color w:val="auto"/>
          <w:sz w:val="32"/>
          <w:highlight w:val="none"/>
          <w:lang w:val="en-US" w:eastAsia="zh-CN"/>
        </w:rPr>
        <w:t>优化</w:t>
      </w:r>
      <w:r>
        <w:rPr>
          <w:rFonts w:hint="default" w:ascii="Times New Roman" w:hAnsi="Times New Roman" w:eastAsia="仿宋_GB2312" w:cs="Times New Roman"/>
          <w:b/>
          <w:bCs/>
          <w:color w:val="auto"/>
          <w:sz w:val="32"/>
          <w:szCs w:val="32"/>
          <w:highlight w:val="none"/>
          <w:lang w:val="en-US" w:eastAsia="zh-CN"/>
        </w:rPr>
        <w:t>集中支付改革。</w:t>
      </w:r>
      <w:r>
        <w:rPr>
          <w:rFonts w:hint="default" w:ascii="Times New Roman" w:hAnsi="Times New Roman" w:eastAsia="仿宋_GB2312" w:cs="Times New Roman"/>
          <w:b w:val="0"/>
          <w:bCs w:val="0"/>
          <w:color w:val="auto"/>
          <w:sz w:val="32"/>
          <w:szCs w:val="32"/>
          <w:highlight w:val="none"/>
          <w:lang w:val="en-US" w:eastAsia="zh-CN"/>
        </w:rPr>
        <w:t>根据预算管理改革需要和业务实际，优化岗位设置，进一步规范国库集中支付业务流程，将支付与审核嵌入各相关股室，确保财政性资金集中支付安全、高效。</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color w:val="auto"/>
          <w:sz w:val="32"/>
          <w:szCs w:val="32"/>
          <w:highlight w:val="none"/>
          <w:lang w:val="en-US" w:eastAsia="zh-CN"/>
        </w:rPr>
        <w:t>（四）财政管理更加规范，运行质效稳步提升。</w:t>
      </w:r>
      <w:r>
        <w:rPr>
          <w:rFonts w:hint="default" w:ascii="Times New Roman" w:hAnsi="Times New Roman" w:eastAsia="仿宋_GB2312" w:cs="Times New Roman"/>
          <w:b w:val="0"/>
          <w:bCs w:val="0"/>
          <w:color w:val="auto"/>
          <w:sz w:val="32"/>
          <w:szCs w:val="32"/>
          <w:highlight w:val="none"/>
          <w:lang w:val="en-US" w:eastAsia="zh-CN"/>
        </w:rPr>
        <w:t>五年来，</w:t>
      </w:r>
      <w:r>
        <w:rPr>
          <w:rFonts w:hint="default" w:ascii="Times New Roman" w:hAnsi="Times New Roman" w:eastAsia="仿宋_GB2312" w:cs="Times New Roman"/>
          <w:color w:val="auto"/>
          <w:sz w:val="32"/>
          <w:szCs w:val="32"/>
          <w:highlight w:val="none"/>
          <w:lang w:val="zh-CN"/>
        </w:rPr>
        <w:t>全面</w:t>
      </w:r>
      <w:r>
        <w:rPr>
          <w:rFonts w:hint="default" w:ascii="Times New Roman" w:hAnsi="Times New Roman" w:eastAsia="仿宋_GB2312" w:cs="Times New Roman"/>
          <w:color w:val="auto"/>
          <w:sz w:val="32"/>
          <w:szCs w:val="32"/>
          <w:highlight w:val="none"/>
        </w:rPr>
        <w:t>纵深</w:t>
      </w:r>
      <w:r>
        <w:rPr>
          <w:rFonts w:hint="default" w:ascii="Times New Roman" w:hAnsi="Times New Roman" w:eastAsia="仿宋_GB2312" w:cs="Times New Roman"/>
          <w:color w:val="auto"/>
          <w:sz w:val="32"/>
          <w:szCs w:val="32"/>
          <w:highlight w:val="none"/>
          <w:lang w:val="zh-CN"/>
        </w:rPr>
        <w:t>推进财政监督</w:t>
      </w:r>
      <w:r>
        <w:rPr>
          <w:rFonts w:hint="default" w:ascii="Times New Roman" w:hAnsi="Times New Roman" w:eastAsia="仿宋_GB2312" w:cs="Times New Roman"/>
          <w:color w:val="auto"/>
          <w:sz w:val="32"/>
          <w:szCs w:val="32"/>
          <w:highlight w:val="none"/>
          <w:lang w:val="en-US" w:eastAsia="zh-CN"/>
        </w:rPr>
        <w:t>管理</w:t>
      </w:r>
      <w:r>
        <w:rPr>
          <w:rFonts w:hint="default" w:ascii="Times New Roman" w:hAnsi="Times New Roman" w:eastAsia="仿宋_GB2312" w:cs="Times New Roman"/>
          <w:color w:val="auto"/>
          <w:sz w:val="32"/>
          <w:szCs w:val="32"/>
          <w:highlight w:val="none"/>
          <w:lang w:val="zh-CN"/>
        </w:rPr>
        <w:t>，推动</w:t>
      </w:r>
      <w:r>
        <w:rPr>
          <w:rFonts w:hint="default" w:ascii="Times New Roman" w:hAnsi="Times New Roman" w:eastAsia="仿宋_GB2312" w:cs="Times New Roman"/>
          <w:color w:val="auto"/>
          <w:sz w:val="32"/>
          <w:szCs w:val="32"/>
          <w:highlight w:val="none"/>
          <w:lang w:val="en-US" w:eastAsia="zh-CN"/>
        </w:rPr>
        <w:t>财政运行提质增效。</w:t>
      </w: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b/>
          <w:bCs/>
          <w:color w:val="auto"/>
          <w:sz w:val="32"/>
          <w:szCs w:val="32"/>
          <w:highlight w:val="none"/>
          <w:lang w:val="zh-CN"/>
        </w:rPr>
        <w:t>是</w:t>
      </w:r>
      <w:r>
        <w:rPr>
          <w:rFonts w:hint="default" w:ascii="Times New Roman" w:hAnsi="Times New Roman" w:eastAsia="仿宋_GB2312" w:cs="Times New Roman"/>
          <w:b/>
          <w:bCs/>
          <w:color w:val="auto"/>
          <w:sz w:val="32"/>
          <w:szCs w:val="32"/>
          <w:highlight w:val="none"/>
          <w:lang w:val="en-US" w:eastAsia="zh-CN"/>
        </w:rPr>
        <w:t>筑牢“过紧日子”思想防线。</w:t>
      </w:r>
      <w:r>
        <w:rPr>
          <w:rFonts w:hint="default" w:ascii="Times New Roman" w:hAnsi="Times New Roman" w:eastAsia="仿宋_GB2312" w:cs="Times New Roman"/>
          <w:color w:val="auto"/>
          <w:sz w:val="32"/>
          <w:szCs w:val="32"/>
          <w:highlight w:val="none"/>
          <w:lang w:val="zh-CN"/>
        </w:rPr>
        <w:t>全面贯彻落实党政机关“过紧日子”要求，压减一般性支出</w:t>
      </w:r>
      <w:r>
        <w:rPr>
          <w:rFonts w:hint="default" w:ascii="Times New Roman" w:hAnsi="Times New Roman" w:eastAsia="仿宋_GB2312" w:cs="Times New Roman"/>
          <w:color w:val="auto"/>
          <w:sz w:val="32"/>
          <w:szCs w:val="32"/>
          <w:highlight w:val="none"/>
          <w:lang w:val="en-US" w:eastAsia="zh-CN"/>
        </w:rPr>
        <w:t>1126.7</w:t>
      </w:r>
      <w:r>
        <w:rPr>
          <w:rFonts w:hint="default" w:ascii="Times New Roman" w:hAnsi="Times New Roman" w:eastAsia="仿宋_GB2312" w:cs="Times New Roman"/>
          <w:color w:val="auto"/>
          <w:sz w:val="32"/>
          <w:szCs w:val="32"/>
          <w:highlight w:val="none"/>
          <w:lang w:val="zh-CN"/>
        </w:rPr>
        <w:t>万元，</w:t>
      </w:r>
      <w:r>
        <w:rPr>
          <w:rFonts w:hint="default" w:ascii="Times New Roman" w:hAnsi="Times New Roman" w:eastAsia="仿宋_GB2312" w:cs="Times New Roman"/>
          <w:b w:val="0"/>
          <w:bCs w:val="0"/>
          <w:color w:val="auto"/>
          <w:sz w:val="32"/>
          <w:szCs w:val="32"/>
          <w:highlight w:val="none"/>
          <w:lang w:val="zh-CN"/>
        </w:rPr>
        <w:t>践行</w:t>
      </w:r>
      <w:r>
        <w:rPr>
          <w:rFonts w:hint="default" w:ascii="Times New Roman" w:hAnsi="Times New Roman" w:eastAsia="仿宋_GB2312" w:cs="Times New Roman"/>
          <w:b w:val="0"/>
          <w:bCs w:val="0"/>
          <w:color w:val="auto"/>
          <w:sz w:val="32"/>
          <w:szCs w:val="32"/>
          <w:highlight w:val="none"/>
          <w:lang w:val="en-US" w:eastAsia="zh-CN"/>
        </w:rPr>
        <w:t>厉行</w:t>
      </w:r>
      <w:r>
        <w:rPr>
          <w:rFonts w:hint="default" w:ascii="Times New Roman" w:hAnsi="Times New Roman" w:eastAsia="仿宋_GB2312" w:cs="Times New Roman"/>
          <w:b w:val="0"/>
          <w:bCs w:val="0"/>
          <w:color w:val="auto"/>
          <w:sz w:val="32"/>
          <w:szCs w:val="32"/>
          <w:highlight w:val="none"/>
          <w:lang w:val="zh-CN"/>
        </w:rPr>
        <w:t>节约、勤俭</w:t>
      </w:r>
      <w:r>
        <w:rPr>
          <w:rFonts w:hint="default" w:ascii="Times New Roman" w:hAnsi="Times New Roman" w:eastAsia="仿宋_GB2312" w:cs="Times New Roman"/>
          <w:b w:val="0"/>
          <w:bCs w:val="0"/>
          <w:color w:val="auto"/>
          <w:sz w:val="32"/>
          <w:szCs w:val="32"/>
          <w:highlight w:val="none"/>
          <w:lang w:val="en-US" w:eastAsia="zh-CN"/>
        </w:rPr>
        <w:t>理政的要求</w:t>
      </w: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b/>
          <w:color w:val="auto"/>
          <w:sz w:val="32"/>
          <w:szCs w:val="32"/>
          <w:highlight w:val="none"/>
        </w:rPr>
        <w:t>二是</w:t>
      </w:r>
      <w:r>
        <w:rPr>
          <w:rFonts w:hint="default" w:ascii="Times New Roman" w:hAnsi="Times New Roman" w:eastAsia="仿宋_GB2312" w:cs="Times New Roman"/>
          <w:b/>
          <w:color w:val="auto"/>
          <w:sz w:val="32"/>
          <w:szCs w:val="32"/>
          <w:highlight w:val="none"/>
          <w:lang w:val="en-US" w:eastAsia="zh-CN"/>
        </w:rPr>
        <w:t>严把投资评审质量关口。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完成</w:t>
      </w:r>
      <w:r>
        <w:rPr>
          <w:rFonts w:hint="default" w:ascii="Times New Roman" w:hAnsi="Times New Roman" w:eastAsia="仿宋_GB2312" w:cs="Times New Roman"/>
          <w:sz w:val="32"/>
          <w:szCs w:val="32"/>
          <w:highlight w:val="none"/>
          <w:lang w:val="en-US" w:eastAsia="zh-CN"/>
        </w:rPr>
        <w:t>1268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个项目</w:t>
      </w:r>
      <w:r>
        <w:rPr>
          <w:rFonts w:hint="default" w:ascii="Times New Roman" w:hAnsi="Times New Roman" w:eastAsia="仿宋_GB2312" w:cs="Times New Roman"/>
          <w:sz w:val="32"/>
          <w:szCs w:val="32"/>
          <w:highlight w:val="none"/>
          <w:lang w:val="en-US" w:eastAsia="zh-CN"/>
        </w:rPr>
        <w:t>485255.95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财政投资评审</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工作，</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节约财政资金</w:t>
      </w:r>
      <w:r>
        <w:rPr>
          <w:rFonts w:hint="default" w:ascii="Times New Roman" w:hAnsi="Times New Roman" w:eastAsia="仿宋_GB2312" w:cs="Times New Roman"/>
          <w:sz w:val="32"/>
          <w:szCs w:val="32"/>
          <w:highlight w:val="none"/>
          <w:lang w:val="en-US" w:eastAsia="zh-CN"/>
        </w:rPr>
        <w:t>27368.8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sz w:val="32"/>
          <w:szCs w:val="32"/>
          <w:highlight w:val="none"/>
        </w:rPr>
        <w:t>节约率5.</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充分发挥财政评审前端管控作用。</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三是强化政府采购监管体系。</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持续推动政府采购规范化管理，</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依法依规办结政府采购投诉、举报、移交、</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行政复议、行政诉讼案件共计81</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件。完成政府采购项目备案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831</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项，涉及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112308.82</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有效规范政府采购行为，切实维护公平竞争的市场秩序。</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lang w:val="en-US" w:eastAsia="zh-CN"/>
        </w:rPr>
        <w:t>（五）国资监管持续加强，运营能力显著提升。</w:t>
      </w:r>
      <w:r>
        <w:rPr>
          <w:rFonts w:hint="default" w:ascii="Times New Roman" w:hAnsi="Times New Roman" w:eastAsia="仿宋_GB2312" w:cs="Times New Roman"/>
          <w:b w:val="0"/>
          <w:bCs w:val="0"/>
          <w:sz w:val="32"/>
          <w:szCs w:val="32"/>
          <w:highlight w:val="none"/>
          <w:lang w:val="en-US" w:eastAsia="zh-CN"/>
        </w:rPr>
        <w:t>五年来，不断深化县属国有企业改革，优化产业布局与经营模式。</w:t>
      </w:r>
      <w:r>
        <w:rPr>
          <w:rFonts w:hint="default" w:ascii="Times New Roman" w:hAnsi="Times New Roman" w:eastAsia="仿宋_GB2312" w:cs="Times New Roman"/>
          <w:b/>
          <w:bCs/>
          <w:sz w:val="32"/>
          <w:szCs w:val="32"/>
          <w:highlight w:val="none"/>
          <w:lang w:val="en-US" w:eastAsia="zh-CN"/>
        </w:rPr>
        <w:t>一</w:t>
      </w:r>
      <w:r>
        <w:rPr>
          <w:rFonts w:hint="default" w:ascii="Times New Roman" w:hAnsi="Times New Roman" w:eastAsia="仿宋_GB2312" w:cs="Times New Roman"/>
          <w:b/>
          <w:bCs/>
          <w:sz w:val="32"/>
          <w:szCs w:val="32"/>
          <w:highlight w:val="none"/>
          <w:lang w:val="zh-CN" w:eastAsia="zh-CN"/>
        </w:rPr>
        <w:t>是</w:t>
      </w:r>
      <w:r>
        <w:rPr>
          <w:rFonts w:hint="default" w:ascii="Times New Roman" w:hAnsi="Times New Roman" w:eastAsia="仿宋_GB2312" w:cs="Times New Roman"/>
          <w:b/>
          <w:bCs/>
          <w:sz w:val="32"/>
          <w:szCs w:val="32"/>
          <w:highlight w:val="none"/>
          <w:lang w:val="en-US" w:eastAsia="zh-CN"/>
        </w:rPr>
        <w:t>建立完善监管制度。</w:t>
      </w:r>
      <w:r>
        <w:rPr>
          <w:rFonts w:hint="default" w:ascii="Times New Roman" w:hAnsi="Times New Roman" w:eastAsia="仿宋_GB2312" w:cs="Times New Roman"/>
          <w:b w:val="0"/>
          <w:bCs w:val="0"/>
          <w:sz w:val="32"/>
          <w:szCs w:val="32"/>
          <w:highlight w:val="none"/>
          <w:lang w:val="en-US" w:eastAsia="zh-CN"/>
        </w:rPr>
        <w:t>制定《壤塘县企业国有资产监督管理办法（试行）》《壤塘县县属国有企业“三重一大”决策制度》《壤塘县县属国有企业“三重一大”议事规则》《壤塘县国有资产经营管理有限责任公司人员薪酬和工资总额管理办法》等9个系列制度，构建全覆盖、全流程的县国资公司监管体系。</w:t>
      </w:r>
      <w:r>
        <w:rPr>
          <w:rFonts w:hint="default" w:ascii="Times New Roman" w:hAnsi="Times New Roman" w:eastAsia="仿宋_GB2312" w:cs="Times New Roman"/>
          <w:b/>
          <w:bCs/>
          <w:sz w:val="32"/>
          <w:szCs w:val="32"/>
          <w:highlight w:val="none"/>
          <w:lang w:val="en-US" w:eastAsia="zh-CN"/>
        </w:rPr>
        <w:t>二是逐步壮大国企规模。</w:t>
      </w:r>
      <w:r>
        <w:rPr>
          <w:rFonts w:hint="default" w:ascii="Times New Roman" w:hAnsi="Times New Roman" w:eastAsia="仿宋_GB2312" w:cs="Times New Roman"/>
          <w:b w:val="0"/>
          <w:bCs w:val="0"/>
          <w:sz w:val="32"/>
          <w:szCs w:val="32"/>
          <w:highlight w:val="none"/>
          <w:lang w:val="en-US" w:eastAsia="zh-CN"/>
        </w:rPr>
        <w:t>成立全资公司5个、控股公司2个，参股公司1个，其中3个达到规模以上水平。营业收入从2021年510.93万元到2025年20157.91万元，增加19646.98 万元，增长38倍，收入实现跨越式增长，突破2亿大关；净利润从2021年负31.20万元到2025年920.63万元，增加951.83万元，同比增长30.51倍，成功实现扭亏为盈，盈利能力大幅提升。</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黑体" w:cs="Times New Roman"/>
          <w:snapToGrid w:val="0"/>
          <w:color w:val="auto"/>
          <w:kern w:val="0"/>
          <w:sz w:val="32"/>
          <w:szCs w:val="32"/>
          <w:highlight w:val="none"/>
          <w:lang w:val="en-US" w:eastAsia="zh-CN"/>
        </w:rPr>
        <w:t>二</w:t>
      </w:r>
      <w:r>
        <w:rPr>
          <w:rFonts w:hint="default" w:ascii="Times New Roman" w:hAnsi="Times New Roman" w:eastAsia="黑体" w:cs="Times New Roman"/>
          <w:snapToGrid w:val="0"/>
          <w:color w:val="auto"/>
          <w:kern w:val="0"/>
          <w:sz w:val="32"/>
          <w:szCs w:val="32"/>
          <w:highlight w:val="none"/>
        </w:rPr>
        <w:t>、</w:t>
      </w:r>
      <w:r>
        <w:rPr>
          <w:rFonts w:hint="default" w:ascii="Times New Roman" w:hAnsi="Times New Roman" w:eastAsia="黑体" w:cs="Times New Roman"/>
          <w:snapToGrid w:val="0"/>
          <w:color w:val="auto"/>
          <w:kern w:val="0"/>
          <w:sz w:val="32"/>
          <w:szCs w:val="32"/>
          <w:highlight w:val="none"/>
          <w:lang w:eastAsia="zh-CN"/>
        </w:rPr>
        <w:t>2025</w:t>
      </w:r>
      <w:r>
        <w:rPr>
          <w:rFonts w:hint="default" w:ascii="Times New Roman" w:hAnsi="Times New Roman" w:eastAsia="黑体" w:cs="Times New Roman"/>
          <w:snapToGrid w:val="0"/>
          <w:color w:val="auto"/>
          <w:kern w:val="0"/>
          <w:sz w:val="32"/>
          <w:szCs w:val="32"/>
          <w:highlight w:val="none"/>
        </w:rPr>
        <w:t>年财政预算执行情况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2025年作为“十四五”规划收官之年，在县委坚强领导下，在县人大及其常委会的法律监督和县政协的民主监督下，我们以习近平新时代中国特色社会主义思想为指导，深入贯彻</w:t>
      </w:r>
      <w:r>
        <w:rPr>
          <w:rFonts w:hint="default" w:ascii="Times New Roman" w:hAnsi="Times New Roman" w:eastAsia="仿宋_GB2312" w:cs="Times New Roman"/>
          <w:color w:val="auto"/>
          <w:sz w:val="32"/>
          <w:szCs w:val="32"/>
          <w:highlight w:val="none"/>
          <w:lang w:val="en-US" w:eastAsia="zh-CN"/>
        </w:rPr>
        <w:t>党的</w:t>
      </w:r>
      <w:r>
        <w:rPr>
          <w:rFonts w:hint="default" w:ascii="Times New Roman" w:hAnsi="Times New Roman" w:eastAsia="仿宋_GB2312" w:cs="Times New Roman"/>
          <w:color w:val="auto"/>
          <w:sz w:val="32"/>
          <w:szCs w:val="32"/>
          <w:highlight w:val="none"/>
          <w:lang w:eastAsia="zh-CN"/>
        </w:rPr>
        <w:t>二十</w:t>
      </w:r>
      <w:r>
        <w:rPr>
          <w:rFonts w:hint="default" w:ascii="Times New Roman" w:hAnsi="Times New Roman" w:eastAsia="仿宋_GB2312" w:cs="Times New Roman"/>
          <w:color w:val="auto"/>
          <w:sz w:val="32"/>
          <w:szCs w:val="32"/>
          <w:highlight w:val="none"/>
          <w:lang w:val="en-US" w:eastAsia="zh-CN"/>
        </w:rPr>
        <w:t>大</w:t>
      </w:r>
      <w:r>
        <w:rPr>
          <w:rFonts w:hint="default" w:ascii="Times New Roman" w:hAnsi="Times New Roman" w:eastAsia="仿宋_GB2312" w:cs="Times New Roman"/>
          <w:color w:val="auto"/>
          <w:sz w:val="32"/>
          <w:szCs w:val="32"/>
          <w:highlight w:val="none"/>
        </w:rPr>
        <w:t>精神</w:t>
      </w:r>
      <w:r>
        <w:rPr>
          <w:rFonts w:hint="default" w:ascii="Times New Roman" w:hAnsi="Times New Roman" w:eastAsia="仿宋_GB2312" w:cs="Times New Roman"/>
          <w:color w:val="auto"/>
          <w:sz w:val="32"/>
          <w:szCs w:val="32"/>
          <w:highlight w:val="none"/>
          <w:lang w:eastAsia="zh-CN"/>
        </w:rPr>
        <w:t>，围绕县委中心工作</w:t>
      </w:r>
      <w:r>
        <w:rPr>
          <w:rFonts w:hint="default"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lang w:eastAsia="zh-CN"/>
        </w:rPr>
        <w:t>年度财政任务，深化零基预算改革，优化支出结构，提</w:t>
      </w:r>
      <w:r>
        <w:rPr>
          <w:rFonts w:hint="default" w:ascii="Times New Roman" w:hAnsi="Times New Roman" w:eastAsia="仿宋_GB2312" w:cs="Times New Roman"/>
          <w:color w:val="auto"/>
          <w:sz w:val="32"/>
          <w:szCs w:val="32"/>
          <w:highlight w:val="none"/>
          <w:lang w:val="en-US" w:eastAsia="zh-CN"/>
        </w:rPr>
        <w:t>高</w:t>
      </w:r>
      <w:r>
        <w:rPr>
          <w:rFonts w:hint="default" w:ascii="Times New Roman" w:hAnsi="Times New Roman" w:eastAsia="仿宋_GB2312" w:cs="Times New Roman"/>
          <w:color w:val="auto"/>
          <w:sz w:val="32"/>
          <w:szCs w:val="32"/>
          <w:highlight w:val="none"/>
          <w:lang w:eastAsia="zh-CN"/>
        </w:rPr>
        <w:t>资金</w:t>
      </w:r>
      <w:r>
        <w:rPr>
          <w:rFonts w:hint="default" w:ascii="Times New Roman" w:hAnsi="Times New Roman" w:eastAsia="仿宋_GB2312" w:cs="Times New Roman"/>
          <w:color w:val="auto"/>
          <w:sz w:val="32"/>
          <w:szCs w:val="32"/>
          <w:highlight w:val="none"/>
          <w:lang w:val="en-US" w:eastAsia="zh-CN"/>
        </w:rPr>
        <w:t>使用效益</w:t>
      </w:r>
      <w:r>
        <w:rPr>
          <w:rFonts w:hint="default" w:ascii="Times New Roman" w:hAnsi="Times New Roman" w:eastAsia="仿宋_GB2312" w:cs="Times New Roman"/>
          <w:color w:val="auto"/>
          <w:sz w:val="32"/>
          <w:szCs w:val="32"/>
          <w:highlight w:val="none"/>
          <w:lang w:eastAsia="zh-CN"/>
        </w:rPr>
        <w:t>，为县域经济高质量发展注入</w:t>
      </w:r>
      <w:r>
        <w:rPr>
          <w:rFonts w:hint="default" w:ascii="Times New Roman" w:hAnsi="Times New Roman" w:eastAsia="仿宋_GB2312" w:cs="Times New Roman"/>
          <w:color w:val="auto"/>
          <w:sz w:val="32"/>
          <w:szCs w:val="32"/>
          <w:highlight w:val="none"/>
          <w:lang w:val="en-US" w:eastAsia="zh-CN"/>
        </w:rPr>
        <w:t>新</w:t>
      </w:r>
      <w:r>
        <w:rPr>
          <w:rFonts w:hint="default" w:ascii="Times New Roman" w:hAnsi="Times New Roman" w:eastAsia="仿宋_GB2312" w:cs="Times New Roman"/>
          <w:color w:val="auto"/>
          <w:sz w:val="32"/>
          <w:szCs w:val="32"/>
          <w:highlight w:val="none"/>
          <w:lang w:eastAsia="zh-CN"/>
        </w:rPr>
        <w:t>动能，全县财政运行保持平稳。</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lang w:val="en-US" w:eastAsia="zh-CN"/>
        </w:rPr>
        <w:t>（一）一般公共预算执行情况。</w:t>
      </w:r>
      <w:r>
        <w:rPr>
          <w:rFonts w:hint="default" w:ascii="Times New Roman" w:hAnsi="Times New Roman" w:eastAsia="仿宋_GB2312" w:cs="Times New Roman"/>
          <w:color w:val="auto"/>
          <w:sz w:val="32"/>
          <w:szCs w:val="32"/>
          <w:highlight w:val="none"/>
          <w:lang w:eastAsia="zh-CN"/>
        </w:rPr>
        <w:t>2025</w:t>
      </w:r>
      <w:r>
        <w:rPr>
          <w:rFonts w:hint="default" w:ascii="Times New Roman" w:hAnsi="Times New Roman" w:eastAsia="仿宋_GB2312" w:cs="Times New Roman"/>
          <w:color w:val="auto"/>
          <w:sz w:val="32"/>
          <w:szCs w:val="32"/>
          <w:highlight w:val="none"/>
        </w:rPr>
        <w:t>年地方一般公共预算收入完成</w:t>
      </w:r>
      <w:r>
        <w:rPr>
          <w:rFonts w:hint="default" w:ascii="Times New Roman" w:hAnsi="Times New Roman" w:eastAsia="仿宋_GB2312" w:cs="Times New Roman"/>
          <w:color w:val="auto"/>
          <w:sz w:val="32"/>
          <w:szCs w:val="32"/>
          <w:highlight w:val="none"/>
          <w:lang w:val="en-US" w:eastAsia="zh-CN"/>
        </w:rPr>
        <w:t>13776</w:t>
      </w:r>
      <w:r>
        <w:rPr>
          <w:rFonts w:hint="default" w:ascii="Times New Roman" w:hAnsi="Times New Roman" w:eastAsia="仿宋_GB2312" w:cs="Times New Roman"/>
          <w:color w:val="auto"/>
          <w:sz w:val="32"/>
          <w:szCs w:val="32"/>
          <w:highlight w:val="none"/>
        </w:rPr>
        <w:t>万元，其中：税收收入</w:t>
      </w:r>
      <w:r>
        <w:rPr>
          <w:rFonts w:hint="default" w:ascii="Times New Roman" w:hAnsi="Times New Roman" w:eastAsia="仿宋_GB2312" w:cs="Times New Roman"/>
          <w:color w:val="auto"/>
          <w:sz w:val="32"/>
          <w:szCs w:val="32"/>
          <w:highlight w:val="none"/>
          <w:lang w:val="en-US" w:eastAsia="zh-CN"/>
        </w:rPr>
        <w:t>5810</w:t>
      </w:r>
      <w:r>
        <w:rPr>
          <w:rFonts w:hint="default" w:ascii="Times New Roman" w:hAnsi="Times New Roman" w:eastAsia="仿宋_GB2312" w:cs="Times New Roman"/>
          <w:color w:val="auto"/>
          <w:sz w:val="32"/>
          <w:szCs w:val="32"/>
          <w:highlight w:val="none"/>
        </w:rPr>
        <w:t>万元，非税收入</w:t>
      </w:r>
      <w:r>
        <w:rPr>
          <w:rFonts w:hint="default" w:ascii="Times New Roman" w:hAnsi="Times New Roman" w:eastAsia="仿宋_GB2312" w:cs="Times New Roman"/>
          <w:color w:val="auto"/>
          <w:sz w:val="32"/>
          <w:szCs w:val="32"/>
          <w:highlight w:val="none"/>
          <w:lang w:val="en-US" w:eastAsia="zh-CN"/>
        </w:rPr>
        <w:t>7966</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2025</w:t>
      </w:r>
      <w:r>
        <w:rPr>
          <w:rFonts w:hint="default" w:ascii="Times New Roman" w:hAnsi="Times New Roman" w:eastAsia="仿宋_GB2312" w:cs="Times New Roman"/>
          <w:color w:val="auto"/>
          <w:sz w:val="32"/>
          <w:szCs w:val="32"/>
          <w:highlight w:val="none"/>
        </w:rPr>
        <w:t>年超收收入</w:t>
      </w:r>
      <w:r>
        <w:rPr>
          <w:rFonts w:hint="default" w:ascii="Times New Roman" w:hAnsi="Times New Roman" w:eastAsia="仿宋_GB2312" w:cs="Times New Roman"/>
          <w:color w:val="auto"/>
          <w:sz w:val="32"/>
          <w:szCs w:val="32"/>
          <w:highlight w:val="none"/>
          <w:lang w:val="en-US" w:eastAsia="zh-CN"/>
        </w:rPr>
        <w:t>306</w:t>
      </w:r>
      <w:r>
        <w:rPr>
          <w:rFonts w:hint="default" w:ascii="Times New Roman" w:hAnsi="Times New Roman" w:eastAsia="仿宋_GB2312" w:cs="Times New Roman"/>
          <w:color w:val="auto"/>
          <w:sz w:val="32"/>
          <w:szCs w:val="32"/>
          <w:highlight w:val="none"/>
        </w:rPr>
        <w:t>万元，按照《中华人民共和国预算法》规定，全部补充预算稳定调节基金。</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2025</w:t>
      </w:r>
      <w:r>
        <w:rPr>
          <w:rFonts w:hint="default" w:ascii="Times New Roman" w:hAnsi="Times New Roman" w:eastAsia="仿宋_GB2312" w:cs="Times New Roman"/>
          <w:color w:val="auto"/>
          <w:sz w:val="32"/>
          <w:szCs w:val="32"/>
          <w:highlight w:val="none"/>
        </w:rPr>
        <w:t>年一般公共预算支出为</w:t>
      </w:r>
      <w:r>
        <w:rPr>
          <w:rFonts w:hint="default" w:ascii="Times New Roman" w:hAnsi="Times New Roman" w:eastAsia="仿宋_GB2312" w:cs="Times New Roman"/>
          <w:color w:val="auto"/>
          <w:sz w:val="32"/>
          <w:szCs w:val="32"/>
          <w:highlight w:val="none"/>
          <w:lang w:val="en-US" w:eastAsia="zh-CN"/>
        </w:rPr>
        <w:t>214855</w:t>
      </w:r>
      <w:r>
        <w:rPr>
          <w:rFonts w:hint="default" w:ascii="Times New Roman" w:hAnsi="Times New Roman" w:eastAsia="仿宋_GB2312" w:cs="Times New Roman"/>
          <w:color w:val="auto"/>
          <w:sz w:val="32"/>
          <w:szCs w:val="32"/>
          <w:highlight w:val="none"/>
        </w:rPr>
        <w:t>万元，同比增支</w:t>
      </w:r>
      <w:r>
        <w:rPr>
          <w:rFonts w:hint="default" w:ascii="Times New Roman" w:hAnsi="Times New Roman" w:eastAsia="仿宋_GB2312" w:cs="Times New Roman"/>
          <w:color w:val="auto"/>
          <w:sz w:val="32"/>
          <w:szCs w:val="32"/>
          <w:highlight w:val="none"/>
          <w:lang w:val="en-US" w:eastAsia="zh-CN"/>
        </w:rPr>
        <w:t>14781</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7.39</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2025</w:t>
      </w:r>
      <w:r>
        <w:rPr>
          <w:rFonts w:hint="default" w:ascii="Times New Roman" w:hAnsi="Times New Roman" w:eastAsia="仿宋_GB2312" w:cs="Times New Roman"/>
          <w:color w:val="auto"/>
          <w:sz w:val="32"/>
          <w:szCs w:val="32"/>
          <w:highlight w:val="none"/>
        </w:rPr>
        <w:t>年地方一般公共预算收入完成</w:t>
      </w:r>
      <w:r>
        <w:rPr>
          <w:rFonts w:hint="default" w:ascii="Times New Roman" w:hAnsi="Times New Roman" w:eastAsia="仿宋_GB2312" w:cs="Times New Roman"/>
          <w:color w:val="auto"/>
          <w:sz w:val="32"/>
          <w:szCs w:val="32"/>
          <w:highlight w:val="none"/>
          <w:lang w:val="en-US" w:eastAsia="zh-CN"/>
        </w:rPr>
        <w:t>13776</w:t>
      </w:r>
      <w:r>
        <w:rPr>
          <w:rFonts w:hint="default" w:ascii="Times New Roman" w:hAnsi="Times New Roman" w:eastAsia="仿宋_GB2312" w:cs="Times New Roman"/>
          <w:color w:val="auto"/>
          <w:sz w:val="32"/>
          <w:szCs w:val="32"/>
          <w:highlight w:val="none"/>
        </w:rPr>
        <w:t>万元，上级补助收入</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86012</w:t>
      </w:r>
      <w:r>
        <w:rPr>
          <w:rFonts w:hint="default" w:ascii="Times New Roman" w:hAnsi="Times New Roman" w:eastAsia="仿宋_GB2312" w:cs="Times New Roman"/>
          <w:color w:val="auto"/>
          <w:sz w:val="32"/>
          <w:szCs w:val="32"/>
          <w:highlight w:val="none"/>
        </w:rPr>
        <w:t>万元（其中：返还性收入418万元、一般性转移支付收入</w:t>
      </w:r>
      <w:r>
        <w:rPr>
          <w:rFonts w:hint="default" w:ascii="Times New Roman" w:hAnsi="Times New Roman" w:eastAsia="仿宋_GB2312" w:cs="Times New Roman"/>
          <w:color w:val="auto"/>
          <w:sz w:val="32"/>
          <w:szCs w:val="32"/>
          <w:highlight w:val="none"/>
          <w:lang w:val="en-US" w:eastAsia="zh-CN"/>
        </w:rPr>
        <w:t>153</w:t>
      </w:r>
      <w:r>
        <w:rPr>
          <w:rFonts w:hint="eastAsia" w:ascii="Times New Roman" w:hAnsi="Times New Roman" w:eastAsia="仿宋_GB2312" w:cs="Times New Roman"/>
          <w:color w:val="auto"/>
          <w:sz w:val="32"/>
          <w:szCs w:val="32"/>
          <w:highlight w:val="none"/>
          <w:lang w:val="en-US" w:eastAsia="zh-CN"/>
        </w:rPr>
        <w:t>453</w:t>
      </w:r>
      <w:r>
        <w:rPr>
          <w:rFonts w:hint="default" w:ascii="Times New Roman" w:hAnsi="Times New Roman" w:eastAsia="仿宋_GB2312" w:cs="Times New Roman"/>
          <w:color w:val="auto"/>
          <w:sz w:val="32"/>
          <w:szCs w:val="32"/>
          <w:highlight w:val="none"/>
        </w:rPr>
        <w:t>万元、专项转移支付收入</w:t>
      </w:r>
      <w:r>
        <w:rPr>
          <w:rFonts w:hint="eastAsia" w:ascii="Times New Roman" w:hAnsi="Times New Roman" w:eastAsia="仿宋_GB2312" w:cs="Times New Roman"/>
          <w:color w:val="auto"/>
          <w:sz w:val="32"/>
          <w:szCs w:val="32"/>
          <w:highlight w:val="none"/>
          <w:lang w:val="en-US" w:eastAsia="zh-CN"/>
        </w:rPr>
        <w:t>32141</w:t>
      </w:r>
      <w:r>
        <w:rPr>
          <w:rFonts w:hint="default" w:ascii="Times New Roman" w:hAnsi="Times New Roman" w:eastAsia="仿宋_GB2312" w:cs="Times New Roman"/>
          <w:color w:val="auto"/>
          <w:sz w:val="32"/>
          <w:szCs w:val="32"/>
          <w:highlight w:val="none"/>
        </w:rPr>
        <w:t>万元），债券转贷收入</w:t>
      </w:r>
      <w:r>
        <w:rPr>
          <w:rFonts w:hint="default" w:ascii="Times New Roman" w:hAnsi="Times New Roman" w:eastAsia="仿宋_GB2312" w:cs="Times New Roman"/>
          <w:color w:val="auto"/>
          <w:sz w:val="32"/>
          <w:szCs w:val="32"/>
          <w:highlight w:val="none"/>
          <w:lang w:val="en-US" w:eastAsia="zh-CN"/>
        </w:rPr>
        <w:t>14057</w:t>
      </w:r>
      <w:r>
        <w:rPr>
          <w:rFonts w:hint="default" w:ascii="Times New Roman" w:hAnsi="Times New Roman" w:eastAsia="仿宋_GB2312" w:cs="Times New Roman"/>
          <w:color w:val="auto"/>
          <w:sz w:val="32"/>
          <w:szCs w:val="32"/>
          <w:highlight w:val="none"/>
        </w:rPr>
        <w:t>万元，接受其他地区援助收入</w:t>
      </w:r>
      <w:r>
        <w:rPr>
          <w:rFonts w:hint="default" w:ascii="Times New Roman" w:hAnsi="Times New Roman" w:eastAsia="仿宋_GB2312" w:cs="Times New Roman"/>
          <w:color w:val="auto"/>
          <w:sz w:val="32"/>
          <w:szCs w:val="32"/>
          <w:highlight w:val="none"/>
          <w:lang w:val="en-US" w:eastAsia="zh-CN"/>
        </w:rPr>
        <w:t>10282</w:t>
      </w:r>
      <w:r>
        <w:rPr>
          <w:rFonts w:hint="default" w:ascii="Times New Roman" w:hAnsi="Times New Roman" w:eastAsia="仿宋_GB2312" w:cs="Times New Roman"/>
          <w:color w:val="auto"/>
          <w:sz w:val="32"/>
          <w:szCs w:val="32"/>
          <w:highlight w:val="none"/>
        </w:rPr>
        <w:t>万元（其中：绵阳援建</w:t>
      </w:r>
      <w:r>
        <w:rPr>
          <w:rFonts w:hint="default" w:ascii="Times New Roman" w:hAnsi="Times New Roman" w:eastAsia="仿宋_GB2312" w:cs="Times New Roman"/>
          <w:color w:val="auto"/>
          <w:sz w:val="32"/>
          <w:szCs w:val="32"/>
          <w:highlight w:val="none"/>
          <w:lang w:val="en-US" w:eastAsia="zh-CN"/>
        </w:rPr>
        <w:t>5417</w:t>
      </w:r>
      <w:r>
        <w:rPr>
          <w:rFonts w:hint="default" w:ascii="Times New Roman" w:hAnsi="Times New Roman" w:eastAsia="仿宋_GB2312" w:cs="Times New Roman"/>
          <w:color w:val="auto"/>
          <w:sz w:val="32"/>
          <w:szCs w:val="32"/>
          <w:highlight w:val="none"/>
        </w:rPr>
        <w:t>万元、浙江援建</w:t>
      </w:r>
      <w:r>
        <w:rPr>
          <w:rFonts w:hint="default" w:ascii="Times New Roman" w:hAnsi="Times New Roman" w:eastAsia="仿宋_GB2312" w:cs="Times New Roman"/>
          <w:color w:val="auto"/>
          <w:sz w:val="32"/>
          <w:szCs w:val="32"/>
          <w:highlight w:val="none"/>
          <w:lang w:val="en-US" w:eastAsia="zh-CN"/>
        </w:rPr>
        <w:t>4865</w:t>
      </w:r>
      <w:r>
        <w:rPr>
          <w:rFonts w:hint="default" w:ascii="Times New Roman" w:hAnsi="Times New Roman" w:eastAsia="仿宋_GB2312" w:cs="Times New Roman"/>
          <w:color w:val="auto"/>
          <w:sz w:val="32"/>
          <w:szCs w:val="32"/>
          <w:highlight w:val="none"/>
        </w:rPr>
        <w:t>万元），上年结余收入</w:t>
      </w:r>
      <w:r>
        <w:rPr>
          <w:rFonts w:hint="default" w:ascii="Times New Roman" w:hAnsi="Times New Roman" w:eastAsia="仿宋_GB2312" w:cs="Times New Roman"/>
          <w:color w:val="auto"/>
          <w:sz w:val="32"/>
          <w:szCs w:val="32"/>
          <w:highlight w:val="none"/>
          <w:lang w:val="en-US" w:eastAsia="zh-CN"/>
        </w:rPr>
        <w:t>3922</w:t>
      </w:r>
      <w:r>
        <w:rPr>
          <w:rFonts w:hint="default" w:ascii="Times New Roman" w:hAnsi="Times New Roman" w:eastAsia="仿宋_GB2312" w:cs="Times New Roman"/>
          <w:color w:val="auto"/>
          <w:sz w:val="32"/>
          <w:szCs w:val="32"/>
          <w:highlight w:val="none"/>
        </w:rPr>
        <w:t>万元，动用预算稳定调节基金</w:t>
      </w:r>
      <w:r>
        <w:rPr>
          <w:rFonts w:hint="default" w:ascii="Times New Roman" w:hAnsi="Times New Roman" w:eastAsia="仿宋_GB2312" w:cs="Times New Roman"/>
          <w:color w:val="auto"/>
          <w:sz w:val="32"/>
          <w:szCs w:val="32"/>
          <w:highlight w:val="none"/>
          <w:lang w:val="en-US" w:eastAsia="zh-CN"/>
        </w:rPr>
        <w:t>7888</w:t>
      </w:r>
      <w:r>
        <w:rPr>
          <w:rFonts w:hint="default" w:ascii="Times New Roman" w:hAnsi="Times New Roman" w:eastAsia="仿宋_GB2312" w:cs="Times New Roman"/>
          <w:color w:val="auto"/>
          <w:sz w:val="32"/>
          <w:szCs w:val="32"/>
          <w:highlight w:val="none"/>
        </w:rPr>
        <w:t>万元，收入总量</w:t>
      </w:r>
      <w:r>
        <w:rPr>
          <w:rFonts w:hint="default" w:ascii="Times New Roman" w:hAnsi="Times New Roman" w:eastAsia="仿宋_GB2312" w:cs="Times New Roman"/>
          <w:color w:val="auto"/>
          <w:sz w:val="32"/>
          <w:szCs w:val="32"/>
          <w:highlight w:val="none"/>
          <w:lang w:val="en-US" w:eastAsia="zh-CN"/>
        </w:rPr>
        <w:t>235</w:t>
      </w:r>
      <w:r>
        <w:rPr>
          <w:rFonts w:hint="eastAsia" w:ascii="Times New Roman" w:hAnsi="Times New Roman" w:eastAsia="仿宋_GB2312" w:cs="Times New Roman"/>
          <w:color w:val="auto"/>
          <w:sz w:val="32"/>
          <w:szCs w:val="32"/>
          <w:highlight w:val="none"/>
          <w:lang w:val="en-US" w:eastAsia="zh-CN"/>
        </w:rPr>
        <w:t>937</w:t>
      </w:r>
      <w:r>
        <w:rPr>
          <w:rFonts w:hint="default" w:ascii="Times New Roman" w:hAnsi="Times New Roman" w:eastAsia="仿宋_GB2312" w:cs="Times New Roman"/>
          <w:color w:val="auto"/>
          <w:sz w:val="32"/>
          <w:szCs w:val="32"/>
          <w:highlight w:val="none"/>
        </w:rPr>
        <w:t>万元。全年一般公共预算支出为</w:t>
      </w:r>
      <w:r>
        <w:rPr>
          <w:rFonts w:hint="default" w:ascii="Times New Roman" w:hAnsi="Times New Roman" w:eastAsia="仿宋_GB2312" w:cs="Times New Roman"/>
          <w:color w:val="auto"/>
          <w:sz w:val="32"/>
          <w:szCs w:val="32"/>
          <w:highlight w:val="none"/>
          <w:lang w:val="en-US" w:eastAsia="zh-CN"/>
        </w:rPr>
        <w:t>214855</w:t>
      </w:r>
      <w:r>
        <w:rPr>
          <w:rFonts w:hint="default" w:ascii="Times New Roman" w:hAnsi="Times New Roman" w:eastAsia="仿宋_GB2312" w:cs="Times New Roman"/>
          <w:color w:val="auto"/>
          <w:sz w:val="32"/>
          <w:szCs w:val="32"/>
          <w:highlight w:val="none"/>
        </w:rPr>
        <w:t>万元，上解</w:t>
      </w:r>
      <w:r>
        <w:rPr>
          <w:rFonts w:hint="default" w:ascii="Times New Roman" w:hAnsi="Times New Roman" w:eastAsia="仿宋_GB2312" w:cs="Times New Roman"/>
          <w:color w:val="auto"/>
          <w:sz w:val="32"/>
          <w:szCs w:val="32"/>
          <w:highlight w:val="none"/>
          <w:lang w:eastAsia="zh-CN"/>
        </w:rPr>
        <w:t>上级</w:t>
      </w:r>
      <w:r>
        <w:rPr>
          <w:rFonts w:hint="default" w:ascii="Times New Roman" w:hAnsi="Times New Roman" w:eastAsia="仿宋_GB2312" w:cs="Times New Roman"/>
          <w:color w:val="auto"/>
          <w:sz w:val="32"/>
          <w:szCs w:val="32"/>
          <w:highlight w:val="none"/>
        </w:rPr>
        <w:t>支出</w:t>
      </w:r>
      <w:r>
        <w:rPr>
          <w:rFonts w:hint="default" w:ascii="Times New Roman" w:hAnsi="Times New Roman" w:eastAsia="仿宋_GB2312" w:cs="Times New Roman"/>
          <w:color w:val="auto"/>
          <w:sz w:val="32"/>
          <w:szCs w:val="32"/>
          <w:highlight w:val="none"/>
          <w:lang w:val="en-US" w:eastAsia="zh-CN"/>
        </w:rPr>
        <w:t>58</w:t>
      </w:r>
      <w:r>
        <w:rPr>
          <w:rFonts w:hint="eastAsia"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万元，一般债务还本支出</w:t>
      </w:r>
      <w:r>
        <w:rPr>
          <w:rFonts w:hint="default" w:ascii="Times New Roman" w:hAnsi="Times New Roman" w:eastAsia="仿宋_GB2312" w:cs="Times New Roman"/>
          <w:color w:val="auto"/>
          <w:sz w:val="32"/>
          <w:szCs w:val="32"/>
          <w:highlight w:val="none"/>
          <w:lang w:val="en-US" w:eastAsia="zh-CN"/>
        </w:rPr>
        <w:t>7841</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安排</w:t>
      </w:r>
      <w:r>
        <w:rPr>
          <w:rFonts w:hint="default" w:ascii="Times New Roman" w:hAnsi="Times New Roman" w:eastAsia="仿宋_GB2312" w:cs="Times New Roman"/>
          <w:color w:val="auto"/>
          <w:sz w:val="32"/>
          <w:szCs w:val="32"/>
          <w:highlight w:val="none"/>
        </w:rPr>
        <w:t>预算稳定调节基金</w:t>
      </w:r>
      <w:r>
        <w:rPr>
          <w:rFonts w:hint="default" w:ascii="Times New Roman" w:hAnsi="Times New Roman" w:eastAsia="仿宋_GB2312" w:cs="Times New Roman"/>
          <w:color w:val="auto"/>
          <w:sz w:val="32"/>
          <w:szCs w:val="32"/>
          <w:highlight w:val="none"/>
          <w:lang w:val="en-US" w:eastAsia="zh-CN"/>
        </w:rPr>
        <w:t>306</w:t>
      </w:r>
      <w:r>
        <w:rPr>
          <w:rFonts w:hint="default" w:ascii="Times New Roman" w:hAnsi="Times New Roman" w:eastAsia="仿宋_GB2312" w:cs="Times New Roman"/>
          <w:color w:val="auto"/>
          <w:sz w:val="32"/>
          <w:szCs w:val="32"/>
          <w:highlight w:val="none"/>
        </w:rPr>
        <w:t>万元，支出总计</w:t>
      </w:r>
      <w:r>
        <w:rPr>
          <w:rFonts w:hint="default" w:ascii="Times New Roman" w:hAnsi="Times New Roman" w:eastAsia="仿宋_GB2312" w:cs="Times New Roman"/>
          <w:color w:val="auto"/>
          <w:sz w:val="32"/>
          <w:szCs w:val="32"/>
          <w:highlight w:val="none"/>
          <w:lang w:val="en-US" w:eastAsia="zh-CN"/>
        </w:rPr>
        <w:t>2288</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万元，年终结余</w:t>
      </w:r>
      <w:r>
        <w:rPr>
          <w:rFonts w:hint="eastAsia" w:ascii="Times New Roman" w:hAnsi="Times New Roman" w:eastAsia="仿宋_GB2312" w:cs="Times New Roman"/>
          <w:color w:val="auto"/>
          <w:sz w:val="32"/>
          <w:szCs w:val="32"/>
          <w:highlight w:val="none"/>
          <w:lang w:val="en-US" w:eastAsia="zh-CN"/>
        </w:rPr>
        <w:t>7119</w:t>
      </w:r>
      <w:r>
        <w:rPr>
          <w:rFonts w:hint="default" w:ascii="Times New Roman" w:hAnsi="Times New Roman" w:eastAsia="仿宋_GB2312" w:cs="Times New Roman"/>
          <w:color w:val="auto"/>
          <w:sz w:val="32"/>
          <w:szCs w:val="32"/>
          <w:highlight w:val="none"/>
        </w:rPr>
        <w:t>万元，全部结转下年支出。当年收支平衡。</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lang w:val="en-US" w:eastAsia="zh-CN"/>
        </w:rPr>
        <w:t>（二）政府性基金预算执行情况。</w:t>
      </w:r>
      <w:r>
        <w:rPr>
          <w:rFonts w:hint="default" w:ascii="Times New Roman" w:hAnsi="Times New Roman" w:eastAsia="仿宋_GB2312" w:cs="Times New Roman"/>
          <w:color w:val="auto"/>
          <w:sz w:val="32"/>
          <w:szCs w:val="32"/>
          <w:highlight w:val="none"/>
          <w:lang w:eastAsia="zh-CN"/>
        </w:rPr>
        <w:t>2025</w:t>
      </w:r>
      <w:r>
        <w:rPr>
          <w:rFonts w:hint="default" w:ascii="Times New Roman" w:hAnsi="Times New Roman" w:eastAsia="仿宋_GB2312" w:cs="Times New Roman"/>
          <w:color w:val="auto"/>
          <w:sz w:val="32"/>
          <w:szCs w:val="32"/>
          <w:highlight w:val="none"/>
        </w:rPr>
        <w:t>年地方政府性基金预算收入完成</w:t>
      </w:r>
      <w:r>
        <w:rPr>
          <w:rFonts w:hint="default" w:ascii="Times New Roman" w:hAnsi="Times New Roman" w:eastAsia="仿宋_GB2312" w:cs="Times New Roman"/>
          <w:color w:val="auto"/>
          <w:sz w:val="32"/>
          <w:szCs w:val="32"/>
          <w:highlight w:val="none"/>
          <w:lang w:val="en-US" w:eastAsia="zh-CN"/>
        </w:rPr>
        <w:t>1577</w:t>
      </w:r>
      <w:r>
        <w:rPr>
          <w:rFonts w:hint="default" w:ascii="Times New Roman" w:hAnsi="Times New Roman" w:eastAsia="仿宋_GB2312" w:cs="Times New Roman"/>
          <w:color w:val="auto"/>
          <w:sz w:val="32"/>
          <w:szCs w:val="32"/>
          <w:highlight w:val="none"/>
        </w:rPr>
        <w:t>万元，上级补助收入</w:t>
      </w:r>
      <w:r>
        <w:rPr>
          <w:rFonts w:hint="default" w:ascii="Times New Roman" w:hAnsi="Times New Roman" w:eastAsia="仿宋_GB2312" w:cs="Times New Roman"/>
          <w:color w:val="auto"/>
          <w:sz w:val="32"/>
          <w:szCs w:val="32"/>
          <w:highlight w:val="none"/>
          <w:lang w:val="en-US" w:eastAsia="zh-CN"/>
        </w:rPr>
        <w:t>5949</w:t>
      </w:r>
      <w:r>
        <w:rPr>
          <w:rFonts w:hint="default" w:ascii="Times New Roman" w:hAnsi="Times New Roman" w:eastAsia="仿宋_GB2312" w:cs="Times New Roman"/>
          <w:color w:val="auto"/>
          <w:sz w:val="32"/>
          <w:szCs w:val="32"/>
          <w:highlight w:val="none"/>
        </w:rPr>
        <w:t>万元，债务转贷收入</w:t>
      </w:r>
      <w:r>
        <w:rPr>
          <w:rFonts w:hint="default" w:ascii="Times New Roman" w:hAnsi="Times New Roman" w:eastAsia="仿宋_GB2312" w:cs="Times New Roman"/>
          <w:color w:val="auto"/>
          <w:sz w:val="32"/>
          <w:szCs w:val="32"/>
          <w:highlight w:val="none"/>
          <w:lang w:val="en-US" w:eastAsia="zh-CN"/>
        </w:rPr>
        <w:t>12069</w:t>
      </w:r>
      <w:r>
        <w:rPr>
          <w:rFonts w:hint="default" w:ascii="Times New Roman" w:hAnsi="Times New Roman" w:eastAsia="仿宋_GB2312" w:cs="Times New Roman"/>
          <w:color w:val="auto"/>
          <w:sz w:val="32"/>
          <w:szCs w:val="32"/>
          <w:highlight w:val="none"/>
        </w:rPr>
        <w:t>万元，上年结余收入</w:t>
      </w:r>
      <w:r>
        <w:rPr>
          <w:rFonts w:hint="default" w:ascii="Times New Roman" w:hAnsi="Times New Roman" w:eastAsia="仿宋_GB2312" w:cs="Times New Roman"/>
          <w:color w:val="auto"/>
          <w:sz w:val="32"/>
          <w:szCs w:val="32"/>
          <w:highlight w:val="none"/>
          <w:lang w:val="en-US" w:eastAsia="zh-CN"/>
        </w:rPr>
        <w:t>4309</w:t>
      </w:r>
      <w:r>
        <w:rPr>
          <w:rFonts w:hint="default" w:ascii="Times New Roman" w:hAnsi="Times New Roman" w:eastAsia="仿宋_GB2312" w:cs="Times New Roman"/>
          <w:color w:val="auto"/>
          <w:sz w:val="32"/>
          <w:szCs w:val="32"/>
          <w:highlight w:val="none"/>
        </w:rPr>
        <w:t>万元，收入总量</w:t>
      </w:r>
      <w:r>
        <w:rPr>
          <w:rFonts w:hint="default" w:ascii="Times New Roman" w:hAnsi="Times New Roman" w:eastAsia="仿宋_GB2312" w:cs="Times New Roman"/>
          <w:color w:val="auto"/>
          <w:sz w:val="32"/>
          <w:szCs w:val="32"/>
          <w:highlight w:val="none"/>
          <w:lang w:val="en-US" w:eastAsia="zh-CN"/>
        </w:rPr>
        <w:t>23904</w:t>
      </w:r>
      <w:r>
        <w:rPr>
          <w:rFonts w:hint="default" w:ascii="Times New Roman" w:hAnsi="Times New Roman" w:eastAsia="仿宋_GB2312" w:cs="Times New Roman"/>
          <w:color w:val="auto"/>
          <w:sz w:val="32"/>
          <w:szCs w:val="32"/>
          <w:highlight w:val="none"/>
        </w:rPr>
        <w:t>万元。全年政府性基金预算支出</w:t>
      </w:r>
      <w:r>
        <w:rPr>
          <w:rFonts w:hint="default" w:ascii="Times New Roman" w:hAnsi="Times New Roman" w:eastAsia="仿宋_GB2312" w:cs="Times New Roman"/>
          <w:color w:val="auto"/>
          <w:sz w:val="32"/>
          <w:szCs w:val="32"/>
          <w:highlight w:val="none"/>
          <w:lang w:val="en-US" w:eastAsia="zh-CN"/>
        </w:rPr>
        <w:t>19074</w:t>
      </w:r>
      <w:r>
        <w:rPr>
          <w:rFonts w:hint="default" w:ascii="Times New Roman" w:hAnsi="Times New Roman" w:eastAsia="仿宋_GB2312" w:cs="Times New Roman"/>
          <w:color w:val="auto"/>
          <w:sz w:val="32"/>
          <w:szCs w:val="32"/>
          <w:highlight w:val="none"/>
        </w:rPr>
        <w:t>万元，年终结余</w:t>
      </w:r>
      <w:r>
        <w:rPr>
          <w:rFonts w:hint="default" w:ascii="Times New Roman" w:hAnsi="Times New Roman" w:eastAsia="仿宋_GB2312" w:cs="Times New Roman"/>
          <w:color w:val="auto"/>
          <w:sz w:val="32"/>
          <w:szCs w:val="32"/>
          <w:highlight w:val="none"/>
          <w:lang w:val="en-US" w:eastAsia="zh-CN"/>
        </w:rPr>
        <w:t>4830</w:t>
      </w:r>
      <w:r>
        <w:rPr>
          <w:rFonts w:hint="default" w:ascii="Times New Roman" w:hAnsi="Times New Roman" w:eastAsia="仿宋_GB2312" w:cs="Times New Roman"/>
          <w:color w:val="auto"/>
          <w:sz w:val="32"/>
          <w:szCs w:val="32"/>
          <w:highlight w:val="none"/>
        </w:rPr>
        <w:t>万元，全部结转下年支出。当年收支平衡。</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lang w:val="en-US" w:eastAsia="zh-CN"/>
        </w:rPr>
        <w:t>（三）社会保险基金预算执行情况。</w:t>
      </w:r>
      <w:r>
        <w:rPr>
          <w:rFonts w:hint="default" w:ascii="Times New Roman" w:hAnsi="Times New Roman" w:eastAsia="仿宋_GB2312" w:cs="Times New Roman"/>
          <w:color w:val="auto"/>
          <w:sz w:val="32"/>
          <w:szCs w:val="32"/>
          <w:highlight w:val="none"/>
          <w:lang w:val="zh-CN"/>
        </w:rPr>
        <w:t>自2022年起，城乡居民养老保险基金由上级统筹，县级不再编报预算</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lang w:val="en-US" w:eastAsia="zh-CN"/>
        </w:rPr>
        <w:t>（四）国有资本经营预算执行情况。</w:t>
      </w:r>
      <w:r>
        <w:rPr>
          <w:rFonts w:hint="default" w:ascii="Times New Roman" w:hAnsi="Times New Roman" w:eastAsia="仿宋_GB2312" w:cs="Times New Roman"/>
          <w:color w:val="auto"/>
          <w:sz w:val="32"/>
          <w:szCs w:val="32"/>
          <w:highlight w:val="none"/>
          <w:lang w:val="zh-CN"/>
        </w:rPr>
        <w:t>2025年地方国有资本经营预算收入完成</w:t>
      </w: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lang w:val="zh-CN"/>
        </w:rPr>
        <w:t>万元，上级补助收入</w:t>
      </w:r>
      <w:r>
        <w:rPr>
          <w:rFonts w:hint="default" w:ascii="Times New Roman" w:hAnsi="Times New Roman" w:eastAsia="仿宋_GB2312" w:cs="Times New Roman"/>
          <w:color w:val="auto"/>
          <w:sz w:val="32"/>
          <w:szCs w:val="32"/>
          <w:highlight w:val="none"/>
          <w:lang w:val="en-US" w:eastAsia="zh-CN"/>
        </w:rPr>
        <w:t>1万元，收入总量12万元。</w:t>
      </w:r>
      <w:r>
        <w:rPr>
          <w:rFonts w:hint="default" w:ascii="Times New Roman" w:hAnsi="Times New Roman" w:eastAsia="仿宋_GB2312" w:cs="Times New Roman"/>
          <w:color w:val="auto"/>
          <w:sz w:val="32"/>
          <w:szCs w:val="32"/>
          <w:highlight w:val="none"/>
          <w:lang w:val="zh-CN"/>
        </w:rPr>
        <w:t>全年国有资本经营预算支出</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zh-CN"/>
        </w:rPr>
        <w:t>万元，</w:t>
      </w:r>
      <w:r>
        <w:rPr>
          <w:rFonts w:hint="default" w:ascii="Times New Roman" w:hAnsi="Times New Roman" w:eastAsia="仿宋_GB2312" w:cs="Times New Roman"/>
          <w:color w:val="auto"/>
          <w:sz w:val="32"/>
          <w:szCs w:val="32"/>
          <w:highlight w:val="none"/>
        </w:rPr>
        <w:t>年终结余</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万元，全部结转下年支出</w:t>
      </w:r>
      <w:r>
        <w:rPr>
          <w:rFonts w:hint="default" w:ascii="Times New Roman" w:hAnsi="Times New Roman" w:eastAsia="仿宋_GB2312" w:cs="Times New Roman"/>
          <w:color w:val="auto"/>
          <w:sz w:val="32"/>
          <w:szCs w:val="32"/>
          <w:highlight w:val="none"/>
          <w:lang w:val="zh-CN"/>
        </w:rPr>
        <w:t>。当年收支平衡。</w:t>
      </w:r>
    </w:p>
    <w:p>
      <w:pPr>
        <w:pStyle w:val="7"/>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楷体_GB2312" w:cs="Times New Roman"/>
          <w:b/>
          <w:color w:val="auto"/>
          <w:kern w:val="2"/>
          <w:sz w:val="32"/>
          <w:szCs w:val="32"/>
          <w:highlight w:val="none"/>
          <w:lang w:val="en-US" w:eastAsia="zh-CN" w:bidi="ar-SA"/>
        </w:rPr>
        <w:t>（五）地方政府债务情况。</w:t>
      </w:r>
      <w:r>
        <w:rPr>
          <w:rFonts w:hint="default" w:ascii="Times New Roman" w:hAnsi="Times New Roman" w:eastAsia="仿宋_GB2312" w:cs="Times New Roman"/>
          <w:color w:val="auto"/>
          <w:sz w:val="32"/>
          <w:szCs w:val="32"/>
          <w:highlight w:val="none"/>
          <w:lang w:val="zh-CN"/>
        </w:rPr>
        <w:t>2025年初地方政府债务余额</w:t>
      </w:r>
      <w:r>
        <w:rPr>
          <w:rFonts w:hint="default" w:ascii="Times New Roman" w:hAnsi="Times New Roman" w:eastAsia="仿宋_GB2312" w:cs="Times New Roman"/>
          <w:color w:val="auto"/>
          <w:sz w:val="32"/>
          <w:szCs w:val="32"/>
          <w:highlight w:val="none"/>
          <w:lang w:val="en-US" w:eastAsia="zh-CN"/>
        </w:rPr>
        <w:t>50486</w:t>
      </w:r>
      <w:r>
        <w:rPr>
          <w:rFonts w:hint="default" w:ascii="Times New Roman" w:hAnsi="Times New Roman" w:eastAsia="仿宋_GB2312" w:cs="Times New Roman"/>
          <w:color w:val="auto"/>
          <w:sz w:val="32"/>
          <w:szCs w:val="32"/>
          <w:highlight w:val="none"/>
          <w:lang w:val="zh-CN"/>
        </w:rPr>
        <w:t>万元，当年新增地方政府债券资金</w:t>
      </w:r>
      <w:r>
        <w:rPr>
          <w:rFonts w:hint="default" w:ascii="Times New Roman" w:hAnsi="Times New Roman" w:eastAsia="仿宋_GB2312" w:cs="Times New Roman"/>
          <w:color w:val="auto"/>
          <w:sz w:val="32"/>
          <w:szCs w:val="32"/>
          <w:highlight w:val="none"/>
          <w:lang w:val="en-US" w:eastAsia="zh-CN"/>
        </w:rPr>
        <w:t>26126</w:t>
      </w:r>
      <w:r>
        <w:rPr>
          <w:rFonts w:hint="default" w:ascii="Times New Roman" w:hAnsi="Times New Roman" w:eastAsia="仿宋_GB2312" w:cs="Times New Roman"/>
          <w:color w:val="auto"/>
          <w:sz w:val="32"/>
          <w:szCs w:val="32"/>
          <w:highlight w:val="none"/>
          <w:lang w:val="zh-CN"/>
        </w:rPr>
        <w:t>万元，其中：一般债券资金</w:t>
      </w:r>
      <w:r>
        <w:rPr>
          <w:rFonts w:hint="default" w:ascii="Times New Roman" w:hAnsi="Times New Roman" w:eastAsia="仿宋_GB2312" w:cs="Times New Roman"/>
          <w:color w:val="auto"/>
          <w:sz w:val="32"/>
          <w:szCs w:val="32"/>
          <w:highlight w:val="none"/>
          <w:lang w:val="en-US" w:eastAsia="zh-CN"/>
        </w:rPr>
        <w:t>14057</w:t>
      </w:r>
      <w:r>
        <w:rPr>
          <w:rFonts w:hint="default" w:ascii="Times New Roman" w:hAnsi="Times New Roman" w:eastAsia="仿宋_GB2312" w:cs="Times New Roman"/>
          <w:color w:val="auto"/>
          <w:sz w:val="32"/>
          <w:szCs w:val="32"/>
          <w:highlight w:val="none"/>
          <w:lang w:val="zh-CN"/>
        </w:rPr>
        <w:t>万元（含再融资债券</w:t>
      </w:r>
      <w:r>
        <w:rPr>
          <w:rFonts w:hint="default" w:ascii="Times New Roman" w:hAnsi="Times New Roman" w:eastAsia="仿宋_GB2312" w:cs="Times New Roman"/>
          <w:color w:val="auto"/>
          <w:sz w:val="32"/>
          <w:szCs w:val="32"/>
          <w:highlight w:val="none"/>
          <w:lang w:val="en-US" w:eastAsia="zh-CN"/>
        </w:rPr>
        <w:t>7057</w:t>
      </w:r>
      <w:r>
        <w:rPr>
          <w:rFonts w:hint="default" w:ascii="Times New Roman" w:hAnsi="Times New Roman" w:eastAsia="仿宋_GB2312" w:cs="Times New Roman"/>
          <w:color w:val="auto"/>
          <w:sz w:val="32"/>
          <w:szCs w:val="32"/>
          <w:highlight w:val="none"/>
          <w:lang w:val="zh-CN"/>
        </w:rPr>
        <w:t>万元），专项债券资金</w:t>
      </w:r>
      <w:r>
        <w:rPr>
          <w:rFonts w:hint="default" w:ascii="Times New Roman" w:hAnsi="Times New Roman" w:eastAsia="仿宋_GB2312" w:cs="Times New Roman"/>
          <w:color w:val="auto"/>
          <w:sz w:val="32"/>
          <w:szCs w:val="32"/>
          <w:highlight w:val="none"/>
          <w:lang w:val="en-US" w:eastAsia="zh-CN"/>
        </w:rPr>
        <w:t>12069</w:t>
      </w:r>
      <w:r>
        <w:rPr>
          <w:rFonts w:hint="default" w:ascii="Times New Roman" w:hAnsi="Times New Roman" w:eastAsia="仿宋_GB2312" w:cs="Times New Roman"/>
          <w:color w:val="auto"/>
          <w:sz w:val="32"/>
          <w:szCs w:val="32"/>
          <w:highlight w:val="none"/>
          <w:lang w:val="zh-CN"/>
        </w:rPr>
        <w:t>万元。当年地方政府债务还本支出</w:t>
      </w:r>
      <w:r>
        <w:rPr>
          <w:rFonts w:hint="default" w:ascii="Times New Roman" w:hAnsi="Times New Roman" w:eastAsia="仿宋_GB2312" w:cs="Times New Roman"/>
          <w:color w:val="auto"/>
          <w:sz w:val="32"/>
          <w:szCs w:val="32"/>
          <w:highlight w:val="none"/>
          <w:lang w:val="en-US" w:eastAsia="zh-CN"/>
        </w:rPr>
        <w:t>7841</w:t>
      </w:r>
      <w:r>
        <w:rPr>
          <w:rFonts w:hint="default" w:ascii="Times New Roman" w:hAnsi="Times New Roman" w:eastAsia="仿宋_GB2312" w:cs="Times New Roman"/>
          <w:color w:val="auto"/>
          <w:sz w:val="32"/>
          <w:szCs w:val="32"/>
          <w:highlight w:val="none"/>
          <w:lang w:val="zh-CN"/>
        </w:rPr>
        <w:t>万元，其中：一般债券还本支出</w:t>
      </w:r>
      <w:r>
        <w:rPr>
          <w:rFonts w:hint="default" w:ascii="Times New Roman" w:hAnsi="Times New Roman" w:eastAsia="仿宋_GB2312" w:cs="Times New Roman"/>
          <w:color w:val="auto"/>
          <w:sz w:val="32"/>
          <w:szCs w:val="32"/>
          <w:highlight w:val="none"/>
          <w:lang w:val="en-US" w:eastAsia="zh-CN"/>
        </w:rPr>
        <w:t>7841</w:t>
      </w:r>
      <w:r>
        <w:rPr>
          <w:rFonts w:hint="default" w:ascii="Times New Roman" w:hAnsi="Times New Roman" w:eastAsia="仿宋_GB2312" w:cs="Times New Roman"/>
          <w:color w:val="auto"/>
          <w:sz w:val="32"/>
          <w:szCs w:val="32"/>
          <w:highlight w:val="none"/>
          <w:lang w:val="zh-CN"/>
        </w:rPr>
        <w:t>万元。2025年末地方政府债务余额为</w:t>
      </w:r>
      <w:r>
        <w:rPr>
          <w:rFonts w:hint="default" w:ascii="Times New Roman" w:hAnsi="Times New Roman" w:eastAsia="仿宋_GB2312" w:cs="Times New Roman"/>
          <w:color w:val="auto"/>
          <w:sz w:val="32"/>
          <w:szCs w:val="32"/>
          <w:highlight w:val="none"/>
          <w:lang w:val="en-US" w:eastAsia="zh-CN"/>
        </w:rPr>
        <w:t>68771</w:t>
      </w:r>
      <w:r>
        <w:rPr>
          <w:rFonts w:hint="default" w:ascii="Times New Roman" w:hAnsi="Times New Roman" w:eastAsia="仿宋_GB2312" w:cs="Times New Roman"/>
          <w:color w:val="auto"/>
          <w:sz w:val="32"/>
          <w:szCs w:val="32"/>
          <w:highlight w:val="none"/>
          <w:lang w:val="zh-CN"/>
        </w:rPr>
        <w:t>万元，其中：一般债务</w:t>
      </w:r>
      <w:r>
        <w:rPr>
          <w:rFonts w:hint="default" w:ascii="Times New Roman" w:hAnsi="Times New Roman" w:eastAsia="仿宋_GB2312" w:cs="Times New Roman"/>
          <w:color w:val="auto"/>
          <w:sz w:val="32"/>
          <w:szCs w:val="32"/>
          <w:highlight w:val="none"/>
          <w:lang w:val="en-US" w:eastAsia="zh-CN"/>
        </w:rPr>
        <w:t>38542</w:t>
      </w:r>
      <w:r>
        <w:rPr>
          <w:rFonts w:hint="default" w:ascii="Times New Roman" w:hAnsi="Times New Roman" w:eastAsia="仿宋_GB2312" w:cs="Times New Roman"/>
          <w:color w:val="auto"/>
          <w:sz w:val="32"/>
          <w:szCs w:val="32"/>
          <w:highlight w:val="none"/>
          <w:lang w:val="zh-CN"/>
        </w:rPr>
        <w:t>万元、专项债务</w:t>
      </w:r>
      <w:r>
        <w:rPr>
          <w:rFonts w:hint="default" w:ascii="Times New Roman" w:hAnsi="Times New Roman" w:eastAsia="仿宋_GB2312" w:cs="Times New Roman"/>
          <w:color w:val="auto"/>
          <w:sz w:val="32"/>
          <w:szCs w:val="32"/>
          <w:highlight w:val="none"/>
          <w:lang w:val="en-US" w:eastAsia="zh-CN"/>
        </w:rPr>
        <w:t>30229</w:t>
      </w:r>
      <w:r>
        <w:rPr>
          <w:rFonts w:hint="default" w:ascii="Times New Roman" w:hAnsi="Times New Roman" w:eastAsia="仿宋_GB2312" w:cs="Times New Roman"/>
          <w:color w:val="auto"/>
          <w:sz w:val="32"/>
          <w:szCs w:val="32"/>
          <w:highlight w:val="none"/>
          <w:lang w:val="zh-CN"/>
        </w:rPr>
        <w:t>万元。上级核定2025年我县地方政府债务限额为70097.5万元，债务风险可控。</w:t>
      </w:r>
    </w:p>
    <w:p>
      <w:pPr>
        <w:pStyle w:val="7"/>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eastAsia="方正仿宋_GBK"/>
          <w:lang w:val="en-US" w:eastAsia="zh-CN"/>
        </w:rPr>
      </w:pPr>
      <w:r>
        <w:rPr>
          <w:rFonts w:hint="eastAsia" w:ascii="Times New Roman" w:hAnsi="Times New Roman" w:eastAsia="仿宋_GB2312" w:cs="Times New Roman"/>
          <w:color w:val="auto"/>
          <w:sz w:val="32"/>
          <w:szCs w:val="32"/>
          <w:highlight w:val="none"/>
          <w:lang w:val="en-US" w:eastAsia="zh-CN"/>
        </w:rPr>
        <w:t>以上部分数据为当前实际数据，</w:t>
      </w:r>
      <w:r>
        <w:rPr>
          <w:rFonts w:ascii="Times New Roman" w:hAnsi="Times New Roman" w:eastAsia="方正仿宋_GBK" w:cs="Times New Roman"/>
          <w:sz w:val="32"/>
          <w:szCs w:val="32"/>
          <w:lang w:val="zh-CN"/>
        </w:rPr>
        <w:t>在完成决算审查汇总并与州财政办理结算后</w:t>
      </w:r>
      <w:r>
        <w:rPr>
          <w:rFonts w:hint="eastAsia" w:ascii="Times New Roman" w:hAnsi="Times New Roman" w:eastAsia="方正仿宋_GBK" w:cs="Times New Roman"/>
          <w:sz w:val="32"/>
          <w:szCs w:val="32"/>
          <w:lang w:val="en-US" w:eastAsia="zh-CN"/>
        </w:rPr>
        <w:t>可能存在一定</w:t>
      </w:r>
      <w:r>
        <w:rPr>
          <w:rFonts w:ascii="Times New Roman" w:hAnsi="Times New Roman" w:eastAsia="方正仿宋_GBK" w:cs="Times New Roman"/>
          <w:sz w:val="32"/>
          <w:szCs w:val="32"/>
          <w:lang w:val="zh-CN"/>
        </w:rPr>
        <w:t>变化，</w:t>
      </w:r>
      <w:r>
        <w:rPr>
          <w:rFonts w:hint="eastAsia" w:ascii="Times New Roman" w:hAnsi="Times New Roman" w:eastAsia="方正仿宋_GBK" w:cs="Times New Roman"/>
          <w:sz w:val="32"/>
          <w:szCs w:val="32"/>
          <w:lang w:val="en-US" w:eastAsia="zh-CN"/>
        </w:rPr>
        <w:t>届时以结算数据为准</w:t>
      </w:r>
      <w:r>
        <w:rPr>
          <w:rFonts w:hint="default" w:ascii="Times New Roman" w:hAnsi="Times New Roman" w:eastAsia="仿宋_GB2312" w:cs="Times New Roman"/>
          <w:color w:val="auto"/>
          <w:sz w:val="32"/>
          <w:szCs w:val="32"/>
          <w:highlight w:val="none"/>
          <w:lang w:val="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黑体" w:cs="Times New Roman"/>
          <w:snapToGrid w:val="0"/>
          <w:color w:val="auto"/>
          <w:kern w:val="0"/>
          <w:sz w:val="32"/>
          <w:szCs w:val="32"/>
          <w:highlight w:val="none"/>
          <w:lang w:val="en-US" w:eastAsia="zh-CN"/>
        </w:rPr>
        <w:t>三</w:t>
      </w:r>
      <w:r>
        <w:rPr>
          <w:rFonts w:hint="default" w:ascii="Times New Roman" w:hAnsi="Times New Roman" w:eastAsia="黑体" w:cs="Times New Roman"/>
          <w:snapToGrid w:val="0"/>
          <w:color w:val="auto"/>
          <w:kern w:val="0"/>
          <w:sz w:val="32"/>
          <w:szCs w:val="32"/>
          <w:highlight w:val="none"/>
        </w:rPr>
        <w:t>、</w:t>
      </w:r>
      <w:r>
        <w:rPr>
          <w:rFonts w:hint="default" w:ascii="Times New Roman" w:hAnsi="Times New Roman" w:eastAsia="黑体" w:cs="Times New Roman"/>
          <w:snapToGrid w:val="0"/>
          <w:color w:val="auto"/>
          <w:kern w:val="0"/>
          <w:sz w:val="32"/>
          <w:szCs w:val="32"/>
          <w:highlight w:val="none"/>
          <w:lang w:eastAsia="zh-CN"/>
        </w:rPr>
        <w:t>2025</w:t>
      </w:r>
      <w:r>
        <w:rPr>
          <w:rFonts w:hint="default" w:ascii="Times New Roman" w:hAnsi="Times New Roman" w:eastAsia="黑体" w:cs="Times New Roman"/>
          <w:snapToGrid w:val="0"/>
          <w:color w:val="auto"/>
          <w:kern w:val="0"/>
          <w:sz w:val="32"/>
          <w:szCs w:val="32"/>
          <w:highlight w:val="none"/>
        </w:rPr>
        <w:t>年财政工作开展情况</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今年</w:t>
      </w:r>
      <w:r>
        <w:rPr>
          <w:rFonts w:hint="default" w:ascii="Times New Roman" w:hAnsi="Times New Roman" w:eastAsia="仿宋_GB2312" w:cs="Times New Roman"/>
          <w:color w:val="auto"/>
          <w:sz w:val="32"/>
          <w:szCs w:val="32"/>
          <w:highlight w:val="none"/>
          <w:lang w:val="zh-CN"/>
        </w:rPr>
        <w:t>，我们对标壤塘县第十五届人大第五次会议决议及相关委员会审查意见，聚焦目标任务及重点领域保障，</w:t>
      </w:r>
      <w:r>
        <w:rPr>
          <w:rFonts w:hint="default" w:ascii="Times New Roman" w:hAnsi="Times New Roman" w:eastAsia="仿宋_GB2312" w:cs="Times New Roman"/>
          <w:color w:val="auto"/>
          <w:sz w:val="32"/>
          <w:szCs w:val="32"/>
          <w:highlight w:val="none"/>
          <w:lang w:val="en-US" w:eastAsia="zh-CN"/>
        </w:rPr>
        <w:t>锲而不舍落实中央八项规定精神，</w:t>
      </w:r>
      <w:r>
        <w:rPr>
          <w:rFonts w:hint="default" w:ascii="Times New Roman" w:hAnsi="Times New Roman" w:eastAsia="仿宋_GB2312" w:cs="Times New Roman"/>
          <w:color w:val="auto"/>
          <w:sz w:val="32"/>
          <w:szCs w:val="32"/>
          <w:highlight w:val="none"/>
          <w:lang w:val="zh-CN"/>
        </w:rPr>
        <w:t>以坚实财政支撑推动县委重大决策部署落地见效。</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lang w:val="en-US" w:eastAsia="zh-CN"/>
        </w:rPr>
        <w:t>（一）多维挖潜增收，持续提升筹措效能。</w:t>
      </w:r>
      <w:r>
        <w:rPr>
          <w:rFonts w:hint="default" w:ascii="Times New Roman" w:hAnsi="Times New Roman" w:eastAsia="仿宋_GB2312" w:cs="Times New Roman"/>
          <w:color w:val="auto"/>
          <w:sz w:val="32"/>
          <w:szCs w:val="32"/>
          <w:highlight w:val="none"/>
          <w:lang w:val="en-US" w:eastAsia="zh-CN"/>
        </w:rPr>
        <w:t>聚焦</w:t>
      </w:r>
      <w:r>
        <w:rPr>
          <w:rFonts w:hint="default" w:ascii="Times New Roman" w:hAnsi="Times New Roman" w:eastAsia="仿宋_GB2312" w:cs="Times New Roman"/>
          <w:color w:val="auto"/>
          <w:sz w:val="32"/>
          <w:szCs w:val="32"/>
          <w:highlight w:val="none"/>
          <w:lang w:val="zh-CN"/>
        </w:rPr>
        <w:t>高质量发展首要任务，立足“大财政”理念，通过税源培育、项目争资、债券撬动等多元</w:t>
      </w:r>
      <w:r>
        <w:rPr>
          <w:rFonts w:hint="default" w:ascii="Times New Roman" w:hAnsi="Times New Roman" w:eastAsia="仿宋_GB2312" w:cs="Times New Roman"/>
          <w:color w:val="auto"/>
          <w:sz w:val="32"/>
          <w:szCs w:val="32"/>
          <w:highlight w:val="none"/>
          <w:lang w:val="en-US" w:eastAsia="zh-CN"/>
        </w:rPr>
        <w:t>化</w:t>
      </w:r>
      <w:r>
        <w:rPr>
          <w:rFonts w:hint="default" w:ascii="Times New Roman" w:hAnsi="Times New Roman" w:eastAsia="仿宋_GB2312" w:cs="Times New Roman"/>
          <w:color w:val="auto"/>
          <w:sz w:val="32"/>
          <w:szCs w:val="32"/>
          <w:highlight w:val="none"/>
          <w:lang w:val="zh-CN"/>
        </w:rPr>
        <w:t>举措，全面增强财政保障硬支撑。</w:t>
      </w:r>
      <w:r>
        <w:rPr>
          <w:rFonts w:hint="default" w:ascii="Times New Roman" w:hAnsi="Times New Roman" w:eastAsia="仿宋_GB2312" w:cs="Times New Roman"/>
          <w:b/>
          <w:bCs/>
          <w:color w:val="auto"/>
          <w:sz w:val="32"/>
          <w:szCs w:val="32"/>
          <w:highlight w:val="none"/>
          <w:lang w:val="zh-CN"/>
        </w:rPr>
        <w:t>一是一般公共预算收入稳步增长。</w:t>
      </w:r>
      <w:r>
        <w:rPr>
          <w:rFonts w:hint="default" w:ascii="Times New Roman" w:hAnsi="Times New Roman" w:eastAsia="仿宋_GB2312" w:cs="Times New Roman"/>
          <w:color w:val="auto"/>
          <w:sz w:val="32"/>
          <w:szCs w:val="32"/>
          <w:highlight w:val="none"/>
          <w:lang w:val="zh-CN"/>
        </w:rPr>
        <w:t>地方一般公共预算收入完成</w:t>
      </w:r>
      <w:r>
        <w:rPr>
          <w:rFonts w:hint="default" w:ascii="Times New Roman" w:hAnsi="Times New Roman" w:eastAsia="仿宋_GB2312" w:cs="Times New Roman"/>
          <w:color w:val="auto"/>
          <w:sz w:val="32"/>
          <w:szCs w:val="32"/>
          <w:highlight w:val="none"/>
          <w:lang w:val="en-US" w:eastAsia="zh-CN"/>
        </w:rPr>
        <w:t>13776</w:t>
      </w:r>
      <w:r>
        <w:rPr>
          <w:rFonts w:hint="default" w:ascii="Times New Roman" w:hAnsi="Times New Roman" w:eastAsia="仿宋_GB2312" w:cs="Times New Roman"/>
          <w:color w:val="auto"/>
          <w:sz w:val="32"/>
          <w:szCs w:val="32"/>
          <w:highlight w:val="none"/>
          <w:lang w:val="zh-CN"/>
        </w:rPr>
        <w:t>万元，同比增长</w:t>
      </w:r>
      <w:r>
        <w:rPr>
          <w:rFonts w:hint="default" w:ascii="Times New Roman" w:hAnsi="Times New Roman" w:eastAsia="仿宋_GB2312" w:cs="Times New Roman"/>
          <w:color w:val="auto"/>
          <w:sz w:val="32"/>
          <w:szCs w:val="32"/>
          <w:highlight w:val="none"/>
          <w:lang w:val="en-US" w:eastAsia="zh-CN"/>
        </w:rPr>
        <w:t>8.41</w:t>
      </w: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b/>
          <w:bCs/>
          <w:color w:val="auto"/>
          <w:sz w:val="32"/>
          <w:szCs w:val="32"/>
          <w:highlight w:val="none"/>
          <w:lang w:val="zh-CN"/>
        </w:rPr>
        <w:t>二是上级转移支付</w:t>
      </w:r>
      <w:r>
        <w:rPr>
          <w:rFonts w:hint="default" w:ascii="Times New Roman" w:hAnsi="Times New Roman" w:eastAsia="仿宋_GB2312" w:cs="Times New Roman"/>
          <w:b/>
          <w:bCs/>
          <w:color w:val="auto"/>
          <w:sz w:val="32"/>
          <w:szCs w:val="32"/>
          <w:highlight w:val="none"/>
          <w:lang w:val="en-US" w:eastAsia="zh-CN"/>
        </w:rPr>
        <w:t>争取</w:t>
      </w:r>
      <w:r>
        <w:rPr>
          <w:rFonts w:hint="default" w:ascii="Times New Roman" w:hAnsi="Times New Roman" w:eastAsia="仿宋_GB2312" w:cs="Times New Roman"/>
          <w:b/>
          <w:bCs/>
          <w:color w:val="auto"/>
          <w:sz w:val="32"/>
          <w:szCs w:val="32"/>
          <w:highlight w:val="none"/>
          <w:lang w:val="zh-CN"/>
        </w:rPr>
        <w:t>成效突出</w:t>
      </w:r>
      <w:r>
        <w:rPr>
          <w:rFonts w:hint="default" w:ascii="Times New Roman" w:hAnsi="Times New Roman" w:eastAsia="仿宋_GB2312" w:cs="Times New Roman"/>
          <w:b w:val="0"/>
          <w:bCs w:val="0"/>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争取到位上级转移支付资金</w:t>
      </w:r>
      <w:r>
        <w:rPr>
          <w:rFonts w:hint="default" w:ascii="Times New Roman" w:hAnsi="Times New Roman" w:eastAsia="仿宋_GB2312" w:cs="Times New Roman"/>
          <w:color w:val="auto"/>
          <w:sz w:val="32"/>
          <w:szCs w:val="32"/>
          <w:highlight w:val="none"/>
          <w:lang w:val="en-US" w:eastAsia="zh-CN"/>
        </w:rPr>
        <w:t>18</w:t>
      </w:r>
      <w:r>
        <w:rPr>
          <w:rFonts w:hint="eastAsia" w:ascii="Times New Roman" w:hAnsi="Times New Roman" w:eastAsia="仿宋_GB2312" w:cs="Times New Roman"/>
          <w:color w:val="auto"/>
          <w:sz w:val="32"/>
          <w:szCs w:val="32"/>
          <w:highlight w:val="none"/>
          <w:lang w:val="en-US" w:eastAsia="zh-CN"/>
        </w:rPr>
        <w:t>6012</w:t>
      </w:r>
      <w:r>
        <w:rPr>
          <w:rFonts w:hint="default" w:ascii="Times New Roman" w:hAnsi="Times New Roman" w:eastAsia="仿宋_GB2312" w:cs="Times New Roman"/>
          <w:color w:val="auto"/>
          <w:sz w:val="32"/>
          <w:szCs w:val="32"/>
          <w:highlight w:val="none"/>
          <w:lang w:val="zh-CN"/>
        </w:rPr>
        <w:t>万元，为重点领域发展注入源头活水。</w:t>
      </w:r>
      <w:r>
        <w:rPr>
          <w:rFonts w:hint="default" w:ascii="Times New Roman" w:hAnsi="Times New Roman" w:eastAsia="仿宋_GB2312" w:cs="Times New Roman"/>
          <w:b/>
          <w:bCs/>
          <w:color w:val="auto"/>
          <w:sz w:val="32"/>
          <w:szCs w:val="32"/>
          <w:highlight w:val="none"/>
          <w:lang w:val="zh-CN"/>
        </w:rPr>
        <w:t>三是债券资金实现量效齐升。</w:t>
      </w:r>
      <w:r>
        <w:rPr>
          <w:rFonts w:hint="default" w:ascii="Times New Roman" w:hAnsi="Times New Roman" w:eastAsia="仿宋_GB2312" w:cs="Times New Roman"/>
          <w:color w:val="auto"/>
          <w:sz w:val="32"/>
          <w:szCs w:val="32"/>
          <w:highlight w:val="none"/>
          <w:lang w:val="zh-CN"/>
        </w:rPr>
        <w:t>高效对接省、州财政部门，</w:t>
      </w:r>
      <w:r>
        <w:rPr>
          <w:rFonts w:hint="default" w:ascii="Times New Roman" w:hAnsi="Times New Roman" w:eastAsia="仿宋_GB2312" w:cs="Times New Roman"/>
          <w:color w:val="auto"/>
          <w:sz w:val="32"/>
          <w:szCs w:val="32"/>
          <w:highlight w:val="none"/>
          <w:lang w:val="en-US" w:eastAsia="zh-CN"/>
        </w:rPr>
        <w:t>围绕教育提升、医疗健康保障等领域</w:t>
      </w:r>
      <w:r>
        <w:rPr>
          <w:rFonts w:hint="default" w:ascii="Times New Roman" w:hAnsi="Times New Roman" w:eastAsia="仿宋_GB2312" w:cs="Times New Roman"/>
          <w:color w:val="auto"/>
          <w:sz w:val="32"/>
          <w:szCs w:val="32"/>
          <w:highlight w:val="none"/>
          <w:lang w:val="zh-CN"/>
        </w:rPr>
        <w:t>成功争取</w:t>
      </w:r>
      <w:r>
        <w:rPr>
          <w:rFonts w:hint="default" w:ascii="Times New Roman" w:hAnsi="Times New Roman" w:eastAsia="仿宋_GB2312" w:cs="Times New Roman"/>
          <w:color w:val="auto"/>
          <w:sz w:val="32"/>
          <w:szCs w:val="32"/>
          <w:highlight w:val="none"/>
          <w:lang w:val="en-US" w:eastAsia="zh-CN"/>
        </w:rPr>
        <w:t>13个项目19069</w:t>
      </w:r>
      <w:r>
        <w:rPr>
          <w:rFonts w:hint="default" w:ascii="Times New Roman" w:hAnsi="Times New Roman" w:eastAsia="仿宋_GB2312" w:cs="Times New Roman"/>
          <w:color w:val="auto"/>
          <w:sz w:val="32"/>
          <w:szCs w:val="32"/>
          <w:highlight w:val="none"/>
          <w:lang w:val="zh-CN"/>
        </w:rPr>
        <w:t>万元（其中一般债券</w:t>
      </w:r>
      <w:r>
        <w:rPr>
          <w:rFonts w:hint="default" w:ascii="Times New Roman" w:hAnsi="Times New Roman" w:eastAsia="仿宋_GB2312" w:cs="Times New Roman"/>
          <w:color w:val="auto"/>
          <w:sz w:val="32"/>
          <w:szCs w:val="32"/>
          <w:highlight w:val="none"/>
          <w:lang w:val="en-US" w:eastAsia="zh-CN"/>
        </w:rPr>
        <w:t>7000</w:t>
      </w:r>
      <w:r>
        <w:rPr>
          <w:rFonts w:hint="default" w:ascii="Times New Roman" w:hAnsi="Times New Roman" w:eastAsia="仿宋_GB2312" w:cs="Times New Roman"/>
          <w:color w:val="auto"/>
          <w:sz w:val="32"/>
          <w:szCs w:val="32"/>
          <w:highlight w:val="none"/>
          <w:lang w:val="zh-CN"/>
        </w:rPr>
        <w:t>万元，专项债券</w:t>
      </w:r>
      <w:r>
        <w:rPr>
          <w:rFonts w:hint="default" w:ascii="Times New Roman" w:hAnsi="Times New Roman" w:eastAsia="仿宋_GB2312" w:cs="Times New Roman"/>
          <w:color w:val="auto"/>
          <w:sz w:val="32"/>
          <w:szCs w:val="32"/>
          <w:highlight w:val="none"/>
          <w:lang w:val="en-US" w:eastAsia="zh-CN"/>
        </w:rPr>
        <w:t>12069</w:t>
      </w:r>
      <w:r>
        <w:rPr>
          <w:rFonts w:hint="default" w:ascii="Times New Roman" w:hAnsi="Times New Roman" w:eastAsia="仿宋_GB2312" w:cs="Times New Roman"/>
          <w:color w:val="auto"/>
          <w:sz w:val="32"/>
          <w:szCs w:val="32"/>
          <w:highlight w:val="none"/>
          <w:lang w:val="zh-CN"/>
        </w:rPr>
        <w:t>万元）。</w:t>
      </w:r>
    </w:p>
    <w:p>
      <w:pPr>
        <w:pStyle w:val="7"/>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color w:val="auto"/>
          <w:kern w:val="2"/>
          <w:sz w:val="32"/>
          <w:szCs w:val="32"/>
          <w:highlight w:val="none"/>
          <w:lang w:val="en-US" w:eastAsia="zh-CN" w:bidi="ar-SA"/>
        </w:rPr>
        <w:t>（二）优化支出保障，精准对接领域需求。</w:t>
      </w:r>
      <w:r>
        <w:rPr>
          <w:rFonts w:hint="default" w:ascii="Times New Roman" w:hAnsi="Times New Roman" w:eastAsia="仿宋_GB2312" w:cs="Times New Roman"/>
          <w:b w:val="0"/>
          <w:bCs/>
          <w:color w:val="auto"/>
          <w:sz w:val="32"/>
          <w:szCs w:val="32"/>
          <w:highlight w:val="none"/>
          <w:lang w:val="en-US" w:eastAsia="zh-CN"/>
        </w:rPr>
        <w:t>全面兜牢“三保”底线，持续优化财政资源配置，</w:t>
      </w:r>
      <w:r>
        <w:rPr>
          <w:rFonts w:hint="default" w:ascii="Times New Roman" w:hAnsi="Times New Roman" w:eastAsia="仿宋_GB2312" w:cs="Times New Roman"/>
          <w:b w:val="0"/>
          <w:bCs/>
          <w:color w:val="auto"/>
          <w:sz w:val="32"/>
          <w:szCs w:val="32"/>
          <w:highlight w:val="none"/>
        </w:rPr>
        <w:t>加大对乡村振兴</w:t>
      </w:r>
      <w:r>
        <w:rPr>
          <w:rFonts w:hint="default" w:ascii="Times New Roman" w:hAnsi="Times New Roman" w:eastAsia="仿宋_GB2312" w:cs="Times New Roman"/>
          <w:b w:val="0"/>
          <w:bCs w:val="0"/>
          <w:color w:val="auto"/>
          <w:sz w:val="32"/>
          <w:szCs w:val="32"/>
          <w:highlight w:val="none"/>
        </w:rPr>
        <w:t>、教育医疗、社会保障等重点领域的倾斜力度。</w:t>
      </w:r>
      <w:r>
        <w:rPr>
          <w:rFonts w:hint="default" w:ascii="Times New Roman" w:hAnsi="Times New Roman" w:eastAsia="仿宋_GB2312" w:cs="Times New Roman"/>
          <w:b/>
          <w:bCs/>
          <w:color w:val="auto"/>
          <w:sz w:val="32"/>
          <w:szCs w:val="32"/>
          <w:highlight w:val="none"/>
        </w:rPr>
        <w:t>一是筑牢“三保”保障根基。</w:t>
      </w:r>
      <w:r>
        <w:rPr>
          <w:rFonts w:hint="default" w:ascii="Times New Roman" w:hAnsi="Times New Roman" w:eastAsia="仿宋_GB2312" w:cs="Times New Roman"/>
          <w:b w:val="0"/>
          <w:bCs w:val="0"/>
          <w:color w:val="auto"/>
          <w:sz w:val="32"/>
          <w:szCs w:val="32"/>
          <w:highlight w:val="none"/>
        </w:rPr>
        <w:t>全年安排“三保”支出预算</w:t>
      </w:r>
      <w:r>
        <w:rPr>
          <w:rFonts w:hint="default" w:ascii="Times New Roman" w:hAnsi="Times New Roman" w:eastAsia="仿宋_GB2312" w:cs="Times New Roman"/>
          <w:b w:val="0"/>
          <w:bCs w:val="0"/>
          <w:color w:val="auto"/>
          <w:sz w:val="32"/>
          <w:szCs w:val="32"/>
          <w:highlight w:val="none"/>
          <w:lang w:val="en-US" w:eastAsia="zh-CN"/>
        </w:rPr>
        <w:t>83467</w:t>
      </w:r>
      <w:r>
        <w:rPr>
          <w:rFonts w:hint="default" w:ascii="Times New Roman" w:hAnsi="Times New Roman" w:eastAsia="仿宋_GB2312" w:cs="Times New Roman"/>
          <w:b w:val="0"/>
          <w:bCs w:val="0"/>
          <w:color w:val="auto"/>
          <w:sz w:val="32"/>
          <w:szCs w:val="32"/>
          <w:highlight w:val="none"/>
        </w:rPr>
        <w:t>万元，足额保障基本民生兑付、干部工资发放和机构正常运转，确保基层财政</w:t>
      </w:r>
      <w:r>
        <w:rPr>
          <w:rFonts w:hint="default" w:ascii="Times New Roman" w:hAnsi="Times New Roman" w:eastAsia="仿宋_GB2312" w:cs="Times New Roman"/>
          <w:b w:val="0"/>
          <w:bCs w:val="0"/>
          <w:color w:val="auto"/>
          <w:sz w:val="32"/>
          <w:szCs w:val="32"/>
          <w:highlight w:val="none"/>
          <w:lang w:eastAsia="zh-CN"/>
        </w:rPr>
        <w:t>平稳运行</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bCs/>
          <w:color w:val="auto"/>
          <w:sz w:val="32"/>
          <w:szCs w:val="32"/>
          <w:highlight w:val="none"/>
        </w:rPr>
        <w:t>二是强化乡村振兴财力支撑。</w:t>
      </w:r>
      <w:r>
        <w:rPr>
          <w:rFonts w:hint="default" w:ascii="Times New Roman" w:hAnsi="Times New Roman" w:eastAsia="仿宋_GB2312" w:cs="Times New Roman"/>
          <w:b w:val="0"/>
          <w:bCs w:val="0"/>
          <w:color w:val="auto"/>
          <w:sz w:val="32"/>
          <w:szCs w:val="32"/>
          <w:highlight w:val="none"/>
        </w:rPr>
        <w:t>统筹整合涉农资金</w:t>
      </w:r>
      <w:r>
        <w:rPr>
          <w:rFonts w:hint="default" w:ascii="Times New Roman" w:hAnsi="Times New Roman" w:eastAsia="仿宋_GB2312" w:cs="Times New Roman"/>
          <w:b w:val="0"/>
          <w:bCs w:val="0"/>
          <w:color w:val="auto"/>
          <w:sz w:val="32"/>
          <w:szCs w:val="32"/>
          <w:highlight w:val="none"/>
          <w:lang w:val="en-US" w:eastAsia="zh-CN"/>
        </w:rPr>
        <w:t>19583</w:t>
      </w:r>
      <w:r>
        <w:rPr>
          <w:rFonts w:hint="default" w:ascii="Times New Roman" w:hAnsi="Times New Roman" w:eastAsia="仿宋_GB2312" w:cs="Times New Roman"/>
          <w:b w:val="0"/>
          <w:bCs w:val="0"/>
          <w:color w:val="auto"/>
          <w:sz w:val="32"/>
          <w:szCs w:val="32"/>
          <w:highlight w:val="none"/>
        </w:rPr>
        <w:t>万元（其中</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中央衔接资金</w:t>
      </w:r>
      <w:r>
        <w:rPr>
          <w:rFonts w:hint="default" w:ascii="Times New Roman" w:hAnsi="Times New Roman" w:eastAsia="仿宋_GB2312" w:cs="Times New Roman"/>
          <w:b w:val="0"/>
          <w:bCs w:val="0"/>
          <w:color w:val="auto"/>
          <w:sz w:val="32"/>
          <w:szCs w:val="32"/>
          <w:highlight w:val="none"/>
          <w:lang w:val="en-US" w:eastAsia="zh-CN"/>
        </w:rPr>
        <w:t>13031</w:t>
      </w:r>
      <w:r>
        <w:rPr>
          <w:rFonts w:hint="default" w:ascii="Times New Roman" w:hAnsi="Times New Roman" w:eastAsia="仿宋_GB2312" w:cs="Times New Roman"/>
          <w:b w:val="0"/>
          <w:bCs w:val="0"/>
          <w:color w:val="auto"/>
          <w:sz w:val="32"/>
          <w:szCs w:val="32"/>
          <w:highlight w:val="none"/>
        </w:rPr>
        <w:t>万元、省级衔接资金</w:t>
      </w:r>
      <w:r>
        <w:rPr>
          <w:rFonts w:hint="default" w:ascii="Times New Roman" w:hAnsi="Times New Roman" w:eastAsia="仿宋_GB2312" w:cs="Times New Roman"/>
          <w:b w:val="0"/>
          <w:bCs w:val="0"/>
          <w:color w:val="auto"/>
          <w:sz w:val="32"/>
          <w:szCs w:val="32"/>
          <w:highlight w:val="none"/>
          <w:lang w:val="en-US" w:eastAsia="zh-CN"/>
        </w:rPr>
        <w:t>815</w:t>
      </w:r>
      <w:r>
        <w:rPr>
          <w:rFonts w:hint="default" w:ascii="Times New Roman" w:hAnsi="Times New Roman" w:eastAsia="仿宋_GB2312" w:cs="Times New Roman"/>
          <w:b w:val="0"/>
          <w:bCs w:val="0"/>
          <w:color w:val="auto"/>
          <w:sz w:val="32"/>
          <w:szCs w:val="32"/>
          <w:highlight w:val="none"/>
        </w:rPr>
        <w:t>万元、州级衔接资金</w:t>
      </w:r>
      <w:r>
        <w:rPr>
          <w:rFonts w:hint="default" w:ascii="Times New Roman" w:hAnsi="Times New Roman" w:eastAsia="仿宋_GB2312" w:cs="Times New Roman"/>
          <w:b w:val="0"/>
          <w:bCs w:val="0"/>
          <w:color w:val="auto"/>
          <w:sz w:val="32"/>
          <w:szCs w:val="32"/>
          <w:highlight w:val="none"/>
          <w:lang w:val="en-US" w:eastAsia="zh-CN"/>
        </w:rPr>
        <w:t>755</w:t>
      </w:r>
      <w:r>
        <w:rPr>
          <w:rFonts w:hint="default" w:ascii="Times New Roman" w:hAnsi="Times New Roman" w:eastAsia="仿宋_GB2312" w:cs="Times New Roman"/>
          <w:b w:val="0"/>
          <w:bCs w:val="0"/>
          <w:color w:val="auto"/>
          <w:sz w:val="32"/>
          <w:szCs w:val="32"/>
          <w:highlight w:val="none"/>
        </w:rPr>
        <w:t>万元、州级新型农村集体经济扶持资金</w:t>
      </w:r>
      <w:r>
        <w:rPr>
          <w:rFonts w:hint="default" w:ascii="Times New Roman" w:hAnsi="Times New Roman" w:eastAsia="仿宋_GB2312" w:cs="Times New Roman"/>
          <w:b w:val="0"/>
          <w:bCs w:val="0"/>
          <w:color w:val="auto"/>
          <w:sz w:val="32"/>
          <w:szCs w:val="32"/>
          <w:highlight w:val="none"/>
          <w:lang w:val="en-US" w:eastAsia="zh-CN"/>
        </w:rPr>
        <w:t>100</w:t>
      </w:r>
      <w:r>
        <w:rPr>
          <w:rFonts w:hint="default" w:ascii="Times New Roman" w:hAnsi="Times New Roman" w:eastAsia="仿宋_GB2312" w:cs="Times New Roman"/>
          <w:b w:val="0"/>
          <w:bCs w:val="0"/>
          <w:color w:val="auto"/>
          <w:sz w:val="32"/>
          <w:szCs w:val="32"/>
          <w:highlight w:val="none"/>
        </w:rPr>
        <w:t>万元、县级衔接资金14</w:t>
      </w:r>
      <w:r>
        <w:rPr>
          <w:rFonts w:hint="default" w:ascii="Times New Roman" w:hAnsi="Times New Roman" w:eastAsia="仿宋_GB2312" w:cs="Times New Roman"/>
          <w:b w:val="0"/>
          <w:bCs w:val="0"/>
          <w:color w:val="auto"/>
          <w:sz w:val="32"/>
          <w:szCs w:val="32"/>
          <w:highlight w:val="none"/>
          <w:lang w:val="en-US" w:eastAsia="zh-CN"/>
        </w:rPr>
        <w:t>80</w:t>
      </w:r>
      <w:r>
        <w:rPr>
          <w:rFonts w:hint="default" w:ascii="Times New Roman" w:hAnsi="Times New Roman" w:eastAsia="仿宋_GB2312" w:cs="Times New Roman"/>
          <w:b w:val="0"/>
          <w:bCs w:val="0"/>
          <w:color w:val="auto"/>
          <w:sz w:val="32"/>
          <w:szCs w:val="32"/>
          <w:highlight w:val="none"/>
        </w:rPr>
        <w:t>万元、行业涉农整合资金</w:t>
      </w:r>
      <w:r>
        <w:rPr>
          <w:rFonts w:hint="default" w:ascii="Times New Roman" w:hAnsi="Times New Roman" w:eastAsia="仿宋_GB2312" w:cs="Times New Roman"/>
          <w:b w:val="0"/>
          <w:bCs w:val="0"/>
          <w:color w:val="auto"/>
          <w:sz w:val="32"/>
          <w:szCs w:val="32"/>
          <w:highlight w:val="none"/>
          <w:lang w:val="en-US" w:eastAsia="zh-CN"/>
        </w:rPr>
        <w:t>3402</w:t>
      </w:r>
      <w:r>
        <w:rPr>
          <w:rFonts w:hint="default" w:ascii="Times New Roman" w:hAnsi="Times New Roman" w:eastAsia="仿宋_GB2312" w:cs="Times New Roman"/>
          <w:b w:val="0"/>
          <w:bCs w:val="0"/>
          <w:color w:val="auto"/>
          <w:sz w:val="32"/>
          <w:szCs w:val="32"/>
          <w:highlight w:val="none"/>
        </w:rPr>
        <w:t>万元），精准投向</w:t>
      </w:r>
      <w:r>
        <w:rPr>
          <w:rFonts w:hint="default" w:ascii="Times New Roman" w:hAnsi="Times New Roman" w:eastAsia="仿宋_GB2312" w:cs="Times New Roman"/>
          <w:b w:val="0"/>
          <w:bCs w:val="0"/>
          <w:color w:val="auto"/>
          <w:sz w:val="32"/>
          <w:szCs w:val="32"/>
          <w:highlight w:val="none"/>
          <w:lang w:val="en-US" w:eastAsia="zh-CN"/>
        </w:rPr>
        <w:t>59</w:t>
      </w:r>
      <w:r>
        <w:rPr>
          <w:rFonts w:hint="default" w:ascii="Times New Roman" w:hAnsi="Times New Roman" w:eastAsia="仿宋_GB2312" w:cs="Times New Roman"/>
          <w:b w:val="0"/>
          <w:bCs w:val="0"/>
          <w:color w:val="auto"/>
          <w:sz w:val="32"/>
          <w:szCs w:val="32"/>
          <w:highlight w:val="none"/>
        </w:rPr>
        <w:t>个乡村振兴重点项目，助力巩固拓展脱贫攻坚成果同乡村全面振兴有效衔接。</w:t>
      </w:r>
      <w:r>
        <w:rPr>
          <w:rFonts w:hint="default" w:ascii="Times New Roman" w:hAnsi="Times New Roman" w:eastAsia="仿宋_GB2312" w:cs="Times New Roman"/>
          <w:b/>
          <w:bCs/>
          <w:color w:val="auto"/>
          <w:sz w:val="32"/>
          <w:szCs w:val="32"/>
          <w:highlight w:val="none"/>
        </w:rPr>
        <w:t>三是保障教育事业稳步发展。</w:t>
      </w:r>
      <w:r>
        <w:rPr>
          <w:rFonts w:hint="default" w:ascii="Times New Roman" w:hAnsi="Times New Roman" w:eastAsia="仿宋_GB2312" w:cs="Times New Roman"/>
          <w:b w:val="0"/>
          <w:bCs w:val="0"/>
          <w:color w:val="auto"/>
          <w:sz w:val="32"/>
          <w:szCs w:val="32"/>
          <w:highlight w:val="none"/>
        </w:rPr>
        <w:t>全年教育支出达</w:t>
      </w:r>
      <w:r>
        <w:rPr>
          <w:rFonts w:hint="default" w:ascii="Times New Roman" w:hAnsi="Times New Roman" w:eastAsia="仿宋_GB2312" w:cs="Times New Roman"/>
          <w:b w:val="0"/>
          <w:bCs w:val="0"/>
          <w:color w:val="auto"/>
          <w:sz w:val="32"/>
          <w:szCs w:val="32"/>
          <w:highlight w:val="none"/>
          <w:lang w:val="en-US" w:eastAsia="zh-CN"/>
        </w:rPr>
        <w:t>23319</w:t>
      </w:r>
      <w:r>
        <w:rPr>
          <w:rFonts w:hint="default" w:ascii="Times New Roman" w:hAnsi="Times New Roman" w:eastAsia="仿宋_GB2312" w:cs="Times New Roman"/>
          <w:b w:val="0"/>
          <w:bCs w:val="0"/>
          <w:color w:val="auto"/>
          <w:sz w:val="32"/>
          <w:szCs w:val="32"/>
          <w:highlight w:val="none"/>
        </w:rPr>
        <w:t>万元，较上年增长0.</w:t>
      </w:r>
      <w:r>
        <w:rPr>
          <w:rFonts w:hint="default" w:ascii="Times New Roman" w:hAnsi="Times New Roman" w:eastAsia="仿宋_GB2312" w:cs="Times New Roman"/>
          <w:b w:val="0"/>
          <w:bCs w:val="0"/>
          <w:color w:val="auto"/>
          <w:sz w:val="32"/>
          <w:szCs w:val="32"/>
          <w:highlight w:val="none"/>
          <w:lang w:val="en-US" w:eastAsia="zh-CN"/>
        </w:rPr>
        <w:t>98</w:t>
      </w:r>
      <w:r>
        <w:rPr>
          <w:rFonts w:hint="default" w:ascii="Times New Roman" w:hAnsi="Times New Roman" w:eastAsia="仿宋_GB2312" w:cs="Times New Roman"/>
          <w:b w:val="0"/>
          <w:bCs w:val="0"/>
          <w:color w:val="auto"/>
          <w:sz w:val="32"/>
          <w:szCs w:val="32"/>
          <w:highlight w:val="none"/>
        </w:rPr>
        <w:t>%，全面支撑教育领域重点任务落地。</w:t>
      </w:r>
      <w:r>
        <w:rPr>
          <w:rFonts w:hint="default" w:ascii="Times New Roman" w:hAnsi="Times New Roman" w:eastAsia="仿宋_GB2312" w:cs="Times New Roman"/>
          <w:b/>
          <w:bCs/>
          <w:color w:val="auto"/>
          <w:sz w:val="32"/>
          <w:szCs w:val="32"/>
          <w:highlight w:val="none"/>
        </w:rPr>
        <w:t>四是提升卫生健康服务能力。</w:t>
      </w:r>
      <w:r>
        <w:rPr>
          <w:rFonts w:hint="default" w:ascii="Times New Roman" w:hAnsi="Times New Roman" w:eastAsia="仿宋_GB2312" w:cs="Times New Roman"/>
          <w:b w:val="0"/>
          <w:bCs w:val="0"/>
          <w:color w:val="auto"/>
          <w:sz w:val="32"/>
          <w:szCs w:val="32"/>
          <w:highlight w:val="none"/>
        </w:rPr>
        <w:t>卫生健康支出</w:t>
      </w:r>
      <w:r>
        <w:rPr>
          <w:rFonts w:hint="default" w:ascii="Times New Roman" w:hAnsi="Times New Roman" w:eastAsia="仿宋_GB2312" w:cs="Times New Roman"/>
          <w:b w:val="0"/>
          <w:bCs w:val="0"/>
          <w:color w:val="auto"/>
          <w:sz w:val="32"/>
          <w:szCs w:val="32"/>
          <w:highlight w:val="none"/>
          <w:lang w:val="en-US" w:eastAsia="zh-CN"/>
        </w:rPr>
        <w:t>17885</w:t>
      </w:r>
      <w:r>
        <w:rPr>
          <w:rFonts w:hint="default" w:ascii="Times New Roman" w:hAnsi="Times New Roman" w:eastAsia="仿宋_GB2312" w:cs="Times New Roman"/>
          <w:b w:val="0"/>
          <w:bCs w:val="0"/>
          <w:color w:val="auto"/>
          <w:sz w:val="32"/>
          <w:szCs w:val="32"/>
          <w:highlight w:val="none"/>
        </w:rPr>
        <w:t>万元，同比增长</w:t>
      </w:r>
      <w:r>
        <w:rPr>
          <w:rFonts w:hint="default" w:ascii="Times New Roman" w:hAnsi="Times New Roman" w:eastAsia="仿宋_GB2312" w:cs="Times New Roman"/>
          <w:b w:val="0"/>
          <w:bCs w:val="0"/>
          <w:color w:val="auto"/>
          <w:sz w:val="32"/>
          <w:szCs w:val="32"/>
          <w:highlight w:val="none"/>
          <w:lang w:val="en-US" w:eastAsia="zh-CN"/>
        </w:rPr>
        <w:t>7.23</w:t>
      </w:r>
      <w:r>
        <w:rPr>
          <w:rFonts w:hint="default" w:ascii="Times New Roman" w:hAnsi="Times New Roman" w:eastAsia="仿宋_GB2312" w:cs="Times New Roman"/>
          <w:b w:val="0"/>
          <w:bCs w:val="0"/>
          <w:color w:val="auto"/>
          <w:sz w:val="32"/>
          <w:szCs w:val="32"/>
          <w:highlight w:val="none"/>
        </w:rPr>
        <w:t>%，重点支持县域医共体建设和公共医疗卫生服务体系完善，增强民生保障普惠性。</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cs="Times New Roman"/>
          <w:highlight w:val="none"/>
          <w:lang w:val="zh-CN"/>
        </w:rPr>
      </w:pPr>
      <w:r>
        <w:rPr>
          <w:rFonts w:hint="default" w:ascii="Times New Roman" w:hAnsi="Times New Roman" w:eastAsia="楷体_GB2312" w:cs="Times New Roman"/>
          <w:b/>
          <w:color w:val="auto"/>
          <w:sz w:val="32"/>
          <w:szCs w:val="32"/>
          <w:highlight w:val="none"/>
          <w:lang w:val="en-US" w:eastAsia="zh-CN"/>
        </w:rPr>
        <w:t>（三）加强财政管理，全面提升治理效能。</w:t>
      </w:r>
      <w:r>
        <w:rPr>
          <w:rFonts w:hint="default" w:ascii="Times New Roman" w:hAnsi="Times New Roman" w:eastAsia="仿宋_GB2312" w:cs="Times New Roman"/>
          <w:b w:val="0"/>
          <w:bCs w:val="0"/>
          <w:color w:val="auto"/>
          <w:sz w:val="32"/>
          <w:szCs w:val="32"/>
          <w:highlight w:val="none"/>
        </w:rPr>
        <w:t>以纵深推进财政</w:t>
      </w:r>
      <w:r>
        <w:rPr>
          <w:rFonts w:hint="default" w:ascii="Times New Roman" w:hAnsi="Times New Roman" w:eastAsia="仿宋_GB2312" w:cs="Times New Roman"/>
          <w:b w:val="0"/>
          <w:bCs w:val="0"/>
          <w:color w:val="auto"/>
          <w:sz w:val="32"/>
          <w:szCs w:val="32"/>
          <w:highlight w:val="none"/>
          <w:lang w:eastAsia="zh-CN"/>
        </w:rPr>
        <w:t>管理</w:t>
      </w:r>
      <w:r>
        <w:rPr>
          <w:rFonts w:hint="default" w:ascii="Times New Roman" w:hAnsi="Times New Roman" w:eastAsia="仿宋_GB2312" w:cs="Times New Roman"/>
          <w:b w:val="0"/>
          <w:bCs w:val="0"/>
          <w:color w:val="auto"/>
          <w:sz w:val="32"/>
          <w:szCs w:val="32"/>
          <w:highlight w:val="none"/>
        </w:rPr>
        <w:t>为抓手，持续提升精细化、规范化水平。</w:t>
      </w:r>
      <w:r>
        <w:rPr>
          <w:rFonts w:hint="default" w:ascii="Times New Roman" w:hAnsi="Times New Roman" w:eastAsia="仿宋_GB2312" w:cs="Times New Roman"/>
          <w:b/>
          <w:bCs/>
          <w:color w:val="auto"/>
          <w:sz w:val="32"/>
          <w:szCs w:val="32"/>
          <w:highlight w:val="none"/>
        </w:rPr>
        <w:t>一是</w:t>
      </w:r>
      <w:r>
        <w:rPr>
          <w:rFonts w:hint="default" w:ascii="Times New Roman" w:hAnsi="Times New Roman" w:eastAsia="仿宋_GB2312" w:cs="Times New Roman"/>
          <w:b/>
          <w:bCs/>
          <w:color w:val="auto"/>
          <w:sz w:val="32"/>
          <w:szCs w:val="32"/>
          <w:highlight w:val="none"/>
          <w:lang w:eastAsia="zh-CN"/>
        </w:rPr>
        <w:t>强化绩效管理</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lang w:val="zh-CN"/>
        </w:rPr>
        <w:t>制定印发《壤塘县财政局关于严肃预算绩效管理工作纪律的通知》《壤塘县推进财政绩效监督“三管三必须”落实见效实施办法》，对</w:t>
      </w:r>
      <w:r>
        <w:rPr>
          <w:rFonts w:hint="default" w:ascii="Times New Roman" w:hAnsi="Times New Roman" w:eastAsia="仿宋_GB2312" w:cs="Times New Roman"/>
          <w:color w:val="auto"/>
          <w:sz w:val="32"/>
          <w:szCs w:val="32"/>
          <w:highlight w:val="none"/>
          <w:lang w:val="en-US" w:eastAsia="zh-CN"/>
        </w:rPr>
        <w:t>10个单位、40个项目开展重点绩效评价，涉及18203.17万元；对9个项目开展重点监控，涉及4883.58万元；对9个项目开展绩效评估，涉及1687.35万元。</w:t>
      </w:r>
      <w:r>
        <w:rPr>
          <w:rFonts w:hint="default" w:ascii="Times New Roman" w:hAnsi="Times New Roman" w:eastAsia="仿宋_GB2312" w:cs="Times New Roman"/>
          <w:b/>
          <w:bCs/>
          <w:color w:val="auto"/>
          <w:sz w:val="32"/>
          <w:szCs w:val="32"/>
          <w:highlight w:val="none"/>
          <w:lang w:val="en-US" w:eastAsia="zh-CN"/>
        </w:rPr>
        <w:t>二是强化</w:t>
      </w:r>
      <w:r>
        <w:rPr>
          <w:rFonts w:hint="default" w:ascii="Times New Roman" w:hAnsi="Times New Roman" w:eastAsia="仿宋_GB2312" w:cs="Times New Roman"/>
          <w:b/>
          <w:bCs/>
          <w:color w:val="auto"/>
          <w:sz w:val="32"/>
          <w:szCs w:val="32"/>
          <w:highlight w:val="none"/>
          <w:lang w:val="zh-CN"/>
        </w:rPr>
        <w:t>财会监督。</w:t>
      </w:r>
      <w:r>
        <w:rPr>
          <w:rFonts w:hint="default" w:ascii="Times New Roman" w:hAnsi="Times New Roman" w:eastAsia="仿宋_GB2312" w:cs="Times New Roman"/>
          <w:color w:val="auto"/>
          <w:sz w:val="32"/>
          <w:szCs w:val="32"/>
          <w:highlight w:val="none"/>
          <w:lang w:val="zh-CN"/>
        </w:rPr>
        <w:t>全年组织开展地方财经纪律整治、代理记账行业规范、乡镇财政资金监管等各类专项检查4次，发现7类35个问题，落实“问题清单+责任清单+销号清单”整改机制，督促部门规范财务管理。</w:t>
      </w:r>
      <w:r>
        <w:rPr>
          <w:rFonts w:hint="default" w:ascii="Times New Roman" w:hAnsi="Times New Roman" w:eastAsia="仿宋_GB2312" w:cs="Times New Roman"/>
          <w:b w:val="0"/>
          <w:bCs w:val="0"/>
          <w:sz w:val="32"/>
          <w:szCs w:val="32"/>
          <w:highlight w:val="none"/>
          <w:lang w:val="en-US" w:eastAsia="zh-CN"/>
        </w:rPr>
        <w:t>持续推进寺庙规范财务管理，</w:t>
      </w:r>
      <w:r>
        <w:rPr>
          <w:rFonts w:hint="default" w:ascii="Times New Roman" w:hAnsi="Times New Roman" w:eastAsia="仿宋_GB2312" w:cs="Times New Roman"/>
          <w:sz w:val="32"/>
          <w:szCs w:val="32"/>
          <w:highlight w:val="none"/>
          <w:lang w:val="en-US" w:eastAsia="zh-CN"/>
        </w:rPr>
        <w:t>抓实寺庙财税监管工作的十条措施。</w:t>
      </w:r>
      <w:r>
        <w:rPr>
          <w:rFonts w:hint="default" w:ascii="Times New Roman" w:hAnsi="Times New Roman" w:eastAsia="仿宋_GB2312" w:cs="Times New Roman"/>
          <w:sz w:val="32"/>
          <w:szCs w:val="32"/>
          <w:highlight w:val="none"/>
          <w:shd w:val="clear" w:color="auto" w:fill="auto"/>
          <w:lang w:val="en-US" w:eastAsia="zh-CN"/>
        </w:rPr>
        <w:t>印发工作提示单93份，</w:t>
      </w:r>
      <w:r>
        <w:rPr>
          <w:rFonts w:hint="default" w:ascii="Times New Roman" w:hAnsi="Times New Roman" w:eastAsia="仿宋_GB2312" w:cs="Times New Roman"/>
          <w:sz w:val="32"/>
          <w:szCs w:val="32"/>
          <w:highlight w:val="none"/>
          <w:lang w:val="en-US" w:eastAsia="zh-CN"/>
        </w:rPr>
        <w:t>从严推进扫码支付</w:t>
      </w:r>
      <w:r>
        <w:rPr>
          <w:rFonts w:hint="default" w:ascii="Times New Roman" w:hAnsi="Times New Roman" w:eastAsia="仿宋_GB2312" w:cs="Times New Roman"/>
          <w:sz w:val="32"/>
          <w:szCs w:val="32"/>
          <w:highlight w:val="none"/>
          <w:shd w:val="clear" w:color="auto" w:fill="auto"/>
          <w:lang w:val="en-US" w:eastAsia="zh-CN"/>
        </w:rPr>
        <w:t>。</w:t>
      </w:r>
      <w:r>
        <w:rPr>
          <w:rFonts w:hint="default" w:ascii="Times New Roman" w:hAnsi="Times New Roman" w:eastAsia="仿宋_GB2312" w:cs="Times New Roman"/>
          <w:b/>
          <w:bCs/>
          <w:sz w:val="32"/>
          <w:szCs w:val="32"/>
          <w:highlight w:val="none"/>
          <w:shd w:val="clear" w:color="auto" w:fill="auto"/>
          <w:lang w:val="en-US" w:eastAsia="zh-CN"/>
        </w:rPr>
        <w:t>三是强化财政评审。</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全年完成</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194个项目</w:t>
      </w:r>
      <w:r>
        <w:rPr>
          <w:rFonts w:hint="default" w:ascii="Times New Roman" w:hAnsi="Times New Roman" w:eastAsia="仿宋_GB2312" w:cs="Times New Roman"/>
          <w:sz w:val="32"/>
          <w:szCs w:val="32"/>
          <w:highlight w:val="none"/>
        </w:rPr>
        <w:t>130454</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66</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万元的财政评审工作，节约财政资金</w:t>
      </w:r>
      <w:r>
        <w:rPr>
          <w:rFonts w:hint="default" w:ascii="Times New Roman" w:hAnsi="Times New Roman" w:eastAsia="仿宋_GB2312" w:cs="Times New Roman"/>
          <w:sz w:val="32"/>
          <w:szCs w:val="32"/>
          <w:highlight w:val="none"/>
        </w:rPr>
        <w:t>7249</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23</w:t>
      </w:r>
      <w:r>
        <w:rPr>
          <w:rFonts w:hint="default" w:ascii="Times New Roman" w:hAnsi="Times New Roman" w:eastAsia="仿宋_GB2312" w:cs="Times New Roman"/>
          <w:sz w:val="32"/>
          <w:szCs w:val="32"/>
          <w:highlight w:val="none"/>
          <w:lang w:val="en-US" w:eastAsia="zh-CN"/>
        </w:rPr>
        <w:t>万元，节约率5.55%。</w:t>
      </w:r>
      <w:r>
        <w:rPr>
          <w:rFonts w:hint="default" w:ascii="Times New Roman" w:hAnsi="Times New Roman" w:eastAsia="仿宋_GB2312" w:cs="Times New Roman"/>
          <w:b/>
          <w:bCs/>
          <w:sz w:val="32"/>
          <w:szCs w:val="32"/>
          <w:highlight w:val="none"/>
          <w:lang w:val="en-US" w:eastAsia="zh-CN"/>
        </w:rPr>
        <w:t>四是强化采购监管。</w:t>
      </w:r>
      <w:r>
        <w:rPr>
          <w:rFonts w:hint="default" w:ascii="Times New Roman" w:hAnsi="Times New Roman" w:eastAsia="仿宋_GB2312" w:cs="Times New Roman"/>
          <w:b w:val="0"/>
          <w:bCs w:val="0"/>
          <w:sz w:val="32"/>
          <w:szCs w:val="32"/>
          <w:highlight w:val="none"/>
        </w:rPr>
        <w:t>全年</w:t>
      </w:r>
      <w:r>
        <w:rPr>
          <w:rFonts w:hint="default" w:ascii="Times New Roman" w:hAnsi="Times New Roman" w:eastAsia="仿宋_GB2312" w:cs="Times New Roman"/>
          <w:b w:val="0"/>
          <w:bCs w:val="0"/>
          <w:sz w:val="32"/>
          <w:szCs w:val="32"/>
          <w:highlight w:val="none"/>
          <w:lang w:eastAsia="zh-CN"/>
        </w:rPr>
        <w:t>受理</w:t>
      </w:r>
      <w:r>
        <w:rPr>
          <w:rFonts w:hint="default" w:ascii="Times New Roman" w:hAnsi="Times New Roman" w:eastAsia="仿宋_GB2312" w:cs="Times New Roman"/>
          <w:sz w:val="32"/>
          <w:szCs w:val="32"/>
          <w:highlight w:val="none"/>
        </w:rPr>
        <w:t>投诉</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举报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移交</w:t>
      </w:r>
      <w:r>
        <w:rPr>
          <w:rFonts w:hint="default" w:ascii="Times New Roman" w:hAnsi="Times New Roman" w:eastAsia="仿宋_GB2312" w:cs="Times New Roman"/>
          <w:sz w:val="32"/>
          <w:szCs w:val="32"/>
          <w:highlight w:val="none"/>
        </w:rPr>
        <w:t>案件</w:t>
      </w:r>
      <w:r>
        <w:rPr>
          <w:rFonts w:hint="default" w:ascii="Times New Roman" w:hAnsi="Times New Roman" w:eastAsia="仿宋_GB2312" w:cs="Times New Roman"/>
          <w:sz w:val="32"/>
          <w:szCs w:val="32"/>
          <w:highlight w:val="none"/>
          <w:lang w:eastAsia="zh-CN"/>
        </w:rPr>
        <w:t>共</w:t>
      </w:r>
      <w:r>
        <w:rPr>
          <w:rFonts w:hint="default" w:ascii="Times New Roman" w:hAnsi="Times New Roman" w:eastAsia="仿宋_GB2312" w:cs="Times New Roman"/>
          <w:sz w:val="32"/>
          <w:szCs w:val="32"/>
          <w:highlight w:val="none"/>
          <w:lang w:val="en-US" w:eastAsia="zh-CN"/>
        </w:rPr>
        <w:t>31</w:t>
      </w:r>
      <w:r>
        <w:rPr>
          <w:rFonts w:hint="default" w:ascii="Times New Roman" w:hAnsi="Times New Roman" w:eastAsia="仿宋_GB2312" w:cs="Times New Roman"/>
          <w:sz w:val="32"/>
          <w:szCs w:val="32"/>
          <w:highlight w:val="none"/>
        </w:rPr>
        <w:t>件</w:t>
      </w:r>
      <w:r>
        <w:rPr>
          <w:rFonts w:hint="default" w:ascii="Times New Roman" w:hAnsi="Times New Roman" w:eastAsia="仿宋_GB2312" w:cs="Times New Roman"/>
          <w:sz w:val="32"/>
          <w:szCs w:val="32"/>
          <w:highlight w:val="none"/>
          <w:lang w:eastAsia="zh-CN"/>
        </w:rPr>
        <w:t>，办结</w:t>
      </w:r>
      <w:r>
        <w:rPr>
          <w:rFonts w:hint="default" w:ascii="Times New Roman" w:hAnsi="Times New Roman" w:eastAsia="仿宋_GB2312" w:cs="Times New Roman"/>
          <w:sz w:val="32"/>
          <w:szCs w:val="32"/>
          <w:highlight w:val="none"/>
          <w:lang w:val="en-US" w:eastAsia="zh-CN"/>
        </w:rPr>
        <w:t>27件。</w:t>
      </w:r>
      <w:r>
        <w:rPr>
          <w:rFonts w:hint="default" w:ascii="Times New Roman" w:hAnsi="Times New Roman" w:eastAsia="仿宋_GB2312" w:cs="Times New Roman"/>
          <w:b w:val="0"/>
          <w:bCs w:val="0"/>
          <w:sz w:val="32"/>
          <w:szCs w:val="32"/>
          <w:highlight w:val="none"/>
          <w:lang w:eastAsia="zh-CN"/>
        </w:rPr>
        <w:t>政府采购</w:t>
      </w:r>
      <w:r>
        <w:rPr>
          <w:rFonts w:hint="default" w:ascii="Times New Roman" w:hAnsi="Times New Roman" w:eastAsia="仿宋_GB2312" w:cs="Times New Roman"/>
          <w:color w:val="auto"/>
          <w:sz w:val="32"/>
          <w:szCs w:val="32"/>
          <w:highlight w:val="none"/>
          <w:lang w:eastAsia="zh-CN"/>
        </w:rPr>
        <w:t>项目</w:t>
      </w:r>
      <w:r>
        <w:rPr>
          <w:rFonts w:hint="default" w:ascii="Times New Roman" w:hAnsi="Times New Roman" w:eastAsia="仿宋_GB2312" w:cs="Times New Roman"/>
          <w:color w:val="auto"/>
          <w:sz w:val="32"/>
          <w:szCs w:val="32"/>
          <w:highlight w:val="none"/>
        </w:rPr>
        <w:t>备案15</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个，涉及备案金额</w:t>
      </w:r>
      <w:r>
        <w:rPr>
          <w:rFonts w:hint="default" w:ascii="Times New Roman" w:hAnsi="Times New Roman" w:eastAsia="仿宋_GB2312" w:cs="Times New Roman"/>
          <w:sz w:val="32"/>
          <w:szCs w:val="32"/>
          <w:highlight w:val="none"/>
        </w:rPr>
        <w:t>17977</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完成项</w:t>
      </w:r>
      <w:r>
        <w:rPr>
          <w:rFonts w:hint="default" w:ascii="Times New Roman" w:hAnsi="Times New Roman" w:eastAsia="仿宋_GB2312" w:cs="Times New Roman"/>
          <w:color w:val="auto"/>
          <w:sz w:val="32"/>
          <w:szCs w:val="32"/>
          <w:highlight w:val="none"/>
          <w:lang w:eastAsia="zh-CN"/>
        </w:rPr>
        <w:t>目</w:t>
      </w:r>
      <w:r>
        <w:rPr>
          <w:rFonts w:hint="default" w:ascii="Times New Roman" w:hAnsi="Times New Roman" w:eastAsia="仿宋_GB2312" w:cs="Times New Roman"/>
          <w:color w:val="auto"/>
          <w:sz w:val="32"/>
          <w:szCs w:val="32"/>
          <w:highlight w:val="none"/>
        </w:rPr>
        <w:t>招标</w:t>
      </w:r>
      <w:r>
        <w:rPr>
          <w:rFonts w:hint="default" w:ascii="Times New Roman" w:hAnsi="Times New Roman" w:eastAsia="仿宋_GB2312" w:cs="Times New Roman"/>
          <w:color w:val="auto"/>
          <w:sz w:val="32"/>
          <w:szCs w:val="32"/>
          <w:highlight w:val="none"/>
          <w:lang w:val="en-US" w:eastAsia="zh-CN"/>
        </w:rPr>
        <w:t>125个</w:t>
      </w:r>
      <w:r>
        <w:rPr>
          <w:rFonts w:hint="default" w:ascii="Times New Roman" w:hAnsi="Times New Roman" w:eastAsia="仿宋_GB2312" w:cs="Times New Roman"/>
          <w:color w:val="auto"/>
          <w:sz w:val="32"/>
          <w:szCs w:val="32"/>
          <w:highlight w:val="none"/>
        </w:rPr>
        <w:t>，中标金额</w:t>
      </w:r>
      <w:r>
        <w:rPr>
          <w:rFonts w:hint="default" w:ascii="Times New Roman" w:hAnsi="Times New Roman" w:eastAsia="仿宋_GB2312" w:cs="Times New Roman"/>
          <w:sz w:val="32"/>
          <w:szCs w:val="32"/>
          <w:highlight w:val="none"/>
          <w:lang w:val="en-US" w:eastAsia="zh-CN"/>
        </w:rPr>
        <w:t>16727.56</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sz w:val="32"/>
          <w:szCs w:val="32"/>
          <w:highlight w:val="none"/>
        </w:rPr>
        <w:t>节约</w:t>
      </w:r>
      <w:r>
        <w:rPr>
          <w:rFonts w:hint="default" w:ascii="Times New Roman" w:hAnsi="Times New Roman" w:eastAsia="仿宋_GB2312" w:cs="Times New Roman"/>
          <w:sz w:val="32"/>
          <w:szCs w:val="32"/>
          <w:highlight w:val="none"/>
          <w:lang w:val="en-US" w:eastAsia="zh-CN"/>
        </w:rPr>
        <w:t>1151.8</w:t>
      </w:r>
      <w:r>
        <w:rPr>
          <w:rFonts w:hint="default" w:ascii="Times New Roman" w:hAnsi="Times New Roman" w:eastAsia="仿宋_GB2312" w:cs="Times New Roman"/>
          <w:sz w:val="32"/>
          <w:szCs w:val="32"/>
          <w:highlight w:val="none"/>
        </w:rPr>
        <w:t>万元，节约率</w:t>
      </w:r>
      <w:r>
        <w:rPr>
          <w:rFonts w:hint="default" w:ascii="Times New Roman" w:hAnsi="Times New Roman" w:eastAsia="仿宋_GB2312" w:cs="Times New Roman"/>
          <w:sz w:val="32"/>
          <w:szCs w:val="32"/>
          <w:highlight w:val="none"/>
          <w:lang w:val="en-US" w:eastAsia="zh-CN"/>
        </w:rPr>
        <w:t>6.4</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五</w:t>
      </w:r>
      <w:r>
        <w:rPr>
          <w:rFonts w:hint="default" w:ascii="Times New Roman" w:hAnsi="Times New Roman" w:eastAsia="仿宋_GB2312" w:cs="Times New Roman"/>
          <w:b/>
          <w:bCs/>
          <w:color w:val="auto"/>
          <w:sz w:val="32"/>
          <w:szCs w:val="32"/>
          <w:highlight w:val="none"/>
        </w:rPr>
        <w:t>是坚决落实</w:t>
      </w:r>
      <w:r>
        <w:rPr>
          <w:rFonts w:hint="default" w:ascii="Times New Roman" w:hAnsi="Times New Roman" w:eastAsia="仿宋_GB2312" w:cs="Times New Roman"/>
          <w:b/>
          <w:bCs/>
          <w:color w:val="auto"/>
          <w:sz w:val="32"/>
          <w:szCs w:val="32"/>
          <w:highlight w:val="none"/>
          <w:lang w:eastAsia="zh-CN"/>
        </w:rPr>
        <w:t>“过紧日子”</w:t>
      </w:r>
      <w:r>
        <w:rPr>
          <w:rFonts w:hint="default" w:ascii="Times New Roman" w:hAnsi="Times New Roman" w:eastAsia="仿宋_GB2312" w:cs="Times New Roman"/>
          <w:b/>
          <w:bCs/>
          <w:color w:val="auto"/>
          <w:sz w:val="32"/>
          <w:szCs w:val="32"/>
          <w:highlight w:val="none"/>
        </w:rPr>
        <w:t>要求。</w:t>
      </w:r>
      <w:r>
        <w:rPr>
          <w:rFonts w:hint="default" w:ascii="Times New Roman" w:hAnsi="Times New Roman" w:eastAsia="仿宋_GB2312" w:cs="Times New Roman"/>
          <w:b w:val="0"/>
          <w:bCs w:val="0"/>
          <w:color w:val="auto"/>
          <w:sz w:val="32"/>
          <w:szCs w:val="32"/>
          <w:highlight w:val="none"/>
        </w:rPr>
        <w:t>从严压减一般性支出</w:t>
      </w:r>
      <w:r>
        <w:rPr>
          <w:rFonts w:hint="default" w:ascii="Times New Roman" w:hAnsi="Times New Roman" w:eastAsia="仿宋_GB2312" w:cs="Times New Roman"/>
          <w:b w:val="0"/>
          <w:bCs w:val="0"/>
          <w:color w:val="auto"/>
          <w:sz w:val="32"/>
          <w:szCs w:val="32"/>
          <w:highlight w:val="none"/>
          <w:lang w:val="en-US" w:eastAsia="zh-CN"/>
        </w:rPr>
        <w:t>368.34</w:t>
      </w:r>
      <w:r>
        <w:rPr>
          <w:rFonts w:hint="default" w:ascii="Times New Roman" w:hAnsi="Times New Roman" w:eastAsia="仿宋_GB2312" w:cs="Times New Roman"/>
          <w:b w:val="0"/>
          <w:bCs w:val="0"/>
          <w:color w:val="auto"/>
          <w:sz w:val="32"/>
          <w:szCs w:val="32"/>
          <w:highlight w:val="none"/>
        </w:rPr>
        <w:t>万元，清理收回</w:t>
      </w:r>
      <w:r>
        <w:rPr>
          <w:rFonts w:hint="default" w:ascii="Times New Roman" w:hAnsi="Times New Roman" w:eastAsia="仿宋_GB2312" w:cs="Times New Roman"/>
          <w:b w:val="0"/>
          <w:bCs w:val="0"/>
          <w:color w:val="auto"/>
          <w:sz w:val="32"/>
          <w:szCs w:val="32"/>
          <w:highlight w:val="none"/>
          <w:lang w:eastAsia="zh-CN"/>
        </w:rPr>
        <w:t>结余</w:t>
      </w:r>
      <w:r>
        <w:rPr>
          <w:rFonts w:hint="default" w:ascii="Times New Roman" w:hAnsi="Times New Roman" w:eastAsia="仿宋_GB2312" w:cs="Times New Roman"/>
          <w:b w:val="0"/>
          <w:bCs w:val="0"/>
          <w:color w:val="auto"/>
          <w:sz w:val="32"/>
          <w:szCs w:val="32"/>
          <w:highlight w:val="none"/>
        </w:rPr>
        <w:t>资金</w:t>
      </w:r>
      <w:r>
        <w:rPr>
          <w:rFonts w:hint="default" w:ascii="Times New Roman" w:hAnsi="Times New Roman" w:eastAsia="仿宋_GB2312" w:cs="Times New Roman"/>
          <w:snapToGrid w:val="0"/>
          <w:color w:val="auto"/>
          <w:kern w:val="0"/>
          <w:sz w:val="32"/>
          <w:szCs w:val="32"/>
          <w:highlight w:val="none"/>
        </w:rPr>
        <w:t>10727.36</w:t>
      </w:r>
      <w:r>
        <w:rPr>
          <w:rFonts w:hint="default" w:ascii="Times New Roman" w:hAnsi="Times New Roman" w:eastAsia="仿宋_GB2312" w:cs="Times New Roman"/>
          <w:b w:val="0"/>
          <w:bCs w:val="0"/>
          <w:color w:val="auto"/>
          <w:sz w:val="32"/>
          <w:szCs w:val="32"/>
          <w:highlight w:val="none"/>
        </w:rPr>
        <w:t>万元并统筹用于</w:t>
      </w:r>
      <w:r>
        <w:rPr>
          <w:rFonts w:hint="default" w:ascii="Times New Roman" w:hAnsi="Times New Roman" w:eastAsia="仿宋_GB2312" w:cs="Times New Roman"/>
          <w:b w:val="0"/>
          <w:bCs w:val="0"/>
          <w:color w:val="auto"/>
          <w:sz w:val="32"/>
          <w:szCs w:val="32"/>
          <w:highlight w:val="none"/>
          <w:lang w:val="en-US" w:eastAsia="zh-CN"/>
        </w:rPr>
        <w:t>教育、民生、乡村振兴等</w:t>
      </w:r>
      <w:r>
        <w:rPr>
          <w:rFonts w:hint="default" w:ascii="Times New Roman" w:hAnsi="Times New Roman" w:eastAsia="仿宋_GB2312" w:cs="Times New Roman"/>
          <w:b w:val="0"/>
          <w:bCs w:val="0"/>
          <w:color w:val="auto"/>
          <w:sz w:val="32"/>
          <w:szCs w:val="32"/>
          <w:highlight w:val="none"/>
        </w:rPr>
        <w:t>重点领域。</w:t>
      </w:r>
      <w:r>
        <w:rPr>
          <w:rFonts w:hint="default" w:ascii="Times New Roman" w:hAnsi="Times New Roman" w:eastAsia="仿宋_GB2312" w:cs="Times New Roman"/>
          <w:b/>
          <w:bCs/>
          <w:color w:val="auto"/>
          <w:sz w:val="32"/>
          <w:szCs w:val="32"/>
          <w:highlight w:val="none"/>
          <w:lang w:eastAsia="zh-CN"/>
        </w:rPr>
        <w:t>六是强化金融管理。</w:t>
      </w:r>
      <w:r>
        <w:rPr>
          <w:rFonts w:hint="default" w:ascii="Times New Roman" w:hAnsi="Times New Roman" w:eastAsia="仿宋_GB2312" w:cs="Times New Roman"/>
          <w:color w:val="auto"/>
          <w:sz w:val="32"/>
          <w:szCs w:val="32"/>
          <w:highlight w:val="none"/>
          <w:lang w:val="zh-CN"/>
        </w:rPr>
        <w:t>开展防范非法集资宣传</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zh-CN"/>
        </w:rPr>
        <w:t>次，发放资料</w:t>
      </w:r>
      <w:r>
        <w:rPr>
          <w:rFonts w:hint="default" w:ascii="Times New Roman" w:hAnsi="Times New Roman" w:eastAsia="仿宋_GB2312" w:cs="Times New Roman"/>
          <w:color w:val="auto"/>
          <w:sz w:val="32"/>
          <w:szCs w:val="32"/>
          <w:highlight w:val="none"/>
          <w:lang w:val="en-US" w:eastAsia="zh-CN"/>
        </w:rPr>
        <w:t>300</w:t>
      </w:r>
      <w:r>
        <w:rPr>
          <w:rFonts w:hint="default" w:ascii="Times New Roman" w:hAnsi="Times New Roman" w:eastAsia="仿宋_GB2312" w:cs="Times New Roman"/>
          <w:color w:val="auto"/>
          <w:sz w:val="32"/>
          <w:szCs w:val="32"/>
          <w:highlight w:val="none"/>
          <w:lang w:val="zh-CN"/>
        </w:rPr>
        <w:t>余份，解答咨询</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zh-CN"/>
        </w:rPr>
        <w:t>余人次；全县银行机构各项存款余额</w:t>
      </w:r>
      <w:r>
        <w:rPr>
          <w:rFonts w:hint="default" w:ascii="Times New Roman" w:hAnsi="Times New Roman" w:eastAsia="仿宋_GB2312" w:cs="Times New Roman"/>
          <w:color w:val="auto"/>
          <w:sz w:val="32"/>
          <w:szCs w:val="32"/>
          <w:highlight w:val="none"/>
          <w:lang w:val="en-US" w:eastAsia="zh-CN"/>
        </w:rPr>
        <w:t>23.57亿</w:t>
      </w:r>
      <w:r>
        <w:rPr>
          <w:rFonts w:hint="default" w:ascii="Times New Roman" w:hAnsi="Times New Roman" w:eastAsia="仿宋_GB2312" w:cs="Times New Roman"/>
          <w:color w:val="auto"/>
          <w:sz w:val="32"/>
          <w:szCs w:val="32"/>
          <w:highlight w:val="none"/>
          <w:lang w:val="zh-CN"/>
        </w:rPr>
        <w:t>元，较年初增长</w:t>
      </w:r>
      <w:r>
        <w:rPr>
          <w:rFonts w:hint="default" w:ascii="Times New Roman" w:hAnsi="Times New Roman" w:eastAsia="仿宋_GB2312" w:cs="Times New Roman"/>
          <w:color w:val="auto"/>
          <w:sz w:val="32"/>
          <w:szCs w:val="32"/>
          <w:highlight w:val="none"/>
          <w:lang w:val="en-US" w:eastAsia="zh-CN"/>
        </w:rPr>
        <w:t>35.63</w:t>
      </w:r>
      <w:r>
        <w:rPr>
          <w:rFonts w:hint="default" w:ascii="Times New Roman" w:hAnsi="Times New Roman" w:eastAsia="仿宋_GB2312" w:cs="Times New Roman"/>
          <w:color w:val="auto"/>
          <w:sz w:val="32"/>
          <w:szCs w:val="32"/>
          <w:highlight w:val="none"/>
          <w:lang w:val="zh-CN"/>
        </w:rPr>
        <w:t>%；各项贷款余额</w:t>
      </w:r>
      <w:r>
        <w:rPr>
          <w:rFonts w:hint="default" w:ascii="Times New Roman" w:hAnsi="Times New Roman" w:eastAsia="仿宋_GB2312" w:cs="Times New Roman"/>
          <w:color w:val="auto"/>
          <w:sz w:val="32"/>
          <w:szCs w:val="32"/>
          <w:highlight w:val="none"/>
          <w:lang w:val="en-US" w:eastAsia="zh-CN"/>
        </w:rPr>
        <w:t>21.01亿</w:t>
      </w:r>
      <w:r>
        <w:rPr>
          <w:rFonts w:hint="default" w:ascii="Times New Roman" w:hAnsi="Times New Roman" w:eastAsia="仿宋_GB2312" w:cs="Times New Roman"/>
          <w:color w:val="auto"/>
          <w:sz w:val="32"/>
          <w:szCs w:val="32"/>
          <w:highlight w:val="none"/>
          <w:lang w:val="zh-CN"/>
        </w:rPr>
        <w:t>元，较年初增长</w:t>
      </w:r>
      <w:r>
        <w:rPr>
          <w:rFonts w:hint="default" w:ascii="Times New Roman" w:hAnsi="Times New Roman" w:eastAsia="仿宋_GB2312" w:cs="Times New Roman"/>
          <w:color w:val="auto"/>
          <w:sz w:val="32"/>
          <w:szCs w:val="32"/>
          <w:highlight w:val="none"/>
          <w:lang w:val="en-US" w:eastAsia="zh-CN"/>
        </w:rPr>
        <w:t>61.28</w:t>
      </w:r>
      <w:r>
        <w:rPr>
          <w:rFonts w:hint="default" w:ascii="Times New Roman" w:hAnsi="Times New Roman" w:eastAsia="仿宋_GB2312" w:cs="Times New Roman"/>
          <w:color w:val="auto"/>
          <w:sz w:val="32"/>
          <w:szCs w:val="32"/>
          <w:highlight w:val="none"/>
          <w:lang w:val="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lang w:val="zh-CN" w:eastAsia="zh-CN"/>
        </w:rPr>
        <w:t>（四）规范国资监管，深化国企改革发展。</w:t>
      </w:r>
      <w:r>
        <w:rPr>
          <w:rFonts w:hint="default" w:ascii="Times New Roman" w:hAnsi="Times New Roman" w:eastAsia="仿宋_GB2312" w:cs="Times New Roman"/>
          <w:color w:val="auto"/>
          <w:sz w:val="32"/>
          <w:szCs w:val="32"/>
          <w:highlight w:val="none"/>
        </w:rPr>
        <w:t>坚持从严监管与激发活力并重，提升国有资产运营效益，推动国资国企高质量发展。</w:t>
      </w:r>
      <w:r>
        <w:rPr>
          <w:rFonts w:hint="default" w:ascii="Times New Roman" w:hAnsi="Times New Roman" w:eastAsia="仿宋_GB2312" w:cs="Times New Roman"/>
          <w:b/>
          <w:bCs/>
          <w:color w:val="auto"/>
          <w:sz w:val="32"/>
          <w:szCs w:val="32"/>
          <w:highlight w:val="none"/>
          <w:lang w:eastAsia="zh-CN"/>
        </w:rPr>
        <w:t>一</w:t>
      </w:r>
      <w:r>
        <w:rPr>
          <w:rFonts w:hint="default" w:ascii="Times New Roman" w:hAnsi="Times New Roman" w:eastAsia="仿宋_GB2312" w:cs="Times New Roman"/>
          <w:b/>
          <w:bCs/>
          <w:color w:val="auto"/>
          <w:sz w:val="32"/>
          <w:szCs w:val="32"/>
          <w:highlight w:val="none"/>
        </w:rPr>
        <w:t>是健全考核激励机制。</w:t>
      </w:r>
      <w:r>
        <w:rPr>
          <w:rFonts w:hint="default" w:ascii="Times New Roman" w:hAnsi="Times New Roman" w:eastAsia="仿宋_GB2312" w:cs="Times New Roman"/>
          <w:color w:val="auto"/>
          <w:sz w:val="32"/>
          <w:szCs w:val="32"/>
          <w:highlight w:val="none"/>
        </w:rPr>
        <w:t>完成县属国企负责人202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年度经营业绩考核，制定2025年度考核方案，推行“岗位+绩效”薪酬体系，</w:t>
      </w:r>
      <w:r>
        <w:rPr>
          <w:rFonts w:hint="default" w:ascii="Times New Roman" w:hAnsi="Times New Roman" w:eastAsia="仿宋_GB2312" w:cs="Times New Roman"/>
          <w:color w:val="auto"/>
          <w:sz w:val="32"/>
          <w:szCs w:val="32"/>
          <w:highlight w:val="none"/>
          <w:lang w:val="en-US" w:eastAsia="zh-CN"/>
        </w:rPr>
        <w:t>核定2025年下半年工资总额</w:t>
      </w:r>
      <w:r>
        <w:rPr>
          <w:rFonts w:hint="default" w:ascii="Times New Roman" w:hAnsi="Times New Roman" w:eastAsia="仿宋_GB2312" w:cs="Times New Roman"/>
          <w:color w:val="auto"/>
          <w:kern w:val="0"/>
          <w:sz w:val="32"/>
          <w:szCs w:val="32"/>
          <w:highlight w:val="none"/>
          <w:lang w:val="en-US" w:eastAsia="zh-CN"/>
        </w:rPr>
        <w:t>322.79</w:t>
      </w:r>
      <w:r>
        <w:rPr>
          <w:rFonts w:hint="default" w:ascii="Times New Roman" w:hAnsi="Times New Roman" w:eastAsia="仿宋_GB2312" w:cs="Times New Roman"/>
          <w:color w:val="auto"/>
          <w:sz w:val="32"/>
          <w:szCs w:val="32"/>
          <w:highlight w:val="none"/>
          <w:lang w:val="en-US" w:eastAsia="zh-CN"/>
        </w:rPr>
        <w:t>万元，</w:t>
      </w:r>
      <w:r>
        <w:rPr>
          <w:rFonts w:hint="default" w:ascii="Times New Roman" w:hAnsi="Times New Roman" w:eastAsia="仿宋_GB2312" w:cs="Times New Roman"/>
          <w:color w:val="auto"/>
          <w:sz w:val="32"/>
          <w:szCs w:val="32"/>
          <w:highlight w:val="none"/>
        </w:rPr>
        <w:t>以考核“指挥棒”激发企业活力。</w:t>
      </w:r>
      <w:r>
        <w:rPr>
          <w:rFonts w:hint="default" w:ascii="Times New Roman" w:hAnsi="Times New Roman" w:eastAsia="仿宋_GB2312" w:cs="Times New Roman"/>
          <w:b/>
          <w:bCs/>
          <w:color w:val="auto"/>
          <w:sz w:val="32"/>
          <w:szCs w:val="32"/>
          <w:highlight w:val="none"/>
          <w:lang w:eastAsia="zh-CN"/>
        </w:rPr>
        <w:t>二</w:t>
      </w:r>
      <w:r>
        <w:rPr>
          <w:rFonts w:hint="default" w:ascii="Times New Roman" w:hAnsi="Times New Roman" w:eastAsia="仿宋_GB2312" w:cs="Times New Roman"/>
          <w:b/>
          <w:bCs/>
          <w:color w:val="auto"/>
          <w:sz w:val="32"/>
          <w:szCs w:val="32"/>
          <w:highlight w:val="none"/>
        </w:rPr>
        <w:t>是</w:t>
      </w:r>
      <w:r>
        <w:rPr>
          <w:rFonts w:hint="default" w:ascii="Times New Roman" w:hAnsi="Times New Roman" w:eastAsia="仿宋_GB2312" w:cs="Times New Roman"/>
          <w:b/>
          <w:bCs/>
          <w:color w:val="auto"/>
          <w:sz w:val="32"/>
          <w:szCs w:val="32"/>
          <w:highlight w:val="none"/>
          <w:lang w:eastAsia="zh-CN"/>
        </w:rPr>
        <w:t>落实</w:t>
      </w:r>
      <w:r>
        <w:rPr>
          <w:rFonts w:hint="default" w:ascii="Times New Roman" w:hAnsi="Times New Roman" w:eastAsia="仿宋_GB2312" w:cs="Times New Roman"/>
          <w:b/>
          <w:bCs/>
          <w:color w:val="auto"/>
          <w:sz w:val="32"/>
          <w:szCs w:val="32"/>
          <w:highlight w:val="none"/>
          <w:lang w:val="en-US" w:eastAsia="zh-CN"/>
        </w:rPr>
        <w:t>国有</w:t>
      </w:r>
      <w:r>
        <w:rPr>
          <w:rFonts w:hint="default" w:ascii="Times New Roman" w:hAnsi="Times New Roman" w:eastAsia="仿宋_GB2312" w:cs="Times New Roman"/>
          <w:b/>
          <w:bCs/>
          <w:color w:val="auto"/>
          <w:sz w:val="32"/>
          <w:szCs w:val="32"/>
          <w:highlight w:val="none"/>
        </w:rPr>
        <w:t>资本</w:t>
      </w:r>
      <w:r>
        <w:rPr>
          <w:rFonts w:hint="default" w:ascii="Times New Roman" w:hAnsi="Times New Roman" w:eastAsia="仿宋_GB2312" w:cs="Times New Roman"/>
          <w:b/>
          <w:bCs/>
          <w:color w:val="auto"/>
          <w:sz w:val="32"/>
          <w:szCs w:val="32"/>
          <w:highlight w:val="none"/>
          <w:lang w:val="en-US" w:eastAsia="zh-CN"/>
        </w:rPr>
        <w:t>经营</w:t>
      </w:r>
      <w:r>
        <w:rPr>
          <w:rFonts w:hint="default" w:ascii="Times New Roman" w:hAnsi="Times New Roman" w:eastAsia="仿宋_GB2312" w:cs="Times New Roman"/>
          <w:b/>
          <w:bCs/>
          <w:color w:val="auto"/>
          <w:sz w:val="32"/>
          <w:szCs w:val="32"/>
          <w:highlight w:val="none"/>
        </w:rPr>
        <w:t>预算制度。</w:t>
      </w:r>
      <w:r>
        <w:rPr>
          <w:rFonts w:hint="default" w:ascii="Times New Roman" w:hAnsi="Times New Roman" w:eastAsia="仿宋_GB2312" w:cs="Times New Roman"/>
          <w:color w:val="auto"/>
          <w:sz w:val="32"/>
          <w:szCs w:val="32"/>
          <w:highlight w:val="none"/>
          <w:lang w:val="en-US" w:eastAsia="zh-CN"/>
        </w:rPr>
        <w:t>完成国有资本经营收入11.17万元，同比增加6.17万元，增长123.4%。</w:t>
      </w:r>
      <w:r>
        <w:rPr>
          <w:rFonts w:hint="default" w:ascii="Times New Roman" w:hAnsi="Times New Roman" w:eastAsia="仿宋_GB2312" w:cs="Times New Roman"/>
          <w:b/>
          <w:bCs/>
          <w:color w:val="auto"/>
          <w:sz w:val="32"/>
          <w:szCs w:val="32"/>
          <w:highlight w:val="none"/>
          <w:lang w:eastAsia="zh-CN"/>
        </w:rPr>
        <w:t>三</w:t>
      </w:r>
      <w:r>
        <w:rPr>
          <w:rFonts w:hint="default" w:ascii="Times New Roman" w:hAnsi="Times New Roman" w:eastAsia="仿宋_GB2312" w:cs="Times New Roman"/>
          <w:b/>
          <w:bCs/>
          <w:color w:val="auto"/>
          <w:sz w:val="32"/>
          <w:szCs w:val="32"/>
          <w:highlight w:val="none"/>
        </w:rPr>
        <w:t>是壮大国企资产规模。</w:t>
      </w:r>
      <w:r>
        <w:rPr>
          <w:rFonts w:hint="default" w:ascii="Times New Roman" w:hAnsi="Times New Roman" w:eastAsia="仿宋_GB2312" w:cs="Times New Roman"/>
          <w:b w:val="0"/>
          <w:bCs w:val="0"/>
          <w:color w:val="auto"/>
          <w:sz w:val="32"/>
          <w:szCs w:val="32"/>
          <w:highlight w:val="none"/>
          <w:lang w:eastAsia="zh-CN"/>
        </w:rPr>
        <w:t>预计</w:t>
      </w:r>
      <w:r>
        <w:rPr>
          <w:rFonts w:hint="default" w:ascii="Times New Roman" w:hAnsi="Times New Roman" w:eastAsia="仿宋_GB2312" w:cs="Times New Roman"/>
          <w:b w:val="0"/>
          <w:bCs w:val="0"/>
          <w:color w:val="auto"/>
          <w:sz w:val="32"/>
          <w:szCs w:val="32"/>
          <w:highlight w:val="none"/>
        </w:rPr>
        <w:t>县国</w:t>
      </w:r>
      <w:r>
        <w:rPr>
          <w:rFonts w:hint="default" w:ascii="Times New Roman" w:hAnsi="Times New Roman" w:eastAsia="仿宋_GB2312" w:cs="Times New Roman"/>
          <w:color w:val="auto"/>
          <w:sz w:val="32"/>
          <w:szCs w:val="32"/>
          <w:highlight w:val="none"/>
        </w:rPr>
        <w:t>资公司</w:t>
      </w:r>
      <w:r>
        <w:rPr>
          <w:rFonts w:hint="default" w:ascii="Times New Roman" w:hAnsi="Times New Roman" w:eastAsia="仿宋_GB2312" w:cs="Times New Roman"/>
          <w:color w:val="auto"/>
          <w:sz w:val="32"/>
          <w:szCs w:val="32"/>
          <w:highlight w:val="none"/>
          <w:lang w:eastAsia="zh-CN"/>
        </w:rPr>
        <w:t>全年</w:t>
      </w:r>
      <w:r>
        <w:rPr>
          <w:rFonts w:hint="default" w:ascii="Times New Roman" w:hAnsi="Times New Roman" w:eastAsia="仿宋_GB2312" w:cs="Times New Roman"/>
          <w:color w:val="auto"/>
          <w:sz w:val="32"/>
          <w:szCs w:val="32"/>
          <w:highlight w:val="none"/>
        </w:rPr>
        <w:t>资产总额33557.25万元，负债总额21860.37万元，所有者权益11696.88万元，营业总收入20157.91万元，净利润920.63万元，实现国有资产保值增值。</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val="zh-CN" w:eastAsia="zh-CN"/>
        </w:rPr>
        <w:t>（五）加强队伍建设，提升专业履职能力。</w:t>
      </w:r>
      <w:r>
        <w:rPr>
          <w:rFonts w:hint="default" w:ascii="Times New Roman" w:hAnsi="Times New Roman" w:eastAsia="仿宋_GB2312" w:cs="Times New Roman"/>
          <w:color w:val="auto"/>
          <w:sz w:val="32"/>
          <w:szCs w:val="32"/>
          <w:highlight w:val="none"/>
        </w:rPr>
        <w:t>坚持政治引领与业务提升相结合，多措并举锻造高素质财政队伍。</w:t>
      </w:r>
      <w:r>
        <w:rPr>
          <w:rFonts w:hint="default" w:ascii="Times New Roman" w:hAnsi="Times New Roman" w:eastAsia="仿宋_GB2312" w:cs="Times New Roman"/>
          <w:b/>
          <w:bCs w:val="0"/>
          <w:color w:val="auto"/>
          <w:sz w:val="32"/>
          <w:szCs w:val="32"/>
          <w:highlight w:val="none"/>
        </w:rPr>
        <w:t>一是</w:t>
      </w:r>
      <w:r>
        <w:rPr>
          <w:rFonts w:hint="default" w:ascii="Times New Roman" w:hAnsi="Times New Roman" w:eastAsia="仿宋_GB2312" w:cs="Times New Roman"/>
          <w:b/>
          <w:bCs w:val="0"/>
          <w:color w:val="auto"/>
          <w:sz w:val="32"/>
          <w:szCs w:val="32"/>
          <w:highlight w:val="none"/>
          <w:lang w:val="en-US" w:eastAsia="zh-CN"/>
        </w:rPr>
        <w:t>打造过硬财政队伍。</w:t>
      </w:r>
      <w:r>
        <w:rPr>
          <w:rFonts w:hint="default" w:ascii="Times New Roman" w:hAnsi="Times New Roman" w:eastAsia="仿宋_GB2312" w:cs="Times New Roman"/>
          <w:color w:val="auto"/>
          <w:sz w:val="32"/>
          <w:szCs w:val="32"/>
          <w:highlight w:val="none"/>
          <w:lang w:val="en-US" w:eastAsia="zh-CN"/>
        </w:rPr>
        <w:t>举办“壤塘县业财融合培训”等5批次专项培训班，覆盖700余人次，全面提升财务人员、项目专干综合能力。</w:t>
      </w:r>
      <w:r>
        <w:rPr>
          <w:rFonts w:hint="default" w:ascii="Times New Roman" w:hAnsi="Times New Roman" w:eastAsia="仿宋_GB2312" w:cs="Times New Roman"/>
          <w:b/>
          <w:bCs/>
          <w:color w:val="auto"/>
          <w:sz w:val="32"/>
          <w:szCs w:val="32"/>
          <w:highlight w:val="none"/>
          <w:lang w:val="en-US" w:eastAsia="zh-CN"/>
        </w:rPr>
        <w:t>二是建立财政“一人两师”培养新机制。</w:t>
      </w:r>
      <w:r>
        <w:rPr>
          <w:rFonts w:hint="default" w:ascii="Times New Roman" w:hAnsi="Times New Roman" w:eastAsia="仿宋_GB2312" w:cs="Times New Roman"/>
          <w:color w:val="auto"/>
          <w:sz w:val="32"/>
          <w:szCs w:val="32"/>
          <w:highlight w:val="none"/>
          <w:lang w:val="en-US" w:eastAsia="zh-CN"/>
        </w:rPr>
        <w:t>结合财政干部年轻化，以“支出股室懂项目、项目股室懂支出”为目标，分别为9名新进人员配备1名主业老师和1名辅业老师。</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rPr>
        <w:t>各位代表：</w:t>
      </w:r>
      <w:r>
        <w:rPr>
          <w:rFonts w:hint="default" w:ascii="Times New Roman" w:hAnsi="Times New Roman" w:eastAsia="仿宋_GB2312" w:cs="Times New Roman"/>
          <w:b w:val="0"/>
          <w:bCs w:val="0"/>
          <w:color w:val="auto"/>
          <w:sz w:val="32"/>
          <w:szCs w:val="32"/>
          <w:highlight w:val="none"/>
        </w:rPr>
        <w:t>2025年我县财政预算执行稳健向好，重点领域保障有力，地方一般公共预算收入实现突破，这离不开</w:t>
      </w:r>
      <w:r>
        <w:rPr>
          <w:rFonts w:hint="default" w:ascii="Times New Roman" w:hAnsi="Times New Roman" w:eastAsia="仿宋_GB2312" w:cs="Times New Roman"/>
          <w:b w:val="0"/>
          <w:bCs w:val="0"/>
          <w:color w:val="auto"/>
          <w:sz w:val="32"/>
          <w:szCs w:val="32"/>
          <w:highlight w:val="none"/>
          <w:lang w:eastAsia="zh-CN"/>
        </w:rPr>
        <w:t>县委</w:t>
      </w:r>
      <w:r>
        <w:rPr>
          <w:rFonts w:hint="default" w:ascii="Times New Roman" w:hAnsi="Times New Roman" w:eastAsia="仿宋_GB2312" w:cs="Times New Roman"/>
          <w:b w:val="0"/>
          <w:bCs w:val="0"/>
          <w:color w:val="auto"/>
          <w:sz w:val="32"/>
          <w:szCs w:val="32"/>
          <w:highlight w:val="none"/>
        </w:rPr>
        <w:t>坚强领导，县人大</w:t>
      </w:r>
      <w:r>
        <w:rPr>
          <w:rFonts w:hint="default" w:ascii="Times New Roman" w:hAnsi="Times New Roman" w:eastAsia="仿宋_GB2312" w:cs="Times New Roman"/>
          <w:b w:val="0"/>
          <w:bCs w:val="0"/>
          <w:color w:val="auto"/>
          <w:sz w:val="32"/>
          <w:szCs w:val="32"/>
          <w:highlight w:val="none"/>
          <w:lang w:eastAsia="zh-CN"/>
        </w:rPr>
        <w:t>及其常委会</w:t>
      </w:r>
      <w:r>
        <w:rPr>
          <w:rFonts w:hint="default" w:ascii="Times New Roman" w:hAnsi="Times New Roman" w:eastAsia="仿宋_GB2312" w:cs="Times New Roman"/>
          <w:b w:val="0"/>
          <w:bCs w:val="0"/>
          <w:color w:val="auto"/>
          <w:sz w:val="32"/>
          <w:szCs w:val="32"/>
          <w:highlight w:val="none"/>
        </w:rPr>
        <w:t>、县政协监督指导及社会各界鼎力支持，在此深表感谢！</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同时我们清醒认识到，我县财政仍面临</w:t>
      </w:r>
      <w:r>
        <w:rPr>
          <w:rFonts w:hint="default" w:ascii="Times New Roman" w:hAnsi="Times New Roman" w:eastAsia="仿宋_GB2312" w:cs="Times New Roman"/>
          <w:b w:val="0"/>
          <w:bCs w:val="0"/>
          <w:color w:val="auto"/>
          <w:sz w:val="32"/>
          <w:szCs w:val="32"/>
          <w:highlight w:val="none"/>
          <w:lang w:val="en-US" w:eastAsia="zh-CN"/>
        </w:rPr>
        <w:t>巨大</w:t>
      </w:r>
      <w:r>
        <w:rPr>
          <w:rFonts w:hint="default" w:ascii="Times New Roman" w:hAnsi="Times New Roman" w:eastAsia="仿宋_GB2312" w:cs="Times New Roman"/>
          <w:b w:val="0"/>
          <w:bCs w:val="0"/>
          <w:color w:val="auto"/>
          <w:sz w:val="32"/>
          <w:szCs w:val="32"/>
          <w:highlight w:val="none"/>
        </w:rPr>
        <w:t>挑战：经济底子薄、产业单一，</w:t>
      </w:r>
      <w:r>
        <w:rPr>
          <w:rFonts w:hint="default" w:ascii="Times New Roman" w:hAnsi="Times New Roman" w:eastAsia="仿宋_GB2312" w:cs="Times New Roman"/>
          <w:b w:val="0"/>
          <w:bCs w:val="0"/>
          <w:color w:val="auto"/>
          <w:sz w:val="32"/>
          <w:szCs w:val="32"/>
          <w:highlight w:val="none"/>
          <w:lang w:val="en-US" w:eastAsia="zh-CN"/>
        </w:rPr>
        <w:t>收入总量小、结构不优</w:t>
      </w:r>
      <w:r>
        <w:rPr>
          <w:rFonts w:hint="default" w:ascii="Times New Roman" w:hAnsi="Times New Roman" w:eastAsia="仿宋_GB2312" w:cs="Times New Roman"/>
          <w:b w:val="0"/>
          <w:bCs w:val="0"/>
          <w:color w:val="auto"/>
          <w:sz w:val="32"/>
          <w:szCs w:val="32"/>
          <w:highlight w:val="none"/>
        </w:rPr>
        <w:t>，过度依赖上级转移支付，“三保”及乡村振兴、民生等重点领域刚性支出压力持续增大</w:t>
      </w:r>
      <w:r>
        <w:rPr>
          <w:rFonts w:hint="default" w:ascii="Times New Roman" w:hAnsi="Times New Roman" w:eastAsia="仿宋_GB2312" w:cs="Times New Roman"/>
          <w:b w:val="0"/>
          <w:bCs w:val="0"/>
          <w:color w:val="auto"/>
          <w:sz w:val="32"/>
          <w:szCs w:val="32"/>
          <w:highlight w:val="none"/>
          <w:lang w:eastAsia="zh-CN"/>
        </w:rPr>
        <w:t>，预算绩效管理有待进一步深化，资金使用效益有待进一步提升。</w:t>
      </w:r>
      <w:r>
        <w:rPr>
          <w:rFonts w:hint="default" w:ascii="Times New Roman" w:hAnsi="Times New Roman" w:eastAsia="仿宋_GB2312" w:cs="Times New Roman"/>
          <w:b w:val="0"/>
          <w:bCs w:val="0"/>
          <w:color w:val="auto"/>
          <w:sz w:val="32"/>
          <w:szCs w:val="32"/>
          <w:highlight w:val="none"/>
          <w:lang w:val="en-US" w:eastAsia="zh-CN"/>
        </w:rPr>
        <w:t>为此，</w:t>
      </w:r>
      <w:r>
        <w:rPr>
          <w:rFonts w:hint="default" w:ascii="Times New Roman" w:hAnsi="Times New Roman" w:eastAsia="仿宋_GB2312" w:cs="Times New Roman"/>
          <w:b w:val="0"/>
          <w:bCs w:val="0"/>
          <w:color w:val="auto"/>
          <w:sz w:val="32"/>
          <w:szCs w:val="32"/>
          <w:highlight w:val="none"/>
        </w:rPr>
        <w:t>我们将诚恳听取各位代表意见建议，</w:t>
      </w:r>
      <w:r>
        <w:rPr>
          <w:rFonts w:hint="default" w:ascii="Times New Roman" w:hAnsi="Times New Roman" w:eastAsia="仿宋_GB2312" w:cs="Times New Roman"/>
          <w:b w:val="0"/>
          <w:bCs w:val="0"/>
          <w:color w:val="auto"/>
          <w:sz w:val="32"/>
          <w:szCs w:val="32"/>
          <w:highlight w:val="none"/>
          <w:lang w:eastAsia="zh-CN"/>
        </w:rPr>
        <w:t>进一步</w:t>
      </w:r>
      <w:r>
        <w:rPr>
          <w:rFonts w:hint="default" w:ascii="Times New Roman" w:hAnsi="Times New Roman" w:eastAsia="仿宋_GB2312" w:cs="Times New Roman"/>
          <w:b w:val="0"/>
          <w:bCs w:val="0"/>
          <w:color w:val="auto"/>
          <w:sz w:val="32"/>
          <w:szCs w:val="32"/>
          <w:highlight w:val="none"/>
        </w:rPr>
        <w:t>深化财税体制改革，着力培育税源、优化支出结构、提升管理效能，全力破解难题，为县域高质量发展提供坚实财政保障。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firstLine="720" w:firstLineChars="200"/>
        <w:jc w:val="center"/>
        <w:textAlignment w:val="auto"/>
        <w:rPr>
          <w:rFonts w:hint="default" w:ascii="Times New Roman" w:hAnsi="Times New Roman" w:eastAsia="方正小标宋_GBK" w:cs="Times New Roman"/>
          <w:bCs/>
          <w:color w:val="auto"/>
          <w:kern w:val="0"/>
          <w:sz w:val="36"/>
          <w:szCs w:val="36"/>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color w:val="auto"/>
          <w:kern w:val="0"/>
          <w:sz w:val="36"/>
          <w:szCs w:val="36"/>
          <w:highlight w:val="none"/>
          <w:lang w:val="en-US" w:eastAsia="zh-CN"/>
        </w:rPr>
      </w:pPr>
      <w:r>
        <w:rPr>
          <w:rFonts w:hint="default" w:ascii="Times New Roman" w:hAnsi="Times New Roman" w:eastAsia="方正小标宋_GBK" w:cs="Times New Roman"/>
          <w:bCs/>
          <w:color w:val="auto"/>
          <w:kern w:val="0"/>
          <w:sz w:val="36"/>
          <w:szCs w:val="36"/>
          <w:highlight w:val="none"/>
          <w:lang w:val="en-US" w:eastAsia="zh-CN"/>
        </w:rPr>
        <w:t>2026年财政预算草案</w:t>
      </w:r>
    </w:p>
    <w:p>
      <w:pPr>
        <w:keepNext w:val="0"/>
        <w:keepLines w:val="0"/>
        <w:pageBreakBefore w:val="0"/>
        <w:widowControl w:val="0"/>
        <w:kinsoku/>
        <w:wordWrap/>
        <w:overflowPunct w:val="0"/>
        <w:topLinePunct w:val="0"/>
        <w:autoSpaceDE/>
        <w:autoSpaceDN/>
        <w:bidi w:val="0"/>
        <w:adjustRightInd/>
        <w:snapToGrid/>
        <w:spacing w:line="560" w:lineRule="exact"/>
        <w:ind w:firstLine="720" w:firstLineChars="200"/>
        <w:jc w:val="center"/>
        <w:textAlignment w:val="auto"/>
        <w:rPr>
          <w:rFonts w:hint="default" w:ascii="Times New Roman" w:hAnsi="Times New Roman" w:eastAsia="方正小标宋_GBK" w:cs="Times New Roman"/>
          <w:bCs/>
          <w:color w:val="auto"/>
          <w:kern w:val="0"/>
          <w:sz w:val="36"/>
          <w:szCs w:val="36"/>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lang w:val="en-US"/>
        </w:rPr>
      </w:pPr>
      <w:r>
        <w:rPr>
          <w:rFonts w:hint="default" w:ascii="Times New Roman" w:hAnsi="Times New Roman" w:eastAsia="仿宋_GB2312" w:cs="Times New Roman"/>
          <w:b/>
          <w:bCs/>
          <w:color w:val="auto"/>
          <w:sz w:val="32"/>
          <w:szCs w:val="32"/>
          <w:highlight w:val="none"/>
        </w:rPr>
        <w:t>总体要求和原则：</w:t>
      </w:r>
      <w:r>
        <w:rPr>
          <w:rFonts w:hint="default" w:ascii="Times New Roman" w:hAnsi="Times New Roman" w:eastAsia="仿宋_GB2312" w:cs="Times New Roman"/>
          <w:b w:val="0"/>
          <w:bCs w:val="0"/>
          <w:color w:val="auto"/>
          <w:sz w:val="32"/>
          <w:szCs w:val="32"/>
          <w:highlight w:val="none"/>
          <w:lang w:val="en-US"/>
        </w:rPr>
        <w:t>2026年，我们始终以习近平新时代中国特色社会主义思想为指导，深入贯彻党的二十届四中全会精神，紧扣县委确定的经济社会发展预期目标与重点任务</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rPr>
        <w:t>坚持积极财政政策导向</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rPr>
        <w:t>坚决兜牢“三保”支出底线，全面深化零基预算改革</w:t>
      </w:r>
      <w:r>
        <w:rPr>
          <w:rFonts w:hint="default" w:ascii="Times New Roman" w:hAnsi="Times New Roman" w:eastAsia="仿宋_GB2312" w:cs="Times New Roman"/>
          <w:b w:val="0"/>
          <w:bCs w:val="0"/>
          <w:color w:val="auto"/>
          <w:sz w:val="32"/>
          <w:szCs w:val="32"/>
          <w:highlight w:val="none"/>
          <w:lang w:val="en-US" w:eastAsia="zh-CN"/>
        </w:rPr>
        <w:t>，集中财力办大事</w:t>
      </w:r>
      <w:r>
        <w:rPr>
          <w:rFonts w:hint="default" w:ascii="Times New Roman" w:hAnsi="Times New Roman" w:eastAsia="仿宋_GB2312" w:cs="Times New Roman"/>
          <w:b w:val="0"/>
          <w:bCs w:val="0"/>
          <w:color w:val="auto"/>
          <w:sz w:val="32"/>
          <w:szCs w:val="32"/>
          <w:highlight w:val="none"/>
          <w:lang w:val="en-US"/>
        </w:rPr>
        <w:t>，提升</w:t>
      </w:r>
      <w:r>
        <w:rPr>
          <w:rFonts w:hint="default" w:ascii="Times New Roman" w:hAnsi="Times New Roman" w:eastAsia="仿宋_GB2312" w:cs="Times New Roman"/>
          <w:b w:val="0"/>
          <w:bCs w:val="0"/>
          <w:color w:val="auto"/>
          <w:sz w:val="32"/>
          <w:szCs w:val="32"/>
          <w:highlight w:val="none"/>
          <w:lang w:val="en-US" w:eastAsia="zh-CN"/>
        </w:rPr>
        <w:t>财政资源</w:t>
      </w:r>
      <w:r>
        <w:rPr>
          <w:rFonts w:hint="default" w:ascii="Times New Roman" w:hAnsi="Times New Roman" w:eastAsia="仿宋_GB2312" w:cs="Times New Roman"/>
          <w:b w:val="0"/>
          <w:bCs w:val="0"/>
          <w:color w:val="auto"/>
          <w:sz w:val="32"/>
          <w:szCs w:val="32"/>
          <w:highlight w:val="none"/>
          <w:lang w:val="en-US"/>
        </w:rPr>
        <w:t>配置效能。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snapToGrid w:val="0"/>
          <w:color w:val="auto"/>
          <w:kern w:val="0"/>
          <w:sz w:val="32"/>
          <w:szCs w:val="32"/>
          <w:highlight w:val="none"/>
          <w:lang w:val="en-US" w:eastAsia="zh-CN"/>
        </w:rPr>
        <w:t>一</w:t>
      </w:r>
      <w:r>
        <w:rPr>
          <w:rFonts w:hint="default" w:ascii="Times New Roman" w:hAnsi="Times New Roman" w:eastAsia="黑体" w:cs="Times New Roman"/>
          <w:snapToGrid w:val="0"/>
          <w:color w:val="auto"/>
          <w:kern w:val="0"/>
          <w:sz w:val="32"/>
          <w:szCs w:val="32"/>
          <w:highlight w:val="none"/>
        </w:rPr>
        <w:t>、</w:t>
      </w:r>
      <w:r>
        <w:rPr>
          <w:rFonts w:hint="default" w:ascii="Times New Roman" w:hAnsi="Times New Roman" w:eastAsia="黑体" w:cs="Times New Roman"/>
          <w:snapToGrid w:val="0"/>
          <w:color w:val="auto"/>
          <w:kern w:val="0"/>
          <w:sz w:val="32"/>
          <w:szCs w:val="32"/>
          <w:highlight w:val="none"/>
          <w:lang w:eastAsia="zh-CN"/>
        </w:rPr>
        <w:t>2026</w:t>
      </w:r>
      <w:r>
        <w:rPr>
          <w:rFonts w:hint="default" w:ascii="Times New Roman" w:hAnsi="Times New Roman" w:eastAsia="黑体" w:cs="Times New Roman"/>
          <w:snapToGrid w:val="0"/>
          <w:color w:val="auto"/>
          <w:kern w:val="0"/>
          <w:sz w:val="32"/>
          <w:szCs w:val="32"/>
          <w:highlight w:val="none"/>
        </w:rPr>
        <w:t>年财政预算（草案）</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楷体_GB2312" w:cs="Times New Roman"/>
          <w:b/>
          <w:color w:val="auto"/>
          <w:sz w:val="32"/>
          <w:szCs w:val="32"/>
          <w:highlight w:val="none"/>
          <w:lang w:val="zh-CN" w:eastAsia="zh-CN"/>
        </w:rPr>
        <w:t>（一）一般公共预算。</w:t>
      </w:r>
      <w:r>
        <w:rPr>
          <w:rFonts w:hint="default" w:ascii="Times New Roman" w:hAnsi="Times New Roman" w:eastAsia="仿宋_GB2312" w:cs="Times New Roman"/>
          <w:color w:val="auto"/>
          <w:sz w:val="32"/>
          <w:szCs w:val="32"/>
          <w:highlight w:val="none"/>
          <w:lang w:val="zh-CN"/>
        </w:rPr>
        <w:t>2026年地方一般公共预算收入预算数</w:t>
      </w:r>
      <w:r>
        <w:rPr>
          <w:rFonts w:hint="default" w:ascii="Times New Roman" w:hAnsi="Times New Roman" w:eastAsia="仿宋_GB2312" w:cs="Times New Roman"/>
          <w:color w:val="auto"/>
          <w:sz w:val="32"/>
          <w:szCs w:val="32"/>
          <w:highlight w:val="none"/>
          <w:lang w:val="en-US" w:eastAsia="zh-CN"/>
        </w:rPr>
        <w:t>14605</w:t>
      </w:r>
      <w:r>
        <w:rPr>
          <w:rFonts w:hint="default" w:ascii="Times New Roman" w:hAnsi="Times New Roman" w:eastAsia="仿宋_GB2312" w:cs="Times New Roman"/>
          <w:color w:val="auto"/>
          <w:sz w:val="32"/>
          <w:szCs w:val="32"/>
          <w:highlight w:val="none"/>
          <w:lang w:val="zh-CN"/>
        </w:rPr>
        <w:t>万元，同比增长</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zh-CN"/>
        </w:rPr>
        <w:t>%，其中：税收收入</w:t>
      </w:r>
      <w:r>
        <w:rPr>
          <w:rFonts w:hint="default" w:ascii="Times New Roman" w:hAnsi="Times New Roman" w:eastAsia="仿宋_GB2312" w:cs="Times New Roman"/>
          <w:color w:val="auto"/>
          <w:sz w:val="32"/>
          <w:szCs w:val="32"/>
          <w:highlight w:val="none"/>
          <w:lang w:val="en-US" w:eastAsia="zh-CN"/>
        </w:rPr>
        <w:t>6681</w:t>
      </w:r>
      <w:r>
        <w:rPr>
          <w:rFonts w:hint="default" w:ascii="Times New Roman" w:hAnsi="Times New Roman" w:eastAsia="仿宋_GB2312" w:cs="Times New Roman"/>
          <w:color w:val="auto"/>
          <w:sz w:val="32"/>
          <w:szCs w:val="32"/>
          <w:highlight w:val="none"/>
          <w:lang w:val="zh-CN"/>
        </w:rPr>
        <w:t>万元，非税收入</w:t>
      </w:r>
      <w:r>
        <w:rPr>
          <w:rFonts w:hint="default" w:ascii="Times New Roman" w:hAnsi="Times New Roman" w:eastAsia="仿宋_GB2312" w:cs="Times New Roman"/>
          <w:color w:val="auto"/>
          <w:sz w:val="32"/>
          <w:szCs w:val="32"/>
          <w:highlight w:val="none"/>
          <w:lang w:val="en-US" w:eastAsia="zh-CN"/>
        </w:rPr>
        <w:t>7924</w:t>
      </w:r>
      <w:r>
        <w:rPr>
          <w:rFonts w:hint="default" w:ascii="Times New Roman" w:hAnsi="Times New Roman" w:eastAsia="仿宋_GB2312" w:cs="Times New Roman"/>
          <w:color w:val="auto"/>
          <w:sz w:val="32"/>
          <w:szCs w:val="32"/>
          <w:highlight w:val="none"/>
          <w:lang w:val="zh-CN"/>
        </w:rPr>
        <w:t>万元。加上预估上级补助收入</w:t>
      </w:r>
      <w:r>
        <w:rPr>
          <w:rFonts w:hint="default" w:ascii="Times New Roman" w:hAnsi="Times New Roman" w:eastAsia="仿宋_GB2312" w:cs="Times New Roman"/>
          <w:color w:val="auto"/>
          <w:sz w:val="32"/>
          <w:szCs w:val="32"/>
          <w:highlight w:val="none"/>
          <w:lang w:val="en-US" w:eastAsia="zh-CN"/>
        </w:rPr>
        <w:t>93317</w:t>
      </w:r>
      <w:r>
        <w:rPr>
          <w:rFonts w:hint="default" w:ascii="Times New Roman" w:hAnsi="Times New Roman" w:eastAsia="仿宋_GB2312" w:cs="Times New Roman"/>
          <w:color w:val="auto"/>
          <w:sz w:val="32"/>
          <w:szCs w:val="32"/>
          <w:highlight w:val="none"/>
          <w:lang w:val="zh-CN"/>
        </w:rPr>
        <w:t>万元，动用预算稳定调节基金</w:t>
      </w:r>
      <w:r>
        <w:rPr>
          <w:rFonts w:hint="default" w:ascii="Times New Roman" w:hAnsi="Times New Roman" w:eastAsia="仿宋_GB2312" w:cs="Times New Roman"/>
          <w:color w:val="auto"/>
          <w:sz w:val="32"/>
          <w:szCs w:val="32"/>
          <w:highlight w:val="none"/>
          <w:lang w:val="en-US" w:eastAsia="zh-CN"/>
        </w:rPr>
        <w:t>300</w:t>
      </w:r>
      <w:r>
        <w:rPr>
          <w:rFonts w:hint="default" w:ascii="Times New Roman" w:hAnsi="Times New Roman" w:eastAsia="仿宋_GB2312" w:cs="Times New Roman"/>
          <w:color w:val="auto"/>
          <w:sz w:val="32"/>
          <w:szCs w:val="32"/>
          <w:highlight w:val="none"/>
          <w:lang w:val="zh-CN"/>
        </w:rPr>
        <w:t>万元，上年结余收入</w:t>
      </w:r>
      <w:r>
        <w:rPr>
          <w:rFonts w:hint="eastAsia" w:ascii="Times New Roman" w:hAnsi="Times New Roman" w:eastAsia="仿宋_GB2312" w:cs="Times New Roman"/>
          <w:color w:val="auto"/>
          <w:sz w:val="32"/>
          <w:szCs w:val="32"/>
          <w:highlight w:val="none"/>
          <w:lang w:val="en-US" w:eastAsia="zh-CN"/>
        </w:rPr>
        <w:t>7136</w:t>
      </w:r>
      <w:r>
        <w:rPr>
          <w:rFonts w:hint="default" w:ascii="Times New Roman" w:hAnsi="Times New Roman" w:eastAsia="仿宋_GB2312" w:cs="Times New Roman"/>
          <w:color w:val="auto"/>
          <w:sz w:val="32"/>
          <w:szCs w:val="32"/>
          <w:highlight w:val="none"/>
          <w:lang w:val="zh-CN"/>
        </w:rPr>
        <w:t>万元，收入总量</w:t>
      </w:r>
      <w:r>
        <w:rPr>
          <w:rFonts w:hint="eastAsia" w:ascii="Times New Roman" w:hAnsi="Times New Roman" w:eastAsia="仿宋_GB2312" w:cs="Times New Roman"/>
          <w:color w:val="auto"/>
          <w:sz w:val="32"/>
          <w:szCs w:val="32"/>
          <w:highlight w:val="none"/>
          <w:lang w:val="en-US" w:eastAsia="zh-CN"/>
        </w:rPr>
        <w:t>115358</w:t>
      </w:r>
      <w:bookmarkStart w:id="0" w:name="_GoBack"/>
      <w:bookmarkEnd w:id="0"/>
      <w:r>
        <w:rPr>
          <w:rFonts w:hint="default" w:ascii="Times New Roman" w:hAnsi="Times New Roman" w:eastAsia="仿宋_GB2312" w:cs="Times New Roman"/>
          <w:color w:val="auto"/>
          <w:sz w:val="32"/>
          <w:szCs w:val="32"/>
          <w:highlight w:val="none"/>
          <w:lang w:val="zh-CN"/>
        </w:rPr>
        <w:t>万元。总收入减去上解</w:t>
      </w:r>
      <w:r>
        <w:rPr>
          <w:rFonts w:hint="eastAsia" w:ascii="Times New Roman" w:hAnsi="Times New Roman" w:eastAsia="仿宋_GB2312" w:cs="Times New Roman"/>
          <w:color w:val="auto"/>
          <w:sz w:val="32"/>
          <w:szCs w:val="32"/>
          <w:highlight w:val="none"/>
          <w:lang w:val="en-US" w:eastAsia="zh-CN"/>
        </w:rPr>
        <w:t>上级</w:t>
      </w:r>
      <w:r>
        <w:rPr>
          <w:rFonts w:hint="default" w:ascii="Times New Roman" w:hAnsi="Times New Roman" w:eastAsia="仿宋_GB2312" w:cs="Times New Roman"/>
          <w:color w:val="auto"/>
          <w:sz w:val="32"/>
          <w:szCs w:val="32"/>
          <w:highlight w:val="none"/>
          <w:lang w:val="zh-CN"/>
        </w:rPr>
        <w:t>支出</w:t>
      </w:r>
      <w:r>
        <w:rPr>
          <w:rFonts w:hint="default" w:ascii="Times New Roman" w:hAnsi="Times New Roman" w:eastAsia="仿宋_GB2312" w:cs="Times New Roman"/>
          <w:color w:val="auto"/>
          <w:sz w:val="32"/>
          <w:szCs w:val="32"/>
          <w:highlight w:val="none"/>
          <w:lang w:val="en-US" w:eastAsia="zh-CN"/>
        </w:rPr>
        <w:t>28</w:t>
      </w:r>
      <w:r>
        <w:rPr>
          <w:rFonts w:hint="eastAsia"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lang w:val="zh-CN"/>
        </w:rPr>
        <w:t>万元，一般债券还本支出</w:t>
      </w:r>
      <w:r>
        <w:rPr>
          <w:rFonts w:hint="default" w:ascii="Times New Roman" w:hAnsi="Times New Roman" w:eastAsia="仿宋_GB2312" w:cs="Times New Roman"/>
          <w:color w:val="auto"/>
          <w:sz w:val="32"/>
          <w:szCs w:val="32"/>
          <w:highlight w:val="none"/>
          <w:lang w:val="en-US" w:eastAsia="zh-CN"/>
        </w:rPr>
        <w:t>449</w:t>
      </w:r>
      <w:r>
        <w:rPr>
          <w:rFonts w:hint="default" w:ascii="Times New Roman" w:hAnsi="Times New Roman" w:eastAsia="仿宋_GB2312" w:cs="Times New Roman"/>
          <w:color w:val="auto"/>
          <w:sz w:val="32"/>
          <w:szCs w:val="32"/>
          <w:highlight w:val="none"/>
          <w:lang w:val="zh-CN"/>
        </w:rPr>
        <w:t>万元，可供安排的收入为</w:t>
      </w:r>
      <w:r>
        <w:rPr>
          <w:rFonts w:hint="eastAsia" w:ascii="Times New Roman" w:hAnsi="Times New Roman" w:eastAsia="仿宋_GB2312" w:cs="Times New Roman"/>
          <w:color w:val="auto"/>
          <w:sz w:val="32"/>
          <w:szCs w:val="32"/>
          <w:highlight w:val="none"/>
          <w:lang w:val="en-US" w:eastAsia="zh-CN"/>
        </w:rPr>
        <w:t>112093</w:t>
      </w:r>
      <w:r>
        <w:rPr>
          <w:rFonts w:hint="default" w:ascii="Times New Roman" w:hAnsi="Times New Roman" w:eastAsia="仿宋_GB2312" w:cs="Times New Roman"/>
          <w:color w:val="auto"/>
          <w:sz w:val="32"/>
          <w:szCs w:val="32"/>
          <w:highlight w:val="none"/>
          <w:lang w:val="zh-CN"/>
        </w:rPr>
        <w:t>万元。按照“量入为出、收支平衡”原则，2026年一般公共预算支出安排为</w:t>
      </w:r>
      <w:r>
        <w:rPr>
          <w:rFonts w:hint="eastAsia" w:ascii="Times New Roman" w:hAnsi="Times New Roman" w:eastAsia="仿宋_GB2312" w:cs="Times New Roman"/>
          <w:color w:val="auto"/>
          <w:sz w:val="32"/>
          <w:szCs w:val="32"/>
          <w:highlight w:val="none"/>
          <w:lang w:val="en-US" w:eastAsia="zh-CN"/>
        </w:rPr>
        <w:t>112093</w:t>
      </w:r>
      <w:r>
        <w:rPr>
          <w:rFonts w:hint="default" w:ascii="Times New Roman" w:hAnsi="Times New Roman" w:eastAsia="仿宋_GB2312" w:cs="Times New Roman"/>
          <w:color w:val="auto"/>
          <w:sz w:val="32"/>
          <w:szCs w:val="32"/>
          <w:highlight w:val="none"/>
          <w:lang w:val="zh-CN"/>
        </w:rPr>
        <w:t>万元。</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lang w:val="zh-CN" w:eastAsia="zh-CN"/>
        </w:rPr>
        <w:t>（二）政府性基金预算。</w:t>
      </w:r>
      <w:r>
        <w:rPr>
          <w:rFonts w:hint="default" w:ascii="Times New Roman" w:hAnsi="Times New Roman" w:eastAsia="仿宋_GB2312" w:cs="Times New Roman"/>
          <w:color w:val="auto"/>
          <w:sz w:val="32"/>
          <w:szCs w:val="32"/>
          <w:highlight w:val="none"/>
          <w:lang w:val="zh-CN"/>
        </w:rPr>
        <w:t>2026年地方政府性基金收入预算为</w:t>
      </w:r>
      <w:r>
        <w:rPr>
          <w:rFonts w:hint="default" w:ascii="Times New Roman" w:hAnsi="Times New Roman" w:eastAsia="仿宋_GB2312" w:cs="Times New Roman"/>
          <w:color w:val="auto"/>
          <w:sz w:val="32"/>
          <w:szCs w:val="32"/>
          <w:highlight w:val="none"/>
          <w:lang w:val="en-US" w:eastAsia="zh-CN"/>
        </w:rPr>
        <w:t>1205</w:t>
      </w:r>
      <w:r>
        <w:rPr>
          <w:rFonts w:hint="default" w:ascii="Times New Roman" w:hAnsi="Times New Roman" w:eastAsia="仿宋_GB2312" w:cs="Times New Roman"/>
          <w:color w:val="auto"/>
          <w:sz w:val="32"/>
          <w:szCs w:val="32"/>
          <w:highlight w:val="none"/>
          <w:lang w:val="zh-CN"/>
        </w:rPr>
        <w:t>万元，上年结余</w:t>
      </w:r>
      <w:r>
        <w:rPr>
          <w:rFonts w:hint="eastAsia" w:ascii="Times New Roman" w:hAnsi="Times New Roman" w:eastAsia="仿宋_GB2312" w:cs="Times New Roman"/>
          <w:color w:val="auto"/>
          <w:sz w:val="32"/>
          <w:szCs w:val="32"/>
          <w:highlight w:val="none"/>
          <w:lang w:val="en-US" w:eastAsia="zh-CN"/>
        </w:rPr>
        <w:t>5323</w:t>
      </w:r>
      <w:r>
        <w:rPr>
          <w:rFonts w:hint="default" w:ascii="Times New Roman" w:hAnsi="Times New Roman" w:eastAsia="仿宋_GB2312" w:cs="Times New Roman"/>
          <w:color w:val="auto"/>
          <w:sz w:val="32"/>
          <w:szCs w:val="32"/>
          <w:highlight w:val="none"/>
          <w:lang w:val="zh-CN"/>
        </w:rPr>
        <w:t>万元，收入总量</w:t>
      </w:r>
      <w:r>
        <w:rPr>
          <w:rFonts w:hint="eastAsia" w:ascii="Times New Roman" w:hAnsi="Times New Roman" w:eastAsia="仿宋_GB2312" w:cs="Times New Roman"/>
          <w:color w:val="auto"/>
          <w:sz w:val="32"/>
          <w:szCs w:val="32"/>
          <w:highlight w:val="none"/>
          <w:lang w:val="en-US" w:eastAsia="zh-CN"/>
        </w:rPr>
        <w:t>6528</w:t>
      </w:r>
      <w:r>
        <w:rPr>
          <w:rFonts w:hint="default" w:ascii="Times New Roman" w:hAnsi="Times New Roman" w:eastAsia="仿宋_GB2312" w:cs="Times New Roman"/>
          <w:color w:val="auto"/>
          <w:sz w:val="32"/>
          <w:szCs w:val="32"/>
          <w:highlight w:val="none"/>
          <w:lang w:val="zh-CN"/>
        </w:rPr>
        <w:t>万元。按照收支平衡和对应安排原则，2026年政府性基金支出预算为</w:t>
      </w:r>
      <w:r>
        <w:rPr>
          <w:rFonts w:hint="eastAsia" w:ascii="Times New Roman" w:hAnsi="Times New Roman" w:eastAsia="仿宋_GB2312" w:cs="Times New Roman"/>
          <w:color w:val="auto"/>
          <w:sz w:val="32"/>
          <w:szCs w:val="32"/>
          <w:highlight w:val="none"/>
          <w:lang w:val="en-US" w:eastAsia="zh-CN"/>
        </w:rPr>
        <w:t>6528</w:t>
      </w:r>
      <w:r>
        <w:rPr>
          <w:rFonts w:hint="default" w:ascii="Times New Roman" w:hAnsi="Times New Roman" w:eastAsia="仿宋_GB2312" w:cs="Times New Roman"/>
          <w:color w:val="auto"/>
          <w:sz w:val="32"/>
          <w:szCs w:val="32"/>
          <w:highlight w:val="none"/>
          <w:lang w:val="zh-CN"/>
        </w:rPr>
        <w:t>万元。</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楷体_GB2312" w:cs="Times New Roman"/>
          <w:b/>
          <w:color w:val="auto"/>
          <w:sz w:val="32"/>
          <w:szCs w:val="32"/>
          <w:highlight w:val="none"/>
          <w:lang w:val="zh-CN" w:eastAsia="zh-CN"/>
        </w:rPr>
        <w:t>（三）社会保险基金预算。</w:t>
      </w:r>
      <w:r>
        <w:rPr>
          <w:rFonts w:hint="default" w:ascii="Times New Roman" w:hAnsi="Times New Roman" w:eastAsia="仿宋_GB2312" w:cs="Times New Roman"/>
          <w:color w:val="auto"/>
          <w:sz w:val="32"/>
          <w:szCs w:val="32"/>
          <w:highlight w:val="none"/>
          <w:lang w:val="zh-CN"/>
        </w:rPr>
        <w:t>自2022年起，城乡居民养老保险基金由州级统筹，县级不再编报预算。</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楷体_GB2312" w:cs="Times New Roman"/>
          <w:b/>
          <w:color w:val="auto"/>
          <w:sz w:val="32"/>
          <w:szCs w:val="32"/>
          <w:highlight w:val="none"/>
          <w:lang w:val="zh-CN" w:eastAsia="zh-CN"/>
        </w:rPr>
        <w:t>（四）国有资本经营预算</w:t>
      </w:r>
      <w:r>
        <w:rPr>
          <w:rFonts w:hint="default" w:ascii="Times New Roman" w:hAnsi="Times New Roman" w:eastAsia="楷体_GB2312" w:cs="Times New Roman"/>
          <w:b/>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zh-CN"/>
        </w:rPr>
        <w:t>2026年地方国有资本经营收入预算为</w:t>
      </w:r>
      <w:r>
        <w:rPr>
          <w:rFonts w:hint="default" w:ascii="Times New Roman" w:hAnsi="Times New Roman" w:eastAsia="楷体_GB2312" w:cs="Times New Roman"/>
          <w:color w:val="auto"/>
          <w:sz w:val="32"/>
          <w:szCs w:val="32"/>
          <w:highlight w:val="none"/>
          <w:lang w:val="zh-CN"/>
        </w:rPr>
        <w:t>5</w:t>
      </w:r>
      <w:r>
        <w:rPr>
          <w:rFonts w:hint="default" w:ascii="Times New Roman" w:hAnsi="Times New Roman" w:eastAsia="仿宋_GB2312" w:cs="Times New Roman"/>
          <w:color w:val="auto"/>
          <w:sz w:val="32"/>
          <w:szCs w:val="32"/>
          <w:highlight w:val="none"/>
          <w:lang w:val="zh-CN"/>
        </w:rPr>
        <w:t>万元，上年结余</w:t>
      </w:r>
      <w:r>
        <w:rPr>
          <w:rFonts w:hint="default" w:ascii="Times New Roman" w:hAnsi="Times New Roman" w:eastAsia="仿宋_GB2312" w:cs="Times New Roman"/>
          <w:color w:val="auto"/>
          <w:sz w:val="32"/>
          <w:szCs w:val="32"/>
          <w:highlight w:val="none"/>
          <w:lang w:val="en-US" w:eastAsia="zh-CN"/>
        </w:rPr>
        <w:t>6万元</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zh-CN"/>
        </w:rPr>
        <w:t>收入总量</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lang w:val="zh-CN"/>
        </w:rPr>
        <w:t>万元。按照收支平衡原则，2026年国有资本经营支出预算为</w:t>
      </w:r>
      <w:r>
        <w:rPr>
          <w:rFonts w:hint="default" w:ascii="Times New Roman" w:hAnsi="Times New Roman" w:eastAsia="楷体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lang w:val="zh-CN"/>
        </w:rPr>
        <w:t>万元。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napToGrid w:val="0"/>
          <w:color w:val="auto"/>
          <w:kern w:val="0"/>
          <w:sz w:val="32"/>
          <w:szCs w:val="32"/>
          <w:highlight w:val="none"/>
        </w:rPr>
      </w:pPr>
      <w:r>
        <w:rPr>
          <w:rFonts w:hint="default" w:ascii="Times New Roman" w:hAnsi="Times New Roman" w:eastAsia="黑体" w:cs="Times New Roman"/>
          <w:snapToGrid w:val="0"/>
          <w:color w:val="auto"/>
          <w:kern w:val="0"/>
          <w:sz w:val="32"/>
          <w:szCs w:val="32"/>
          <w:highlight w:val="none"/>
          <w:lang w:val="en-US" w:eastAsia="zh-CN"/>
        </w:rPr>
        <w:t>二</w:t>
      </w:r>
      <w:r>
        <w:rPr>
          <w:rFonts w:hint="default" w:ascii="Times New Roman" w:hAnsi="Times New Roman" w:eastAsia="黑体" w:cs="Times New Roman"/>
          <w:snapToGrid w:val="0"/>
          <w:color w:val="auto"/>
          <w:kern w:val="0"/>
          <w:sz w:val="32"/>
          <w:szCs w:val="32"/>
          <w:highlight w:val="none"/>
        </w:rPr>
        <w:t>、</w:t>
      </w:r>
      <w:r>
        <w:rPr>
          <w:rFonts w:hint="default" w:ascii="Times New Roman" w:hAnsi="Times New Roman" w:eastAsia="黑体" w:cs="Times New Roman"/>
          <w:snapToGrid w:val="0"/>
          <w:color w:val="auto"/>
          <w:kern w:val="0"/>
          <w:sz w:val="32"/>
          <w:szCs w:val="32"/>
          <w:highlight w:val="none"/>
          <w:lang w:eastAsia="zh-CN"/>
        </w:rPr>
        <w:t>2026</w:t>
      </w:r>
      <w:r>
        <w:rPr>
          <w:rFonts w:hint="default" w:ascii="Times New Roman" w:hAnsi="Times New Roman" w:eastAsia="黑体" w:cs="Times New Roman"/>
          <w:snapToGrid w:val="0"/>
          <w:color w:val="auto"/>
          <w:kern w:val="0"/>
          <w:sz w:val="32"/>
          <w:szCs w:val="32"/>
          <w:highlight w:val="none"/>
        </w:rPr>
        <w:t>年</w:t>
      </w:r>
      <w:r>
        <w:rPr>
          <w:rFonts w:hint="default" w:ascii="Times New Roman" w:hAnsi="Times New Roman" w:eastAsia="黑体" w:cs="Times New Roman"/>
          <w:snapToGrid w:val="0"/>
          <w:color w:val="auto"/>
          <w:kern w:val="0"/>
          <w:sz w:val="32"/>
          <w:szCs w:val="32"/>
          <w:highlight w:val="none"/>
          <w:lang w:val="en-US" w:eastAsia="zh-CN"/>
        </w:rPr>
        <w:t>财政</w:t>
      </w:r>
      <w:r>
        <w:rPr>
          <w:rFonts w:hint="default" w:ascii="Times New Roman" w:hAnsi="Times New Roman" w:eastAsia="黑体" w:cs="Times New Roman"/>
          <w:snapToGrid w:val="0"/>
          <w:color w:val="auto"/>
          <w:kern w:val="0"/>
          <w:sz w:val="32"/>
          <w:szCs w:val="32"/>
          <w:highlight w:val="none"/>
        </w:rPr>
        <w:t>工作重点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zh-CN"/>
        </w:rPr>
        <w:t>十五五”时期是我县推动高质量发展、实现跨越提升的重要战略机遇期</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而</w:t>
      </w:r>
      <w:r>
        <w:rPr>
          <w:rFonts w:hint="default" w:ascii="Times New Roman" w:hAnsi="Times New Roman" w:eastAsia="仿宋_GB2312" w:cs="Times New Roman"/>
          <w:sz w:val="32"/>
          <w:szCs w:val="32"/>
          <w:highlight w:val="none"/>
          <w:lang w:val="en-US" w:eastAsia="zh-CN"/>
        </w:rPr>
        <w:t>2026年是“十五五”开局之年，我们将实施更加积极的财政政策，深化零基预算改革，统筹收支、优化结构，集中财力保障民生、产业、文旅等重点领域，强化绩效管理与风险防控，为“十五五”开好局、起好步，筑牢财政根基。</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楷体_GB2312" w:cs="Times New Roman"/>
          <w:b/>
          <w:color w:val="auto"/>
          <w:sz w:val="32"/>
          <w:szCs w:val="32"/>
          <w:highlight w:val="none"/>
          <w:lang w:val="en-US" w:eastAsia="zh-CN"/>
        </w:rPr>
        <w:t>（一）聚焦财源培育，筑牢财政收支管理根基</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坚持开源节流双向发力，深挖新质生产力税源，夯实财政可持续发展基础。抓实收入组织，深化税费征管协同联动，精准把控征管节点，确保完成2026年地方一般公共预算收入目标。优化支出结构，以零基预算改革为抓手，足额保障“三保”及教育、医疗、生态环境治理等重点支出，从严压减非刚性、非重点支出，清理整合沉淀结余资金，提升财政资金配置效率与使用效益</w:t>
      </w:r>
      <w:r>
        <w:rPr>
          <w:rFonts w:hint="default"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color w:val="auto"/>
          <w:kern w:val="2"/>
          <w:sz w:val="32"/>
          <w:szCs w:val="32"/>
          <w:highlight w:val="none"/>
          <w:lang w:val="en-US" w:eastAsia="zh-CN" w:bidi="ar-SA"/>
        </w:rPr>
        <w:t>（二）强化项目攻坚，夯实县域高质量发展支撑。</w:t>
      </w:r>
      <w:r>
        <w:rPr>
          <w:rFonts w:hint="default" w:ascii="Times New Roman" w:hAnsi="Times New Roman" w:eastAsia="仿宋_GB2312" w:cs="Times New Roman"/>
          <w:color w:val="auto"/>
          <w:kern w:val="2"/>
          <w:sz w:val="32"/>
          <w:szCs w:val="32"/>
          <w:highlight w:val="none"/>
          <w:lang w:val="en-US" w:eastAsia="zh-CN" w:bidi="ar-SA"/>
        </w:rPr>
        <w:t>紧扣国家战略与县域实际，以项目申报争取资金保障。加强对上争取，深化与省州财政常态化对接，协同发改等部门，聚焦市政升级、产业园区建设、老旧小区改造等领域，储备谋划重大项目，提升申报质量。抓实专项债券申报，强化2026年专项债券与超长期特别国债项目谋划，严把项目入口关，推动资金与重点项目精准对接，加快项目落地见效，为县域发展筑牢资金保障。</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color w:val="auto"/>
          <w:kern w:val="2"/>
          <w:sz w:val="32"/>
          <w:szCs w:val="32"/>
          <w:highlight w:val="none"/>
          <w:lang w:val="en-US" w:eastAsia="zh-CN" w:bidi="ar-SA"/>
        </w:rPr>
        <w:t>（三）深化改革创新，提升财政治理现代化水平。</w:t>
      </w:r>
      <w:r>
        <w:rPr>
          <w:rFonts w:hint="default" w:ascii="Times New Roman" w:hAnsi="Times New Roman" w:eastAsia="仿宋_GB2312" w:cs="Times New Roman"/>
          <w:b w:val="0"/>
          <w:bCs w:val="0"/>
          <w:color w:val="auto"/>
          <w:kern w:val="2"/>
          <w:sz w:val="32"/>
          <w:szCs w:val="32"/>
          <w:highlight w:val="none"/>
          <w:lang w:val="en-US" w:eastAsia="zh-CN" w:bidi="ar-SA"/>
        </w:rPr>
        <w:t>以财会监督为抓手，推进多维改革提升治理效能。严格执行预算法、会计法，规范执法流程，强化预算单位监管与培训；完善预算绩效管理体系，推进绩效信息公开，强化评价结果应用；落实政府“过紧日子”要求，从严审核预算，强化执行刚性约束；健全国资监管体系，创新国企经营模式，推动资产保值增值；严守债务管理底线，构建全链条风险防控体系；开展多元化业务培训，以“一人两师”为抓手，打造高素质专业化财政队伍。</w:t>
      </w:r>
    </w:p>
    <w:p>
      <w:pPr>
        <w:pStyle w:val="7"/>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各位代表：</w:t>
      </w:r>
      <w:r>
        <w:rPr>
          <w:rFonts w:hint="default" w:ascii="Times New Roman" w:hAnsi="Times New Roman" w:eastAsia="仿宋_GB2312" w:cs="Times New Roman"/>
          <w:b/>
          <w:bCs/>
          <w:color w:val="auto"/>
          <w:sz w:val="32"/>
          <w:szCs w:val="32"/>
          <w:highlight w:val="none"/>
          <w:lang w:eastAsia="zh-CN"/>
        </w:rPr>
        <w:t>以攻坚之志求实效，以破难之行促发展。</w:t>
      </w:r>
      <w:r>
        <w:rPr>
          <w:rFonts w:hint="default" w:ascii="Times New Roman" w:hAnsi="Times New Roman" w:eastAsia="仿宋_GB2312" w:cs="Times New Roman"/>
          <w:b w:val="0"/>
          <w:bCs w:val="0"/>
          <w:color w:val="auto"/>
          <w:sz w:val="32"/>
          <w:szCs w:val="32"/>
          <w:highlight w:val="none"/>
        </w:rPr>
        <w:t>我们将在县委的坚强领导下，自觉接受县人大的法律监督与工作监督，认真吸纳县人大代表的意见建议，紧紧围绕</w:t>
      </w:r>
      <w:r>
        <w:rPr>
          <w:rFonts w:hint="default" w:ascii="Times New Roman" w:hAnsi="Times New Roman" w:eastAsia="仿宋_GB2312" w:cs="Times New Roman"/>
          <w:b w:val="0"/>
          <w:bCs w:val="0"/>
          <w:color w:val="auto"/>
          <w:sz w:val="32"/>
          <w:szCs w:val="32"/>
          <w:highlight w:val="none"/>
          <w:lang w:eastAsia="zh-CN"/>
        </w:rPr>
        <w:t>县委</w:t>
      </w:r>
      <w:r>
        <w:rPr>
          <w:rFonts w:hint="default" w:ascii="Times New Roman" w:hAnsi="Times New Roman" w:eastAsia="仿宋_GB2312" w:cs="Times New Roman"/>
          <w:b w:val="0"/>
          <w:bCs w:val="0"/>
          <w:color w:val="auto"/>
          <w:sz w:val="32"/>
          <w:szCs w:val="32"/>
          <w:highlight w:val="none"/>
        </w:rPr>
        <w:t>中心工作，锚定2026年经济社会发展预期目标，坚持“稳中求进”工作总基调，全面深化财税领域各项改革，充分发挥财政职能作用，持续提升财政服务质效，为壤塘县经济社会高质量发展注入强劲财政动力</w:t>
      </w:r>
      <w:r>
        <w:rPr>
          <w:rFonts w:hint="default" w:ascii="Times New Roman" w:hAnsi="Times New Roman" w:eastAsia="仿宋_GB2312" w:cs="Times New Roman"/>
          <w:b w:val="0"/>
          <w:bCs w:val="0"/>
          <w:color w:val="auto"/>
          <w:sz w:val="32"/>
          <w:szCs w:val="32"/>
          <w:highlight w:val="none"/>
          <w:lang w:eastAsia="zh-CN"/>
        </w:rPr>
        <w:t>。</w:t>
      </w:r>
    </w:p>
    <w:p>
      <w:pPr>
        <w:rPr>
          <w:rFonts w:hint="default" w:ascii="Times New Roman" w:hAnsi="Times New Roman" w:eastAsia="仿宋_GB2312" w:cs="Times New Roman"/>
          <w:b w:val="0"/>
          <w:bCs w:val="0"/>
          <w:color w:val="auto"/>
          <w:sz w:val="32"/>
          <w:szCs w:val="32"/>
          <w:highlight w:val="none"/>
          <w:lang w:eastAsia="zh-CN"/>
        </w:rPr>
      </w:pPr>
    </w:p>
    <w:p>
      <w:pPr>
        <w:pStyle w:val="2"/>
        <w:rPr>
          <w:rFonts w:hint="default" w:ascii="Times New Roman" w:hAnsi="Times New Roman" w:eastAsia="仿宋_GB2312" w:cs="Times New Roman"/>
          <w:b w:val="0"/>
          <w:bCs w:val="0"/>
          <w:color w:val="auto"/>
          <w:sz w:val="32"/>
          <w:szCs w:val="32"/>
          <w:highlight w:val="none"/>
          <w:lang w:eastAsia="zh-CN"/>
        </w:rPr>
      </w:pPr>
    </w:p>
    <w:p>
      <w:pPr>
        <w:pStyle w:val="2"/>
        <w:rPr>
          <w:rFonts w:hint="default" w:ascii="Times New Roman" w:hAnsi="Times New Roman" w:eastAsia="仿宋_GB2312" w:cs="Times New Roman"/>
          <w:b w:val="0"/>
          <w:bCs w:val="0"/>
          <w:color w:val="auto"/>
          <w:sz w:val="32"/>
          <w:szCs w:val="32"/>
          <w:highlight w:val="none"/>
          <w:lang w:eastAsia="zh-CN"/>
        </w:rPr>
      </w:pPr>
    </w:p>
    <w:p>
      <w:pPr>
        <w:rPr>
          <w:rFonts w:hint="default" w:ascii="Times New Roman" w:hAnsi="Times New Roman" w:eastAsia="仿宋_GB2312" w:cs="Times New Roman"/>
          <w:b w:val="0"/>
          <w:bCs w:val="0"/>
          <w:color w:val="auto"/>
          <w:sz w:val="32"/>
          <w:szCs w:val="32"/>
          <w:highlight w:val="none"/>
          <w:lang w:eastAsia="zh-CN"/>
        </w:rPr>
      </w:pPr>
    </w:p>
    <w:p>
      <w:pPr>
        <w:pStyle w:val="2"/>
        <w:rPr>
          <w:rFonts w:hint="default"/>
          <w:lang w:eastAsia="zh-CN"/>
        </w:rPr>
      </w:pPr>
    </w:p>
    <w:p>
      <w:pPr>
        <w:pStyle w:val="2"/>
        <w:rPr>
          <w:rFonts w:hint="default"/>
          <w:lang w:eastAsia="zh-CN"/>
        </w:rPr>
      </w:pPr>
    </w:p>
    <w:tbl>
      <w:tblPr>
        <w:tblStyle w:val="16"/>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tcBorders>
              <w:left w:val="nil"/>
              <w:right w:val="nil"/>
            </w:tcBorders>
            <w:noWrap w:val="0"/>
            <w:vAlign w:val="top"/>
          </w:tcPr>
          <w:p>
            <w:pPr>
              <w:spacing w:line="560" w:lineRule="exact"/>
              <w:rPr>
                <w:rFonts w:hint="default" w:ascii="Times New Roman" w:hAnsi="Times New Roman" w:eastAsia="仿宋_GB2312" w:cs="Times New Roman"/>
                <w:color w:val="auto"/>
                <w:sz w:val="28"/>
                <w:szCs w:val="28"/>
                <w:u w:val="none"/>
                <w:vertAlign w:val="baseline"/>
                <w:lang w:bidi="ar-SA"/>
              </w:rPr>
            </w:pPr>
            <w:r>
              <w:rPr>
                <w:rFonts w:hint="default" w:ascii="Times New Roman" w:hAnsi="Times New Roman" w:eastAsia="仿宋_GB2312" w:cs="Times New Roman"/>
                <w:color w:val="auto"/>
                <w:sz w:val="28"/>
                <w:szCs w:val="28"/>
                <w:u w:val="none"/>
                <w:lang w:bidi="ar-SA"/>
              </w:rPr>
              <w:t>壤塘县十</w:t>
            </w:r>
            <w:r>
              <w:rPr>
                <w:rFonts w:hint="default" w:ascii="Times New Roman" w:hAnsi="Times New Roman" w:eastAsia="仿宋_GB2312" w:cs="Times New Roman"/>
                <w:color w:val="auto"/>
                <w:sz w:val="28"/>
                <w:szCs w:val="28"/>
                <w:u w:val="none"/>
                <w:lang w:eastAsia="zh-CN" w:bidi="ar-SA"/>
              </w:rPr>
              <w:t>五</w:t>
            </w:r>
            <w:r>
              <w:rPr>
                <w:rFonts w:hint="default" w:ascii="Times New Roman" w:hAnsi="Times New Roman" w:eastAsia="仿宋_GB2312" w:cs="Times New Roman"/>
                <w:color w:val="auto"/>
                <w:sz w:val="28"/>
                <w:szCs w:val="28"/>
                <w:u w:val="none"/>
                <w:lang w:bidi="ar-SA"/>
              </w:rPr>
              <w:t>届人大</w:t>
            </w:r>
            <w:r>
              <w:rPr>
                <w:rFonts w:hint="eastAsia" w:eastAsia="仿宋_GB2312" w:cs="Times New Roman"/>
                <w:color w:val="auto"/>
                <w:sz w:val="28"/>
                <w:szCs w:val="28"/>
                <w:u w:val="none"/>
                <w:lang w:eastAsia="zh-CN" w:bidi="ar-SA"/>
              </w:rPr>
              <w:t>六</w:t>
            </w:r>
            <w:r>
              <w:rPr>
                <w:rFonts w:hint="default" w:ascii="Times New Roman" w:hAnsi="Times New Roman" w:eastAsia="仿宋_GB2312" w:cs="Times New Roman"/>
                <w:color w:val="auto"/>
                <w:sz w:val="28"/>
                <w:szCs w:val="28"/>
                <w:u w:val="none"/>
                <w:lang w:bidi="ar-SA"/>
              </w:rPr>
              <w:t xml:space="preserve">次会议秘书处           </w:t>
            </w:r>
            <w:r>
              <w:rPr>
                <w:rFonts w:hint="default" w:ascii="Times New Roman" w:hAnsi="Times New Roman" w:eastAsia="仿宋_GB2312" w:cs="Times New Roman"/>
                <w:color w:val="auto"/>
                <w:sz w:val="28"/>
                <w:szCs w:val="28"/>
                <w:u w:val="none"/>
                <w:lang w:val="en-US" w:eastAsia="zh-CN" w:bidi="ar-SA"/>
              </w:rPr>
              <w:t xml:space="preserve"> </w:t>
            </w:r>
            <w:r>
              <w:rPr>
                <w:rFonts w:hint="default" w:ascii="Times New Roman" w:hAnsi="Times New Roman" w:eastAsia="仿宋_GB2312" w:cs="Times New Roman"/>
                <w:color w:val="auto"/>
                <w:sz w:val="28"/>
                <w:szCs w:val="28"/>
                <w:u w:val="none"/>
                <w:lang w:bidi="ar-SA"/>
              </w:rPr>
              <w:t xml:space="preserve"> 20</w:t>
            </w:r>
            <w:r>
              <w:rPr>
                <w:rFonts w:hint="default" w:ascii="Times New Roman" w:hAnsi="Times New Roman" w:eastAsia="仿宋_GB2312" w:cs="Times New Roman"/>
                <w:color w:val="auto"/>
                <w:sz w:val="28"/>
                <w:szCs w:val="28"/>
                <w:u w:val="none"/>
                <w:lang w:val="en-US" w:eastAsia="zh-CN" w:bidi="ar-SA"/>
              </w:rPr>
              <w:t>2</w:t>
            </w:r>
            <w:r>
              <w:rPr>
                <w:rFonts w:hint="eastAsia" w:ascii="Times New Roman" w:hAnsi="Times New Roman" w:eastAsia="仿宋_GB2312" w:cs="Times New Roman"/>
                <w:color w:val="auto"/>
                <w:sz w:val="28"/>
                <w:szCs w:val="28"/>
                <w:u w:val="none"/>
                <w:lang w:val="en-US" w:eastAsia="zh-CN" w:bidi="ar-SA"/>
              </w:rPr>
              <w:t>6</w:t>
            </w:r>
            <w:r>
              <w:rPr>
                <w:rFonts w:hint="default" w:ascii="Times New Roman" w:hAnsi="Times New Roman" w:eastAsia="仿宋_GB2312" w:cs="Times New Roman"/>
                <w:color w:val="auto"/>
                <w:sz w:val="28"/>
                <w:szCs w:val="28"/>
                <w:u w:val="none"/>
                <w:lang w:bidi="ar-SA"/>
              </w:rPr>
              <w:t>年</w:t>
            </w:r>
            <w:r>
              <w:rPr>
                <w:rFonts w:hint="eastAsia" w:ascii="Times New Roman" w:hAnsi="Times New Roman" w:eastAsia="仿宋_GB2312" w:cs="Times New Roman"/>
                <w:color w:val="auto"/>
                <w:sz w:val="28"/>
                <w:szCs w:val="28"/>
                <w:u w:val="none"/>
                <w:lang w:val="en-US" w:eastAsia="zh-CN" w:bidi="ar-SA"/>
              </w:rPr>
              <w:t>1</w:t>
            </w:r>
            <w:r>
              <w:rPr>
                <w:rFonts w:hint="default" w:ascii="Times New Roman" w:hAnsi="Times New Roman" w:eastAsia="仿宋_GB2312" w:cs="Times New Roman"/>
                <w:color w:val="auto"/>
                <w:sz w:val="28"/>
                <w:szCs w:val="28"/>
                <w:u w:val="none"/>
                <w:lang w:bidi="ar-SA"/>
              </w:rPr>
              <w:t>月</w:t>
            </w:r>
            <w:r>
              <w:rPr>
                <w:rFonts w:hint="eastAsia" w:ascii="Times New Roman" w:hAnsi="Times New Roman" w:eastAsia="仿宋_GB2312" w:cs="Times New Roman"/>
                <w:color w:val="auto"/>
                <w:sz w:val="28"/>
                <w:szCs w:val="28"/>
                <w:u w:val="none"/>
                <w:lang w:val="en-US" w:eastAsia="zh-CN" w:bidi="ar-SA"/>
              </w:rPr>
              <w:t>16</w:t>
            </w:r>
            <w:r>
              <w:rPr>
                <w:rFonts w:hint="default" w:ascii="Times New Roman" w:hAnsi="Times New Roman" w:eastAsia="仿宋_GB2312" w:cs="Times New Roman"/>
                <w:color w:val="auto"/>
                <w:sz w:val="28"/>
                <w:szCs w:val="28"/>
                <w:u w:val="none"/>
                <w:lang w:bidi="ar-SA"/>
              </w:rPr>
              <w:t>日印发</w:t>
            </w:r>
          </w:p>
        </w:tc>
      </w:tr>
    </w:tbl>
    <w:p>
      <w:pPr>
        <w:rPr>
          <w:rFonts w:hint="default"/>
        </w:rPr>
      </w:pPr>
    </w:p>
    <w:sectPr>
      <w:footerReference r:id="rId3" w:type="default"/>
      <w:footerReference r:id="rId4" w:type="even"/>
      <w:pgSz w:w="11907" w:h="16840"/>
      <w:pgMar w:top="2098" w:right="1474" w:bottom="1985" w:left="1588" w:header="851" w:footer="1389"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7560" w:firstLineChars="2700"/>
      <w:rPr>
        <w:rFonts w:ascii="宋体" w:cs="宋体"/>
        <w:sz w:val="28"/>
        <w:szCs w:val="28"/>
      </w:rPr>
    </w:pPr>
    <w:r>
      <w:rPr>
        <w:rFonts w:hint="eastAsia" w:ascii="宋体" w:cs="宋体"/>
        <w:sz w:val="28"/>
        <w:szCs w:val="28"/>
      </w:rPr>
      <w:t>—</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13</w:t>
    </w:r>
    <w:r>
      <w:rPr>
        <w:rFonts w:hint="eastAsia" w:ascii="宋体" w:cs="宋体"/>
        <w:sz w:val="28"/>
        <w:szCs w:val="28"/>
      </w:rPr>
      <w:fldChar w:fldCharType="end"/>
    </w:r>
    <w:r>
      <w:rPr>
        <w:rFonts w:hint="eastAsia" w:ascii="宋体" w:cs="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pPr>
    <w:r>
      <w:rPr>
        <w:rFonts w:hint="eastAsia" w:ascii="宋体" w:cs="宋体"/>
        <w:sz w:val="28"/>
        <w:szCs w:val="28"/>
      </w:rPr>
      <w:t>—</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14</w:t>
    </w:r>
    <w:r>
      <w:rPr>
        <w:rFonts w:hint="eastAsia" w:ascii="宋体" w:cs="宋体"/>
        <w:sz w:val="28"/>
        <w:szCs w:val="28"/>
      </w:rPr>
      <w:fldChar w:fldCharType="end"/>
    </w:r>
    <w:r>
      <w:rPr>
        <w:rFonts w:hint="eastAsia" w:ascii="宋体" w:cs="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0"/>
  <w:defaultTabStop w:val="420"/>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46EA"/>
    <w:rsid w:val="00114063"/>
    <w:rsid w:val="001A5897"/>
    <w:rsid w:val="00237A71"/>
    <w:rsid w:val="00504169"/>
    <w:rsid w:val="006500CE"/>
    <w:rsid w:val="007E4CA5"/>
    <w:rsid w:val="008125F5"/>
    <w:rsid w:val="00882BC5"/>
    <w:rsid w:val="00B82356"/>
    <w:rsid w:val="00BA38DE"/>
    <w:rsid w:val="00F717AC"/>
    <w:rsid w:val="00FF2FAB"/>
    <w:rsid w:val="010D1B78"/>
    <w:rsid w:val="01135A98"/>
    <w:rsid w:val="014E74AC"/>
    <w:rsid w:val="01AC5F85"/>
    <w:rsid w:val="01BC67B3"/>
    <w:rsid w:val="01C44F00"/>
    <w:rsid w:val="01E24487"/>
    <w:rsid w:val="02022A82"/>
    <w:rsid w:val="02693841"/>
    <w:rsid w:val="02910462"/>
    <w:rsid w:val="031A770D"/>
    <w:rsid w:val="0336518B"/>
    <w:rsid w:val="035B737A"/>
    <w:rsid w:val="03731840"/>
    <w:rsid w:val="037366FB"/>
    <w:rsid w:val="039A340E"/>
    <w:rsid w:val="03BB65C2"/>
    <w:rsid w:val="03EF2242"/>
    <w:rsid w:val="03FB1475"/>
    <w:rsid w:val="042001C4"/>
    <w:rsid w:val="047520B3"/>
    <w:rsid w:val="047D5273"/>
    <w:rsid w:val="049977E4"/>
    <w:rsid w:val="04A3622C"/>
    <w:rsid w:val="04BF5241"/>
    <w:rsid w:val="04C03B06"/>
    <w:rsid w:val="04D965E9"/>
    <w:rsid w:val="04EE3408"/>
    <w:rsid w:val="04F175B1"/>
    <w:rsid w:val="04F97DB2"/>
    <w:rsid w:val="05250046"/>
    <w:rsid w:val="0543026B"/>
    <w:rsid w:val="054D1EA2"/>
    <w:rsid w:val="05614B95"/>
    <w:rsid w:val="05777E0B"/>
    <w:rsid w:val="05875519"/>
    <w:rsid w:val="059610AE"/>
    <w:rsid w:val="059C0EEC"/>
    <w:rsid w:val="0636793D"/>
    <w:rsid w:val="063D014D"/>
    <w:rsid w:val="06435BDE"/>
    <w:rsid w:val="0658203C"/>
    <w:rsid w:val="065927AA"/>
    <w:rsid w:val="06A321E9"/>
    <w:rsid w:val="06C40529"/>
    <w:rsid w:val="070011AC"/>
    <w:rsid w:val="07034F28"/>
    <w:rsid w:val="07144DD3"/>
    <w:rsid w:val="07A14E87"/>
    <w:rsid w:val="07C91B69"/>
    <w:rsid w:val="08EE66DC"/>
    <w:rsid w:val="09A85748"/>
    <w:rsid w:val="09B60BB8"/>
    <w:rsid w:val="09EA7189"/>
    <w:rsid w:val="0A0457BA"/>
    <w:rsid w:val="0A057214"/>
    <w:rsid w:val="0A556CD8"/>
    <w:rsid w:val="0A886720"/>
    <w:rsid w:val="0A8F300F"/>
    <w:rsid w:val="0ACE7BAB"/>
    <w:rsid w:val="0B0E5654"/>
    <w:rsid w:val="0B8D1697"/>
    <w:rsid w:val="0BA53D9A"/>
    <w:rsid w:val="0C1634D5"/>
    <w:rsid w:val="0C292BF3"/>
    <w:rsid w:val="0C3F1A7D"/>
    <w:rsid w:val="0C4A3BDF"/>
    <w:rsid w:val="0C5A0DC1"/>
    <w:rsid w:val="0C762CD4"/>
    <w:rsid w:val="0C8F29E0"/>
    <w:rsid w:val="0C917B0E"/>
    <w:rsid w:val="0C9400C6"/>
    <w:rsid w:val="0CD46644"/>
    <w:rsid w:val="0D2A7F39"/>
    <w:rsid w:val="0D9C49BC"/>
    <w:rsid w:val="0DE115F4"/>
    <w:rsid w:val="0DED7854"/>
    <w:rsid w:val="0E5345D9"/>
    <w:rsid w:val="0EF75E58"/>
    <w:rsid w:val="0EFE190C"/>
    <w:rsid w:val="0F3B0205"/>
    <w:rsid w:val="0F557518"/>
    <w:rsid w:val="0F7453B3"/>
    <w:rsid w:val="0F83536C"/>
    <w:rsid w:val="0FB0700D"/>
    <w:rsid w:val="0FB835A4"/>
    <w:rsid w:val="0FDB2E51"/>
    <w:rsid w:val="0FF52AA9"/>
    <w:rsid w:val="1038265F"/>
    <w:rsid w:val="10663D09"/>
    <w:rsid w:val="10F51C3F"/>
    <w:rsid w:val="112F7E94"/>
    <w:rsid w:val="11B12A0E"/>
    <w:rsid w:val="11FA1E17"/>
    <w:rsid w:val="11FB52EE"/>
    <w:rsid w:val="12204DEE"/>
    <w:rsid w:val="122A25C8"/>
    <w:rsid w:val="123C7549"/>
    <w:rsid w:val="126D6BB0"/>
    <w:rsid w:val="126E09D1"/>
    <w:rsid w:val="12734A0A"/>
    <w:rsid w:val="12B13119"/>
    <w:rsid w:val="12E8708A"/>
    <w:rsid w:val="12ED2AEE"/>
    <w:rsid w:val="13770E95"/>
    <w:rsid w:val="137E2D4D"/>
    <w:rsid w:val="148B0721"/>
    <w:rsid w:val="149D2C94"/>
    <w:rsid w:val="14A83295"/>
    <w:rsid w:val="15230B98"/>
    <w:rsid w:val="152E22C0"/>
    <w:rsid w:val="152F3510"/>
    <w:rsid w:val="156039CC"/>
    <w:rsid w:val="1594195A"/>
    <w:rsid w:val="16014FC0"/>
    <w:rsid w:val="161912D1"/>
    <w:rsid w:val="16236CAB"/>
    <w:rsid w:val="1627178E"/>
    <w:rsid w:val="16702798"/>
    <w:rsid w:val="16974184"/>
    <w:rsid w:val="169C55E6"/>
    <w:rsid w:val="16A10EA2"/>
    <w:rsid w:val="16B7255C"/>
    <w:rsid w:val="1726179A"/>
    <w:rsid w:val="174144E0"/>
    <w:rsid w:val="17587EFD"/>
    <w:rsid w:val="17BA2861"/>
    <w:rsid w:val="17F03D2D"/>
    <w:rsid w:val="183269B9"/>
    <w:rsid w:val="18AA3C78"/>
    <w:rsid w:val="18F77587"/>
    <w:rsid w:val="19032BA2"/>
    <w:rsid w:val="19EB15F0"/>
    <w:rsid w:val="1A4736CE"/>
    <w:rsid w:val="1B553CEE"/>
    <w:rsid w:val="1B685477"/>
    <w:rsid w:val="1B961E2D"/>
    <w:rsid w:val="1BBA3D3B"/>
    <w:rsid w:val="1C560DDF"/>
    <w:rsid w:val="1CBA4AAE"/>
    <w:rsid w:val="1D0E6248"/>
    <w:rsid w:val="1D8146CE"/>
    <w:rsid w:val="1D8D19FE"/>
    <w:rsid w:val="1D9B1E50"/>
    <w:rsid w:val="1DE273F0"/>
    <w:rsid w:val="1E391DB3"/>
    <w:rsid w:val="1E773802"/>
    <w:rsid w:val="1E781178"/>
    <w:rsid w:val="1EB26599"/>
    <w:rsid w:val="1EFF579B"/>
    <w:rsid w:val="1F0F3153"/>
    <w:rsid w:val="1F78718E"/>
    <w:rsid w:val="1F956C2F"/>
    <w:rsid w:val="1FCC7783"/>
    <w:rsid w:val="20406AB7"/>
    <w:rsid w:val="208529C5"/>
    <w:rsid w:val="20916FC0"/>
    <w:rsid w:val="20E02BAA"/>
    <w:rsid w:val="211B52FE"/>
    <w:rsid w:val="21B03642"/>
    <w:rsid w:val="21B55801"/>
    <w:rsid w:val="22001566"/>
    <w:rsid w:val="22733F22"/>
    <w:rsid w:val="228F3F45"/>
    <w:rsid w:val="22945E02"/>
    <w:rsid w:val="22C17B84"/>
    <w:rsid w:val="230A340A"/>
    <w:rsid w:val="231F13CA"/>
    <w:rsid w:val="23797155"/>
    <w:rsid w:val="237D031C"/>
    <w:rsid w:val="23D25659"/>
    <w:rsid w:val="24003B0F"/>
    <w:rsid w:val="2432177F"/>
    <w:rsid w:val="245B6F27"/>
    <w:rsid w:val="24A8345F"/>
    <w:rsid w:val="24DA2A9D"/>
    <w:rsid w:val="24F504CA"/>
    <w:rsid w:val="25375BFB"/>
    <w:rsid w:val="25AF548D"/>
    <w:rsid w:val="25FE400E"/>
    <w:rsid w:val="26077FCF"/>
    <w:rsid w:val="262E71D0"/>
    <w:rsid w:val="265003B5"/>
    <w:rsid w:val="26722170"/>
    <w:rsid w:val="2689473F"/>
    <w:rsid w:val="269D2AE2"/>
    <w:rsid w:val="26C8556B"/>
    <w:rsid w:val="27536ADD"/>
    <w:rsid w:val="275552A3"/>
    <w:rsid w:val="27E60C13"/>
    <w:rsid w:val="280C0889"/>
    <w:rsid w:val="28734044"/>
    <w:rsid w:val="289F2500"/>
    <w:rsid w:val="28BA5189"/>
    <w:rsid w:val="28BC1142"/>
    <w:rsid w:val="28CA3955"/>
    <w:rsid w:val="29004FE9"/>
    <w:rsid w:val="296A39EA"/>
    <w:rsid w:val="29826C25"/>
    <w:rsid w:val="29930F11"/>
    <w:rsid w:val="29B67C31"/>
    <w:rsid w:val="2AD74E2E"/>
    <w:rsid w:val="2AE52960"/>
    <w:rsid w:val="2B761528"/>
    <w:rsid w:val="2C06494B"/>
    <w:rsid w:val="2C827AA8"/>
    <w:rsid w:val="2CA505B4"/>
    <w:rsid w:val="2CA74DDE"/>
    <w:rsid w:val="2CFA35BB"/>
    <w:rsid w:val="2D04447A"/>
    <w:rsid w:val="2D1928C8"/>
    <w:rsid w:val="2D39308C"/>
    <w:rsid w:val="2D5459C9"/>
    <w:rsid w:val="2DDF070B"/>
    <w:rsid w:val="2E387843"/>
    <w:rsid w:val="2EBD334D"/>
    <w:rsid w:val="2ECD3E4F"/>
    <w:rsid w:val="2EEE4795"/>
    <w:rsid w:val="2F1200EA"/>
    <w:rsid w:val="2F452CAE"/>
    <w:rsid w:val="2F9608DA"/>
    <w:rsid w:val="2FFE5EB2"/>
    <w:rsid w:val="30007947"/>
    <w:rsid w:val="30165549"/>
    <w:rsid w:val="30597A7E"/>
    <w:rsid w:val="30890B89"/>
    <w:rsid w:val="30CF0655"/>
    <w:rsid w:val="310F3AB3"/>
    <w:rsid w:val="31476AA4"/>
    <w:rsid w:val="31A71D4E"/>
    <w:rsid w:val="31AD5432"/>
    <w:rsid w:val="31C87F98"/>
    <w:rsid w:val="32166BD4"/>
    <w:rsid w:val="32511347"/>
    <w:rsid w:val="32701CA1"/>
    <w:rsid w:val="327703CC"/>
    <w:rsid w:val="32820219"/>
    <w:rsid w:val="32CB5D45"/>
    <w:rsid w:val="331D184C"/>
    <w:rsid w:val="335D0B1B"/>
    <w:rsid w:val="33C70166"/>
    <w:rsid w:val="34107187"/>
    <w:rsid w:val="3455545F"/>
    <w:rsid w:val="3484023D"/>
    <w:rsid w:val="349B24B2"/>
    <w:rsid w:val="34A07562"/>
    <w:rsid w:val="34D421E0"/>
    <w:rsid w:val="34F03730"/>
    <w:rsid w:val="35A52AE9"/>
    <w:rsid w:val="35BD640E"/>
    <w:rsid w:val="35C15E7D"/>
    <w:rsid w:val="35C97CD4"/>
    <w:rsid w:val="36143B0E"/>
    <w:rsid w:val="365B6A6C"/>
    <w:rsid w:val="373F228B"/>
    <w:rsid w:val="373F73F4"/>
    <w:rsid w:val="3740604E"/>
    <w:rsid w:val="37751397"/>
    <w:rsid w:val="379E7EB4"/>
    <w:rsid w:val="37BC3702"/>
    <w:rsid w:val="384E1585"/>
    <w:rsid w:val="38AE2F88"/>
    <w:rsid w:val="38AF59C8"/>
    <w:rsid w:val="38C06840"/>
    <w:rsid w:val="38C10144"/>
    <w:rsid w:val="39040448"/>
    <w:rsid w:val="390741EA"/>
    <w:rsid w:val="395429DE"/>
    <w:rsid w:val="39757BB7"/>
    <w:rsid w:val="39785A2E"/>
    <w:rsid w:val="39AC1775"/>
    <w:rsid w:val="39D90688"/>
    <w:rsid w:val="3A11722E"/>
    <w:rsid w:val="3A7335AB"/>
    <w:rsid w:val="3ABF17BB"/>
    <w:rsid w:val="3ADB5329"/>
    <w:rsid w:val="3B246A26"/>
    <w:rsid w:val="3B5C1D02"/>
    <w:rsid w:val="3B96493F"/>
    <w:rsid w:val="3BBC0194"/>
    <w:rsid w:val="3BD92077"/>
    <w:rsid w:val="3C08753D"/>
    <w:rsid w:val="3C17152E"/>
    <w:rsid w:val="3C3C71E7"/>
    <w:rsid w:val="3C476699"/>
    <w:rsid w:val="3C8E071D"/>
    <w:rsid w:val="3C940DD1"/>
    <w:rsid w:val="3CC5364A"/>
    <w:rsid w:val="3D212001"/>
    <w:rsid w:val="3D710B33"/>
    <w:rsid w:val="3D7541FC"/>
    <w:rsid w:val="3D7D1F37"/>
    <w:rsid w:val="3D921B96"/>
    <w:rsid w:val="3DA903F0"/>
    <w:rsid w:val="3DBA1785"/>
    <w:rsid w:val="3E690377"/>
    <w:rsid w:val="3E8241D4"/>
    <w:rsid w:val="3EA06E7D"/>
    <w:rsid w:val="3ED91931"/>
    <w:rsid w:val="3EE25BA6"/>
    <w:rsid w:val="3F750A90"/>
    <w:rsid w:val="3FB130C9"/>
    <w:rsid w:val="3FD0723B"/>
    <w:rsid w:val="3FD81C82"/>
    <w:rsid w:val="402454E5"/>
    <w:rsid w:val="40273D0A"/>
    <w:rsid w:val="40561775"/>
    <w:rsid w:val="40953369"/>
    <w:rsid w:val="40D3649F"/>
    <w:rsid w:val="4130277B"/>
    <w:rsid w:val="4136430C"/>
    <w:rsid w:val="415667AB"/>
    <w:rsid w:val="41C60AE1"/>
    <w:rsid w:val="421078FC"/>
    <w:rsid w:val="42440BA3"/>
    <w:rsid w:val="42922691"/>
    <w:rsid w:val="42C85218"/>
    <w:rsid w:val="43614951"/>
    <w:rsid w:val="4382438F"/>
    <w:rsid w:val="443C6A79"/>
    <w:rsid w:val="445F3A72"/>
    <w:rsid w:val="44BB4A46"/>
    <w:rsid w:val="44CD1868"/>
    <w:rsid w:val="44FC56D5"/>
    <w:rsid w:val="451244AB"/>
    <w:rsid w:val="451906CE"/>
    <w:rsid w:val="452F5D1D"/>
    <w:rsid w:val="453C18A4"/>
    <w:rsid w:val="45591FDC"/>
    <w:rsid w:val="45991BA3"/>
    <w:rsid w:val="45DB66FE"/>
    <w:rsid w:val="462018F3"/>
    <w:rsid w:val="466500A3"/>
    <w:rsid w:val="46D65EF2"/>
    <w:rsid w:val="47845486"/>
    <w:rsid w:val="480037DA"/>
    <w:rsid w:val="48BF6015"/>
    <w:rsid w:val="48C64E34"/>
    <w:rsid w:val="494B17F1"/>
    <w:rsid w:val="499E2006"/>
    <w:rsid w:val="49E90563"/>
    <w:rsid w:val="4A132503"/>
    <w:rsid w:val="4A486089"/>
    <w:rsid w:val="4A807670"/>
    <w:rsid w:val="4BA619B1"/>
    <w:rsid w:val="4BE356A3"/>
    <w:rsid w:val="4C000697"/>
    <w:rsid w:val="4C3857CE"/>
    <w:rsid w:val="4C501DCD"/>
    <w:rsid w:val="4C5C4B7A"/>
    <w:rsid w:val="4CF77399"/>
    <w:rsid w:val="4CFC0696"/>
    <w:rsid w:val="4D316D20"/>
    <w:rsid w:val="4D8C324F"/>
    <w:rsid w:val="4DB14572"/>
    <w:rsid w:val="4DD0794A"/>
    <w:rsid w:val="4E043545"/>
    <w:rsid w:val="4E2A3343"/>
    <w:rsid w:val="4E6665F5"/>
    <w:rsid w:val="4EA57BEE"/>
    <w:rsid w:val="4F1D5CCB"/>
    <w:rsid w:val="4F38129F"/>
    <w:rsid w:val="4F3F0953"/>
    <w:rsid w:val="4F52060B"/>
    <w:rsid w:val="4F5F10E9"/>
    <w:rsid w:val="4F78174F"/>
    <w:rsid w:val="4F92346B"/>
    <w:rsid w:val="4FEF697B"/>
    <w:rsid w:val="4FF215EA"/>
    <w:rsid w:val="4FF42CE0"/>
    <w:rsid w:val="501F413D"/>
    <w:rsid w:val="502034B3"/>
    <w:rsid w:val="50A371DB"/>
    <w:rsid w:val="50BA70A5"/>
    <w:rsid w:val="50F54A91"/>
    <w:rsid w:val="51386702"/>
    <w:rsid w:val="51460D3C"/>
    <w:rsid w:val="51597410"/>
    <w:rsid w:val="51735001"/>
    <w:rsid w:val="517B4E84"/>
    <w:rsid w:val="51A35895"/>
    <w:rsid w:val="51B03B5F"/>
    <w:rsid w:val="51C9537F"/>
    <w:rsid w:val="51EE4687"/>
    <w:rsid w:val="520F15EF"/>
    <w:rsid w:val="521B462B"/>
    <w:rsid w:val="524349D3"/>
    <w:rsid w:val="52AE1F27"/>
    <w:rsid w:val="52D94653"/>
    <w:rsid w:val="53040F1D"/>
    <w:rsid w:val="5395374A"/>
    <w:rsid w:val="53B609A9"/>
    <w:rsid w:val="53B97602"/>
    <w:rsid w:val="53BB1FCE"/>
    <w:rsid w:val="53CC6C1D"/>
    <w:rsid w:val="53EC222E"/>
    <w:rsid w:val="54466D38"/>
    <w:rsid w:val="547C0D3A"/>
    <w:rsid w:val="54C36D12"/>
    <w:rsid w:val="54DE3EF1"/>
    <w:rsid w:val="552F7444"/>
    <w:rsid w:val="555869E7"/>
    <w:rsid w:val="55696B20"/>
    <w:rsid w:val="55A35789"/>
    <w:rsid w:val="56214F2A"/>
    <w:rsid w:val="565815E3"/>
    <w:rsid w:val="56672B6F"/>
    <w:rsid w:val="56824613"/>
    <w:rsid w:val="568A11B6"/>
    <w:rsid w:val="56BF7DB5"/>
    <w:rsid w:val="56C42FEC"/>
    <w:rsid w:val="57272B15"/>
    <w:rsid w:val="57523E0D"/>
    <w:rsid w:val="576E5E51"/>
    <w:rsid w:val="57D91936"/>
    <w:rsid w:val="57FF1CC8"/>
    <w:rsid w:val="58297625"/>
    <w:rsid w:val="588C122D"/>
    <w:rsid w:val="58A37C3D"/>
    <w:rsid w:val="58CC597D"/>
    <w:rsid w:val="58DF092A"/>
    <w:rsid w:val="58F10D32"/>
    <w:rsid w:val="5926603E"/>
    <w:rsid w:val="59527ED0"/>
    <w:rsid w:val="59896D04"/>
    <w:rsid w:val="59EF3554"/>
    <w:rsid w:val="5A0B0490"/>
    <w:rsid w:val="5A1D5A3E"/>
    <w:rsid w:val="5A352316"/>
    <w:rsid w:val="5A5E12FC"/>
    <w:rsid w:val="5A772767"/>
    <w:rsid w:val="5A9433D3"/>
    <w:rsid w:val="5A9975DF"/>
    <w:rsid w:val="5AB640FE"/>
    <w:rsid w:val="5B123A48"/>
    <w:rsid w:val="5B5945C5"/>
    <w:rsid w:val="5B946711"/>
    <w:rsid w:val="5BAE33B4"/>
    <w:rsid w:val="5BC216F7"/>
    <w:rsid w:val="5C116294"/>
    <w:rsid w:val="5C4158C6"/>
    <w:rsid w:val="5C4A0E96"/>
    <w:rsid w:val="5C4B06D1"/>
    <w:rsid w:val="5C4C2595"/>
    <w:rsid w:val="5C957396"/>
    <w:rsid w:val="5D3F2BEE"/>
    <w:rsid w:val="5D9B6A49"/>
    <w:rsid w:val="5E464628"/>
    <w:rsid w:val="5E483FA3"/>
    <w:rsid w:val="5E780BC3"/>
    <w:rsid w:val="5E804C77"/>
    <w:rsid w:val="5E9F3968"/>
    <w:rsid w:val="5F36141C"/>
    <w:rsid w:val="5F44309B"/>
    <w:rsid w:val="5F82384C"/>
    <w:rsid w:val="600A6B30"/>
    <w:rsid w:val="6060036E"/>
    <w:rsid w:val="608B7CB6"/>
    <w:rsid w:val="60D35FC7"/>
    <w:rsid w:val="615B73EF"/>
    <w:rsid w:val="615B79E5"/>
    <w:rsid w:val="61902133"/>
    <w:rsid w:val="61910EA3"/>
    <w:rsid w:val="619D39D4"/>
    <w:rsid w:val="61DC274E"/>
    <w:rsid w:val="61F5585D"/>
    <w:rsid w:val="622532EB"/>
    <w:rsid w:val="62745A68"/>
    <w:rsid w:val="62A63239"/>
    <w:rsid w:val="62BB4B26"/>
    <w:rsid w:val="62D7299A"/>
    <w:rsid w:val="62F6339C"/>
    <w:rsid w:val="633A78E2"/>
    <w:rsid w:val="633B1DC0"/>
    <w:rsid w:val="63535248"/>
    <w:rsid w:val="636907CA"/>
    <w:rsid w:val="638965F5"/>
    <w:rsid w:val="63F058EF"/>
    <w:rsid w:val="64391259"/>
    <w:rsid w:val="643D0B02"/>
    <w:rsid w:val="644656D0"/>
    <w:rsid w:val="64B902D8"/>
    <w:rsid w:val="64DC1070"/>
    <w:rsid w:val="64F97173"/>
    <w:rsid w:val="65520BB8"/>
    <w:rsid w:val="655F7828"/>
    <w:rsid w:val="65751CF9"/>
    <w:rsid w:val="66367E09"/>
    <w:rsid w:val="666C51D2"/>
    <w:rsid w:val="670C1365"/>
    <w:rsid w:val="6727131A"/>
    <w:rsid w:val="677B63AD"/>
    <w:rsid w:val="67C33B4D"/>
    <w:rsid w:val="687E036A"/>
    <w:rsid w:val="699470BE"/>
    <w:rsid w:val="6A440E91"/>
    <w:rsid w:val="6A4D3DAB"/>
    <w:rsid w:val="6AB1318E"/>
    <w:rsid w:val="6AFA796C"/>
    <w:rsid w:val="6B1B7B71"/>
    <w:rsid w:val="6B4402E5"/>
    <w:rsid w:val="6B6A0DCB"/>
    <w:rsid w:val="6BAD4108"/>
    <w:rsid w:val="6BBE522E"/>
    <w:rsid w:val="6BDD159D"/>
    <w:rsid w:val="6C120DE5"/>
    <w:rsid w:val="6C313D84"/>
    <w:rsid w:val="6C8941A8"/>
    <w:rsid w:val="6CBE1642"/>
    <w:rsid w:val="6CE0186F"/>
    <w:rsid w:val="6CF307A6"/>
    <w:rsid w:val="6D0B3B20"/>
    <w:rsid w:val="6D274AA3"/>
    <w:rsid w:val="6D340AC9"/>
    <w:rsid w:val="6D5213D7"/>
    <w:rsid w:val="6DA5240E"/>
    <w:rsid w:val="6DB20AAC"/>
    <w:rsid w:val="6DDE33AA"/>
    <w:rsid w:val="6DFD54CE"/>
    <w:rsid w:val="6E1C3114"/>
    <w:rsid w:val="6E6B00C7"/>
    <w:rsid w:val="6E90003C"/>
    <w:rsid w:val="6EB44EA3"/>
    <w:rsid w:val="6EC95E46"/>
    <w:rsid w:val="6EEA4A23"/>
    <w:rsid w:val="6EEC3055"/>
    <w:rsid w:val="6F1D6437"/>
    <w:rsid w:val="6F526FEF"/>
    <w:rsid w:val="6F6467BF"/>
    <w:rsid w:val="6F7B79E8"/>
    <w:rsid w:val="6FE6510F"/>
    <w:rsid w:val="70005EDE"/>
    <w:rsid w:val="7033438C"/>
    <w:rsid w:val="70405F4C"/>
    <w:rsid w:val="70825A09"/>
    <w:rsid w:val="709A06E1"/>
    <w:rsid w:val="70FF3D63"/>
    <w:rsid w:val="710462A7"/>
    <w:rsid w:val="71724535"/>
    <w:rsid w:val="71854AF8"/>
    <w:rsid w:val="719419C6"/>
    <w:rsid w:val="71C5397F"/>
    <w:rsid w:val="72074CFC"/>
    <w:rsid w:val="723179A8"/>
    <w:rsid w:val="726F1071"/>
    <w:rsid w:val="726F2DE0"/>
    <w:rsid w:val="72BD0296"/>
    <w:rsid w:val="730D09BA"/>
    <w:rsid w:val="7364798E"/>
    <w:rsid w:val="7412188F"/>
    <w:rsid w:val="744957F4"/>
    <w:rsid w:val="75574E88"/>
    <w:rsid w:val="759867AF"/>
    <w:rsid w:val="75D636B7"/>
    <w:rsid w:val="761016F7"/>
    <w:rsid w:val="76580AA0"/>
    <w:rsid w:val="76C27D0D"/>
    <w:rsid w:val="76D04993"/>
    <w:rsid w:val="76D57A40"/>
    <w:rsid w:val="76DC11AA"/>
    <w:rsid w:val="770E4D00"/>
    <w:rsid w:val="7795204E"/>
    <w:rsid w:val="77D6382B"/>
    <w:rsid w:val="77EC44A2"/>
    <w:rsid w:val="78AA42BD"/>
    <w:rsid w:val="78CE3A63"/>
    <w:rsid w:val="79707F17"/>
    <w:rsid w:val="79D833A4"/>
    <w:rsid w:val="79EA52DE"/>
    <w:rsid w:val="7A74131E"/>
    <w:rsid w:val="7AC36D4B"/>
    <w:rsid w:val="7AD22B98"/>
    <w:rsid w:val="7B286977"/>
    <w:rsid w:val="7B346CFF"/>
    <w:rsid w:val="7B7E0E12"/>
    <w:rsid w:val="7BB85132"/>
    <w:rsid w:val="7BC013CE"/>
    <w:rsid w:val="7BE81518"/>
    <w:rsid w:val="7BE81D47"/>
    <w:rsid w:val="7C062549"/>
    <w:rsid w:val="7C395033"/>
    <w:rsid w:val="7C6B6751"/>
    <w:rsid w:val="7C7A584D"/>
    <w:rsid w:val="7C935D68"/>
    <w:rsid w:val="7CBE516E"/>
    <w:rsid w:val="7CE15311"/>
    <w:rsid w:val="7CE34FC5"/>
    <w:rsid w:val="7D0F0B7E"/>
    <w:rsid w:val="7D3C4B76"/>
    <w:rsid w:val="7D793716"/>
    <w:rsid w:val="7DCC68DD"/>
    <w:rsid w:val="7E412D1B"/>
    <w:rsid w:val="7E996A44"/>
    <w:rsid w:val="7EB048EF"/>
    <w:rsid w:val="7F9C6804"/>
    <w:rsid w:val="7FAF4B89"/>
    <w:rsid w:val="7FEC7BA9"/>
    <w:rsid w:val="7FED2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Cambria" w:hAnsi="Cambria" w:cs="宋体"/>
      <w:b/>
      <w:bCs/>
      <w:sz w:val="32"/>
      <w:szCs w:val="32"/>
    </w:rPr>
  </w:style>
  <w:style w:type="paragraph" w:styleId="5">
    <w:name w:val="heading 3"/>
    <w:basedOn w:val="1"/>
    <w:next w:val="1"/>
    <w:qFormat/>
    <w:uiPriority w:val="0"/>
    <w:pPr>
      <w:keepNext/>
      <w:keepLines/>
      <w:spacing w:before="260" w:after="260" w:line="415" w:lineRule="auto"/>
      <w:outlineLvl w:val="2"/>
    </w:pPr>
    <w:rPr>
      <w:b/>
      <w:sz w:val="32"/>
    </w:rPr>
  </w:style>
  <w:style w:type="paragraph" w:styleId="2">
    <w:name w:val="heading 4"/>
    <w:basedOn w:val="1"/>
    <w:next w:val="1"/>
    <w:qFormat/>
    <w:uiPriority w:val="0"/>
    <w:pPr>
      <w:jc w:val="left"/>
      <w:outlineLvl w:val="3"/>
    </w:pPr>
    <w:rPr>
      <w:rFonts w:ascii="宋体"/>
      <w:kern w:val="0"/>
      <w:sz w:val="24"/>
      <w:szCs w:val="2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Salutation"/>
    <w:basedOn w:val="1"/>
    <w:next w:val="1"/>
    <w:qFormat/>
    <w:uiPriority w:val="0"/>
  </w:style>
  <w:style w:type="paragraph" w:styleId="8">
    <w:name w:val="Body Text"/>
    <w:basedOn w:val="1"/>
    <w:next w:val="9"/>
    <w:qFormat/>
    <w:uiPriority w:val="0"/>
    <w:pPr>
      <w:spacing w:line="800" w:lineRule="exact"/>
      <w:jc w:val="center"/>
    </w:pPr>
    <w:rPr>
      <w:rFonts w:eastAsia="微软雅黑"/>
      <w:color w:val="000000"/>
      <w:w w:val="120"/>
      <w:sz w:val="44"/>
    </w:rPr>
  </w:style>
  <w:style w:type="paragraph" w:styleId="9">
    <w:name w:val="Body Text First Indent"/>
    <w:basedOn w:val="8"/>
    <w:next w:val="1"/>
    <w:qFormat/>
    <w:uiPriority w:val="0"/>
    <w:pPr>
      <w:autoSpaceDE w:val="0"/>
      <w:autoSpaceDN w:val="0"/>
      <w:adjustRightInd w:val="0"/>
      <w:snapToGrid w:val="0"/>
      <w:spacing w:line="560" w:lineRule="exact"/>
      <w:ind w:left="20"/>
      <w:jc w:val="left"/>
    </w:pPr>
    <w:rPr>
      <w:rFonts w:ascii="宋体" w:hAnsi="宋体" w:eastAsia="仿宋_GB2312" w:cs="宋体"/>
      <w:kern w:val="0"/>
      <w:sz w:val="32"/>
      <w:szCs w:val="33"/>
    </w:rPr>
  </w:style>
  <w:style w:type="paragraph" w:styleId="10">
    <w:name w:val="Body Text Indent"/>
    <w:basedOn w:val="1"/>
    <w:next w:val="11"/>
    <w:qFormat/>
    <w:uiPriority w:val="0"/>
    <w:pPr>
      <w:ind w:firstLine="630"/>
    </w:pPr>
    <w:rPr>
      <w:rFonts w:eastAsia="仿宋_GB2312"/>
      <w:sz w:val="32"/>
    </w:rPr>
  </w:style>
  <w:style w:type="paragraph" w:styleId="11">
    <w:name w:val="Body Text First Indent 2"/>
    <w:basedOn w:val="10"/>
    <w:next w:val="1"/>
    <w:qFormat/>
    <w:uiPriority w:val="0"/>
    <w:pPr>
      <w:ind w:firstLine="200" w:firstLineChars="200"/>
    </w:pPr>
    <w:rPr>
      <w:rFonts w:ascii="Times New Roman" w:hAnsi="Times New Roman"/>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tabs>
        <w:tab w:val="center" w:pos="4153"/>
        <w:tab w:val="right" w:pos="8306"/>
      </w:tabs>
      <w:snapToGrid w:val="0"/>
    </w:pPr>
    <w:rPr>
      <w:sz w:val="18"/>
    </w:rPr>
  </w:style>
  <w:style w:type="paragraph" w:styleId="14">
    <w:name w:val="toc 6"/>
    <w:basedOn w:val="1"/>
    <w:next w:val="1"/>
    <w:qFormat/>
    <w:uiPriority w:val="0"/>
    <w:pPr>
      <w:ind w:left="1000" w:leftChars="1000"/>
    </w:pPr>
  </w:style>
  <w:style w:type="paragraph" w:styleId="15">
    <w:name w:val="Normal (Web)"/>
    <w:basedOn w:val="1"/>
    <w:qFormat/>
    <w:uiPriority w:val="0"/>
    <w:pPr>
      <w:spacing w:beforeAutospacing="1" w:afterAutospacing="1"/>
      <w:jc w:val="left"/>
    </w:pPr>
    <w:rPr>
      <w:kern w:val="0"/>
      <w:sz w:val="24"/>
    </w:rPr>
  </w:style>
  <w:style w:type="character" w:styleId="18">
    <w:name w:val="Strong"/>
    <w:basedOn w:val="17"/>
    <w:qFormat/>
    <w:uiPriority w:val="0"/>
    <w:rPr>
      <w:b/>
    </w:rPr>
  </w:style>
  <w:style w:type="character" w:styleId="19">
    <w:name w:val="Emphasis"/>
    <w:basedOn w:val="17"/>
    <w:qFormat/>
    <w:uiPriority w:val="0"/>
    <w:rPr>
      <w:i/>
    </w:rPr>
  </w:style>
  <w:style w:type="paragraph" w:customStyle="1" w:styleId="20">
    <w:name w:val="样式1"/>
    <w:basedOn w:val="1"/>
    <w:qFormat/>
    <w:uiPriority w:val="0"/>
    <w:pPr>
      <w:spacing w:after="150" w:line="580" w:lineRule="exact"/>
      <w:ind w:firstLine="200" w:firstLineChars="200"/>
    </w:pPr>
    <w:rPr>
      <w:rFonts w:ascii="仿宋_GB2312" w:eastAsia="仿宋_GB2312" w:cs="仿宋"/>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3158</Words>
  <Characters>3692</Characters>
  <Lines>61</Lines>
  <Paragraphs>17</Paragraphs>
  <TotalTime>81</TotalTime>
  <ScaleCrop>false</ScaleCrop>
  <LinksUpToDate>false</LinksUpToDate>
  <CharactersWithSpaces>3698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2024-11-06T02:54:00Z</dcterms:created>
  <dc:creator>开心果</dc:creator>
  <cp:lastModifiedBy>Lenovo</cp:lastModifiedBy>
  <cp:lastPrinted>2026-02-05T05:31:00Z</cp:lastPrinted>
  <dcterms:modified xsi:type="dcterms:W3CDTF">2026-02-05T06:50:54Z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4114F4EDB38142339719D4AD627FD581_13</vt:lpwstr>
  </property>
  <property fmtid="{D5CDD505-2E9C-101B-9397-08002B2CF9AE}" pid="4" name="KSOTemplateDocerSaveRecord">
    <vt:lpwstr>eyJoZGlkIjoiZmNjMmEzMzlkN2ZiYWUxYjgxNTYyYjg3NmNmMGMxOWEiLCJ1c2VySWQiOiI0NTE0Mjc1MzQifQ==</vt:lpwstr>
  </property>
</Properties>
</file>