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ascii="方正小标宋简体" w:hAnsi="方正小标宋简体" w:eastAsia="方正小标宋简体" w:cs="方正小标宋简体"/>
          <w:color w:val="auto"/>
          <w:kern w:val="0"/>
          <w:sz w:val="44"/>
          <w:szCs w:val="44"/>
          <w:lang w:val="zh-CN"/>
        </w:rPr>
      </w:pPr>
      <w:r>
        <w:rPr>
          <w:rFonts w:hint="eastAsia" w:ascii="方正小标宋简体" w:hAnsi="方正小标宋简体" w:eastAsia="方正小标宋简体" w:cs="方正小标宋简体"/>
          <w:color w:val="auto"/>
          <w:kern w:val="0"/>
          <w:sz w:val="44"/>
          <w:szCs w:val="44"/>
          <w:lang w:val="en-US" w:eastAsia="zh-CN"/>
        </w:rPr>
        <w:t xml:space="preserve"> </w:t>
      </w:r>
      <w:r>
        <w:rPr>
          <w:rFonts w:hint="eastAsia" w:ascii="方正小标宋简体" w:hAnsi="方正小标宋简体" w:eastAsia="方正小标宋简体" w:cs="方正小标宋简体"/>
          <w:color w:val="auto"/>
          <w:kern w:val="0"/>
          <w:sz w:val="44"/>
          <w:szCs w:val="44"/>
          <w:lang w:val="zh-CN"/>
        </w:rPr>
        <w:t xml:space="preserve"> 壤塘县</w:t>
      </w:r>
      <w:r>
        <w:rPr>
          <w:rFonts w:hint="eastAsia" w:ascii="方正小标宋简体" w:hAnsi="方正小标宋简体" w:eastAsia="方正小标宋简体" w:cs="方正小标宋简体"/>
          <w:color w:val="auto"/>
          <w:kern w:val="0"/>
          <w:sz w:val="44"/>
          <w:szCs w:val="44"/>
          <w:lang w:eastAsia="zh-CN"/>
        </w:rPr>
        <w:t>2023</w:t>
      </w:r>
      <w:r>
        <w:rPr>
          <w:rFonts w:hint="eastAsia" w:ascii="方正小标宋简体" w:hAnsi="方正小标宋简体" w:eastAsia="方正小标宋简体" w:cs="方正小标宋简体"/>
          <w:color w:val="auto"/>
          <w:kern w:val="0"/>
          <w:sz w:val="44"/>
          <w:szCs w:val="44"/>
          <w:lang w:val="zh-CN"/>
        </w:rPr>
        <w:t>年国民经济和社会发展</w:t>
      </w:r>
    </w:p>
    <w:p>
      <w:pPr>
        <w:widowControl/>
        <w:spacing w:line="70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color w:val="auto"/>
          <w:kern w:val="0"/>
          <w:sz w:val="44"/>
          <w:szCs w:val="44"/>
          <w:lang w:val="zh-CN"/>
        </w:rPr>
        <w:t>统计公报</w:t>
      </w:r>
    </w:p>
    <w:p>
      <w:pPr>
        <w:widowControl/>
        <w:adjustRightInd w:val="0"/>
        <w:snapToGrid w:val="0"/>
        <w:spacing w:line="560" w:lineRule="exact"/>
        <w:jc w:val="center"/>
        <w:rPr>
          <w:rFonts w:ascii="Times New Roman" w:hAnsi="Times New Roman" w:eastAsia="仿宋_GB2312" w:cs="Times New Roman"/>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lang w:eastAsia="zh-CN"/>
        </w:rPr>
        <w:t>2023</w:t>
      </w:r>
      <w:r>
        <w:rPr>
          <w:rFonts w:hint="eastAsia" w:ascii="仿宋" w:hAnsi="仿宋" w:eastAsia="仿宋" w:cs="仿宋"/>
          <w:color w:val="auto"/>
          <w:sz w:val="32"/>
          <w:szCs w:val="32"/>
          <w:shd w:val="clear" w:color="auto" w:fill="FFFFFF"/>
        </w:rPr>
        <w:t>年</w:t>
      </w:r>
      <w:r>
        <w:rPr>
          <w:rFonts w:hint="eastAsia" w:ascii="仿宋" w:hAnsi="仿宋" w:eastAsia="仿宋" w:cs="仿宋"/>
          <w:color w:val="auto"/>
          <w:sz w:val="32"/>
          <w:szCs w:val="32"/>
          <w:shd w:val="clear" w:color="auto" w:fill="FFFFFF"/>
          <w:lang w:eastAsia="zh-CN"/>
        </w:rPr>
        <w:t>是</w:t>
      </w:r>
      <w:r>
        <w:rPr>
          <w:rFonts w:hint="eastAsia" w:ascii="仿宋" w:hAnsi="仿宋" w:eastAsia="仿宋" w:cs="仿宋"/>
          <w:color w:val="auto"/>
          <w:sz w:val="32"/>
          <w:szCs w:val="32"/>
          <w:shd w:val="clear" w:color="auto" w:fill="FFFFFF"/>
        </w:rPr>
        <w:t>全面贯彻落实党的二十大精神的开局之年，也是三年新冠疫情转段后经济恢复发展的第一年。</w:t>
      </w:r>
      <w:r>
        <w:rPr>
          <w:rFonts w:hint="eastAsia" w:ascii="仿宋" w:hAnsi="仿宋" w:eastAsia="仿宋" w:cs="仿宋"/>
          <w:color w:val="auto"/>
          <w:sz w:val="32"/>
          <w:szCs w:val="32"/>
          <w:shd w:val="clear" w:color="auto" w:fill="FFFFFF"/>
          <w:lang w:eastAsia="zh-CN"/>
        </w:rPr>
        <w:t>全县</w:t>
      </w:r>
      <w:r>
        <w:rPr>
          <w:rFonts w:hint="eastAsia" w:ascii="仿宋" w:hAnsi="仿宋" w:eastAsia="仿宋" w:cs="仿宋"/>
          <w:color w:val="auto"/>
          <w:sz w:val="32"/>
          <w:szCs w:val="32"/>
          <w:shd w:val="clear" w:color="auto" w:fill="FFFFFF"/>
        </w:rPr>
        <w:t>上下坚持以习近平新时代中国特色社会主义思想为指导，认真贯彻落实中</w:t>
      </w:r>
      <w:r>
        <w:rPr>
          <w:rFonts w:hint="eastAsia" w:ascii="仿宋" w:hAnsi="仿宋" w:eastAsia="仿宋" w:cs="仿宋"/>
          <w:color w:val="auto"/>
          <w:sz w:val="32"/>
          <w:szCs w:val="32"/>
          <w:shd w:val="clear" w:color="auto" w:fill="FFFFFF"/>
          <w:lang w:eastAsia="zh-CN"/>
        </w:rPr>
        <w:t>央、</w:t>
      </w:r>
      <w:r>
        <w:rPr>
          <w:rFonts w:hint="eastAsia" w:ascii="仿宋" w:hAnsi="仿宋" w:eastAsia="仿宋" w:cs="仿宋"/>
          <w:color w:val="auto"/>
          <w:sz w:val="32"/>
          <w:szCs w:val="32"/>
          <w:shd w:val="clear" w:color="auto" w:fill="FFFFFF"/>
        </w:rPr>
        <w:t>省</w:t>
      </w:r>
      <w:r>
        <w:rPr>
          <w:rFonts w:hint="eastAsia" w:ascii="仿宋" w:hAnsi="仿宋" w:eastAsia="仿宋" w:cs="仿宋"/>
          <w:color w:val="auto"/>
          <w:sz w:val="32"/>
          <w:szCs w:val="32"/>
          <w:shd w:val="clear" w:color="auto" w:fill="FFFFFF"/>
          <w:lang w:eastAsia="zh-CN"/>
        </w:rPr>
        <w:t>、州</w:t>
      </w:r>
      <w:r>
        <w:rPr>
          <w:rFonts w:hint="eastAsia" w:ascii="仿宋" w:hAnsi="仿宋" w:eastAsia="仿宋" w:cs="仿宋"/>
          <w:color w:val="auto"/>
          <w:sz w:val="32"/>
          <w:szCs w:val="32"/>
          <w:shd w:val="clear" w:color="auto" w:fill="FFFFFF"/>
        </w:rPr>
        <w:t>各项决策部署，深入践行“</w:t>
      </w:r>
      <w:r>
        <w:rPr>
          <w:rFonts w:hint="eastAsia" w:ascii="仿宋" w:hAnsi="仿宋" w:eastAsia="仿宋" w:cs="仿宋"/>
          <w:color w:val="auto"/>
          <w:sz w:val="32"/>
          <w:szCs w:val="32"/>
          <w:shd w:val="clear" w:color="auto" w:fill="FFFFFF"/>
          <w:lang w:eastAsia="zh-CN"/>
        </w:rPr>
        <w:t>农牧立县、文旅兴县、能源富县</w:t>
      </w:r>
      <w:r>
        <w:rPr>
          <w:rFonts w:hint="eastAsia" w:ascii="仿宋" w:hAnsi="仿宋" w:eastAsia="仿宋" w:cs="仿宋"/>
          <w:color w:val="auto"/>
          <w:sz w:val="32"/>
          <w:szCs w:val="32"/>
          <w:shd w:val="clear" w:color="auto" w:fill="FFFFFF"/>
        </w:rPr>
        <w:t>”发展</w:t>
      </w:r>
      <w:r>
        <w:rPr>
          <w:rFonts w:hint="eastAsia" w:ascii="仿宋" w:hAnsi="仿宋" w:eastAsia="仿宋" w:cs="仿宋"/>
          <w:color w:val="auto"/>
          <w:sz w:val="32"/>
          <w:szCs w:val="32"/>
          <w:shd w:val="clear" w:color="auto" w:fill="FFFFFF"/>
          <w:lang w:eastAsia="zh-CN"/>
        </w:rPr>
        <w:t>战略</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加快建设壤塘特色现代产业新体系，</w:t>
      </w:r>
      <w:r>
        <w:rPr>
          <w:rFonts w:hint="eastAsia" w:ascii="仿宋" w:hAnsi="仿宋" w:eastAsia="仿宋" w:cs="仿宋"/>
          <w:color w:val="auto"/>
          <w:sz w:val="32"/>
          <w:szCs w:val="32"/>
          <w:shd w:val="clear" w:color="auto" w:fill="FFFFFF"/>
        </w:rPr>
        <w:t>锚定目标、加压奋进、抓项目、兴产业、促消费，赋能经济发展，经济回升向好态势更加巩固，高质量发展扎实推进。</w:t>
      </w:r>
    </w:p>
    <w:p>
      <w:pPr>
        <w:pStyle w:val="7"/>
        <w:rPr>
          <w:rFonts w:hint="eastAsia"/>
          <w:color w:val="auto"/>
          <w:lang w:eastAsia="zh-CN"/>
        </w:rPr>
      </w:pPr>
    </w:p>
    <w:p>
      <w:pPr>
        <w:widowControl/>
        <w:numPr>
          <w:ilvl w:val="0"/>
          <w:numId w:val="1"/>
        </w:numPr>
        <w:adjustRightInd w:val="0"/>
        <w:snapToGrid w:val="0"/>
        <w:spacing w:line="560" w:lineRule="exact"/>
        <w:jc w:val="center"/>
        <w:rPr>
          <w:rFonts w:ascii="黑体" w:hAnsi="黑体" w:eastAsia="黑体" w:cs="黑体"/>
          <w:b/>
          <w:color w:val="auto"/>
          <w:kern w:val="0"/>
          <w:sz w:val="36"/>
          <w:szCs w:val="36"/>
          <w:lang w:val="zh-CN"/>
        </w:rPr>
      </w:pPr>
      <w:r>
        <w:rPr>
          <w:rFonts w:hint="eastAsia" w:ascii="黑体" w:hAnsi="黑体" w:eastAsia="黑体" w:cs="黑体"/>
          <w:b/>
          <w:color w:val="auto"/>
          <w:kern w:val="0"/>
          <w:sz w:val="36"/>
          <w:szCs w:val="36"/>
          <w:lang w:val="zh-CN"/>
        </w:rPr>
        <w:t>综</w:t>
      </w:r>
      <w:r>
        <w:rPr>
          <w:rFonts w:hint="eastAsia" w:ascii="黑体" w:hAnsi="黑体" w:eastAsia="黑体" w:cs="黑体"/>
          <w:b/>
          <w:color w:val="auto"/>
          <w:kern w:val="0"/>
          <w:sz w:val="36"/>
          <w:szCs w:val="36"/>
          <w:lang w:val="en-US" w:eastAsia="zh-CN"/>
        </w:rPr>
        <w:t xml:space="preserve">  </w:t>
      </w:r>
      <w:r>
        <w:rPr>
          <w:rFonts w:hint="eastAsia" w:ascii="黑体" w:hAnsi="黑体" w:eastAsia="黑体" w:cs="黑体"/>
          <w:b/>
          <w:color w:val="auto"/>
          <w:kern w:val="0"/>
          <w:sz w:val="36"/>
          <w:szCs w:val="36"/>
          <w:lang w:val="zh-CN"/>
        </w:rPr>
        <w:t>合</w:t>
      </w:r>
      <w:r>
        <w:rPr>
          <w:rFonts w:hint="eastAsia" w:ascii="黑体" w:hAnsi="黑体" w:eastAsia="黑体" w:cs="黑体"/>
          <w:b/>
          <w:color w:val="auto"/>
          <w:kern w:val="0"/>
          <w:sz w:val="36"/>
          <w:szCs w:val="36"/>
          <w:lang w:val="en-US" w:eastAsia="zh-CN"/>
        </w:rPr>
        <w:t xml:space="preserve"> </w:t>
      </w:r>
    </w:p>
    <w:p>
      <w:pPr>
        <w:pStyle w:val="12"/>
        <w:ind w:left="0" w:leftChars="0" w:firstLine="0" w:firstLineChars="0"/>
        <w:rPr>
          <w:color w:val="auto"/>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eastAsia="zh-CN"/>
        </w:rPr>
        <w:t>2023</w:t>
      </w:r>
      <w:r>
        <w:rPr>
          <w:rFonts w:hint="eastAsia" w:ascii="仿宋" w:hAnsi="仿宋" w:eastAsia="仿宋" w:cs="仿宋"/>
          <w:color w:val="auto"/>
          <w:kern w:val="0"/>
          <w:sz w:val="32"/>
          <w:szCs w:val="32"/>
        </w:rPr>
        <w:t>年，</w:t>
      </w:r>
      <w:r>
        <w:rPr>
          <w:rFonts w:hint="eastAsia" w:ascii="仿宋" w:hAnsi="仿宋" w:eastAsia="仿宋" w:cs="仿宋"/>
          <w:color w:val="auto"/>
          <w:sz w:val="32"/>
          <w:szCs w:val="32"/>
          <w:lang w:eastAsia="zh-CN"/>
        </w:rPr>
        <w:t>根据地区生产总值统一核算结果</w:t>
      </w:r>
      <w:r>
        <w:rPr>
          <w:rFonts w:hint="eastAsia" w:ascii="仿宋" w:hAnsi="仿宋" w:eastAsia="仿宋" w:cs="仿宋"/>
          <w:color w:val="auto"/>
          <w:kern w:val="0"/>
          <w:sz w:val="32"/>
          <w:szCs w:val="32"/>
        </w:rPr>
        <w:t>，全县实现</w:t>
      </w:r>
      <w:r>
        <w:rPr>
          <w:rFonts w:hint="eastAsia" w:ascii="仿宋" w:hAnsi="仿宋" w:eastAsia="仿宋" w:cs="仿宋"/>
          <w:sz w:val="32"/>
          <w:szCs w:val="32"/>
        </w:rPr>
        <w:t>地区生产总值</w:t>
      </w:r>
      <w:r>
        <w:rPr>
          <w:rFonts w:hint="eastAsia" w:ascii="仿宋" w:hAnsi="仿宋" w:eastAsia="仿宋" w:cs="仿宋"/>
          <w:sz w:val="32"/>
          <w:szCs w:val="32"/>
          <w:lang w:val="en-US" w:eastAsia="zh-CN"/>
        </w:rPr>
        <w:t>155015万</w:t>
      </w:r>
      <w:r>
        <w:rPr>
          <w:rFonts w:hint="eastAsia" w:ascii="仿宋" w:hAnsi="仿宋" w:eastAsia="仿宋" w:cs="仿宋"/>
          <w:sz w:val="32"/>
          <w:szCs w:val="32"/>
        </w:rPr>
        <w:t>元，按可比价计算，</w:t>
      </w:r>
      <w:r>
        <w:rPr>
          <w:rFonts w:hint="eastAsia" w:ascii="仿宋" w:hAnsi="仿宋" w:eastAsia="仿宋" w:cs="仿宋"/>
          <w:sz w:val="32"/>
          <w:szCs w:val="32"/>
          <w:lang w:eastAsia="zh-CN"/>
        </w:rPr>
        <w:t>同比（下同）</w:t>
      </w:r>
      <w:r>
        <w:rPr>
          <w:rFonts w:hint="eastAsia" w:ascii="仿宋" w:hAnsi="仿宋" w:eastAsia="仿宋" w:cs="仿宋"/>
          <w:sz w:val="32"/>
          <w:szCs w:val="32"/>
        </w:rPr>
        <w:t>增长</w:t>
      </w:r>
      <w:r>
        <w:rPr>
          <w:rFonts w:hint="eastAsia" w:ascii="仿宋" w:hAnsi="仿宋" w:eastAsia="仿宋" w:cs="仿宋"/>
          <w:sz w:val="32"/>
          <w:szCs w:val="32"/>
          <w:lang w:val="en-US" w:eastAsia="zh-CN"/>
        </w:rPr>
        <w:t>6.8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第一产业实现增加值</w:t>
      </w:r>
      <w:r>
        <w:rPr>
          <w:rFonts w:hint="eastAsia" w:ascii="仿宋" w:hAnsi="仿宋" w:eastAsia="仿宋" w:cs="仿宋"/>
          <w:sz w:val="32"/>
          <w:szCs w:val="32"/>
          <w:lang w:val="en-US" w:eastAsia="zh-CN"/>
        </w:rPr>
        <w:t>43723万</w:t>
      </w:r>
      <w:r>
        <w:rPr>
          <w:rFonts w:hint="eastAsia" w:ascii="仿宋" w:hAnsi="仿宋" w:eastAsia="仿宋" w:cs="仿宋"/>
          <w:sz w:val="32"/>
          <w:szCs w:val="32"/>
        </w:rPr>
        <w:t>元，增长</w:t>
      </w:r>
      <w:r>
        <w:rPr>
          <w:rFonts w:hint="eastAsia" w:ascii="仿宋" w:hAnsi="仿宋" w:eastAsia="仿宋" w:cs="仿宋"/>
          <w:sz w:val="32"/>
          <w:szCs w:val="32"/>
          <w:lang w:val="en-US" w:eastAsia="zh-CN"/>
        </w:rPr>
        <w:t>11.1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第二产业实现增加值</w:t>
      </w:r>
      <w:r>
        <w:rPr>
          <w:rFonts w:hint="eastAsia" w:ascii="仿宋" w:hAnsi="仿宋" w:eastAsia="仿宋" w:cs="仿宋"/>
          <w:sz w:val="32"/>
          <w:szCs w:val="32"/>
          <w:lang w:val="en-US" w:eastAsia="zh-CN"/>
        </w:rPr>
        <w:t>6400万</w:t>
      </w:r>
      <w:r>
        <w:rPr>
          <w:rFonts w:hint="eastAsia" w:ascii="仿宋" w:hAnsi="仿宋" w:eastAsia="仿宋" w:cs="仿宋"/>
          <w:sz w:val="32"/>
          <w:szCs w:val="32"/>
        </w:rPr>
        <w:t>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3.8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第三产业实现增加值</w:t>
      </w:r>
      <w:r>
        <w:rPr>
          <w:rFonts w:hint="eastAsia" w:ascii="仿宋" w:hAnsi="仿宋" w:eastAsia="仿宋" w:cs="仿宋"/>
          <w:sz w:val="32"/>
          <w:szCs w:val="32"/>
          <w:lang w:val="en-US" w:eastAsia="zh-CN"/>
        </w:rPr>
        <w:t>104892万</w:t>
      </w:r>
      <w:r>
        <w:rPr>
          <w:rFonts w:hint="eastAsia" w:ascii="仿宋" w:hAnsi="仿宋" w:eastAsia="仿宋" w:cs="仿宋"/>
          <w:sz w:val="32"/>
          <w:szCs w:val="32"/>
        </w:rPr>
        <w:t>元，增长</w:t>
      </w:r>
      <w:r>
        <w:rPr>
          <w:rFonts w:hint="eastAsia" w:ascii="仿宋" w:hAnsi="仿宋" w:eastAsia="仿宋" w:cs="仿宋"/>
          <w:sz w:val="32"/>
          <w:szCs w:val="32"/>
          <w:lang w:val="en-US" w:eastAsia="zh-CN"/>
        </w:rPr>
        <w:t>5.6</w:t>
      </w:r>
      <w:r>
        <w:rPr>
          <w:rFonts w:hint="eastAsia" w:ascii="仿宋" w:hAnsi="仿宋" w:eastAsia="仿宋" w:cs="仿宋"/>
          <w:sz w:val="32"/>
          <w:szCs w:val="32"/>
        </w:rPr>
        <w:t>%。</w:t>
      </w:r>
      <w:r>
        <w:rPr>
          <w:rFonts w:hint="eastAsia" w:ascii="仿宋" w:hAnsi="仿宋" w:eastAsia="仿宋" w:cs="仿宋"/>
          <w:color w:val="auto"/>
          <w:sz w:val="32"/>
          <w:szCs w:val="32"/>
        </w:rPr>
        <w:t>三次产业对经济增长的贡献率分别为</w:t>
      </w:r>
      <w:r>
        <w:rPr>
          <w:rFonts w:hint="eastAsia" w:ascii="仿宋" w:hAnsi="仿宋" w:eastAsia="仿宋" w:cs="仿宋"/>
          <w:color w:val="auto"/>
          <w:kern w:val="0"/>
          <w:sz w:val="32"/>
          <w:szCs w:val="32"/>
          <w:lang w:val="en-US" w:eastAsia="zh-CN"/>
        </w:rPr>
        <w:t>47.9</w:t>
      </w:r>
      <w:r>
        <w:rPr>
          <w:rFonts w:hint="eastAsia" w:ascii="仿宋" w:hAnsi="仿宋" w:eastAsia="仿宋" w:cs="仿宋"/>
          <w:color w:val="auto"/>
          <w:sz w:val="32"/>
          <w:szCs w:val="32"/>
          <w:lang w:val="en-US" w:eastAsia="zh-CN"/>
        </w:rPr>
        <w:t>%、</w:t>
      </w:r>
      <w:r>
        <w:rPr>
          <w:rFonts w:hint="eastAsia" w:ascii="仿宋" w:hAnsi="仿宋" w:eastAsia="仿宋" w:cs="仿宋"/>
          <w:color w:val="auto"/>
          <w:kern w:val="0"/>
          <w:sz w:val="32"/>
          <w:szCs w:val="32"/>
          <w:lang w:val="en-US" w:eastAsia="zh-CN"/>
        </w:rPr>
        <w:t>-2.4%</w:t>
      </w:r>
      <w:r>
        <w:rPr>
          <w:rFonts w:hint="eastAsia" w:ascii="仿宋" w:hAnsi="仿宋" w:eastAsia="仿宋" w:cs="仿宋"/>
          <w:color w:val="auto"/>
          <w:sz w:val="32"/>
          <w:szCs w:val="32"/>
          <w:lang w:val="en-US" w:eastAsia="zh-CN"/>
        </w:rPr>
        <w:t>和</w:t>
      </w:r>
      <w:r>
        <w:rPr>
          <w:rFonts w:hint="eastAsia" w:ascii="仿宋" w:hAnsi="仿宋" w:eastAsia="仿宋" w:cs="仿宋"/>
          <w:color w:val="auto"/>
          <w:kern w:val="0"/>
          <w:sz w:val="32"/>
          <w:szCs w:val="32"/>
          <w:lang w:val="en-US" w:eastAsia="zh-CN"/>
        </w:rPr>
        <w:t>54.5%</w:t>
      </w:r>
      <w:r>
        <w:rPr>
          <w:rFonts w:hint="eastAsia" w:ascii="仿宋" w:hAnsi="仿宋" w:eastAsia="仿宋" w:cs="仿宋"/>
          <w:color w:val="auto"/>
          <w:sz w:val="32"/>
          <w:szCs w:val="32"/>
          <w:lang w:eastAsia="zh-CN"/>
        </w:rPr>
        <w:t>，分别拉动经济增长</w:t>
      </w:r>
      <w:r>
        <w:rPr>
          <w:rFonts w:hint="eastAsia" w:ascii="仿宋" w:hAnsi="仿宋" w:eastAsia="仿宋" w:cs="仿宋"/>
          <w:color w:val="auto"/>
          <w:kern w:val="0"/>
          <w:sz w:val="32"/>
          <w:szCs w:val="32"/>
          <w:lang w:val="en-US" w:eastAsia="zh-CN"/>
        </w:rPr>
        <w:t>3.3、-0.2</w:t>
      </w:r>
      <w:r>
        <w:rPr>
          <w:rFonts w:hint="eastAsia" w:ascii="仿宋" w:hAnsi="仿宋" w:eastAsia="仿宋" w:cs="仿宋"/>
          <w:color w:val="auto"/>
          <w:sz w:val="32"/>
          <w:szCs w:val="32"/>
          <w:lang w:val="en-US" w:eastAsia="zh-CN"/>
        </w:rPr>
        <w:t>和</w:t>
      </w:r>
      <w:r>
        <w:rPr>
          <w:rFonts w:hint="eastAsia" w:ascii="仿宋" w:hAnsi="仿宋" w:eastAsia="仿宋" w:cs="仿宋"/>
          <w:color w:val="auto"/>
          <w:kern w:val="0"/>
          <w:sz w:val="32"/>
          <w:szCs w:val="32"/>
          <w:lang w:val="en-US" w:eastAsia="zh-CN"/>
        </w:rPr>
        <w:t>3.7</w:t>
      </w:r>
      <w:r>
        <w:rPr>
          <w:rFonts w:hint="eastAsia" w:ascii="仿宋" w:hAnsi="仿宋" w:eastAsia="仿宋" w:cs="仿宋"/>
          <w:color w:val="auto"/>
          <w:sz w:val="32"/>
          <w:szCs w:val="32"/>
          <w:lang w:eastAsia="zh-CN"/>
        </w:rPr>
        <w:t>个百分点</w:t>
      </w:r>
      <w:r>
        <w:rPr>
          <w:rFonts w:hint="eastAsia" w:ascii="仿宋" w:hAnsi="仿宋" w:eastAsia="仿宋" w:cs="仿宋"/>
          <w:color w:val="auto"/>
          <w:sz w:val="32"/>
          <w:szCs w:val="32"/>
        </w:rPr>
        <w:t>。三次产业结构由上年的</w:t>
      </w:r>
      <w:r>
        <w:rPr>
          <w:rFonts w:hint="eastAsia" w:ascii="仿宋" w:hAnsi="仿宋" w:eastAsia="仿宋" w:cs="仿宋"/>
          <w:color w:val="auto"/>
          <w:sz w:val="32"/>
          <w:szCs w:val="32"/>
          <w:lang w:val="en-US" w:eastAsia="zh-CN"/>
        </w:rPr>
        <w:t>29.1</w:t>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66.5</w:t>
      </w:r>
      <w:r>
        <w:rPr>
          <w:rFonts w:hint="eastAsia" w:ascii="仿宋" w:hAnsi="仿宋" w:eastAsia="仿宋" w:cs="仿宋"/>
          <w:color w:val="auto"/>
          <w:sz w:val="32"/>
          <w:szCs w:val="32"/>
        </w:rPr>
        <w:t>调整为</w:t>
      </w:r>
      <w:r>
        <w:rPr>
          <w:rFonts w:hint="eastAsia" w:ascii="仿宋" w:hAnsi="仿宋" w:eastAsia="仿宋" w:cs="仿宋"/>
          <w:color w:val="auto"/>
          <w:sz w:val="32"/>
          <w:szCs w:val="32"/>
          <w:lang w:val="en-US" w:eastAsia="zh-CN"/>
        </w:rPr>
        <w:t>28.2</w:t>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67.7</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rPr>
        <w:t>人均地区生产总值</w:t>
      </w:r>
      <w:r>
        <w:rPr>
          <w:rFonts w:hint="eastAsia" w:ascii="仿宋" w:hAnsi="仿宋" w:eastAsia="仿宋" w:cs="仿宋"/>
          <w:color w:val="auto"/>
          <w:sz w:val="32"/>
          <w:szCs w:val="32"/>
          <w:lang w:val="en-US" w:eastAsia="zh-CN"/>
        </w:rPr>
        <w:t>34182</w:t>
      </w:r>
      <w:r>
        <w:rPr>
          <w:rFonts w:hint="eastAsia" w:ascii="仿宋" w:hAnsi="仿宋" w:eastAsia="仿宋" w:cs="仿宋"/>
          <w:color w:val="auto"/>
          <w:sz w:val="32"/>
          <w:szCs w:val="32"/>
        </w:rPr>
        <w:t>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6.2</w:t>
      </w:r>
      <w:r>
        <w:rPr>
          <w:rFonts w:hint="eastAsia" w:ascii="仿宋" w:hAnsi="仿宋" w:eastAsia="仿宋" w:cs="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ascii="Times New Roman" w:hAnsi="Times New Roman" w:eastAsia="仿宋_GB2312" w:cs="Times New Roman"/>
          <w:color w:val="auto"/>
          <w:sz w:val="32"/>
          <w:szCs w:val="32"/>
          <w:shd w:val="clear" w:color="auto" w:fill="FFFFFF"/>
        </w:rPr>
      </w:pPr>
      <w:r>
        <w:rPr>
          <w:rFonts w:hint="eastAsia" w:ascii="仿宋" w:hAnsi="仿宋" w:eastAsia="仿宋" w:cs="仿宋"/>
          <w:color w:val="auto"/>
          <w:sz w:val="32"/>
          <w:szCs w:val="32"/>
          <w:lang w:val="en-US"/>
        </w:rPr>
        <w:drawing>
          <wp:anchor distT="0" distB="0" distL="114300" distR="114300" simplePos="0" relativeHeight="251664384" behindDoc="0" locked="0" layoutInCell="1" allowOverlap="1">
            <wp:simplePos x="0" y="0"/>
            <wp:positionH relativeFrom="column">
              <wp:posOffset>12065</wp:posOffset>
            </wp:positionH>
            <wp:positionV relativeFrom="paragraph">
              <wp:posOffset>127000</wp:posOffset>
            </wp:positionV>
            <wp:extent cx="5592445" cy="2667000"/>
            <wp:effectExtent l="4445" t="4445" r="22860" b="14605"/>
            <wp:wrapTopAndBottom/>
            <wp:docPr id="1302" name="图表 5" descr="7b0a202020202263686172745265734964223a2022313734323430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jc w:val="left"/>
        <w:rPr>
          <w:rFonts w:ascii="Times New Roman" w:hAnsi="Times New Roman" w:eastAsia="宋体" w:cs="Times New Roman"/>
          <w:color w:val="auto"/>
          <w:szCs w:val="22"/>
        </w:rPr>
      </w:pPr>
    </w:p>
    <w:p>
      <w:pPr>
        <w:rPr>
          <w:rFonts w:hint="eastAsia" w:ascii="Times New Roman" w:hAnsi="Times New Roman" w:eastAsia="宋体" w:cs="Times New Roman"/>
          <w:color w:val="auto"/>
          <w:szCs w:val="22"/>
          <w:lang w:eastAsia="zh-CN"/>
        </w:rPr>
      </w:pPr>
      <w:r>
        <w:drawing>
          <wp:inline distT="0" distB="0" distL="114300" distR="114300">
            <wp:extent cx="5587365" cy="2743200"/>
            <wp:effectExtent l="4445" t="4445" r="8890" b="52705"/>
            <wp:docPr id="1670" name="图表 1" descr="7b0a202020202263686172745265734964223a202232303236363734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ascii="Times New Roman" w:hAnsi="Times New Roman" w:eastAsia="仿宋_GB2312" w:cs="Times New Roman"/>
          <w:color w:val="auto"/>
          <w:sz w:val="32"/>
          <w:szCs w:val="32"/>
          <w:shd w:val="clear" w:color="auto" w:fill="FFFFFF"/>
        </w:rPr>
        <w:t>【</w:t>
      </w:r>
      <w:r>
        <w:rPr>
          <w:rFonts w:hint="eastAsia" w:ascii="楷体_GB2312" w:hAnsi="楷体_GB2312" w:eastAsia="楷体_GB2312" w:cs="楷体_GB2312"/>
          <w:b/>
          <w:bCs/>
          <w:color w:val="auto"/>
          <w:sz w:val="32"/>
          <w:szCs w:val="32"/>
          <w:shd w:val="clear" w:color="auto" w:fill="FFFFFF"/>
        </w:rPr>
        <w:t>民营经济</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年末全县民营经济主体2153户，增长</w:t>
      </w:r>
      <w:r>
        <w:rPr>
          <w:rFonts w:hint="eastAsia" w:ascii="仿宋" w:hAnsi="仿宋" w:eastAsia="仿宋" w:cs="仿宋"/>
          <w:color w:val="auto"/>
          <w:sz w:val="32"/>
          <w:szCs w:val="32"/>
          <w:lang w:val="en-US" w:eastAsia="zh-CN"/>
        </w:rPr>
        <w:t>17.4</w:t>
      </w:r>
      <w:r>
        <w:rPr>
          <w:rFonts w:hint="eastAsia" w:ascii="仿宋" w:hAnsi="仿宋" w:eastAsia="仿宋" w:cs="仿宋"/>
          <w:color w:val="auto"/>
          <w:sz w:val="32"/>
          <w:szCs w:val="32"/>
        </w:rPr>
        <w:t>%，占市场主体总量</w:t>
      </w:r>
      <w:r>
        <w:rPr>
          <w:rFonts w:hint="eastAsia" w:ascii="仿宋" w:hAnsi="仿宋" w:eastAsia="仿宋" w:cs="仿宋"/>
          <w:color w:val="auto"/>
          <w:sz w:val="32"/>
          <w:szCs w:val="32"/>
          <w:lang w:val="en-US" w:eastAsia="zh-CN"/>
        </w:rPr>
        <w:t>97.7</w:t>
      </w:r>
      <w:r>
        <w:rPr>
          <w:rFonts w:hint="eastAsia" w:ascii="仿宋" w:hAnsi="仿宋" w:eastAsia="仿宋" w:cs="仿宋"/>
          <w:color w:val="auto"/>
          <w:sz w:val="32"/>
          <w:szCs w:val="32"/>
        </w:rPr>
        <w:t>%。按登记注册分类：企业385户，比上年增长</w:t>
      </w:r>
      <w:r>
        <w:rPr>
          <w:rFonts w:hint="eastAsia" w:ascii="仿宋" w:hAnsi="仿宋" w:eastAsia="仿宋" w:cs="仿宋"/>
          <w:color w:val="auto"/>
          <w:sz w:val="32"/>
          <w:szCs w:val="32"/>
          <w:lang w:val="en-US" w:eastAsia="zh-CN"/>
        </w:rPr>
        <w:t>24.1</w:t>
      </w:r>
      <w:r>
        <w:rPr>
          <w:rFonts w:hint="eastAsia" w:ascii="仿宋" w:hAnsi="仿宋" w:eastAsia="仿宋" w:cs="仿宋"/>
          <w:color w:val="auto"/>
          <w:sz w:val="32"/>
          <w:szCs w:val="32"/>
        </w:rPr>
        <w:t>%，占市场主体总量</w:t>
      </w:r>
      <w:r>
        <w:rPr>
          <w:rFonts w:hint="eastAsia" w:ascii="仿宋" w:hAnsi="仿宋" w:eastAsia="仿宋" w:cs="仿宋"/>
          <w:color w:val="auto"/>
          <w:sz w:val="32"/>
          <w:szCs w:val="32"/>
          <w:lang w:val="en-US" w:eastAsia="zh-CN"/>
        </w:rPr>
        <w:t>17.5</w:t>
      </w:r>
      <w:r>
        <w:rPr>
          <w:rFonts w:hint="eastAsia" w:ascii="仿宋" w:hAnsi="仿宋" w:eastAsia="仿宋" w:cs="仿宋"/>
          <w:color w:val="auto"/>
          <w:sz w:val="32"/>
          <w:szCs w:val="32"/>
        </w:rPr>
        <w:t>%；个体工商户1610户，比上年增长</w:t>
      </w:r>
      <w:r>
        <w:rPr>
          <w:rFonts w:hint="eastAsia" w:ascii="仿宋" w:hAnsi="仿宋" w:eastAsia="仿宋" w:cs="仿宋"/>
          <w:color w:val="auto"/>
          <w:sz w:val="32"/>
          <w:szCs w:val="32"/>
          <w:lang w:val="en-US" w:eastAsia="zh-CN"/>
        </w:rPr>
        <w:t>5.6</w:t>
      </w:r>
      <w:r>
        <w:rPr>
          <w:rFonts w:hint="eastAsia" w:ascii="仿宋" w:hAnsi="仿宋" w:eastAsia="仿宋" w:cs="仿宋"/>
          <w:color w:val="auto"/>
          <w:sz w:val="32"/>
          <w:szCs w:val="32"/>
        </w:rPr>
        <w:t>%，占市场主体总量</w:t>
      </w:r>
      <w:r>
        <w:rPr>
          <w:rFonts w:hint="eastAsia" w:ascii="仿宋" w:hAnsi="仿宋" w:eastAsia="仿宋" w:cs="仿宋"/>
          <w:color w:val="auto"/>
          <w:sz w:val="32"/>
          <w:szCs w:val="32"/>
          <w:lang w:val="en-US" w:eastAsia="zh-CN"/>
        </w:rPr>
        <w:t>73.1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农民专业合作社</w:t>
      </w:r>
      <w:r>
        <w:rPr>
          <w:rFonts w:hint="eastAsia" w:ascii="仿宋" w:hAnsi="仿宋" w:eastAsia="仿宋" w:cs="仿宋"/>
          <w:color w:val="auto"/>
          <w:sz w:val="32"/>
          <w:szCs w:val="32"/>
          <w:lang w:val="en-US" w:eastAsia="zh-CN"/>
        </w:rPr>
        <w:t>158户，占市场主体总量7.1%</w:t>
      </w:r>
      <w:r>
        <w:rPr>
          <w:rFonts w:hint="eastAsia" w:ascii="仿宋" w:hAnsi="仿宋" w:eastAsia="仿宋" w:cs="仿宋"/>
          <w:color w:val="auto"/>
          <w:sz w:val="32"/>
          <w:szCs w:val="32"/>
        </w:rPr>
        <w:t>。按行业分类：农、林、牧、渔业202户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采矿业3户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制造业107户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电力、热力、燃气及水生产和供应业8户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建筑业43户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批发和零售业878户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交通运输、仓储和邮政业34户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住宿和餐饮业458户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信息传输、软件和信息技术服务业22户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房地产业6户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租赁和商务服务业60户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科学研究和技术服务业13户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水利、环境和公共设施管理业5户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居民服务、修理和其他服务业206户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教育4户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卫生和社会工作12户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文化、体育和娱乐业84户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其他8户。</w:t>
      </w:r>
    </w:p>
    <w:p>
      <w:pPr>
        <w:spacing w:line="560" w:lineRule="exact"/>
        <w:ind w:firstLine="640" w:firstLineChars="200"/>
        <w:jc w:val="left"/>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全年民营经济实现增加值</w:t>
      </w:r>
      <w:r>
        <w:rPr>
          <w:rFonts w:hint="eastAsia" w:ascii="仿宋" w:hAnsi="仿宋" w:eastAsia="仿宋" w:cs="仿宋"/>
          <w:color w:val="auto"/>
          <w:sz w:val="32"/>
          <w:szCs w:val="32"/>
          <w:shd w:val="clear" w:color="auto" w:fill="FFFFFF"/>
          <w:lang w:val="en-US" w:eastAsia="zh-CN"/>
        </w:rPr>
        <w:t>57996</w:t>
      </w:r>
      <w:r>
        <w:rPr>
          <w:rFonts w:hint="eastAsia" w:ascii="仿宋" w:hAnsi="仿宋" w:eastAsia="仿宋" w:cs="仿宋"/>
          <w:color w:val="auto"/>
          <w:sz w:val="32"/>
          <w:szCs w:val="32"/>
          <w:shd w:val="clear" w:color="auto" w:fill="FFFFFF"/>
        </w:rPr>
        <w:t>万元，增长</w:t>
      </w:r>
      <w:r>
        <w:rPr>
          <w:rFonts w:hint="eastAsia" w:ascii="仿宋" w:hAnsi="仿宋" w:eastAsia="仿宋" w:cs="仿宋"/>
          <w:color w:val="auto"/>
          <w:sz w:val="32"/>
          <w:szCs w:val="32"/>
          <w:shd w:val="clear" w:color="auto" w:fill="FFFFFF"/>
          <w:lang w:val="en-US" w:eastAsia="zh-CN"/>
        </w:rPr>
        <w:t>6.4</w:t>
      </w:r>
      <w:r>
        <w:rPr>
          <w:rFonts w:hint="eastAsia" w:ascii="仿宋" w:hAnsi="仿宋" w:eastAsia="仿宋" w:cs="仿宋"/>
          <w:color w:val="auto"/>
          <w:sz w:val="32"/>
          <w:szCs w:val="32"/>
          <w:shd w:val="clear" w:color="auto" w:fill="FFFFFF"/>
        </w:rPr>
        <w:t>%，民营经济占GDP比重37.</w:t>
      </w:r>
      <w:r>
        <w:rPr>
          <w:rFonts w:hint="eastAsia" w:ascii="仿宋" w:hAnsi="仿宋" w:eastAsia="仿宋" w:cs="仿宋"/>
          <w:color w:val="auto"/>
          <w:sz w:val="32"/>
          <w:szCs w:val="32"/>
          <w:shd w:val="clear" w:color="auto" w:fill="FFFFFF"/>
          <w:lang w:val="en-US" w:eastAsia="zh-CN"/>
        </w:rPr>
        <w:t>4</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，与上年同期持平</w:t>
      </w:r>
      <w:r>
        <w:rPr>
          <w:rFonts w:hint="eastAsia" w:ascii="仿宋" w:hAnsi="仿宋" w:eastAsia="仿宋" w:cs="仿宋"/>
          <w:color w:val="auto"/>
          <w:sz w:val="32"/>
          <w:szCs w:val="32"/>
          <w:shd w:val="clear" w:color="auto" w:fill="FFFFFF"/>
        </w:rPr>
        <w:t>。</w:t>
      </w:r>
    </w:p>
    <w:p>
      <w:pPr>
        <w:spacing w:line="560" w:lineRule="exact"/>
        <w:ind w:firstLine="640" w:firstLineChars="200"/>
        <w:jc w:val="left"/>
        <w:rPr>
          <w:rFonts w:hint="eastAsia" w:ascii="仿宋" w:hAnsi="仿宋" w:eastAsia="仿宋" w:cs="仿宋"/>
          <w:color w:val="auto"/>
          <w:sz w:val="32"/>
          <w:szCs w:val="32"/>
          <w:shd w:val="clear" w:color="auto" w:fill="FFFFFF"/>
          <w:lang w:val="zh-CN"/>
        </w:rPr>
      </w:pPr>
    </w:p>
    <w:p>
      <w:pPr>
        <w:rPr>
          <w:rFonts w:ascii="黑体" w:hAnsi="黑体" w:eastAsia="黑体" w:cs="黑体"/>
          <w:b/>
          <w:color w:val="auto"/>
          <w:kern w:val="0"/>
          <w:sz w:val="36"/>
          <w:szCs w:val="36"/>
          <w:lang w:val="zh-CN"/>
        </w:rPr>
      </w:pPr>
      <w:r>
        <w:drawing>
          <wp:inline distT="0" distB="0" distL="114300" distR="114300">
            <wp:extent cx="5530215" cy="3124835"/>
            <wp:effectExtent l="0" t="0" r="0" b="0"/>
            <wp:docPr id="21" name="图表 20" descr="7b0a202020202263686172745265734964223a202232303437343533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2"/>
        <w:rPr>
          <w:color w:val="auto"/>
          <w:lang w:val="zh-CN"/>
        </w:rPr>
      </w:pPr>
    </w:p>
    <w:p>
      <w:pPr>
        <w:widowControl/>
        <w:numPr>
          <w:ilvl w:val="0"/>
          <w:numId w:val="1"/>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农</w:t>
      </w:r>
      <w:r>
        <w:rPr>
          <w:rFonts w:hint="eastAsia" w:ascii="黑体" w:hAnsi="黑体" w:eastAsia="黑体" w:cs="黑体"/>
          <w:b/>
          <w:color w:val="auto"/>
          <w:kern w:val="0"/>
          <w:sz w:val="36"/>
          <w:szCs w:val="36"/>
          <w:lang w:val="en-US" w:eastAsia="zh-CN"/>
        </w:rPr>
        <w:t xml:space="preserve">  </w:t>
      </w:r>
      <w:r>
        <w:rPr>
          <w:rFonts w:ascii="黑体" w:hAnsi="黑体" w:eastAsia="黑体" w:cs="黑体"/>
          <w:b/>
          <w:color w:val="auto"/>
          <w:kern w:val="0"/>
          <w:sz w:val="36"/>
          <w:szCs w:val="36"/>
          <w:lang w:val="zh-CN"/>
        </w:rPr>
        <w:t>业</w:t>
      </w:r>
    </w:p>
    <w:p>
      <w:pPr>
        <w:pStyle w:val="12"/>
        <w:ind w:left="0" w:leftChars="0" w:firstLine="0" w:firstLineChars="0"/>
        <w:rPr>
          <w:color w:val="auto"/>
          <w:lang w:val="zh-CN"/>
        </w:rPr>
      </w:pPr>
    </w:p>
    <w:p>
      <w:pPr>
        <w:spacing w:line="560" w:lineRule="exact"/>
        <w:ind w:firstLine="640" w:firstLineChars="200"/>
        <w:rPr>
          <w:rFonts w:hint="default" w:ascii="Times New Roman" w:hAnsi="Times New Roman" w:eastAsia="仿宋_GB2312" w:cs="Times New Roman"/>
          <w:color w:val="auto"/>
          <w:sz w:val="32"/>
          <w:szCs w:val="32"/>
          <w:lang w:val="en-US"/>
        </w:rPr>
      </w:pPr>
      <w:r>
        <w:rPr>
          <w:rFonts w:hint="eastAsia" w:ascii="仿宋" w:hAnsi="仿宋" w:eastAsia="仿宋" w:cs="仿宋"/>
          <w:snapToGrid w:val="0"/>
          <w:color w:val="auto"/>
          <w:kern w:val="0"/>
          <w:sz w:val="32"/>
        </w:rPr>
        <w:t>全年实现农林牧渔业总产值</w:t>
      </w:r>
      <w:r>
        <w:rPr>
          <w:rFonts w:hint="eastAsia" w:ascii="仿宋" w:hAnsi="仿宋" w:eastAsia="仿宋" w:cs="仿宋"/>
          <w:snapToGrid w:val="0"/>
          <w:color w:val="auto"/>
          <w:kern w:val="0"/>
          <w:sz w:val="32"/>
          <w:lang w:val="en-US" w:eastAsia="zh-CN"/>
        </w:rPr>
        <w:t xml:space="preserve">76175万元，按可比价计算（下同）增长12.6%。分产业看，农业产值累计完成3866万元，增长1.6%；林业产值累计完成7434万元，增长10%；牧业产值累计完成60155万元，下降13.4%；农林牧渔辅助性活动产值累计完成4720万元，增长16.4%。农林牧渔业增加值累计完成46538万元，增长11.4%。   </w:t>
      </w:r>
      <w:r>
        <w:rPr>
          <w:rFonts w:hint="eastAsia" w:ascii="Times New Roman" w:hAnsi="Times New Roman" w:eastAsia="仿宋_GB2312" w:cs="Times New Roman"/>
          <w:snapToGrid w:val="0"/>
          <w:color w:val="auto"/>
          <w:kern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30" w:firstLineChars="300"/>
        <w:textAlignment w:val="auto"/>
        <w:rPr>
          <w:rFonts w:hint="eastAsia" w:ascii="仿宋" w:hAnsi="仿宋" w:eastAsia="仿宋" w:cs="仿宋"/>
          <w:color w:val="auto"/>
          <w:sz w:val="32"/>
          <w:szCs w:val="32"/>
          <w:lang w:val="en-US" w:eastAsia="zh-CN"/>
        </w:rPr>
      </w:pPr>
      <w:r>
        <w:drawing>
          <wp:anchor distT="0" distB="0" distL="114300" distR="114300" simplePos="0" relativeHeight="251665408" behindDoc="0" locked="0" layoutInCell="1" allowOverlap="1">
            <wp:simplePos x="0" y="0"/>
            <wp:positionH relativeFrom="column">
              <wp:posOffset>80645</wp:posOffset>
            </wp:positionH>
            <wp:positionV relativeFrom="paragraph">
              <wp:posOffset>97155</wp:posOffset>
            </wp:positionV>
            <wp:extent cx="5454650" cy="2942590"/>
            <wp:effectExtent l="0" t="0" r="12700" b="48260"/>
            <wp:wrapTopAndBottom/>
            <wp:docPr id="5" name="图表 4" descr="7b0a202020202263686172745265734964223a202232303437363333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Times New Roman" w:hAnsi="Times New Roman" w:eastAsia="仿宋_GB2312" w:cs="Times New Roman"/>
          <w:color w:val="auto"/>
          <w:sz w:val="32"/>
          <w:szCs w:val="32"/>
          <w:shd w:val="clear" w:color="auto" w:fill="FFFFFF"/>
          <w:lang w:val="en-US" w:eastAsia="zh-CN"/>
        </w:rPr>
        <w:t>【</w:t>
      </w:r>
      <w:r>
        <w:rPr>
          <w:rFonts w:hint="eastAsia" w:ascii="楷体_GB2312" w:hAnsi="楷体_GB2312" w:eastAsia="楷体_GB2312" w:cs="楷体_GB2312"/>
          <w:b/>
          <w:bCs/>
          <w:color w:val="auto"/>
          <w:sz w:val="32"/>
          <w:szCs w:val="32"/>
          <w:shd w:val="clear" w:color="auto" w:fill="FFFFFF"/>
          <w:lang w:val="en-US" w:eastAsia="zh-CN"/>
        </w:rPr>
        <w:t>种植业</w:t>
      </w:r>
      <w:r>
        <w:rPr>
          <w:rFonts w:hint="eastAsia" w:ascii="Times New Roman" w:hAnsi="Times New Roman" w:eastAsia="仿宋_GB2312" w:cs="Times New Roman"/>
          <w:color w:val="auto"/>
          <w:sz w:val="32"/>
          <w:szCs w:val="32"/>
          <w:shd w:val="clear" w:color="auto" w:fill="FFFFFF"/>
          <w:lang w:val="en-US" w:eastAsia="zh-CN"/>
        </w:rPr>
        <w:t>】</w:t>
      </w:r>
      <w:r>
        <w:rPr>
          <w:rFonts w:hint="eastAsia" w:ascii="仿宋" w:hAnsi="仿宋" w:eastAsia="仿宋" w:cs="仿宋"/>
          <w:color w:val="auto"/>
          <w:sz w:val="32"/>
          <w:szCs w:val="32"/>
          <w:lang w:val="en-US" w:eastAsia="zh-CN"/>
        </w:rPr>
        <w:t>全年农作物播种面积38821亩，增长6.3%。其中粮食播种面积32057亩，粮食总产量4401吨，增长4.6%；油料播种面积3164亩，油料产量377吨，增长1.9%；蔬菜及食用菌播种面积3000亩，蔬菜产量4259吨，增长8.7%。</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生态林业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shd w:val="clear" w:color="auto" w:fill="FFFFFF"/>
        </w:rPr>
        <w:t>全县林地面积328622.8公顷，草地291735.84公顷，</w:t>
      </w:r>
      <w:r>
        <w:rPr>
          <w:rFonts w:hint="eastAsia" w:ascii="仿宋" w:hAnsi="仿宋" w:eastAsia="仿宋" w:cs="仿宋"/>
          <w:color w:val="auto"/>
          <w:sz w:val="32"/>
          <w:szCs w:val="32"/>
          <w:shd w:val="clear" w:color="auto" w:fill="FFFFFF"/>
          <w:lang w:eastAsia="zh-CN"/>
        </w:rPr>
        <w:t>草原综合植被</w:t>
      </w:r>
      <w:r>
        <w:rPr>
          <w:rFonts w:hint="eastAsia" w:ascii="仿宋" w:hAnsi="仿宋" w:eastAsia="仿宋" w:cs="仿宋"/>
          <w:color w:val="auto"/>
          <w:sz w:val="32"/>
          <w:szCs w:val="32"/>
        </w:rPr>
        <w:t>盖</w:t>
      </w:r>
      <w:r>
        <w:rPr>
          <w:rFonts w:hint="eastAsia" w:ascii="仿宋" w:hAnsi="仿宋" w:eastAsia="仿宋" w:cs="仿宋"/>
          <w:color w:val="auto"/>
          <w:sz w:val="32"/>
          <w:szCs w:val="32"/>
          <w:lang w:eastAsia="zh-CN"/>
        </w:rPr>
        <w:t>度</w:t>
      </w:r>
      <w:r>
        <w:rPr>
          <w:rFonts w:hint="eastAsia" w:ascii="仿宋" w:hAnsi="仿宋" w:eastAsia="仿宋" w:cs="仿宋"/>
          <w:color w:val="auto"/>
          <w:sz w:val="32"/>
          <w:szCs w:val="32"/>
          <w:lang w:val="en-US" w:eastAsia="zh-CN"/>
        </w:rPr>
        <w:t>85.3</w:t>
      </w:r>
      <w:r>
        <w:rPr>
          <w:rFonts w:hint="eastAsia" w:ascii="仿宋" w:hAnsi="仿宋" w:eastAsia="仿宋" w:cs="仿宋"/>
          <w:color w:val="auto"/>
          <w:sz w:val="32"/>
          <w:szCs w:val="32"/>
        </w:rPr>
        <w:t>%。森林面积22</w:t>
      </w:r>
      <w:r>
        <w:rPr>
          <w:rFonts w:hint="eastAsia" w:ascii="仿宋" w:hAnsi="仿宋" w:eastAsia="仿宋" w:cs="仿宋"/>
          <w:color w:val="auto"/>
          <w:sz w:val="32"/>
          <w:szCs w:val="32"/>
          <w:lang w:val="en-US" w:eastAsia="zh-CN"/>
        </w:rPr>
        <w:t>0948.48</w:t>
      </w:r>
      <w:r>
        <w:rPr>
          <w:rFonts w:hint="eastAsia" w:ascii="仿宋" w:hAnsi="仿宋" w:eastAsia="仿宋" w:cs="仿宋"/>
          <w:color w:val="auto"/>
          <w:sz w:val="32"/>
          <w:szCs w:val="32"/>
          <w:shd w:val="clear" w:color="auto" w:fill="FFFFFF"/>
        </w:rPr>
        <w:t>公顷</w:t>
      </w:r>
      <w:bookmarkStart w:id="0" w:name="_GoBack"/>
      <w:bookmarkEnd w:id="0"/>
      <w:r>
        <w:rPr>
          <w:rFonts w:hint="eastAsia" w:ascii="仿宋" w:hAnsi="仿宋" w:eastAsia="仿宋" w:cs="仿宋"/>
          <w:color w:val="auto"/>
          <w:sz w:val="32"/>
          <w:szCs w:val="32"/>
        </w:rPr>
        <w:t>，森林蓄积量</w:t>
      </w:r>
      <w:r>
        <w:rPr>
          <w:rFonts w:hint="eastAsia" w:ascii="仿宋" w:hAnsi="仿宋" w:eastAsia="仿宋" w:cs="仿宋"/>
          <w:color w:val="auto"/>
          <w:sz w:val="32"/>
          <w:szCs w:val="32"/>
          <w:lang w:val="en-US" w:eastAsia="zh-CN"/>
        </w:rPr>
        <w:t>2629.39</w:t>
      </w:r>
      <w:r>
        <w:rPr>
          <w:rFonts w:hint="eastAsia" w:ascii="仿宋" w:hAnsi="仿宋" w:eastAsia="仿宋" w:cs="仿宋"/>
          <w:color w:val="auto"/>
          <w:sz w:val="32"/>
          <w:szCs w:val="32"/>
        </w:rPr>
        <w:t>万立方米，森林覆盖率33</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%。全年实施</w:t>
      </w:r>
      <w:r>
        <w:rPr>
          <w:rFonts w:hint="eastAsia" w:ascii="仿宋" w:hAnsi="仿宋" w:eastAsia="仿宋" w:cs="仿宋"/>
          <w:sz w:val="32"/>
          <w:szCs w:val="32"/>
          <w:lang w:val="en-US" w:eastAsia="zh-CN"/>
        </w:rPr>
        <w:t>非国有公益林生态效益补偿面积为152931亩（国家级面积为149977亩，省级面积为2954亩），补偿总资金2446896元。涉及非国有天然商品林管护面积49811亩，集体和个人天然商品林管护补助共计630607.26元。</w:t>
      </w:r>
      <w:r>
        <w:rPr>
          <w:rFonts w:hint="eastAsia" w:ascii="仿宋" w:hAnsi="仿宋" w:eastAsia="仿宋" w:cs="仿宋"/>
          <w:color w:val="000000"/>
          <w:kern w:val="2"/>
          <w:sz w:val="32"/>
          <w:szCs w:val="32"/>
          <w:highlight w:val="none"/>
          <w:lang w:val="en-US" w:eastAsia="zh-CN" w:bidi="ar-SA"/>
        </w:rPr>
        <w:t>继续选聘2150名生态管护员。</w:t>
      </w:r>
      <w:r>
        <w:rPr>
          <w:rFonts w:hint="eastAsia" w:ascii="仿宋" w:hAnsi="仿宋" w:eastAsia="仿宋" w:cs="仿宋"/>
          <w:sz w:val="32"/>
          <w:szCs w:val="32"/>
          <w:lang w:eastAsia="zh-CN"/>
        </w:rPr>
        <w:t>完成</w:t>
      </w:r>
      <w:r>
        <w:rPr>
          <w:rFonts w:hint="eastAsia" w:ascii="仿宋" w:hAnsi="仿宋" w:eastAsia="仿宋" w:cs="仿宋"/>
          <w:sz w:val="32"/>
          <w:szCs w:val="32"/>
        </w:rPr>
        <w:t>国家重点生态功能区转移支付壤塘县川西高原生态脆弱区综合治理项目</w:t>
      </w:r>
      <w:r>
        <w:rPr>
          <w:rFonts w:hint="eastAsia" w:ascii="仿宋" w:hAnsi="仿宋" w:eastAsia="仿宋" w:cs="仿宋"/>
          <w:sz w:val="32"/>
          <w:szCs w:val="32"/>
          <w:lang w:val="en-US" w:eastAsia="zh-CN"/>
        </w:rPr>
        <w:t>2</w:t>
      </w:r>
      <w:r>
        <w:rPr>
          <w:rFonts w:hint="eastAsia" w:ascii="仿宋" w:hAnsi="仿宋" w:eastAsia="仿宋" w:cs="仿宋"/>
          <w:sz w:val="32"/>
          <w:szCs w:val="32"/>
        </w:rPr>
        <w:t>2万余株云杉</w:t>
      </w:r>
      <w:r>
        <w:rPr>
          <w:rFonts w:hint="eastAsia" w:ascii="仿宋" w:hAnsi="仿宋" w:eastAsia="仿宋" w:cs="仿宋"/>
          <w:sz w:val="32"/>
          <w:szCs w:val="32"/>
          <w:lang w:eastAsia="zh-CN"/>
        </w:rPr>
        <w:t>补植任务。全县完成</w:t>
      </w:r>
      <w:r>
        <w:rPr>
          <w:rFonts w:hint="eastAsia" w:ascii="仿宋" w:hAnsi="仿宋" w:eastAsia="仿宋" w:cs="仿宋"/>
          <w:sz w:val="32"/>
          <w:szCs w:val="32"/>
          <w:lang w:val="en-US" w:eastAsia="zh-CN"/>
        </w:rPr>
        <w:t>草原生态修复治理项目人工种草0.5万亩、天然草原改良3.2万亩、鼠害防控5万亩和虫害防控5万亩。</w:t>
      </w:r>
      <w:r>
        <w:rPr>
          <w:rFonts w:hint="eastAsia" w:ascii="仿宋" w:hAnsi="仿宋" w:eastAsia="仿宋" w:cs="仿宋"/>
          <w:b w:val="0"/>
          <w:kern w:val="2"/>
          <w:sz w:val="32"/>
          <w:szCs w:val="32"/>
          <w:lang w:val="en-US" w:eastAsia="zh-CN" w:bidi="ar-SA"/>
        </w:rPr>
        <w:t>完成了县属国有林以及集体林2308996亩森林面积投保工作。</w:t>
      </w:r>
      <w:r>
        <w:rPr>
          <w:rFonts w:hint="eastAsia" w:ascii="仿宋" w:hAnsi="仿宋" w:eastAsia="仿宋" w:cs="仿宋"/>
          <w:sz w:val="32"/>
          <w:szCs w:val="32"/>
          <w:lang w:eastAsia="zh-CN"/>
        </w:rPr>
        <w:t>义务植树</w:t>
      </w:r>
      <w:r>
        <w:rPr>
          <w:rFonts w:hint="eastAsia" w:ascii="仿宋" w:hAnsi="仿宋" w:eastAsia="仿宋" w:cs="仿宋"/>
          <w:sz w:val="32"/>
          <w:szCs w:val="32"/>
        </w:rPr>
        <w:t>栽植云杉大苗10000株，高山柳等裸根苗栽植26000余株。</w:t>
      </w:r>
      <w:r>
        <w:rPr>
          <w:rFonts w:hint="eastAsia" w:ascii="仿宋" w:hAnsi="仿宋" w:eastAsia="仿宋" w:cs="仿宋"/>
          <w:sz w:val="32"/>
          <w:szCs w:val="32"/>
          <w:lang w:eastAsia="zh-CN"/>
        </w:rPr>
        <w:t>全</w:t>
      </w:r>
      <w:r>
        <w:rPr>
          <w:rFonts w:hint="eastAsia" w:ascii="仿宋" w:hAnsi="仿宋" w:eastAsia="仿宋" w:cs="仿宋"/>
          <w:sz w:val="32"/>
          <w:szCs w:val="32"/>
        </w:rPr>
        <w:t>年林下中药材种植项目新建羌活、川赤芍种植基地403亩</w:t>
      </w:r>
      <w:r>
        <w:rPr>
          <w:rFonts w:hint="eastAsia" w:ascii="仿宋" w:hAnsi="仿宋" w:eastAsia="仿宋" w:cs="仿宋"/>
          <w:sz w:val="32"/>
          <w:szCs w:val="32"/>
          <w:lang w:eastAsia="zh-CN"/>
        </w:rPr>
        <w:t>，示范种植基地</w:t>
      </w:r>
      <w:r>
        <w:rPr>
          <w:rFonts w:hint="eastAsia" w:ascii="仿宋" w:hAnsi="仿宋" w:eastAsia="仿宋" w:cs="仿宋"/>
          <w:sz w:val="32"/>
          <w:szCs w:val="32"/>
          <w:lang w:val="en-US" w:eastAsia="zh-CN"/>
        </w:rPr>
        <w:t>150亩。</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办理林草行政处罚案件31起，其中违规野外用火2起；盗伐林木4起；非法收购林木15起；破坏湿地5起；破坏林地5起。没收木材23.83立方米，共计处罚行政罚没款110535.84元，罚没款已全额上交财政。对2022年度涉及生态领域共49名违法犯罪处罚判决人完成栽植云杉4615株。</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全年，永久占用林地审核审批了22.433公顷，临时占用林地审核审批了31.7475公顷，自用材审核审批蓄积202立方米。</w:t>
      </w:r>
    </w:p>
    <w:p>
      <w:pPr>
        <w:spacing w:line="560" w:lineRule="exact"/>
        <w:ind w:firstLine="640" w:firstLineChars="200"/>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畜牧业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全年实施人工种草</w:t>
      </w:r>
      <w:r>
        <w:rPr>
          <w:rFonts w:hint="eastAsia" w:ascii="Times New Roman" w:hAnsi="Times New Roman" w:eastAsia="仿宋_GB2312" w:cs="Times New Roman"/>
          <w:color w:val="auto"/>
          <w:sz w:val="32"/>
          <w:szCs w:val="32"/>
          <w:lang w:val="en-US" w:eastAsia="zh-CN"/>
        </w:rPr>
        <w:t>8477</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亩、适度规模养殖场</w:t>
      </w:r>
      <w:r>
        <w:rPr>
          <w:rFonts w:hint="eastAsia" w:ascii="Times New Roman" w:hAnsi="Times New Roman" w:eastAsia="仿宋_GB2312" w:cs="Times New Roman"/>
          <w:color w:val="auto"/>
          <w:sz w:val="32"/>
          <w:szCs w:val="32"/>
          <w:lang w:val="en-US" w:eastAsia="zh-CN"/>
        </w:rPr>
        <w:t>121</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个、家庭牧场</w:t>
      </w:r>
      <w:r>
        <w:rPr>
          <w:rFonts w:hint="eastAsia" w:ascii="Times New Roman" w:hAnsi="Times New Roman" w:eastAsia="仿宋_GB2312" w:cs="Times New Roman"/>
          <w:color w:val="auto"/>
          <w:sz w:val="32"/>
          <w:szCs w:val="32"/>
          <w:lang w:val="en-US" w:eastAsia="zh-CN"/>
        </w:rPr>
        <w:t>28</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个、</w:t>
      </w:r>
      <w:r>
        <w:rPr>
          <w:rFonts w:hint="eastAsia" w:ascii="仿宋" w:hAnsi="仿宋" w:eastAsia="仿宋" w:cs="仿宋"/>
          <w:sz w:val="32"/>
          <w:szCs w:val="32"/>
          <w:lang w:val="en-US" w:eastAsia="zh-CN" w:bidi="ar-SA"/>
        </w:rPr>
        <w:t>暖棚</w:t>
      </w:r>
      <w:r>
        <w:rPr>
          <w:rFonts w:hint="eastAsia" w:ascii="Times New Roman" w:hAnsi="Times New Roman" w:eastAsia="仿宋_GB2312" w:cs="Times New Roman"/>
          <w:color w:val="auto"/>
          <w:sz w:val="32"/>
          <w:szCs w:val="32"/>
          <w:lang w:val="en-US" w:eastAsia="zh-CN"/>
        </w:rPr>
        <w:t>50</w:t>
      </w:r>
      <w:r>
        <w:rPr>
          <w:rFonts w:hint="eastAsia" w:ascii="仿宋" w:hAnsi="仿宋" w:eastAsia="仿宋" w:cs="仿宋"/>
          <w:sz w:val="32"/>
          <w:szCs w:val="32"/>
          <w:lang w:val="en-US" w:eastAsia="zh-CN" w:bidi="ar-SA"/>
        </w:rPr>
        <w:t>户、维修牧道</w:t>
      </w:r>
      <w:r>
        <w:rPr>
          <w:rFonts w:hint="eastAsia" w:ascii="Times New Roman" w:hAnsi="Times New Roman" w:eastAsia="仿宋_GB2312" w:cs="Times New Roman"/>
          <w:color w:val="auto"/>
          <w:sz w:val="32"/>
          <w:szCs w:val="32"/>
          <w:lang w:val="en-US" w:eastAsia="zh-CN"/>
        </w:rPr>
        <w:t>164</w:t>
      </w:r>
      <w:r>
        <w:rPr>
          <w:rFonts w:hint="eastAsia" w:ascii="仿宋" w:hAnsi="仿宋" w:eastAsia="仿宋" w:cs="仿宋"/>
          <w:sz w:val="32"/>
          <w:szCs w:val="32"/>
          <w:lang w:val="en-US" w:eastAsia="zh-CN" w:bidi="ar-SA"/>
        </w:rPr>
        <w:t>公里、</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生态养殖示范基地</w:t>
      </w:r>
      <w:r>
        <w:rPr>
          <w:rFonts w:hint="eastAsia" w:ascii="Times New Roman" w:hAnsi="Times New Roman" w:eastAsia="仿宋_GB2312" w:cs="Times New Roman"/>
          <w:color w:val="auto"/>
          <w:sz w:val="32"/>
          <w:szCs w:val="32"/>
          <w:lang w:val="en-US" w:eastAsia="zh-CN"/>
        </w:rPr>
        <w:t>2</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个、动物防疫设施</w:t>
      </w:r>
      <w:r>
        <w:rPr>
          <w:rFonts w:hint="eastAsia" w:ascii="Times New Roman" w:hAnsi="Times New Roman" w:eastAsia="仿宋_GB2312" w:cs="Times New Roman"/>
          <w:color w:val="auto"/>
          <w:sz w:val="32"/>
          <w:szCs w:val="32"/>
          <w:lang w:val="en-US" w:eastAsia="zh-CN"/>
        </w:rPr>
        <w:t>160</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套、中蜂养殖</w:t>
      </w:r>
      <w:r>
        <w:rPr>
          <w:rFonts w:hint="eastAsia" w:ascii="Times New Roman" w:hAnsi="Times New Roman" w:eastAsia="仿宋_GB2312" w:cs="Times New Roman"/>
          <w:color w:val="auto"/>
          <w:sz w:val="32"/>
          <w:szCs w:val="32"/>
          <w:lang w:val="en-US" w:eastAsia="zh-CN"/>
        </w:rPr>
        <w:t>4900</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箱等项目。全年出栏牛</w:t>
      </w:r>
      <w:r>
        <w:rPr>
          <w:rFonts w:hint="eastAsia" w:ascii="Times New Roman" w:hAnsi="Times New Roman" w:eastAsia="仿宋_GB2312" w:cs="Times New Roman"/>
          <w:color w:val="auto"/>
          <w:sz w:val="32"/>
          <w:szCs w:val="32"/>
          <w:lang w:val="en-US" w:eastAsia="zh-CN"/>
        </w:rPr>
        <w:t>40471</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头，增长</w:t>
      </w:r>
      <w:r>
        <w:rPr>
          <w:rFonts w:hint="eastAsia" w:ascii="Times New Roman" w:hAnsi="Times New Roman" w:eastAsia="仿宋_GB2312" w:cs="Times New Roman"/>
          <w:color w:val="auto"/>
          <w:sz w:val="32"/>
          <w:szCs w:val="32"/>
          <w:lang w:val="en-US" w:eastAsia="zh-CN"/>
        </w:rPr>
        <w:t>5.8</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%，出栏羊</w:t>
      </w:r>
      <w:r>
        <w:rPr>
          <w:rFonts w:hint="eastAsia" w:ascii="Times New Roman" w:hAnsi="Times New Roman" w:eastAsia="仿宋_GB2312" w:cs="Times New Roman"/>
          <w:color w:val="auto"/>
          <w:sz w:val="32"/>
          <w:szCs w:val="32"/>
          <w:lang w:val="en-US" w:eastAsia="zh-CN"/>
        </w:rPr>
        <w:t>21211</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只,下降</w:t>
      </w:r>
      <w:r>
        <w:rPr>
          <w:rFonts w:hint="eastAsia" w:ascii="Times New Roman" w:hAnsi="Times New Roman" w:eastAsia="仿宋_GB2312" w:cs="Times New Roman"/>
          <w:color w:val="auto"/>
          <w:sz w:val="32"/>
          <w:szCs w:val="32"/>
          <w:lang w:val="en-US" w:eastAsia="zh-CN"/>
        </w:rPr>
        <w:t>1.2</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%。牲畜出栏率</w:t>
      </w:r>
      <w:r>
        <w:rPr>
          <w:rFonts w:hint="eastAsia" w:ascii="Times New Roman" w:hAnsi="Times New Roman" w:eastAsia="仿宋_GB2312" w:cs="Times New Roman"/>
          <w:color w:val="auto"/>
          <w:sz w:val="32"/>
          <w:szCs w:val="32"/>
          <w:lang w:val="en-US" w:eastAsia="zh-CN"/>
        </w:rPr>
        <w:t>40.1</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%。肉类总产量</w:t>
      </w:r>
      <w:r>
        <w:rPr>
          <w:rFonts w:hint="eastAsia" w:ascii="Times New Roman" w:hAnsi="Times New Roman" w:eastAsia="仿宋_GB2312" w:cs="Times New Roman"/>
          <w:color w:val="auto"/>
          <w:sz w:val="32"/>
          <w:szCs w:val="32"/>
          <w:lang w:val="en-US" w:eastAsia="zh-CN"/>
        </w:rPr>
        <w:t>5150</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吨，增长</w:t>
      </w:r>
      <w:r>
        <w:rPr>
          <w:rFonts w:hint="eastAsia" w:ascii="Times New Roman" w:hAnsi="Times New Roman" w:eastAsia="仿宋_GB2312" w:cs="Times New Roman"/>
          <w:color w:val="auto"/>
          <w:sz w:val="32"/>
          <w:szCs w:val="32"/>
          <w:lang w:val="en-US" w:eastAsia="zh-CN"/>
        </w:rPr>
        <w:t>0.9</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%，其中，牛肉产量</w:t>
      </w:r>
      <w:r>
        <w:rPr>
          <w:rFonts w:hint="eastAsia" w:ascii="Times New Roman" w:hAnsi="Times New Roman" w:eastAsia="仿宋_GB2312" w:cs="Times New Roman"/>
          <w:color w:val="auto"/>
          <w:sz w:val="32"/>
          <w:szCs w:val="32"/>
          <w:lang w:val="en-US" w:eastAsia="zh-CN"/>
        </w:rPr>
        <w:t>4792</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吨，增长</w:t>
      </w:r>
      <w:r>
        <w:rPr>
          <w:rFonts w:hint="eastAsia" w:ascii="Times New Roman" w:hAnsi="Times New Roman" w:eastAsia="仿宋_GB2312" w:cs="Times New Roman"/>
          <w:color w:val="auto"/>
          <w:sz w:val="32"/>
          <w:szCs w:val="32"/>
          <w:lang w:val="en-US" w:eastAsia="zh-CN"/>
        </w:rPr>
        <w:t>1.6</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%；羊肉产量</w:t>
      </w:r>
      <w:r>
        <w:rPr>
          <w:rFonts w:hint="eastAsia" w:ascii="Times New Roman" w:hAnsi="Times New Roman" w:eastAsia="仿宋_GB2312" w:cs="Times New Roman"/>
          <w:color w:val="auto"/>
          <w:sz w:val="32"/>
          <w:szCs w:val="32"/>
          <w:lang w:val="en-US" w:eastAsia="zh-CN"/>
        </w:rPr>
        <w:t>358</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吨，下降</w:t>
      </w:r>
      <w:r>
        <w:rPr>
          <w:rFonts w:hint="eastAsia" w:ascii="Times New Roman" w:hAnsi="Times New Roman" w:eastAsia="仿宋_GB2312" w:cs="Times New Roman"/>
          <w:color w:val="auto"/>
          <w:sz w:val="32"/>
          <w:szCs w:val="32"/>
          <w:lang w:val="en-US" w:eastAsia="zh-CN"/>
        </w:rPr>
        <w:t>7.3</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%。奶产量</w:t>
      </w:r>
      <w:r>
        <w:rPr>
          <w:rFonts w:hint="eastAsia" w:ascii="Times New Roman" w:hAnsi="Times New Roman" w:eastAsia="仿宋_GB2312" w:cs="Times New Roman"/>
          <w:color w:val="auto"/>
          <w:sz w:val="32"/>
          <w:szCs w:val="32"/>
          <w:lang w:val="en-US" w:eastAsia="zh-CN"/>
        </w:rPr>
        <w:t>12385</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吨，增长</w:t>
      </w:r>
      <w:r>
        <w:rPr>
          <w:rFonts w:hint="eastAsia" w:ascii="Times New Roman" w:hAnsi="Times New Roman" w:eastAsia="仿宋_GB2312" w:cs="Times New Roman"/>
          <w:color w:val="auto"/>
          <w:sz w:val="32"/>
          <w:szCs w:val="32"/>
          <w:lang w:val="en-US" w:eastAsia="zh-CN"/>
        </w:rPr>
        <w:t>3</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%。年末牛存栏</w:t>
      </w:r>
      <w:r>
        <w:rPr>
          <w:rFonts w:hint="eastAsia" w:ascii="Times New Roman" w:hAnsi="Times New Roman" w:eastAsia="仿宋_GB2312" w:cs="Times New Roman"/>
          <w:color w:val="auto"/>
          <w:sz w:val="32"/>
          <w:szCs w:val="32"/>
          <w:lang w:val="en-US" w:eastAsia="zh-CN"/>
        </w:rPr>
        <w:t>131804</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头，下降</w:t>
      </w:r>
      <w:r>
        <w:rPr>
          <w:rFonts w:hint="eastAsia" w:ascii="Times New Roman" w:hAnsi="Times New Roman" w:eastAsia="仿宋_GB2312" w:cs="Times New Roman"/>
          <w:color w:val="auto"/>
          <w:sz w:val="32"/>
          <w:szCs w:val="32"/>
          <w:lang w:val="en-US" w:eastAsia="zh-CN"/>
        </w:rPr>
        <w:t>0.5</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%；羊存栏</w:t>
      </w:r>
      <w:r>
        <w:rPr>
          <w:rFonts w:hint="eastAsia" w:ascii="Times New Roman" w:hAnsi="Times New Roman" w:eastAsia="仿宋_GB2312" w:cs="Times New Roman"/>
          <w:color w:val="auto"/>
          <w:sz w:val="32"/>
          <w:szCs w:val="32"/>
          <w:lang w:val="en-US" w:eastAsia="zh-CN"/>
        </w:rPr>
        <w:t>4967</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只，下降</w:t>
      </w:r>
      <w:r>
        <w:rPr>
          <w:rFonts w:hint="eastAsia" w:ascii="Times New Roman" w:hAnsi="Times New Roman" w:eastAsia="仿宋_GB2312" w:cs="Times New Roman"/>
          <w:color w:val="auto"/>
          <w:sz w:val="32"/>
          <w:szCs w:val="32"/>
          <w:lang w:val="en-US" w:eastAsia="zh-CN"/>
        </w:rPr>
        <w:t>69.3</w:t>
      </w:r>
      <w:r>
        <w:rPr>
          <w:rFonts w:hint="eastAsia" w:ascii="仿宋" w:hAnsi="仿宋" w:eastAsia="仿宋" w:cs="仿宋"/>
          <w:bCs/>
          <w:snapToGrid/>
          <w:color w:val="auto"/>
          <w:spacing w:val="0"/>
          <w:w w:val="100"/>
          <w:kern w:val="2"/>
          <w:position w:val="0"/>
          <w:sz w:val="32"/>
          <w:szCs w:val="32"/>
          <w:u w:val="none" w:color="auto"/>
          <w:vertAlign w:val="baseline"/>
          <w:lang w:val="en-US" w:eastAsia="zh-CN" w:bidi="ar-SA"/>
        </w:rPr>
        <w:t>%。</w:t>
      </w:r>
    </w:p>
    <w:p>
      <w:pPr>
        <w:spacing w:line="560" w:lineRule="exact"/>
        <w:ind w:firstLine="640" w:firstLineChars="200"/>
        <w:rPr>
          <w:rFonts w:hint="eastAsia" w:ascii="仿宋" w:hAnsi="仿宋" w:eastAsia="仿宋" w:cs="仿宋"/>
          <w:color w:val="auto"/>
          <w:sz w:val="32"/>
          <w:szCs w:val="32"/>
          <w:lang w:eastAsia="zh-CN"/>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农机水利</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年</w:t>
      </w:r>
      <w:r>
        <w:rPr>
          <w:rFonts w:hint="eastAsia" w:ascii="仿宋" w:hAnsi="仿宋" w:eastAsia="仿宋" w:cs="仿宋"/>
          <w:color w:val="auto"/>
          <w:sz w:val="32"/>
          <w:szCs w:val="32"/>
          <w:shd w:val="clear" w:color="auto" w:fill="FFFFFF"/>
        </w:rPr>
        <w:t>末农业机械总动力</w:t>
      </w:r>
      <w:r>
        <w:rPr>
          <w:rFonts w:hint="eastAsia" w:ascii="仿宋" w:hAnsi="仿宋" w:eastAsia="仿宋" w:cs="仿宋"/>
          <w:color w:val="auto"/>
          <w:sz w:val="32"/>
          <w:szCs w:val="32"/>
          <w:shd w:val="clear" w:color="auto" w:fill="FFFFFF"/>
          <w:lang w:val="en-US" w:eastAsia="zh-CN"/>
        </w:rPr>
        <w:t>44740</w:t>
      </w:r>
      <w:r>
        <w:rPr>
          <w:rFonts w:hint="eastAsia" w:ascii="仿宋" w:hAnsi="仿宋" w:eastAsia="仿宋" w:cs="仿宋"/>
          <w:color w:val="auto"/>
          <w:sz w:val="32"/>
          <w:szCs w:val="32"/>
          <w:shd w:val="clear" w:color="auto" w:fill="FFFFFF"/>
        </w:rPr>
        <w:t>千瓦，</w:t>
      </w:r>
      <w:r>
        <w:rPr>
          <w:rFonts w:hint="eastAsia" w:ascii="仿宋" w:hAnsi="仿宋" w:eastAsia="仿宋" w:cs="仿宋"/>
          <w:color w:val="auto"/>
          <w:sz w:val="32"/>
          <w:szCs w:val="32"/>
          <w:shd w:val="clear" w:color="auto" w:fill="FFFFFF"/>
          <w:lang w:eastAsia="zh-CN"/>
        </w:rPr>
        <w:t>增长</w:t>
      </w:r>
      <w:r>
        <w:rPr>
          <w:rFonts w:hint="eastAsia" w:ascii="仿宋" w:hAnsi="仿宋" w:eastAsia="仿宋" w:cs="仿宋"/>
          <w:color w:val="auto"/>
          <w:sz w:val="32"/>
          <w:szCs w:val="32"/>
          <w:shd w:val="clear" w:color="auto" w:fill="FFFFFF"/>
          <w:lang w:val="en-US" w:eastAsia="zh-CN"/>
        </w:rPr>
        <w:t>0.9</w:t>
      </w:r>
      <w:r>
        <w:rPr>
          <w:rFonts w:hint="eastAsia" w:ascii="仿宋" w:hAnsi="仿宋" w:eastAsia="仿宋" w:cs="仿宋"/>
          <w:color w:val="auto"/>
          <w:sz w:val="32"/>
          <w:szCs w:val="32"/>
          <w:shd w:val="clear" w:color="auto" w:fill="FFFFFF"/>
        </w:rPr>
        <w:t>%。全年农村用电量</w:t>
      </w:r>
      <w:r>
        <w:rPr>
          <w:rFonts w:hint="eastAsia" w:ascii="仿宋" w:hAnsi="仿宋" w:eastAsia="仿宋" w:cs="仿宋"/>
          <w:color w:val="auto"/>
          <w:sz w:val="32"/>
          <w:szCs w:val="32"/>
          <w:shd w:val="clear" w:color="auto" w:fill="FFFFFF"/>
          <w:lang w:val="en-US" w:eastAsia="zh-CN"/>
        </w:rPr>
        <w:t>1116</w:t>
      </w:r>
      <w:r>
        <w:rPr>
          <w:rFonts w:hint="eastAsia" w:ascii="仿宋" w:hAnsi="仿宋" w:eastAsia="仿宋" w:cs="仿宋"/>
          <w:color w:val="auto"/>
          <w:sz w:val="32"/>
          <w:szCs w:val="32"/>
          <w:shd w:val="clear" w:color="auto" w:fill="FFFFFF"/>
        </w:rPr>
        <w:t>万千瓦小时,</w:t>
      </w:r>
      <w:r>
        <w:rPr>
          <w:rFonts w:hint="eastAsia" w:ascii="仿宋" w:hAnsi="仿宋" w:eastAsia="仿宋" w:cs="仿宋"/>
          <w:color w:val="auto"/>
          <w:sz w:val="32"/>
          <w:szCs w:val="32"/>
        </w:rPr>
        <w:t>增长</w:t>
      </w:r>
      <w:r>
        <w:rPr>
          <w:rFonts w:hint="eastAsia" w:ascii="仿宋" w:hAnsi="仿宋" w:eastAsia="仿宋" w:cs="仿宋"/>
          <w:color w:val="auto"/>
          <w:sz w:val="32"/>
          <w:szCs w:val="32"/>
          <w:lang w:val="en-US" w:eastAsia="zh-CN"/>
        </w:rPr>
        <w:t>23.3</w:t>
      </w:r>
      <w:r>
        <w:rPr>
          <w:rFonts w:hint="eastAsia" w:ascii="仿宋" w:hAnsi="仿宋" w:eastAsia="仿宋" w:cs="仿宋"/>
          <w:color w:val="auto"/>
          <w:sz w:val="32"/>
          <w:szCs w:val="32"/>
        </w:rPr>
        <w:t>%。全年投资483万元实施6个</w:t>
      </w:r>
      <w:r>
        <w:rPr>
          <w:rFonts w:hint="eastAsia" w:ascii="仿宋" w:hAnsi="仿宋" w:eastAsia="仿宋" w:cs="仿宋"/>
          <w:color w:val="auto"/>
          <w:sz w:val="32"/>
          <w:szCs w:val="32"/>
          <w:lang w:val="en-US" w:eastAsia="zh-CN"/>
        </w:rPr>
        <w:t>中小</w:t>
      </w:r>
      <w:r>
        <w:rPr>
          <w:rFonts w:hint="eastAsia" w:ascii="仿宋" w:hAnsi="仿宋" w:eastAsia="仿宋" w:cs="仿宋"/>
          <w:color w:val="auto"/>
          <w:sz w:val="32"/>
          <w:szCs w:val="32"/>
        </w:rPr>
        <w:t>工程建设项目。</w:t>
      </w:r>
      <w:r>
        <w:rPr>
          <w:rFonts w:hint="eastAsia" w:ascii="仿宋" w:hAnsi="仿宋" w:eastAsia="仿宋" w:cs="仿宋"/>
          <w:color w:val="auto"/>
          <w:sz w:val="32"/>
          <w:szCs w:val="32"/>
          <w:lang w:eastAsia="zh-CN"/>
        </w:rPr>
        <w:t>完成了</w:t>
      </w:r>
      <w:r>
        <w:rPr>
          <w:rFonts w:hint="eastAsia" w:ascii="仿宋" w:hAnsi="仿宋" w:eastAsia="仿宋" w:cs="仿宋"/>
          <w:color w:val="auto"/>
          <w:sz w:val="32"/>
          <w:szCs w:val="32"/>
          <w:lang w:val="en-US" w:eastAsia="zh-CN"/>
        </w:rPr>
        <w:t>壤塘县县城堤防、壤塘县杜柯河河段堤防和壤塘县尕古玛河道综合治理。</w:t>
      </w:r>
      <w:r>
        <w:rPr>
          <w:rFonts w:hint="eastAsia" w:ascii="仿宋" w:hAnsi="仿宋" w:eastAsia="仿宋" w:cs="仿宋"/>
          <w:color w:val="auto"/>
          <w:sz w:val="32"/>
          <w:szCs w:val="32"/>
        </w:rPr>
        <w:t>完成南木达镇砂石加工点、安郎沟砂石加工点、石里砂石加工点砂石余料加工生产工作并拆除生产设施设备</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；建成125砂石加工点、尕多於料加工点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全县</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移民8户20人，其中南木达镇直属村1户1人（来自麻子滩水库移民），蒲西乡伊里村1户1人（来自紫坪铺水库移民），吾伊乡吾伊村1户1人（来自双江口水电站移民），蒲西乡蒲西村5户17人（来自绰斯甲水电站移民）。</w:t>
      </w:r>
    </w:p>
    <w:p>
      <w:pPr>
        <w:pStyle w:val="7"/>
        <w:rPr>
          <w:rFonts w:hint="eastAsia"/>
          <w:color w:val="auto"/>
          <w:lang w:val="zh-CN" w:eastAsia="zh-CN"/>
        </w:rPr>
      </w:pPr>
    </w:p>
    <w:p>
      <w:pPr>
        <w:widowControl/>
        <w:numPr>
          <w:ilvl w:val="0"/>
          <w:numId w:val="1"/>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工业和建筑业</w:t>
      </w:r>
    </w:p>
    <w:p>
      <w:pPr>
        <w:pStyle w:val="12"/>
        <w:ind w:left="0" w:leftChars="0" w:firstLine="0" w:firstLineChars="0"/>
        <w:rPr>
          <w:color w:val="auto"/>
          <w:lang w:val="zh-CN"/>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工</w:t>
      </w:r>
      <w:r>
        <w:rPr>
          <w:rFonts w:hint="eastAsia" w:ascii="楷体_GB2312" w:hAnsi="楷体_GB2312" w:eastAsia="楷体_GB2312" w:cs="楷体_GB2312"/>
          <w:b/>
          <w:bCs/>
          <w:color w:val="auto"/>
          <w:sz w:val="32"/>
          <w:szCs w:val="32"/>
          <w:shd w:val="clear" w:color="auto" w:fill="FFFFFF"/>
          <w:lang w:val="en-US" w:eastAsia="zh-CN"/>
        </w:rPr>
        <w:t xml:space="preserve">  </w:t>
      </w:r>
      <w:r>
        <w:rPr>
          <w:rFonts w:ascii="楷体_GB2312" w:hAnsi="楷体_GB2312" w:eastAsia="楷体_GB2312" w:cs="楷体_GB2312"/>
          <w:b/>
          <w:bCs/>
          <w:color w:val="auto"/>
          <w:sz w:val="32"/>
          <w:szCs w:val="32"/>
          <w:shd w:val="clear" w:color="auto" w:fill="FFFFFF"/>
        </w:rPr>
        <w:t>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全年实现工业增加值</w:t>
      </w:r>
      <w:r>
        <w:rPr>
          <w:rFonts w:hint="eastAsia" w:ascii="仿宋" w:hAnsi="仿宋" w:eastAsia="仿宋" w:cs="仿宋"/>
          <w:color w:val="auto"/>
          <w:sz w:val="32"/>
          <w:szCs w:val="32"/>
          <w:lang w:val="en-US" w:eastAsia="zh-CN"/>
        </w:rPr>
        <w:t>3126</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下降8.8</w:t>
      </w:r>
      <w:r>
        <w:rPr>
          <w:rFonts w:hint="eastAsia" w:ascii="仿宋" w:hAnsi="仿宋" w:eastAsia="仿宋" w:cs="仿宋"/>
          <w:color w:val="auto"/>
          <w:sz w:val="32"/>
          <w:szCs w:val="32"/>
        </w:rPr>
        <w:t>%。占GDP的比</w:t>
      </w:r>
      <w:r>
        <w:rPr>
          <w:rFonts w:hint="eastAsia" w:ascii="仿宋" w:hAnsi="仿宋" w:eastAsia="仿宋" w:cs="仿宋"/>
          <w:color w:val="auto"/>
          <w:sz w:val="32"/>
          <w:szCs w:val="32"/>
          <w:lang w:eastAsia="zh-CN"/>
        </w:rPr>
        <w:t>重</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%。年末规模以上工业企业总数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户</w:t>
      </w:r>
      <w:r>
        <w:rPr>
          <w:rFonts w:hint="eastAsia" w:ascii="仿宋" w:hAnsi="仿宋" w:eastAsia="仿宋" w:cs="仿宋"/>
          <w:color w:val="auto"/>
          <w:sz w:val="32"/>
          <w:szCs w:val="32"/>
          <w:lang w:eastAsia="zh-CN"/>
        </w:rPr>
        <w:t>，比上年增加</w:t>
      </w:r>
      <w:r>
        <w:rPr>
          <w:rFonts w:hint="eastAsia" w:ascii="仿宋" w:hAnsi="仿宋" w:eastAsia="仿宋" w:cs="仿宋"/>
          <w:color w:val="auto"/>
          <w:sz w:val="32"/>
          <w:szCs w:val="32"/>
          <w:lang w:val="en-US" w:eastAsia="zh-CN"/>
        </w:rPr>
        <w:t>1户。</w:t>
      </w:r>
      <w:r>
        <w:rPr>
          <w:rFonts w:hint="eastAsia" w:ascii="仿宋" w:hAnsi="仿宋" w:eastAsia="仿宋" w:cs="仿宋"/>
          <w:color w:val="auto"/>
          <w:sz w:val="32"/>
          <w:szCs w:val="32"/>
        </w:rPr>
        <w:t>属于电力、热力、燃气及水生产和供应业企业</w:t>
      </w:r>
      <w:r>
        <w:rPr>
          <w:rFonts w:hint="eastAsia" w:ascii="仿宋" w:hAnsi="仿宋" w:eastAsia="仿宋" w:cs="仿宋"/>
          <w:color w:val="auto"/>
          <w:sz w:val="32"/>
          <w:szCs w:val="32"/>
          <w:lang w:val="en-US" w:eastAsia="zh-CN"/>
        </w:rPr>
        <w:t>1户；制造业1户</w:t>
      </w:r>
      <w:r>
        <w:rPr>
          <w:rFonts w:hint="eastAsia" w:ascii="仿宋" w:hAnsi="仿宋" w:eastAsia="仿宋" w:cs="仿宋"/>
          <w:color w:val="auto"/>
          <w:sz w:val="32"/>
          <w:szCs w:val="32"/>
        </w:rPr>
        <w:t>。规模以上工业企业增加值</w:t>
      </w:r>
      <w:r>
        <w:rPr>
          <w:rFonts w:hint="eastAsia" w:ascii="仿宋" w:hAnsi="仿宋" w:eastAsia="仿宋" w:cs="仿宋"/>
          <w:color w:val="auto"/>
          <w:sz w:val="32"/>
          <w:szCs w:val="32"/>
          <w:lang w:val="en-US" w:eastAsia="zh-CN"/>
        </w:rPr>
        <w:t>1644万元，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rPr>
        <w:t>全年规模以上工业实现主营业务收入</w:t>
      </w:r>
      <w:r>
        <w:rPr>
          <w:rFonts w:hint="eastAsia" w:ascii="仿宋" w:hAnsi="仿宋" w:eastAsia="仿宋" w:cs="仿宋"/>
          <w:color w:val="auto"/>
          <w:sz w:val="32"/>
          <w:szCs w:val="32"/>
          <w:lang w:val="en-US" w:eastAsia="zh-CN"/>
        </w:rPr>
        <w:t>3795.5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38.8</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亏损</w:t>
      </w:r>
      <w:r>
        <w:rPr>
          <w:rFonts w:hint="eastAsia" w:ascii="仿宋" w:hAnsi="仿宋" w:eastAsia="仿宋" w:cs="仿宋"/>
          <w:color w:val="auto"/>
          <w:sz w:val="32"/>
          <w:szCs w:val="32"/>
          <w:lang w:val="en-US" w:eastAsia="zh-CN"/>
        </w:rPr>
        <w:t>593.1</w:t>
      </w:r>
      <w:r>
        <w:rPr>
          <w:rFonts w:hint="eastAsia" w:ascii="仿宋" w:hAnsi="仿宋" w:eastAsia="仿宋" w:cs="仿宋"/>
          <w:color w:val="auto"/>
          <w:sz w:val="32"/>
          <w:szCs w:val="32"/>
        </w:rPr>
        <w:t>万元。</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lang w:val="zh-CN"/>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建筑业</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lang w:val="zh-CN"/>
        </w:rPr>
        <w:t>全县</w:t>
      </w:r>
      <w:r>
        <w:rPr>
          <w:rFonts w:hint="eastAsia" w:ascii="仿宋" w:hAnsi="仿宋" w:eastAsia="仿宋" w:cs="仿宋"/>
          <w:color w:val="auto"/>
          <w:sz w:val="32"/>
          <w:szCs w:val="32"/>
        </w:rPr>
        <w:t>施工总承包和专业承包资质以上建筑企业</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户，比上年增加</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户，增长</w:t>
      </w:r>
      <w:r>
        <w:rPr>
          <w:rFonts w:hint="eastAsia" w:ascii="仿宋" w:hAnsi="仿宋" w:eastAsia="仿宋" w:cs="仿宋"/>
          <w:color w:val="auto"/>
          <w:sz w:val="32"/>
          <w:szCs w:val="32"/>
          <w:lang w:val="en-US" w:eastAsia="zh-CN"/>
        </w:rPr>
        <w:t>22.2</w:t>
      </w:r>
      <w:r>
        <w:rPr>
          <w:rFonts w:hint="eastAsia" w:ascii="仿宋" w:hAnsi="仿宋" w:eastAsia="仿宋" w:cs="仿宋"/>
          <w:color w:val="auto"/>
          <w:sz w:val="32"/>
          <w:szCs w:val="32"/>
        </w:rPr>
        <w:t>%，</w:t>
      </w:r>
      <w:r>
        <w:rPr>
          <w:rFonts w:hint="eastAsia" w:ascii="仿宋" w:hAnsi="仿宋" w:eastAsia="仿宋" w:cs="仿宋"/>
          <w:color w:val="auto"/>
          <w:sz w:val="32"/>
          <w:szCs w:val="32"/>
          <w:lang w:val="zh-CN"/>
        </w:rPr>
        <w:t>全年实现资质内建筑企业</w:t>
      </w:r>
      <w:r>
        <w:rPr>
          <w:rFonts w:hint="eastAsia" w:ascii="仿宋" w:hAnsi="仿宋" w:eastAsia="仿宋" w:cs="仿宋"/>
          <w:color w:val="auto"/>
          <w:sz w:val="32"/>
          <w:szCs w:val="32"/>
        </w:rPr>
        <w:t>总产值</w:t>
      </w:r>
      <w:r>
        <w:rPr>
          <w:rFonts w:hint="eastAsia" w:ascii="仿宋" w:hAnsi="仿宋" w:eastAsia="仿宋" w:cs="仿宋"/>
          <w:color w:val="auto"/>
          <w:sz w:val="32"/>
          <w:szCs w:val="32"/>
          <w:lang w:val="en-US" w:eastAsia="zh-CN"/>
        </w:rPr>
        <w:t>16965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28.5</w:t>
      </w:r>
      <w:r>
        <w:rPr>
          <w:rFonts w:hint="eastAsia" w:ascii="仿宋" w:hAnsi="仿宋" w:eastAsia="仿宋" w:cs="仿宋"/>
          <w:color w:val="auto"/>
          <w:sz w:val="32"/>
          <w:szCs w:val="32"/>
        </w:rPr>
        <w:t>%。</w:t>
      </w:r>
      <w:r>
        <w:rPr>
          <w:rFonts w:hint="eastAsia" w:ascii="仿宋" w:hAnsi="仿宋" w:eastAsia="仿宋" w:cs="仿宋"/>
          <w:color w:val="auto"/>
          <w:sz w:val="32"/>
          <w:szCs w:val="32"/>
          <w:lang w:val="zh-CN"/>
        </w:rPr>
        <w:t>全年全社会建筑业增加值实现</w:t>
      </w:r>
    </w:p>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3274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0.3</w:t>
      </w:r>
      <w:r>
        <w:rPr>
          <w:rFonts w:hint="eastAsia" w:ascii="仿宋" w:hAnsi="仿宋" w:eastAsia="仿宋" w:cs="仿宋"/>
          <w:color w:val="auto"/>
          <w:sz w:val="32"/>
          <w:szCs w:val="32"/>
        </w:rPr>
        <w:t>%。占GDP的比</w:t>
      </w:r>
      <w:r>
        <w:rPr>
          <w:rFonts w:hint="eastAsia" w:ascii="仿宋" w:hAnsi="仿宋" w:eastAsia="仿宋" w:cs="仿宋"/>
          <w:color w:val="auto"/>
          <w:sz w:val="32"/>
          <w:szCs w:val="32"/>
          <w:lang w:eastAsia="zh-CN"/>
        </w:rPr>
        <w:t>重</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w:t>
      </w:r>
    </w:p>
    <w:p>
      <w:pPr>
        <w:pStyle w:val="12"/>
        <w:ind w:left="840" w:hanging="420"/>
        <w:rPr>
          <w:color w:val="auto"/>
          <w:lang w:val="zh-CN"/>
        </w:rPr>
      </w:pPr>
    </w:p>
    <w:p>
      <w:pPr>
        <w:widowControl/>
        <w:numPr>
          <w:ilvl w:val="0"/>
          <w:numId w:val="2"/>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固定资产投资</w:t>
      </w:r>
    </w:p>
    <w:p>
      <w:pPr>
        <w:pStyle w:val="12"/>
        <w:ind w:left="0" w:leftChars="0" w:firstLine="0" w:firstLineChars="0"/>
        <w:rPr>
          <w:color w:val="auto"/>
          <w:lang w:val="zh-CN"/>
        </w:rPr>
      </w:pPr>
    </w:p>
    <w:p>
      <w:pPr>
        <w:snapToGrid w:val="0"/>
        <w:spacing w:line="560" w:lineRule="exact"/>
        <w:ind w:firstLine="642"/>
        <w:rPr>
          <w:rFonts w:ascii="Times New Roman" w:hAnsi="Times New Roman" w:eastAsia="仿宋_GB2312" w:cs="Times New Roman"/>
          <w:color w:val="auto"/>
          <w:sz w:val="32"/>
          <w:szCs w:val="32"/>
        </w:rPr>
      </w:pPr>
      <w:r>
        <w:drawing>
          <wp:anchor distT="0" distB="0" distL="114300" distR="114300" simplePos="0" relativeHeight="251666432" behindDoc="0" locked="0" layoutInCell="1" allowOverlap="1">
            <wp:simplePos x="0" y="0"/>
            <wp:positionH relativeFrom="column">
              <wp:posOffset>-15875</wp:posOffset>
            </wp:positionH>
            <wp:positionV relativeFrom="paragraph">
              <wp:posOffset>2977515</wp:posOffset>
            </wp:positionV>
            <wp:extent cx="5607050" cy="2933700"/>
            <wp:effectExtent l="0" t="0" r="0" b="0"/>
            <wp:wrapTopAndBottom/>
            <wp:docPr id="1454" name="图表 19" descr="7b0a202020202263686172745265734964223a202232303437313539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全社会固定资产投资</w:t>
      </w:r>
      <w:r>
        <w:rPr>
          <w:rFonts w:ascii="Times New Roman" w:hAnsi="Times New Roman" w:eastAsia="仿宋_GB2312" w:cs="Times New Roman"/>
          <w:color w:val="auto"/>
          <w:sz w:val="32"/>
          <w:szCs w:val="32"/>
          <w:shd w:val="clear" w:color="auto" w:fill="FFFFFF"/>
        </w:rPr>
        <w:t>】</w:t>
      </w:r>
      <w:r>
        <w:rPr>
          <w:rFonts w:hint="eastAsia" w:ascii="仿宋" w:hAnsi="仿宋" w:eastAsia="仿宋" w:cs="仿宋"/>
          <w:color w:val="auto"/>
          <w:sz w:val="32"/>
          <w:szCs w:val="32"/>
        </w:rPr>
        <w:t>本年新开工项目</w:t>
      </w:r>
      <w:r>
        <w:rPr>
          <w:rFonts w:hint="eastAsia" w:ascii="仿宋" w:hAnsi="仿宋" w:eastAsia="仿宋" w:cs="仿宋"/>
          <w:color w:val="auto"/>
          <w:sz w:val="32"/>
          <w:szCs w:val="32"/>
          <w:lang w:val="en-US" w:eastAsia="zh-CN"/>
        </w:rPr>
        <w:t>32</w:t>
      </w:r>
      <w:r>
        <w:rPr>
          <w:rFonts w:hint="eastAsia" w:ascii="仿宋" w:hAnsi="仿宋" w:eastAsia="仿宋" w:cs="仿宋"/>
          <w:color w:val="auto"/>
          <w:sz w:val="32"/>
          <w:szCs w:val="32"/>
        </w:rPr>
        <w:t>个，新增固定资产</w:t>
      </w:r>
      <w:r>
        <w:rPr>
          <w:rFonts w:hint="eastAsia" w:ascii="仿宋" w:hAnsi="仿宋" w:eastAsia="仿宋" w:cs="仿宋"/>
          <w:color w:val="auto"/>
          <w:sz w:val="32"/>
          <w:szCs w:val="32"/>
          <w:lang w:val="en-US" w:eastAsia="zh-CN"/>
        </w:rPr>
        <w:t>16135</w:t>
      </w:r>
      <w:r>
        <w:rPr>
          <w:rFonts w:hint="eastAsia" w:ascii="仿宋" w:hAnsi="仿宋" w:eastAsia="仿宋" w:cs="仿宋"/>
          <w:color w:val="auto"/>
          <w:sz w:val="32"/>
          <w:szCs w:val="32"/>
        </w:rPr>
        <w:t>万元。全年施工项目共</w:t>
      </w:r>
      <w:r>
        <w:rPr>
          <w:rFonts w:hint="eastAsia" w:ascii="仿宋" w:hAnsi="仿宋" w:eastAsia="仿宋" w:cs="仿宋"/>
          <w:color w:val="auto"/>
          <w:sz w:val="32"/>
          <w:szCs w:val="32"/>
          <w:lang w:val="en-US" w:eastAsia="zh-CN"/>
        </w:rPr>
        <w:t>54</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全社会</w:t>
      </w:r>
      <w:r>
        <w:rPr>
          <w:rFonts w:hint="eastAsia" w:ascii="仿宋" w:hAnsi="仿宋" w:eastAsia="仿宋" w:cs="仿宋"/>
          <w:color w:val="auto"/>
          <w:sz w:val="32"/>
          <w:szCs w:val="32"/>
        </w:rPr>
        <w:t>固定资产投资增长</w:t>
      </w:r>
      <w:r>
        <w:rPr>
          <w:rFonts w:hint="eastAsia" w:ascii="仿宋" w:hAnsi="仿宋" w:eastAsia="仿宋" w:cs="仿宋"/>
          <w:color w:val="auto"/>
          <w:sz w:val="32"/>
          <w:szCs w:val="32"/>
          <w:lang w:val="en-US" w:eastAsia="zh-CN"/>
        </w:rPr>
        <w:t>12.5</w:t>
      </w:r>
      <w:r>
        <w:rPr>
          <w:rFonts w:hint="eastAsia" w:ascii="仿宋" w:hAnsi="仿宋" w:eastAsia="仿宋" w:cs="仿宋"/>
          <w:color w:val="auto"/>
          <w:sz w:val="32"/>
          <w:szCs w:val="32"/>
        </w:rPr>
        <w:t>%。</w:t>
      </w:r>
      <w:r>
        <w:rPr>
          <w:rFonts w:hint="eastAsia" w:ascii="仿宋" w:hAnsi="仿宋" w:eastAsia="仿宋" w:cs="仿宋"/>
          <w:color w:val="auto"/>
          <w:sz w:val="32"/>
          <w:szCs w:val="32"/>
          <w:lang w:val="zh-CN" w:eastAsia="zh-CN"/>
        </w:rPr>
        <w:t>按投资结构分，</w:t>
      </w:r>
      <w:r>
        <w:rPr>
          <w:rFonts w:hint="eastAsia" w:ascii="仿宋" w:hAnsi="仿宋" w:eastAsia="仿宋" w:cs="仿宋"/>
          <w:color w:val="auto"/>
          <w:sz w:val="32"/>
          <w:szCs w:val="32"/>
          <w:lang w:val="en-US" w:eastAsia="zh-CN"/>
        </w:rPr>
        <w:t>基础</w:t>
      </w:r>
      <w:r>
        <w:rPr>
          <w:rFonts w:hint="eastAsia" w:ascii="仿宋" w:hAnsi="仿宋" w:eastAsia="仿宋" w:cs="仿宋"/>
          <w:color w:val="auto"/>
          <w:sz w:val="32"/>
          <w:szCs w:val="32"/>
          <w:lang w:eastAsia="zh-CN"/>
        </w:rPr>
        <w:t>设施投资</w:t>
      </w:r>
      <w:r>
        <w:rPr>
          <w:rFonts w:hint="eastAsia" w:ascii="仿宋" w:hAnsi="仿宋" w:eastAsia="仿宋" w:cs="仿宋"/>
          <w:color w:val="auto"/>
          <w:sz w:val="32"/>
          <w:szCs w:val="32"/>
          <w:lang w:val="en-US" w:eastAsia="zh-CN"/>
        </w:rPr>
        <w:t>下降8.2%，</w:t>
      </w:r>
      <w:r>
        <w:rPr>
          <w:rFonts w:hint="eastAsia" w:ascii="仿宋" w:hAnsi="仿宋" w:eastAsia="仿宋" w:cs="仿宋"/>
          <w:color w:val="auto"/>
          <w:sz w:val="32"/>
          <w:szCs w:val="32"/>
        </w:rPr>
        <w:t>产业投资增长</w:t>
      </w:r>
      <w:r>
        <w:rPr>
          <w:rFonts w:hint="eastAsia" w:ascii="仿宋" w:hAnsi="仿宋" w:eastAsia="仿宋" w:cs="仿宋"/>
          <w:color w:val="auto"/>
          <w:sz w:val="32"/>
          <w:szCs w:val="32"/>
          <w:lang w:val="en-US" w:eastAsia="zh-CN"/>
        </w:rPr>
        <w:t>10.4</w:t>
      </w:r>
      <w:r>
        <w:rPr>
          <w:rFonts w:hint="eastAsia" w:ascii="仿宋" w:hAnsi="仿宋" w:eastAsia="仿宋" w:cs="仿宋"/>
          <w:color w:val="auto"/>
          <w:sz w:val="32"/>
          <w:szCs w:val="32"/>
        </w:rPr>
        <w:t>%；民生及社会事业投资</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27.2</w:t>
      </w:r>
      <w:r>
        <w:rPr>
          <w:rFonts w:hint="eastAsia" w:ascii="仿宋" w:hAnsi="仿宋" w:eastAsia="仿宋" w:cs="仿宋"/>
          <w:color w:val="auto"/>
          <w:sz w:val="32"/>
          <w:szCs w:val="32"/>
        </w:rPr>
        <w:t>%；其他投资</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67.6</w:t>
      </w:r>
      <w:r>
        <w:rPr>
          <w:rFonts w:hint="eastAsia" w:ascii="仿宋" w:hAnsi="仿宋" w:eastAsia="仿宋" w:cs="仿宋"/>
          <w:color w:val="auto"/>
          <w:sz w:val="32"/>
          <w:szCs w:val="32"/>
        </w:rPr>
        <w:t>%。按产业分，第一产业</w:t>
      </w:r>
      <w:r>
        <w:rPr>
          <w:rFonts w:hint="eastAsia" w:ascii="仿宋" w:hAnsi="仿宋" w:eastAsia="仿宋" w:cs="仿宋"/>
          <w:color w:val="auto"/>
          <w:sz w:val="32"/>
          <w:szCs w:val="32"/>
          <w:lang w:eastAsia="zh-CN"/>
        </w:rPr>
        <w:t>投资</w:t>
      </w:r>
      <w:r>
        <w:rPr>
          <w:rFonts w:hint="eastAsia" w:ascii="仿宋" w:hAnsi="仿宋" w:eastAsia="仿宋" w:cs="仿宋"/>
          <w:color w:val="auto"/>
          <w:sz w:val="32"/>
          <w:szCs w:val="32"/>
        </w:rPr>
        <w:t>占全社会固定资产投资的比重</w:t>
      </w:r>
      <w:r>
        <w:rPr>
          <w:rFonts w:hint="eastAsia" w:ascii="仿宋" w:hAnsi="仿宋" w:eastAsia="仿宋" w:cs="仿宋"/>
          <w:color w:val="auto"/>
          <w:sz w:val="32"/>
          <w:szCs w:val="32"/>
          <w:lang w:val="en-US" w:eastAsia="zh-CN"/>
        </w:rPr>
        <w:t>0.3</w:t>
      </w:r>
      <w:r>
        <w:rPr>
          <w:rFonts w:hint="eastAsia" w:ascii="仿宋" w:hAnsi="仿宋" w:eastAsia="仿宋" w:cs="仿宋"/>
          <w:color w:val="auto"/>
          <w:sz w:val="32"/>
          <w:szCs w:val="32"/>
        </w:rPr>
        <w:t>%，下降</w:t>
      </w:r>
      <w:r>
        <w:rPr>
          <w:rFonts w:hint="eastAsia" w:ascii="仿宋" w:hAnsi="仿宋" w:eastAsia="仿宋" w:cs="仿宋"/>
          <w:color w:val="auto"/>
          <w:sz w:val="32"/>
          <w:szCs w:val="32"/>
          <w:lang w:val="en-US" w:eastAsia="zh-CN"/>
        </w:rPr>
        <w:t>86.7</w:t>
      </w:r>
      <w:r>
        <w:rPr>
          <w:rFonts w:hint="eastAsia" w:ascii="仿宋" w:hAnsi="仿宋" w:eastAsia="仿宋" w:cs="仿宋"/>
          <w:color w:val="auto"/>
          <w:sz w:val="32"/>
          <w:szCs w:val="32"/>
        </w:rPr>
        <w:t>%；第二产业投资占全社会固定资产投资的比重</w:t>
      </w:r>
      <w:r>
        <w:rPr>
          <w:rFonts w:hint="eastAsia" w:ascii="仿宋" w:hAnsi="仿宋" w:eastAsia="仿宋" w:cs="仿宋"/>
          <w:color w:val="auto"/>
          <w:sz w:val="32"/>
          <w:szCs w:val="32"/>
          <w:lang w:val="en-US" w:eastAsia="zh-CN"/>
        </w:rPr>
        <w:t>52.2</w:t>
      </w:r>
      <w:r>
        <w:rPr>
          <w:rFonts w:hint="eastAsia" w:ascii="仿宋" w:hAnsi="仿宋" w:eastAsia="仿宋" w:cs="仿宋"/>
          <w:color w:val="auto"/>
          <w:sz w:val="32"/>
          <w:szCs w:val="32"/>
        </w:rPr>
        <w:t>%，增长</w:t>
      </w:r>
      <w:r>
        <w:rPr>
          <w:rFonts w:hint="eastAsia" w:ascii="仿宋" w:hAnsi="仿宋" w:eastAsia="仿宋" w:cs="仿宋"/>
          <w:color w:val="auto"/>
          <w:sz w:val="32"/>
          <w:szCs w:val="32"/>
          <w:lang w:val="en-US" w:eastAsia="zh-CN"/>
        </w:rPr>
        <w:t>3.9</w:t>
      </w:r>
      <w:r>
        <w:rPr>
          <w:rFonts w:hint="eastAsia" w:ascii="仿宋" w:hAnsi="仿宋" w:eastAsia="仿宋" w:cs="仿宋"/>
          <w:color w:val="auto"/>
          <w:sz w:val="32"/>
          <w:szCs w:val="32"/>
        </w:rPr>
        <w:t>%，其中工业投资增长</w:t>
      </w:r>
      <w:r>
        <w:rPr>
          <w:rFonts w:hint="eastAsia" w:ascii="仿宋" w:hAnsi="仿宋" w:eastAsia="仿宋" w:cs="仿宋"/>
          <w:color w:val="auto"/>
          <w:sz w:val="32"/>
          <w:szCs w:val="32"/>
          <w:lang w:val="en-US" w:eastAsia="zh-CN"/>
        </w:rPr>
        <w:t>5.8</w:t>
      </w:r>
      <w:r>
        <w:rPr>
          <w:rFonts w:hint="eastAsia" w:ascii="仿宋" w:hAnsi="仿宋" w:eastAsia="仿宋" w:cs="仿宋"/>
          <w:color w:val="auto"/>
          <w:sz w:val="32"/>
          <w:szCs w:val="32"/>
        </w:rPr>
        <w:t>%；第三产业投资占全社会固定资产投资的比重</w:t>
      </w:r>
      <w:r>
        <w:rPr>
          <w:rFonts w:hint="eastAsia" w:ascii="仿宋" w:hAnsi="仿宋" w:eastAsia="仿宋" w:cs="仿宋"/>
          <w:color w:val="auto"/>
          <w:sz w:val="32"/>
          <w:szCs w:val="32"/>
          <w:lang w:val="en-US" w:eastAsia="zh-CN"/>
        </w:rPr>
        <w:t>47.5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13.9</w:t>
      </w:r>
      <w:r>
        <w:rPr>
          <w:rFonts w:hint="eastAsia" w:ascii="仿宋" w:hAnsi="仿宋" w:eastAsia="仿宋" w:cs="仿宋"/>
          <w:color w:val="auto"/>
          <w:sz w:val="32"/>
          <w:szCs w:val="32"/>
        </w:rPr>
        <w:t>%。</w:t>
      </w:r>
    </w:p>
    <w:p>
      <w:pPr>
        <w:snapToGrid w:val="0"/>
        <w:spacing w:line="560" w:lineRule="exact"/>
        <w:rPr>
          <w:rFonts w:ascii="Times New Roman" w:hAnsi="Times New Roman" w:eastAsia="仿宋_GB2312" w:cs="Times New Roman"/>
          <w:color w:val="auto"/>
          <w:sz w:val="32"/>
          <w:szCs w:val="32"/>
        </w:rPr>
      </w:pPr>
      <w:r>
        <w:rPr>
          <w:rFonts w:ascii="Times New Roman" w:hAnsi="Times New Roman" w:eastAsia="宋体" w:cs="Times New Roman"/>
          <w:color w:val="auto"/>
          <w:szCs w:val="22"/>
        </w:rPr>
        <w:drawing>
          <wp:anchor distT="0" distB="0" distL="114300" distR="114300" simplePos="0" relativeHeight="251660288" behindDoc="0" locked="0" layoutInCell="1" allowOverlap="1">
            <wp:simplePos x="0" y="0"/>
            <wp:positionH relativeFrom="column">
              <wp:posOffset>-4445</wp:posOffset>
            </wp:positionH>
            <wp:positionV relativeFrom="paragraph">
              <wp:posOffset>11501120</wp:posOffset>
            </wp:positionV>
            <wp:extent cx="5048250" cy="3238500"/>
            <wp:effectExtent l="0" t="0" r="11430" b="7620"/>
            <wp:wrapNone/>
            <wp:docPr id="8"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true" noChangeArrowheads="true"/>
                    </pic:cNvPicPr>
                  </pic:nvPicPr>
                  <pic:blipFill>
                    <a:blip r:embed="rId10"/>
                    <a:srcRect/>
                    <a:stretch>
                      <a:fillRect/>
                    </a:stretch>
                  </pic:blipFill>
                  <pic:spPr>
                    <a:xfrm>
                      <a:off x="0" y="0"/>
                      <a:ext cx="5048250" cy="3238500"/>
                    </a:xfrm>
                    <a:prstGeom prst="rect">
                      <a:avLst/>
                    </a:prstGeom>
                    <a:noFill/>
                    <a:ln w="9525">
                      <a:noFill/>
                      <a:miter lim="800000"/>
                      <a:headEnd/>
                      <a:tailEnd/>
                    </a:ln>
                  </pic:spPr>
                </pic:pic>
              </a:graphicData>
            </a:graphic>
          </wp:anchor>
        </w:drawing>
      </w:r>
      <w:r>
        <w:rPr>
          <w:rFonts w:ascii="Times New Roman" w:hAnsi="Times New Roman" w:eastAsia="宋体" w:cs="Times New Roman"/>
          <w:color w:val="auto"/>
          <w:szCs w:val="22"/>
        </w:rPr>
        <w:pict>
          <v:shape id="图表 8" o:spid="_x0000_s1026" o:spt="75" type="#_x0000_t75" style="position:absolute;left:0pt;margin-left:454.5pt;margin-top:739.1pt;height:232.5pt;width:361.5pt;z-index:251661312;mso-width-relative:page;mso-height-relative:page;" o:ole="t" filled="f" o:preferrelative="t" stroked="f" coordsize="21600,21600">
            <v:path/>
            <v:fill on="f" focussize="0,0"/>
            <v:stroke on="f" joinstyle="miter"/>
            <v:imagedata r:id="rId12" o:title=""/>
            <o:lock v:ext="edit" aspectratio="t"/>
          </v:shape>
          <o:OLEObject Type="Embed" ProgID="Excel.Sheet.8" ShapeID="图表 8" DrawAspect="Content" ObjectID="_1468075725" r:id="rId11">
            <o:LockedField>false</o:LockedField>
          </o:OLEObject>
        </w:pict>
      </w:r>
      <w:r>
        <w:rPr>
          <w:rFonts w:ascii="Times New Roman" w:hAnsi="Times New Roman" w:eastAsia="宋体" w:cs="Times New Roman"/>
          <w:color w:val="auto"/>
          <w:szCs w:val="22"/>
        </w:rPr>
        <w:pict>
          <v:shape id="图表 11" o:spid="_x0000_s1027" o:spt="75" type="#_x0000_t75" style="position:absolute;left:0pt;margin-left:31.5pt;margin-top:1171.85pt;height:217.5pt;width:361.5pt;z-index:251662336;mso-width-relative:page;mso-height-relative:page;" o:ole="t" filled="f" o:preferrelative="t" stroked="f" coordsize="21600,21600">
            <v:path/>
            <v:fill on="f" focussize="0,0"/>
            <v:stroke on="f" joinstyle="miter"/>
            <v:imagedata r:id="rId14" o:title=""/>
            <o:lock v:ext="edit" aspectratio="t"/>
          </v:shape>
          <o:OLEObject Type="Embed" ProgID="Excel.Sheet.8" ShapeID="图表 11" DrawAspect="Content" ObjectID="_1468075726" r:id="rId13">
            <o:LockedField>false</o:LockedField>
          </o:OLEObject>
        </w:pict>
      </w:r>
      <w:r>
        <w:rPr>
          <w:rFonts w:ascii="Times New Roman" w:hAnsi="Times New Roman" w:eastAsia="宋体" w:cs="Times New Roman"/>
          <w:color w:val="auto"/>
          <w:szCs w:val="22"/>
        </w:rPr>
        <w:pict>
          <v:shape id="图表 12" o:spid="_x0000_s1028" o:spt="75" type="#_x0000_t75" style="position:absolute;left:0pt;margin-left:453.05pt;margin-top:982.85pt;height:217.5pt;width:361.5pt;z-index:251663360;mso-width-relative:page;mso-height-relative:page;" o:ole="t" filled="f" o:preferrelative="t" stroked="f" coordsize="21600,21600">
            <v:path/>
            <v:fill on="f" focussize="0,0"/>
            <v:stroke on="f" joinstyle="miter"/>
            <v:imagedata r:id="rId16" o:title=""/>
            <o:lock v:ext="edit" aspectratio="t"/>
          </v:shape>
          <o:OLEObject Type="Embed" ProgID="Excel.Sheet.8" ShapeID="图表 12" DrawAspect="Content" ObjectID="_1468075727" r:id="rId15">
            <o:LockedField>false</o:LockedField>
          </o:OLEObject>
        </w:pict>
      </w:r>
    </w:p>
    <w:p>
      <w:pPr>
        <w:widowControl/>
        <w:numPr>
          <w:ilvl w:val="0"/>
          <w:numId w:val="3"/>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交通运输和邮电通讯业</w:t>
      </w:r>
    </w:p>
    <w:p>
      <w:pPr>
        <w:pStyle w:val="12"/>
        <w:ind w:left="0" w:leftChars="0" w:firstLine="0" w:firstLineChars="0"/>
        <w:rPr>
          <w:color w:val="auto"/>
          <w:lang w:val="zh-CN"/>
        </w:rPr>
      </w:pPr>
    </w:p>
    <w:p>
      <w:pPr>
        <w:widowControl/>
        <w:adjustRightInd w:val="0"/>
        <w:snapToGrid w:val="0"/>
        <w:spacing w:line="560" w:lineRule="exact"/>
        <w:ind w:firstLine="642" w:firstLineChars="200"/>
        <w:jc w:val="left"/>
        <w:rPr>
          <w:rFonts w:hint="eastAsia" w:ascii="Times New Roman" w:hAnsi="Times New Roman" w:eastAsia="仿宋_GB2312" w:cs="Times New Roman"/>
          <w:color w:val="auto"/>
          <w:sz w:val="32"/>
          <w:szCs w:val="32"/>
          <w:shd w:val="clear" w:color="auto" w:fill="FFFFFF"/>
          <w:lang w:val="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交通运输业</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年末，行政区划面积内公路总里程达</w:t>
      </w:r>
      <w:r>
        <w:rPr>
          <w:rFonts w:hint="eastAsia" w:ascii="仿宋" w:hAnsi="仿宋" w:eastAsia="仿宋" w:cs="仿宋"/>
          <w:color w:val="auto"/>
          <w:kern w:val="0"/>
          <w:sz w:val="32"/>
          <w:szCs w:val="32"/>
          <w:lang w:val="en-US" w:eastAsia="zh-CN"/>
        </w:rPr>
        <w:t>1028</w:t>
      </w:r>
      <w:r>
        <w:rPr>
          <w:rFonts w:hint="eastAsia" w:ascii="仿宋" w:hAnsi="仿宋" w:eastAsia="仿宋" w:cs="仿宋"/>
          <w:color w:val="auto"/>
          <w:kern w:val="0"/>
          <w:sz w:val="32"/>
          <w:szCs w:val="32"/>
          <w:lang w:val="zh-CN"/>
        </w:rPr>
        <w:t>公里，其中：国道</w:t>
      </w:r>
      <w:r>
        <w:rPr>
          <w:rFonts w:hint="eastAsia" w:ascii="仿宋" w:hAnsi="仿宋" w:eastAsia="仿宋" w:cs="仿宋"/>
          <w:color w:val="auto"/>
          <w:kern w:val="0"/>
          <w:sz w:val="32"/>
          <w:szCs w:val="32"/>
          <w:lang w:val="en-US" w:eastAsia="zh-CN"/>
        </w:rPr>
        <w:t>171公里，省道113公里，县道318公里，乡道209公里，村道217公里</w:t>
      </w:r>
      <w:r>
        <w:rPr>
          <w:rFonts w:hint="eastAsia" w:ascii="仿宋" w:hAnsi="仿宋" w:eastAsia="仿宋" w:cs="仿宋"/>
          <w:color w:val="auto"/>
          <w:kern w:val="0"/>
          <w:sz w:val="32"/>
          <w:szCs w:val="32"/>
          <w:lang w:val="zh-CN"/>
        </w:rPr>
        <w:t>。</w:t>
      </w:r>
      <w:r>
        <w:rPr>
          <w:rFonts w:hint="eastAsia" w:ascii="仿宋" w:hAnsi="仿宋" w:eastAsia="仿宋" w:cs="仿宋"/>
          <w:color w:val="auto"/>
          <w:sz w:val="32"/>
          <w:szCs w:val="32"/>
          <w:shd w:val="clear" w:color="auto" w:fill="FFFFFF"/>
          <w:lang w:val="zh-CN"/>
        </w:rPr>
        <w:t>公路交通密度</w:t>
      </w:r>
      <w:r>
        <w:rPr>
          <w:rFonts w:hint="eastAsia" w:ascii="仿宋" w:hAnsi="仿宋" w:eastAsia="仿宋" w:cs="仿宋"/>
          <w:color w:val="auto"/>
          <w:sz w:val="32"/>
          <w:szCs w:val="32"/>
          <w:shd w:val="clear" w:color="auto" w:fill="FFFFFF"/>
          <w:lang w:val="en-US" w:eastAsia="zh-CN"/>
        </w:rPr>
        <w:t>15.5公里/百平方公里。</w:t>
      </w:r>
      <w:r>
        <w:rPr>
          <w:rFonts w:hint="eastAsia" w:ascii="仿宋" w:hAnsi="仿宋" w:eastAsia="仿宋" w:cs="仿宋"/>
          <w:color w:val="auto"/>
          <w:sz w:val="32"/>
          <w:szCs w:val="32"/>
          <w:shd w:val="clear" w:color="auto" w:fill="FFFFFF"/>
          <w:lang w:val="zh-CN"/>
        </w:rPr>
        <w:t>全年旅客周转量</w:t>
      </w:r>
      <w:r>
        <w:rPr>
          <w:rFonts w:hint="eastAsia" w:ascii="仿宋" w:hAnsi="仿宋" w:eastAsia="仿宋" w:cs="仿宋"/>
          <w:color w:val="auto"/>
          <w:sz w:val="32"/>
          <w:szCs w:val="32"/>
          <w:shd w:val="clear" w:color="auto" w:fill="FFFFFF"/>
          <w:lang w:val="en-US" w:eastAsia="zh-CN"/>
        </w:rPr>
        <w:t>127.28</w:t>
      </w:r>
      <w:r>
        <w:rPr>
          <w:rFonts w:hint="eastAsia" w:ascii="仿宋" w:hAnsi="仿宋" w:eastAsia="仿宋" w:cs="仿宋"/>
          <w:color w:val="auto"/>
          <w:sz w:val="32"/>
          <w:szCs w:val="32"/>
          <w:shd w:val="clear" w:color="auto" w:fill="FFFFFF"/>
          <w:lang w:val="zh-CN"/>
        </w:rPr>
        <w:t>万人公里，增长</w:t>
      </w:r>
      <w:r>
        <w:rPr>
          <w:rFonts w:hint="eastAsia" w:ascii="仿宋" w:hAnsi="仿宋" w:eastAsia="仿宋" w:cs="仿宋"/>
          <w:color w:val="auto"/>
          <w:sz w:val="32"/>
          <w:szCs w:val="32"/>
          <w:shd w:val="clear" w:color="auto" w:fill="FFFFFF"/>
          <w:lang w:val="en-US" w:eastAsia="zh-CN"/>
        </w:rPr>
        <w:t>198.1%。</w:t>
      </w:r>
      <w:r>
        <w:rPr>
          <w:rFonts w:hint="eastAsia" w:ascii="仿宋" w:hAnsi="仿宋" w:eastAsia="仿宋" w:cs="仿宋"/>
          <w:color w:val="auto"/>
          <w:sz w:val="32"/>
          <w:szCs w:val="32"/>
          <w:shd w:val="clear" w:color="auto" w:fill="FFFFFF"/>
          <w:lang w:val="zh-CN"/>
        </w:rPr>
        <w:t>货物周转量</w:t>
      </w:r>
      <w:r>
        <w:rPr>
          <w:rFonts w:hint="eastAsia" w:ascii="仿宋" w:hAnsi="仿宋" w:eastAsia="仿宋" w:cs="仿宋"/>
          <w:color w:val="auto"/>
          <w:sz w:val="32"/>
          <w:szCs w:val="32"/>
          <w:shd w:val="clear" w:color="auto" w:fill="FFFFFF"/>
          <w:lang w:val="en-US" w:eastAsia="zh-CN"/>
        </w:rPr>
        <w:t>2153.39</w:t>
      </w:r>
      <w:r>
        <w:rPr>
          <w:rFonts w:hint="eastAsia" w:ascii="仿宋" w:hAnsi="仿宋" w:eastAsia="仿宋" w:cs="仿宋"/>
          <w:color w:val="auto"/>
          <w:sz w:val="32"/>
          <w:szCs w:val="32"/>
          <w:shd w:val="clear" w:color="auto" w:fill="FFFFFF"/>
          <w:lang w:val="zh-CN"/>
        </w:rPr>
        <w:t>万吨公里，增长</w:t>
      </w:r>
      <w:r>
        <w:rPr>
          <w:rFonts w:hint="eastAsia" w:ascii="仿宋" w:hAnsi="仿宋" w:eastAsia="仿宋" w:cs="仿宋"/>
          <w:color w:val="auto"/>
          <w:sz w:val="32"/>
          <w:szCs w:val="32"/>
          <w:shd w:val="clear" w:color="auto" w:fill="FFFFFF"/>
          <w:lang w:val="en-US" w:eastAsia="zh-CN"/>
        </w:rPr>
        <w:t>6.1%</w:t>
      </w:r>
      <w:r>
        <w:rPr>
          <w:rFonts w:hint="eastAsia" w:ascii="仿宋" w:hAnsi="仿宋" w:eastAsia="仿宋" w:cs="仿宋"/>
          <w:color w:val="auto"/>
          <w:sz w:val="32"/>
          <w:szCs w:val="32"/>
          <w:shd w:val="clear" w:color="auto" w:fill="FFFFFF"/>
          <w:lang w:val="zh-CN"/>
        </w:rPr>
        <w:t>。</w:t>
      </w:r>
    </w:p>
    <w:p>
      <w:pPr>
        <w:widowControl/>
        <w:adjustRightInd w:val="0"/>
        <w:snapToGrid w:val="0"/>
        <w:spacing w:line="560" w:lineRule="exact"/>
        <w:ind w:firstLine="642" w:firstLineChars="200"/>
        <w:jc w:val="left"/>
        <w:rPr>
          <w:rFonts w:hint="eastAsia" w:ascii="仿宋" w:hAnsi="仿宋" w:eastAsia="仿宋" w:cs="仿宋"/>
          <w:color w:val="auto"/>
          <w:sz w:val="32"/>
          <w:szCs w:val="32"/>
          <w:shd w:val="clear" w:color="auto" w:fill="FFFFFF"/>
          <w:lang w:val="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邮电通信业</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w:t>
      </w:r>
      <w:r>
        <w:rPr>
          <w:rFonts w:hint="eastAsia" w:ascii="仿宋" w:hAnsi="仿宋" w:eastAsia="仿宋" w:cs="仿宋"/>
          <w:color w:val="auto"/>
          <w:sz w:val="32"/>
          <w:szCs w:val="32"/>
          <w:shd w:val="clear" w:color="auto" w:fill="FFFFFF"/>
          <w:lang w:val="zh-CN"/>
        </w:rPr>
        <w:t>末邮政、电信业务收入</w:t>
      </w:r>
      <w:r>
        <w:rPr>
          <w:rFonts w:hint="eastAsia" w:ascii="仿宋" w:hAnsi="仿宋" w:eastAsia="仿宋" w:cs="仿宋"/>
          <w:color w:val="auto"/>
          <w:sz w:val="32"/>
          <w:szCs w:val="32"/>
          <w:shd w:val="clear" w:color="auto" w:fill="FFFFFF"/>
          <w:lang w:val="en-US" w:eastAsia="zh-CN"/>
        </w:rPr>
        <w:t>4933</w:t>
      </w:r>
      <w:r>
        <w:rPr>
          <w:rFonts w:hint="eastAsia" w:ascii="仿宋" w:hAnsi="仿宋" w:eastAsia="仿宋" w:cs="仿宋"/>
          <w:color w:val="auto"/>
          <w:sz w:val="32"/>
          <w:szCs w:val="32"/>
          <w:shd w:val="clear" w:color="auto" w:fill="FFFFFF"/>
          <w:lang w:val="zh-CN"/>
        </w:rPr>
        <w:t>万元，增长</w:t>
      </w:r>
      <w:r>
        <w:rPr>
          <w:rFonts w:hint="eastAsia" w:ascii="仿宋" w:hAnsi="仿宋" w:eastAsia="仿宋" w:cs="仿宋"/>
          <w:color w:val="auto"/>
          <w:sz w:val="32"/>
          <w:szCs w:val="32"/>
          <w:shd w:val="clear" w:color="auto" w:fill="FFFFFF"/>
          <w:lang w:val="en-US" w:eastAsia="zh-CN"/>
        </w:rPr>
        <w:t>9.6</w:t>
      </w:r>
      <w:r>
        <w:rPr>
          <w:rFonts w:hint="eastAsia" w:ascii="仿宋" w:hAnsi="仿宋" w:eastAsia="仿宋" w:cs="仿宋"/>
          <w:color w:val="auto"/>
          <w:sz w:val="32"/>
          <w:szCs w:val="32"/>
          <w:shd w:val="clear" w:color="auto" w:fill="FFFFFF"/>
          <w:lang w:val="zh-CN"/>
        </w:rPr>
        <w:t>%。固定电话机用户达</w:t>
      </w:r>
      <w:r>
        <w:rPr>
          <w:rFonts w:hint="eastAsia" w:ascii="仿宋" w:hAnsi="仿宋" w:eastAsia="仿宋" w:cs="仿宋"/>
          <w:color w:val="auto"/>
          <w:sz w:val="32"/>
          <w:szCs w:val="32"/>
          <w:shd w:val="clear" w:color="auto" w:fill="FFFFFF"/>
          <w:lang w:val="en-US" w:eastAsia="zh-CN"/>
        </w:rPr>
        <w:t>5409</w:t>
      </w:r>
      <w:r>
        <w:rPr>
          <w:rFonts w:hint="eastAsia" w:ascii="仿宋" w:hAnsi="仿宋" w:eastAsia="仿宋" w:cs="仿宋"/>
          <w:color w:val="auto"/>
          <w:sz w:val="32"/>
          <w:szCs w:val="32"/>
          <w:shd w:val="clear" w:color="auto" w:fill="FFFFFF"/>
          <w:lang w:val="zh-CN"/>
        </w:rPr>
        <w:t>户，下降</w:t>
      </w:r>
      <w:r>
        <w:rPr>
          <w:rFonts w:hint="eastAsia" w:ascii="仿宋" w:hAnsi="仿宋" w:eastAsia="仿宋" w:cs="仿宋"/>
          <w:color w:val="auto"/>
          <w:sz w:val="32"/>
          <w:szCs w:val="32"/>
          <w:shd w:val="clear" w:color="auto" w:fill="FFFFFF"/>
          <w:lang w:val="en-US" w:eastAsia="zh-CN"/>
        </w:rPr>
        <w:t>5.5</w:t>
      </w:r>
      <w:r>
        <w:rPr>
          <w:rFonts w:hint="eastAsia" w:ascii="仿宋" w:hAnsi="仿宋" w:eastAsia="仿宋" w:cs="仿宋"/>
          <w:color w:val="auto"/>
          <w:sz w:val="32"/>
          <w:szCs w:val="32"/>
          <w:shd w:val="clear" w:color="auto" w:fill="FFFFFF"/>
          <w:lang w:val="zh-CN"/>
        </w:rPr>
        <w:t>%，固定电话普及率</w:t>
      </w:r>
      <w:r>
        <w:rPr>
          <w:rFonts w:hint="eastAsia" w:ascii="仿宋" w:hAnsi="仿宋" w:eastAsia="仿宋" w:cs="仿宋"/>
          <w:color w:val="auto"/>
          <w:sz w:val="32"/>
          <w:szCs w:val="32"/>
          <w:shd w:val="clear" w:color="auto" w:fill="FFFFFF"/>
          <w:lang w:val="en-US" w:eastAsia="zh-CN"/>
        </w:rPr>
        <w:t>11</w:t>
      </w:r>
      <w:r>
        <w:rPr>
          <w:rFonts w:hint="eastAsia" w:ascii="仿宋" w:hAnsi="仿宋" w:eastAsia="仿宋" w:cs="仿宋"/>
          <w:color w:val="auto"/>
          <w:sz w:val="32"/>
          <w:szCs w:val="32"/>
          <w:shd w:val="clear" w:color="auto" w:fill="FFFFFF"/>
          <w:lang w:val="zh-CN"/>
        </w:rPr>
        <w:t>部/百人。移动电话用户达</w:t>
      </w:r>
      <w:r>
        <w:rPr>
          <w:rFonts w:hint="eastAsia" w:ascii="仿宋" w:hAnsi="仿宋" w:eastAsia="仿宋" w:cs="仿宋"/>
          <w:color w:val="auto"/>
          <w:sz w:val="32"/>
          <w:szCs w:val="32"/>
          <w:shd w:val="clear" w:color="auto" w:fill="FFFFFF"/>
          <w:lang w:val="en-US" w:eastAsia="zh-CN"/>
        </w:rPr>
        <w:t>36675</w:t>
      </w:r>
      <w:r>
        <w:rPr>
          <w:rFonts w:hint="eastAsia" w:ascii="仿宋" w:hAnsi="仿宋" w:eastAsia="仿宋" w:cs="仿宋"/>
          <w:color w:val="auto"/>
          <w:sz w:val="32"/>
          <w:szCs w:val="32"/>
          <w:shd w:val="clear" w:color="auto" w:fill="FFFFFF"/>
          <w:lang w:val="zh-CN"/>
        </w:rPr>
        <w:t>户，同比下降</w:t>
      </w:r>
      <w:r>
        <w:rPr>
          <w:rFonts w:hint="eastAsia" w:ascii="仿宋" w:hAnsi="仿宋" w:eastAsia="仿宋" w:cs="仿宋"/>
          <w:color w:val="auto"/>
          <w:sz w:val="32"/>
          <w:szCs w:val="32"/>
          <w:shd w:val="clear" w:color="auto" w:fill="FFFFFF"/>
          <w:lang w:val="en-US" w:eastAsia="zh-CN"/>
        </w:rPr>
        <w:t>4.5</w:t>
      </w:r>
      <w:r>
        <w:rPr>
          <w:rFonts w:hint="eastAsia" w:ascii="仿宋" w:hAnsi="仿宋" w:eastAsia="仿宋" w:cs="仿宋"/>
          <w:color w:val="auto"/>
          <w:sz w:val="32"/>
          <w:szCs w:val="32"/>
          <w:shd w:val="clear" w:color="auto" w:fill="FFFFFF"/>
          <w:lang w:val="zh-CN"/>
        </w:rPr>
        <w:t>%，移动电话普及率</w:t>
      </w:r>
      <w:r>
        <w:rPr>
          <w:rFonts w:hint="eastAsia" w:ascii="仿宋" w:hAnsi="仿宋" w:eastAsia="仿宋" w:cs="仿宋"/>
          <w:color w:val="auto"/>
          <w:sz w:val="32"/>
          <w:szCs w:val="32"/>
          <w:shd w:val="clear" w:color="auto" w:fill="FFFFFF"/>
          <w:lang w:val="en-US" w:eastAsia="zh-CN"/>
        </w:rPr>
        <w:t>74</w:t>
      </w:r>
      <w:r>
        <w:rPr>
          <w:rFonts w:hint="eastAsia" w:ascii="仿宋" w:hAnsi="仿宋" w:eastAsia="仿宋" w:cs="仿宋"/>
          <w:color w:val="auto"/>
          <w:sz w:val="32"/>
          <w:szCs w:val="32"/>
          <w:shd w:val="clear" w:color="auto" w:fill="FFFFFF"/>
          <w:lang w:val="zh-CN"/>
        </w:rPr>
        <w:t>部/百人。国际互联网用户</w:t>
      </w:r>
      <w:r>
        <w:rPr>
          <w:rFonts w:hint="eastAsia" w:ascii="仿宋" w:hAnsi="仿宋" w:eastAsia="仿宋" w:cs="仿宋"/>
          <w:color w:val="auto"/>
          <w:sz w:val="32"/>
          <w:szCs w:val="32"/>
          <w:shd w:val="clear" w:color="auto" w:fill="FFFFFF"/>
          <w:lang w:val="en-US" w:eastAsia="zh-CN"/>
        </w:rPr>
        <w:t>13464</w:t>
      </w:r>
      <w:r>
        <w:rPr>
          <w:rFonts w:hint="eastAsia" w:ascii="仿宋" w:hAnsi="仿宋" w:eastAsia="仿宋" w:cs="仿宋"/>
          <w:color w:val="auto"/>
          <w:sz w:val="32"/>
          <w:szCs w:val="32"/>
          <w:shd w:val="clear" w:color="auto" w:fill="FFFFFF"/>
          <w:lang w:val="zh-CN"/>
        </w:rPr>
        <w:t>户，同比增长</w:t>
      </w:r>
      <w:r>
        <w:rPr>
          <w:rFonts w:hint="eastAsia" w:ascii="仿宋" w:hAnsi="仿宋" w:eastAsia="仿宋" w:cs="仿宋"/>
          <w:color w:val="auto"/>
          <w:sz w:val="32"/>
          <w:szCs w:val="32"/>
          <w:shd w:val="clear" w:color="auto" w:fill="FFFFFF"/>
          <w:lang w:val="en-US" w:eastAsia="zh-CN"/>
        </w:rPr>
        <w:t>0.4</w:t>
      </w:r>
      <w:r>
        <w:rPr>
          <w:rFonts w:hint="eastAsia" w:ascii="仿宋" w:hAnsi="仿宋" w:eastAsia="仿宋" w:cs="仿宋"/>
          <w:color w:val="auto"/>
          <w:sz w:val="32"/>
          <w:szCs w:val="32"/>
          <w:shd w:val="clear" w:color="auto" w:fill="FFFFFF"/>
          <w:lang w:val="zh-CN"/>
        </w:rPr>
        <w:t>%。</w:t>
      </w:r>
    </w:p>
    <w:p>
      <w:pPr>
        <w:widowControl/>
        <w:adjustRightInd w:val="0"/>
        <w:snapToGrid w:val="0"/>
        <w:spacing w:line="560" w:lineRule="exact"/>
        <w:ind w:firstLine="640" w:firstLineChars="200"/>
        <w:jc w:val="left"/>
        <w:rPr>
          <w:rFonts w:ascii="Times New Roman" w:hAnsi="Times New Roman" w:eastAsia="仿宋_GB2312" w:cs="Times New Roman"/>
          <w:color w:val="auto"/>
          <w:kern w:val="0"/>
          <w:sz w:val="32"/>
          <w:szCs w:val="32"/>
          <w:lang w:val="zh-CN"/>
        </w:rPr>
      </w:pPr>
    </w:p>
    <w:p>
      <w:pPr>
        <w:widowControl/>
        <w:numPr>
          <w:ilvl w:val="0"/>
          <w:numId w:val="4"/>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国内贸易业</w:t>
      </w:r>
    </w:p>
    <w:p>
      <w:pPr>
        <w:pStyle w:val="12"/>
        <w:ind w:left="0" w:leftChars="0" w:firstLine="0" w:firstLineChars="0"/>
        <w:rPr>
          <w:color w:val="auto"/>
          <w:lang w:val="zh-CN"/>
        </w:rPr>
      </w:pPr>
    </w:p>
    <w:p>
      <w:pPr>
        <w:widowControl/>
        <w:adjustRightInd w:val="0"/>
        <w:snapToGrid w:val="0"/>
        <w:spacing w:line="560" w:lineRule="exact"/>
        <w:ind w:firstLine="640" w:firstLineChars="200"/>
        <w:rPr>
          <w:rFonts w:hint="eastAsia" w:ascii="仿宋" w:hAnsi="仿宋" w:eastAsia="仿宋" w:cs="仿宋"/>
          <w:b w:val="0"/>
          <w:bCs/>
          <w:color w:val="auto"/>
          <w:kern w:val="0"/>
          <w:sz w:val="32"/>
          <w:szCs w:val="32"/>
          <w:lang w:val="zh-CN"/>
        </w:rPr>
      </w:pPr>
      <w:r>
        <w:rPr>
          <w:rFonts w:ascii="Times New Roman" w:hAnsi="Times New Roman" w:eastAsia="仿宋_GB2312" w:cs="Times New Roman"/>
          <w:color w:val="auto"/>
          <w:sz w:val="32"/>
          <w:szCs w:val="32"/>
          <w:shd w:val="clear" w:color="auto" w:fill="FFFFFF"/>
        </w:rPr>
        <w:t>【</w:t>
      </w:r>
      <w:r>
        <w:rPr>
          <w:rFonts w:ascii="楷体_GB2312" w:hAnsi="楷体_GB2312" w:eastAsia="楷体_GB2312" w:cs="楷体_GB2312"/>
          <w:b/>
          <w:bCs/>
          <w:color w:val="auto"/>
          <w:sz w:val="32"/>
          <w:szCs w:val="32"/>
          <w:shd w:val="clear" w:color="auto" w:fill="FFFFFF"/>
        </w:rPr>
        <w:t>消费品市场</w:t>
      </w:r>
      <w:r>
        <w:rPr>
          <w:rFonts w:ascii="Times New Roman" w:hAnsi="Times New Roman" w:eastAsia="仿宋" w:cs="Times New Roman"/>
          <w:b/>
          <w:color w:val="auto"/>
          <w:kern w:val="0"/>
          <w:sz w:val="32"/>
          <w:szCs w:val="32"/>
          <w:lang w:val="zh-CN"/>
        </w:rPr>
        <w:t>】</w:t>
      </w:r>
      <w:r>
        <w:rPr>
          <w:rFonts w:hint="eastAsia" w:ascii="Times New Roman" w:hAnsi="Times New Roman" w:eastAsia="仿宋" w:cs="Times New Roman"/>
          <w:b/>
          <w:color w:val="auto"/>
          <w:kern w:val="0"/>
          <w:sz w:val="32"/>
          <w:szCs w:val="32"/>
          <w:lang w:val="zh-CN"/>
        </w:rPr>
        <w:t xml:space="preserve">  </w:t>
      </w:r>
      <w:r>
        <w:rPr>
          <w:rFonts w:hint="eastAsia" w:ascii="仿宋" w:hAnsi="仿宋" w:eastAsia="仿宋" w:cs="仿宋"/>
          <w:b w:val="0"/>
          <w:bCs/>
          <w:color w:val="auto"/>
          <w:kern w:val="0"/>
          <w:sz w:val="32"/>
          <w:szCs w:val="32"/>
          <w:lang w:val="zh-CN"/>
        </w:rPr>
        <w:t>全县统计入库社会消费品零售总额限额以上单位</w:t>
      </w:r>
      <w:r>
        <w:rPr>
          <w:rFonts w:hint="eastAsia" w:ascii="仿宋" w:hAnsi="仿宋" w:eastAsia="仿宋" w:cs="仿宋"/>
          <w:b w:val="0"/>
          <w:bCs/>
          <w:color w:val="auto"/>
          <w:kern w:val="0"/>
          <w:sz w:val="32"/>
          <w:szCs w:val="32"/>
          <w:lang w:val="en-US" w:eastAsia="zh-CN"/>
        </w:rPr>
        <w:t>6</w:t>
      </w:r>
      <w:r>
        <w:rPr>
          <w:rFonts w:hint="eastAsia" w:ascii="仿宋" w:hAnsi="仿宋" w:eastAsia="仿宋" w:cs="仿宋"/>
          <w:b w:val="0"/>
          <w:bCs/>
          <w:color w:val="auto"/>
          <w:kern w:val="0"/>
          <w:sz w:val="32"/>
          <w:szCs w:val="32"/>
          <w:lang w:val="zh-CN"/>
        </w:rPr>
        <w:t>家。其中，企业</w:t>
      </w:r>
      <w:r>
        <w:rPr>
          <w:rFonts w:hint="eastAsia" w:ascii="仿宋" w:hAnsi="仿宋" w:eastAsia="仿宋" w:cs="仿宋"/>
          <w:b w:val="0"/>
          <w:bCs/>
          <w:color w:val="auto"/>
          <w:kern w:val="0"/>
          <w:sz w:val="32"/>
          <w:szCs w:val="32"/>
          <w:lang w:val="en-US" w:eastAsia="zh-CN"/>
        </w:rPr>
        <w:t>5</w:t>
      </w:r>
      <w:r>
        <w:rPr>
          <w:rFonts w:hint="eastAsia" w:ascii="仿宋" w:hAnsi="仿宋" w:eastAsia="仿宋" w:cs="仿宋"/>
          <w:b w:val="0"/>
          <w:bCs/>
          <w:color w:val="auto"/>
          <w:kern w:val="0"/>
          <w:sz w:val="32"/>
          <w:szCs w:val="32"/>
          <w:lang w:val="zh-CN"/>
        </w:rPr>
        <w:t>家，个体户</w:t>
      </w:r>
      <w:r>
        <w:rPr>
          <w:rFonts w:hint="eastAsia" w:ascii="仿宋" w:hAnsi="仿宋" w:eastAsia="仿宋" w:cs="仿宋"/>
          <w:b w:val="0"/>
          <w:bCs/>
          <w:color w:val="auto"/>
          <w:kern w:val="0"/>
          <w:sz w:val="32"/>
          <w:szCs w:val="32"/>
          <w:lang w:val="en-US" w:eastAsia="zh-CN"/>
        </w:rPr>
        <w:t>1</w:t>
      </w:r>
      <w:r>
        <w:rPr>
          <w:rFonts w:hint="eastAsia" w:ascii="仿宋" w:hAnsi="仿宋" w:eastAsia="仿宋" w:cs="仿宋"/>
          <w:b w:val="0"/>
          <w:bCs/>
          <w:color w:val="auto"/>
          <w:kern w:val="0"/>
          <w:sz w:val="32"/>
          <w:szCs w:val="32"/>
          <w:lang w:val="zh-CN"/>
        </w:rPr>
        <w:t>家。零售业单位</w:t>
      </w: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lang w:val="zh-CN"/>
        </w:rPr>
        <w:t>家，住宿和餐饮业单位</w:t>
      </w:r>
      <w:r>
        <w:rPr>
          <w:rFonts w:hint="eastAsia" w:ascii="仿宋" w:hAnsi="仿宋" w:eastAsia="仿宋" w:cs="仿宋"/>
          <w:b w:val="0"/>
          <w:bCs/>
          <w:color w:val="auto"/>
          <w:kern w:val="0"/>
          <w:sz w:val="32"/>
          <w:szCs w:val="32"/>
          <w:lang w:val="en-US" w:eastAsia="zh-CN"/>
        </w:rPr>
        <w:t>4</w:t>
      </w:r>
      <w:r>
        <w:rPr>
          <w:rFonts w:hint="eastAsia" w:ascii="仿宋" w:hAnsi="仿宋" w:eastAsia="仿宋" w:cs="仿宋"/>
          <w:b w:val="0"/>
          <w:bCs/>
          <w:color w:val="auto"/>
          <w:kern w:val="0"/>
          <w:sz w:val="32"/>
          <w:szCs w:val="32"/>
          <w:lang w:val="zh-CN"/>
        </w:rPr>
        <w:t>家。</w:t>
      </w:r>
    </w:p>
    <w:p>
      <w:pPr>
        <w:widowControl/>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全年实现社会消费品零售总额</w:t>
      </w:r>
      <w:r>
        <w:rPr>
          <w:rFonts w:hint="eastAsia" w:ascii="仿宋" w:hAnsi="仿宋" w:eastAsia="仿宋" w:cs="仿宋"/>
          <w:color w:val="auto"/>
          <w:sz w:val="32"/>
          <w:szCs w:val="32"/>
          <w:lang w:val="en-US" w:eastAsia="zh-CN"/>
        </w:rPr>
        <w:t>38968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10.4</w:t>
      </w:r>
      <w:r>
        <w:rPr>
          <w:rFonts w:hint="eastAsia" w:ascii="仿宋" w:hAnsi="仿宋" w:eastAsia="仿宋" w:cs="仿宋"/>
          <w:color w:val="auto"/>
          <w:sz w:val="32"/>
          <w:szCs w:val="32"/>
        </w:rPr>
        <w:t>%。按销售单位所在地分：城镇消费品零售额</w:t>
      </w:r>
      <w:r>
        <w:rPr>
          <w:rFonts w:hint="eastAsia" w:ascii="仿宋" w:hAnsi="仿宋" w:eastAsia="仿宋" w:cs="仿宋"/>
          <w:color w:val="auto"/>
          <w:sz w:val="32"/>
          <w:szCs w:val="32"/>
          <w:lang w:val="en-US" w:eastAsia="zh-CN"/>
        </w:rPr>
        <w:t>30284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10.4</w:t>
      </w:r>
      <w:r>
        <w:rPr>
          <w:rFonts w:hint="eastAsia" w:ascii="仿宋" w:hAnsi="仿宋" w:eastAsia="仿宋" w:cs="仿宋"/>
          <w:color w:val="auto"/>
          <w:sz w:val="32"/>
          <w:szCs w:val="32"/>
        </w:rPr>
        <w:t>%。乡村消费品零售额</w:t>
      </w:r>
      <w:r>
        <w:rPr>
          <w:rFonts w:hint="eastAsia" w:ascii="仿宋" w:hAnsi="仿宋" w:eastAsia="仿宋" w:cs="仿宋"/>
          <w:color w:val="auto"/>
          <w:sz w:val="32"/>
          <w:szCs w:val="32"/>
          <w:lang w:val="en-US" w:eastAsia="zh-CN"/>
        </w:rPr>
        <w:t>8684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10.5</w:t>
      </w:r>
      <w:r>
        <w:rPr>
          <w:rFonts w:hint="eastAsia" w:ascii="仿宋" w:hAnsi="仿宋" w:eastAsia="仿宋" w:cs="仿宋"/>
          <w:color w:val="auto"/>
          <w:sz w:val="32"/>
          <w:szCs w:val="32"/>
        </w:rPr>
        <w:t>%。按国民经济行业分：批发业、零售业、住宿业和餐饮业分别实现零售额</w:t>
      </w:r>
      <w:r>
        <w:rPr>
          <w:rFonts w:hint="eastAsia" w:ascii="仿宋" w:hAnsi="仿宋" w:eastAsia="仿宋" w:cs="仿宋"/>
          <w:color w:val="auto"/>
          <w:sz w:val="32"/>
          <w:szCs w:val="32"/>
          <w:lang w:val="en-US" w:eastAsia="zh-CN"/>
        </w:rPr>
        <w:t>982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30372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2200</w:t>
      </w:r>
      <w:r>
        <w:rPr>
          <w:rFonts w:hint="eastAsia" w:ascii="仿宋" w:hAnsi="仿宋" w:eastAsia="仿宋" w:cs="仿宋"/>
          <w:color w:val="auto"/>
          <w:sz w:val="32"/>
          <w:szCs w:val="32"/>
        </w:rPr>
        <w:t>万元和</w:t>
      </w:r>
      <w:r>
        <w:rPr>
          <w:rFonts w:hint="eastAsia" w:ascii="仿宋" w:hAnsi="仿宋" w:eastAsia="仿宋" w:cs="仿宋"/>
          <w:color w:val="auto"/>
          <w:sz w:val="32"/>
          <w:szCs w:val="32"/>
          <w:lang w:val="en-US" w:eastAsia="zh-CN"/>
        </w:rPr>
        <w:t>5414</w:t>
      </w:r>
      <w:r>
        <w:rPr>
          <w:rFonts w:hint="eastAsia" w:ascii="仿宋" w:hAnsi="仿宋" w:eastAsia="仿宋" w:cs="仿宋"/>
          <w:color w:val="auto"/>
          <w:sz w:val="32"/>
          <w:szCs w:val="32"/>
        </w:rPr>
        <w:t>万元，分别增长</w:t>
      </w:r>
      <w:r>
        <w:rPr>
          <w:rFonts w:hint="eastAsia" w:ascii="仿宋" w:hAnsi="仿宋" w:eastAsia="仿宋" w:cs="仿宋"/>
          <w:color w:val="auto"/>
          <w:sz w:val="32"/>
          <w:szCs w:val="32"/>
          <w:lang w:val="en-US" w:eastAsia="zh-CN"/>
        </w:rPr>
        <w:t>35.5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25.1%</w:t>
      </w:r>
      <w:r>
        <w:rPr>
          <w:rFonts w:hint="eastAsia" w:ascii="仿宋" w:hAnsi="仿宋" w:eastAsia="仿宋" w:cs="仿宋"/>
          <w:color w:val="auto"/>
          <w:sz w:val="32"/>
          <w:szCs w:val="32"/>
        </w:rPr>
        <w:t>和</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w:t>
      </w:r>
    </w:p>
    <w:p>
      <w:pPr>
        <w:pStyle w:val="12"/>
        <w:ind w:left="0" w:leftChars="0" w:firstLine="0" w:firstLineChars="0"/>
        <w:rPr>
          <w:rFonts w:ascii="Times New Roman" w:hAnsi="Times New Roman" w:eastAsia="仿宋_GB2312" w:cs="Times New Roman"/>
          <w:color w:val="auto"/>
          <w:kern w:val="0"/>
          <w:sz w:val="32"/>
          <w:szCs w:val="32"/>
        </w:rPr>
      </w:pPr>
      <w:r>
        <w:drawing>
          <wp:inline distT="0" distB="0" distL="114300" distR="114300">
            <wp:extent cx="5607050" cy="2880360"/>
            <wp:effectExtent l="0" t="0" r="12700" b="15240"/>
            <wp:docPr id="1304" name="图表 7" descr="7b0a202020202263686172745265734964223a202232303330343531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ascii="黑体" w:hAnsi="黑体" w:eastAsia="黑体" w:cs="黑体"/>
          <w:b/>
          <w:color w:val="auto"/>
          <w:kern w:val="0"/>
          <w:sz w:val="36"/>
          <w:szCs w:val="36"/>
          <w:lang w:val="zh-CN"/>
        </w:rPr>
      </w:pPr>
    </w:p>
    <w:p>
      <w:pPr>
        <w:widowControl/>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七、财政和金融业</w:t>
      </w:r>
    </w:p>
    <w:p>
      <w:pPr>
        <w:spacing w:line="560" w:lineRule="exact"/>
        <w:ind w:firstLine="642" w:firstLineChars="200"/>
        <w:rPr>
          <w:rFonts w:ascii="Times New Roman" w:hAnsi="Times New Roman" w:eastAsia="仿宋" w:cs="Times New Roman"/>
          <w:b/>
          <w:color w:val="auto"/>
          <w:kern w:val="0"/>
          <w:sz w:val="32"/>
          <w:szCs w:val="32"/>
          <w:lang w:val="zh-CN"/>
        </w:rPr>
      </w:pPr>
    </w:p>
    <w:p>
      <w:pPr>
        <w:spacing w:line="560" w:lineRule="exact"/>
        <w:ind w:firstLine="642" w:firstLineChars="200"/>
        <w:rPr>
          <w:rFonts w:hint="eastAsia" w:ascii="仿宋" w:hAnsi="仿宋" w:eastAsia="仿宋" w:cs="仿宋"/>
          <w:b/>
          <w:color w:val="auto"/>
          <w:kern w:val="0"/>
          <w:sz w:val="32"/>
          <w:szCs w:val="32"/>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财政收支</w:t>
      </w:r>
      <w:r>
        <w:rPr>
          <w:rFonts w:ascii="Times New Roman" w:hAnsi="Times New Roman" w:eastAsia="仿宋" w:cs="Times New Roman"/>
          <w:b/>
          <w:color w:val="auto"/>
          <w:kern w:val="0"/>
          <w:sz w:val="32"/>
          <w:szCs w:val="32"/>
          <w:lang w:val="zh-CN"/>
        </w:rPr>
        <w:t>】</w:t>
      </w:r>
      <w:r>
        <w:rPr>
          <w:rFonts w:hint="eastAsia" w:ascii="仿宋" w:hAnsi="仿宋" w:eastAsia="仿宋" w:cs="仿宋"/>
          <w:bCs/>
          <w:color w:val="auto"/>
          <w:kern w:val="0"/>
          <w:sz w:val="32"/>
          <w:szCs w:val="32"/>
          <w:lang w:val="zh-CN"/>
        </w:rPr>
        <w:t>全年完成</w:t>
      </w:r>
      <w:r>
        <w:rPr>
          <w:rFonts w:hint="eastAsia" w:ascii="仿宋" w:hAnsi="仿宋" w:eastAsia="仿宋" w:cs="仿宋"/>
          <w:color w:val="auto"/>
          <w:kern w:val="0"/>
          <w:sz w:val="32"/>
          <w:szCs w:val="32"/>
          <w:lang w:val="zh-CN"/>
        </w:rPr>
        <w:t>地方公共财政收入</w:t>
      </w:r>
      <w:r>
        <w:rPr>
          <w:rFonts w:hint="eastAsia" w:ascii="仿宋" w:hAnsi="仿宋" w:eastAsia="仿宋" w:cs="仿宋"/>
          <w:color w:val="auto"/>
          <w:kern w:val="0"/>
          <w:sz w:val="32"/>
          <w:szCs w:val="32"/>
          <w:lang w:val="en-US" w:eastAsia="zh-CN"/>
        </w:rPr>
        <w:t>4012</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38.3</w:t>
      </w:r>
      <w:r>
        <w:rPr>
          <w:rFonts w:hint="eastAsia" w:ascii="仿宋" w:hAnsi="仿宋" w:eastAsia="仿宋" w:cs="仿宋"/>
          <w:color w:val="auto"/>
          <w:kern w:val="0"/>
          <w:sz w:val="32"/>
          <w:szCs w:val="32"/>
          <w:lang w:val="zh-CN"/>
        </w:rPr>
        <w:t>%，其中各项税收收入</w:t>
      </w:r>
      <w:r>
        <w:rPr>
          <w:rFonts w:hint="eastAsia" w:ascii="仿宋" w:hAnsi="仿宋" w:eastAsia="仿宋" w:cs="仿宋"/>
          <w:color w:val="auto"/>
          <w:kern w:val="0"/>
          <w:sz w:val="32"/>
          <w:szCs w:val="32"/>
          <w:lang w:val="en-US" w:eastAsia="zh-CN"/>
        </w:rPr>
        <w:t>1856</w:t>
      </w:r>
      <w:r>
        <w:rPr>
          <w:rFonts w:hint="eastAsia" w:ascii="仿宋" w:hAnsi="仿宋" w:eastAsia="仿宋" w:cs="仿宋"/>
          <w:color w:val="auto"/>
          <w:kern w:val="0"/>
          <w:sz w:val="32"/>
          <w:szCs w:val="32"/>
          <w:lang w:val="zh-CN"/>
        </w:rPr>
        <w:t>万元，增</w:t>
      </w:r>
      <w:r>
        <w:rPr>
          <w:rFonts w:hint="eastAsia" w:ascii="仿宋" w:hAnsi="仿宋" w:eastAsia="仿宋" w:cs="仿宋"/>
          <w:color w:val="auto"/>
          <w:kern w:val="0"/>
          <w:sz w:val="32"/>
          <w:szCs w:val="32"/>
          <w:lang w:val="en-US" w:eastAsia="zh-CN"/>
        </w:rPr>
        <w:t>长13.6</w:t>
      </w:r>
      <w:r>
        <w:rPr>
          <w:rFonts w:hint="eastAsia" w:ascii="仿宋" w:hAnsi="仿宋" w:eastAsia="仿宋" w:cs="仿宋"/>
          <w:color w:val="auto"/>
          <w:kern w:val="0"/>
          <w:sz w:val="32"/>
          <w:szCs w:val="32"/>
          <w:lang w:val="zh-CN"/>
        </w:rPr>
        <w:t>%。地方公共财政支出</w:t>
      </w:r>
      <w:r>
        <w:rPr>
          <w:rFonts w:hint="eastAsia" w:ascii="仿宋" w:hAnsi="仿宋" w:eastAsia="仿宋" w:cs="仿宋"/>
          <w:color w:val="auto"/>
          <w:kern w:val="0"/>
          <w:sz w:val="32"/>
          <w:szCs w:val="32"/>
          <w:lang w:val="en-US" w:eastAsia="zh-CN"/>
        </w:rPr>
        <w:t>179658</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12</w:t>
      </w:r>
      <w:r>
        <w:rPr>
          <w:rFonts w:hint="eastAsia" w:ascii="仿宋" w:hAnsi="仿宋" w:eastAsia="仿宋" w:cs="仿宋"/>
          <w:color w:val="auto"/>
          <w:kern w:val="0"/>
          <w:sz w:val="32"/>
          <w:szCs w:val="32"/>
          <w:lang w:val="zh-CN"/>
        </w:rPr>
        <w:t>%，其中：一般公共服务支出</w:t>
      </w:r>
      <w:r>
        <w:rPr>
          <w:rFonts w:hint="eastAsia" w:ascii="仿宋" w:hAnsi="仿宋" w:eastAsia="仿宋" w:cs="仿宋"/>
          <w:color w:val="auto"/>
          <w:kern w:val="0"/>
          <w:sz w:val="32"/>
          <w:szCs w:val="32"/>
          <w:lang w:val="en-US" w:eastAsia="zh-CN"/>
        </w:rPr>
        <w:t>23243</w:t>
      </w:r>
      <w:r>
        <w:rPr>
          <w:rFonts w:hint="eastAsia" w:ascii="仿宋" w:hAnsi="仿宋" w:eastAsia="仿宋" w:cs="仿宋"/>
          <w:color w:val="auto"/>
          <w:kern w:val="0"/>
          <w:sz w:val="32"/>
          <w:szCs w:val="32"/>
          <w:lang w:val="zh-CN"/>
        </w:rPr>
        <w:t>万元，</w:t>
      </w:r>
      <w:r>
        <w:rPr>
          <w:rFonts w:hint="eastAsia" w:ascii="仿宋" w:hAnsi="仿宋" w:eastAsia="仿宋" w:cs="仿宋"/>
          <w:color w:val="auto"/>
          <w:kern w:val="0"/>
          <w:sz w:val="32"/>
          <w:szCs w:val="32"/>
        </w:rPr>
        <w:t>公共安全支出</w:t>
      </w:r>
      <w:r>
        <w:rPr>
          <w:rFonts w:hint="eastAsia" w:ascii="仿宋" w:hAnsi="仿宋" w:eastAsia="仿宋" w:cs="仿宋"/>
          <w:color w:val="auto"/>
          <w:kern w:val="0"/>
          <w:sz w:val="32"/>
          <w:szCs w:val="32"/>
          <w:lang w:val="en-US" w:eastAsia="zh-CN"/>
        </w:rPr>
        <w:t>6931</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val="zh-CN"/>
        </w:rPr>
        <w:t>教育支出</w:t>
      </w:r>
      <w:r>
        <w:rPr>
          <w:rFonts w:hint="eastAsia" w:ascii="仿宋" w:hAnsi="仿宋" w:eastAsia="仿宋" w:cs="仿宋"/>
          <w:color w:val="auto"/>
          <w:kern w:val="0"/>
          <w:sz w:val="32"/>
          <w:szCs w:val="32"/>
          <w:lang w:val="en-US" w:eastAsia="zh-CN"/>
        </w:rPr>
        <w:t>23057</w:t>
      </w:r>
      <w:r>
        <w:rPr>
          <w:rFonts w:hint="eastAsia" w:ascii="仿宋" w:hAnsi="仿宋" w:eastAsia="仿宋" w:cs="仿宋"/>
          <w:color w:val="auto"/>
          <w:kern w:val="0"/>
          <w:sz w:val="32"/>
          <w:szCs w:val="32"/>
          <w:lang w:val="zh-CN"/>
        </w:rPr>
        <w:t>万元，科学技术支出</w:t>
      </w:r>
      <w:r>
        <w:rPr>
          <w:rFonts w:hint="eastAsia" w:ascii="仿宋" w:hAnsi="仿宋" w:eastAsia="仿宋" w:cs="仿宋"/>
          <w:color w:val="auto"/>
          <w:kern w:val="0"/>
          <w:sz w:val="32"/>
          <w:szCs w:val="32"/>
          <w:lang w:val="en-US" w:eastAsia="zh-CN"/>
        </w:rPr>
        <w:t>149</w:t>
      </w:r>
      <w:r>
        <w:rPr>
          <w:rFonts w:hint="eastAsia" w:ascii="仿宋" w:hAnsi="仿宋" w:eastAsia="仿宋" w:cs="仿宋"/>
          <w:color w:val="auto"/>
          <w:kern w:val="0"/>
          <w:sz w:val="32"/>
          <w:szCs w:val="32"/>
          <w:lang w:val="zh-CN"/>
        </w:rPr>
        <w:t>万元，社会保障和就业支出</w:t>
      </w:r>
      <w:r>
        <w:rPr>
          <w:rFonts w:hint="eastAsia" w:ascii="仿宋" w:hAnsi="仿宋" w:eastAsia="仿宋" w:cs="仿宋"/>
          <w:color w:val="auto"/>
          <w:kern w:val="0"/>
          <w:sz w:val="32"/>
          <w:szCs w:val="32"/>
          <w:lang w:val="en-US" w:eastAsia="zh-CN"/>
        </w:rPr>
        <w:t>21124</w:t>
      </w:r>
      <w:r>
        <w:rPr>
          <w:rFonts w:hint="eastAsia" w:ascii="仿宋" w:hAnsi="仿宋" w:eastAsia="仿宋" w:cs="仿宋"/>
          <w:color w:val="auto"/>
          <w:kern w:val="0"/>
          <w:sz w:val="32"/>
          <w:szCs w:val="32"/>
          <w:lang w:val="zh-CN"/>
        </w:rPr>
        <w:t>万元，卫生健康支出</w:t>
      </w:r>
      <w:r>
        <w:rPr>
          <w:rFonts w:hint="eastAsia" w:ascii="仿宋" w:hAnsi="仿宋" w:eastAsia="仿宋" w:cs="仿宋"/>
          <w:color w:val="auto"/>
          <w:kern w:val="0"/>
          <w:sz w:val="32"/>
          <w:szCs w:val="32"/>
          <w:lang w:val="en-US" w:eastAsia="zh-CN"/>
        </w:rPr>
        <w:t>13833</w:t>
      </w:r>
      <w:r>
        <w:rPr>
          <w:rFonts w:hint="eastAsia" w:ascii="仿宋" w:hAnsi="仿宋" w:eastAsia="仿宋" w:cs="仿宋"/>
          <w:color w:val="auto"/>
          <w:kern w:val="0"/>
          <w:sz w:val="32"/>
          <w:szCs w:val="32"/>
          <w:lang w:val="zh-CN"/>
        </w:rPr>
        <w:t>万元，</w:t>
      </w:r>
      <w:r>
        <w:rPr>
          <w:rFonts w:hint="eastAsia" w:ascii="仿宋" w:hAnsi="仿宋" w:eastAsia="仿宋" w:cs="仿宋"/>
          <w:color w:val="auto"/>
          <w:kern w:val="0"/>
          <w:sz w:val="32"/>
          <w:szCs w:val="32"/>
        </w:rPr>
        <w:t>节能环保支出</w:t>
      </w:r>
      <w:r>
        <w:rPr>
          <w:rFonts w:hint="eastAsia" w:ascii="仿宋" w:hAnsi="仿宋" w:eastAsia="仿宋" w:cs="仿宋"/>
          <w:color w:val="auto"/>
          <w:kern w:val="0"/>
          <w:sz w:val="32"/>
          <w:szCs w:val="32"/>
          <w:lang w:val="en-US" w:eastAsia="zh-CN"/>
        </w:rPr>
        <w:t>3588</w:t>
      </w:r>
      <w:r>
        <w:rPr>
          <w:rFonts w:hint="eastAsia" w:ascii="仿宋" w:hAnsi="仿宋" w:eastAsia="仿宋" w:cs="仿宋"/>
          <w:color w:val="auto"/>
          <w:kern w:val="0"/>
          <w:sz w:val="32"/>
          <w:szCs w:val="32"/>
        </w:rPr>
        <w:t>万元 ，城乡社区支出</w:t>
      </w:r>
      <w:r>
        <w:rPr>
          <w:rFonts w:hint="eastAsia" w:ascii="仿宋" w:hAnsi="仿宋" w:eastAsia="仿宋" w:cs="仿宋"/>
          <w:color w:val="auto"/>
          <w:kern w:val="0"/>
          <w:sz w:val="32"/>
          <w:szCs w:val="32"/>
          <w:lang w:val="en-US" w:eastAsia="zh-CN"/>
        </w:rPr>
        <w:t>2866</w:t>
      </w:r>
      <w:r>
        <w:rPr>
          <w:rFonts w:hint="eastAsia" w:ascii="仿宋" w:hAnsi="仿宋" w:eastAsia="仿宋" w:cs="仿宋"/>
          <w:color w:val="auto"/>
          <w:kern w:val="0"/>
          <w:sz w:val="32"/>
          <w:szCs w:val="32"/>
        </w:rPr>
        <w:t>万元，</w:t>
      </w:r>
      <w:r>
        <w:rPr>
          <w:rFonts w:hint="eastAsia" w:ascii="仿宋" w:hAnsi="仿宋" w:eastAsia="仿宋" w:cs="仿宋"/>
          <w:color w:val="auto"/>
          <w:kern w:val="0"/>
          <w:sz w:val="32"/>
          <w:szCs w:val="32"/>
          <w:lang w:val="zh-CN"/>
        </w:rPr>
        <w:t>农林水事务支出</w:t>
      </w:r>
      <w:r>
        <w:rPr>
          <w:rFonts w:hint="eastAsia" w:ascii="仿宋" w:hAnsi="仿宋" w:eastAsia="仿宋" w:cs="仿宋"/>
          <w:color w:val="auto"/>
          <w:kern w:val="0"/>
          <w:sz w:val="32"/>
          <w:szCs w:val="32"/>
          <w:lang w:val="en-US" w:eastAsia="zh-CN"/>
        </w:rPr>
        <w:t>48897</w:t>
      </w:r>
      <w:r>
        <w:rPr>
          <w:rFonts w:hint="eastAsia" w:ascii="仿宋" w:hAnsi="仿宋" w:eastAsia="仿宋" w:cs="仿宋"/>
          <w:color w:val="auto"/>
          <w:kern w:val="0"/>
          <w:sz w:val="32"/>
          <w:szCs w:val="32"/>
          <w:lang w:val="zh-CN"/>
        </w:rPr>
        <w:t>万元。财政自给率为</w:t>
      </w:r>
      <w:r>
        <w:rPr>
          <w:rFonts w:hint="eastAsia" w:ascii="仿宋" w:hAnsi="仿宋" w:eastAsia="仿宋" w:cs="仿宋"/>
          <w:color w:val="auto"/>
          <w:kern w:val="0"/>
          <w:sz w:val="32"/>
          <w:szCs w:val="32"/>
          <w:lang w:val="en-US" w:eastAsia="zh-CN"/>
        </w:rPr>
        <w:t>2.2</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，比上年提高</w:t>
      </w:r>
      <w:r>
        <w:rPr>
          <w:rFonts w:hint="eastAsia" w:ascii="仿宋" w:hAnsi="仿宋" w:eastAsia="仿宋" w:cs="仿宋"/>
          <w:color w:val="auto"/>
          <w:kern w:val="0"/>
          <w:sz w:val="32"/>
          <w:szCs w:val="32"/>
          <w:lang w:val="en-US" w:eastAsia="zh-CN"/>
        </w:rPr>
        <w:t>0.4个百分点</w:t>
      </w:r>
      <w:r>
        <w:rPr>
          <w:rFonts w:hint="eastAsia" w:ascii="仿宋" w:hAnsi="仿宋" w:eastAsia="仿宋" w:cs="仿宋"/>
          <w:color w:val="auto"/>
          <w:kern w:val="0"/>
          <w:sz w:val="32"/>
          <w:szCs w:val="32"/>
        </w:rPr>
        <w:t>。</w:t>
      </w:r>
    </w:p>
    <w:p>
      <w:pPr>
        <w:spacing w:line="560" w:lineRule="exact"/>
        <w:ind w:firstLine="642" w:firstLineChars="200"/>
        <w:rPr>
          <w:rFonts w:hint="eastAsia" w:ascii="仿宋" w:hAnsi="仿宋" w:eastAsia="仿宋" w:cs="仿宋"/>
          <w:color w:val="auto"/>
          <w:kern w:val="0"/>
          <w:sz w:val="32"/>
          <w:szCs w:val="32"/>
          <w:lang w:val="en-US" w:eastAsia="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金</w:t>
      </w:r>
      <w:r>
        <w:rPr>
          <w:rFonts w:hint="eastAsia" w:ascii="楷体_GB2312" w:hAnsi="楷体_GB2312" w:eastAsia="楷体_GB2312" w:cs="楷体_GB2312"/>
          <w:b/>
          <w:bCs/>
          <w:color w:val="auto"/>
          <w:sz w:val="32"/>
          <w:szCs w:val="32"/>
          <w:shd w:val="clear" w:color="auto" w:fill="FFFFFF"/>
          <w:lang w:val="en-US" w:eastAsia="zh-CN"/>
        </w:rPr>
        <w:t xml:space="preserve">  </w:t>
      </w:r>
      <w:r>
        <w:rPr>
          <w:rFonts w:ascii="楷体_GB2312" w:hAnsi="楷体_GB2312" w:eastAsia="楷体_GB2312" w:cs="楷体_GB2312"/>
          <w:b/>
          <w:bCs/>
          <w:color w:val="auto"/>
          <w:sz w:val="32"/>
          <w:szCs w:val="32"/>
          <w:shd w:val="clear" w:color="auto" w:fill="FFFFFF"/>
          <w:lang w:val="zh-CN"/>
        </w:rPr>
        <w:t>融</w:t>
      </w:r>
      <w:r>
        <w:rPr>
          <w:rFonts w:ascii="Times New Roman" w:hAnsi="Times New Roman" w:eastAsia="仿宋" w:cs="Times New Roman"/>
          <w:b/>
          <w:color w:val="auto"/>
          <w:kern w:val="0"/>
          <w:sz w:val="32"/>
          <w:szCs w:val="32"/>
          <w:lang w:val="zh-CN"/>
        </w:rPr>
        <w:t>】</w:t>
      </w:r>
      <w:r>
        <w:rPr>
          <w:rFonts w:hint="eastAsia" w:ascii="仿宋" w:hAnsi="仿宋" w:eastAsia="仿宋" w:cs="仿宋"/>
          <w:bCs/>
          <w:color w:val="auto"/>
          <w:kern w:val="0"/>
          <w:sz w:val="32"/>
          <w:szCs w:val="32"/>
          <w:lang w:val="zh-CN"/>
        </w:rPr>
        <w:t>年</w:t>
      </w:r>
      <w:r>
        <w:rPr>
          <w:rFonts w:hint="eastAsia" w:ascii="仿宋" w:hAnsi="仿宋" w:eastAsia="仿宋" w:cs="仿宋"/>
          <w:color w:val="auto"/>
          <w:kern w:val="0"/>
          <w:sz w:val="32"/>
          <w:szCs w:val="32"/>
          <w:lang w:val="zh-CN"/>
        </w:rPr>
        <w:t>末，金融机构各项存款余额</w:t>
      </w:r>
      <w:r>
        <w:rPr>
          <w:rFonts w:hint="eastAsia" w:ascii="仿宋" w:hAnsi="仿宋" w:eastAsia="仿宋" w:cs="仿宋"/>
          <w:color w:val="auto"/>
          <w:kern w:val="0"/>
          <w:sz w:val="32"/>
          <w:szCs w:val="32"/>
          <w:lang w:val="en-US" w:eastAsia="zh-CN"/>
        </w:rPr>
        <w:t>170685</w:t>
      </w:r>
      <w:r>
        <w:rPr>
          <w:rFonts w:hint="eastAsia" w:ascii="仿宋" w:hAnsi="仿宋" w:eastAsia="仿宋" w:cs="仿宋"/>
          <w:color w:val="auto"/>
          <w:kern w:val="0"/>
          <w:sz w:val="32"/>
          <w:szCs w:val="32"/>
          <w:lang w:val="zh-CN"/>
        </w:rPr>
        <w:t>万元，下降</w:t>
      </w:r>
      <w:r>
        <w:rPr>
          <w:rFonts w:hint="eastAsia" w:ascii="仿宋" w:hAnsi="仿宋" w:eastAsia="仿宋" w:cs="仿宋"/>
          <w:color w:val="auto"/>
          <w:kern w:val="0"/>
          <w:sz w:val="32"/>
          <w:szCs w:val="32"/>
          <w:lang w:val="en-US" w:eastAsia="zh-CN"/>
        </w:rPr>
        <w:t>9.1</w:t>
      </w:r>
      <w:r>
        <w:rPr>
          <w:rFonts w:hint="eastAsia" w:ascii="仿宋" w:hAnsi="仿宋" w:eastAsia="仿宋" w:cs="仿宋"/>
          <w:color w:val="auto"/>
          <w:kern w:val="0"/>
          <w:sz w:val="32"/>
          <w:szCs w:val="32"/>
          <w:lang w:val="zh-CN"/>
        </w:rPr>
        <w:t>%，其中城乡居民储蓄存款</w:t>
      </w:r>
      <w:r>
        <w:rPr>
          <w:rFonts w:hint="eastAsia" w:ascii="仿宋" w:hAnsi="仿宋" w:eastAsia="仿宋" w:cs="仿宋"/>
          <w:color w:val="auto"/>
          <w:kern w:val="0"/>
          <w:sz w:val="32"/>
          <w:szCs w:val="32"/>
          <w:lang w:val="en-US" w:eastAsia="zh-CN"/>
        </w:rPr>
        <w:t>99432</w:t>
      </w:r>
      <w:r>
        <w:rPr>
          <w:rFonts w:hint="eastAsia" w:ascii="仿宋" w:hAnsi="仿宋" w:eastAsia="仿宋" w:cs="仿宋"/>
          <w:color w:val="auto"/>
          <w:kern w:val="0"/>
          <w:sz w:val="32"/>
          <w:szCs w:val="32"/>
          <w:lang w:val="zh-CN"/>
        </w:rPr>
        <w:t>万元，下降</w:t>
      </w: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lang w:val="zh-CN"/>
        </w:rPr>
        <w:t>%。各项贷款余额</w:t>
      </w:r>
      <w:r>
        <w:rPr>
          <w:rFonts w:hint="eastAsia" w:ascii="仿宋" w:hAnsi="仿宋" w:eastAsia="仿宋" w:cs="仿宋"/>
          <w:color w:val="auto"/>
          <w:kern w:val="0"/>
          <w:sz w:val="32"/>
          <w:szCs w:val="32"/>
          <w:lang w:val="en-US" w:eastAsia="zh-CN"/>
        </w:rPr>
        <w:t>101670</w:t>
      </w:r>
      <w:r>
        <w:rPr>
          <w:rFonts w:hint="eastAsia" w:ascii="仿宋" w:hAnsi="仿宋" w:eastAsia="仿宋" w:cs="仿宋"/>
          <w:color w:val="auto"/>
          <w:kern w:val="0"/>
          <w:sz w:val="32"/>
          <w:szCs w:val="32"/>
          <w:lang w:val="zh-CN"/>
        </w:rPr>
        <w:t>万元，增长</w:t>
      </w:r>
      <w:r>
        <w:rPr>
          <w:rFonts w:hint="eastAsia" w:ascii="仿宋" w:hAnsi="仿宋" w:eastAsia="仿宋" w:cs="仿宋"/>
          <w:color w:val="auto"/>
          <w:kern w:val="0"/>
          <w:sz w:val="32"/>
          <w:szCs w:val="32"/>
          <w:lang w:val="en-US" w:eastAsia="zh-CN"/>
        </w:rPr>
        <w:t>17.6</w:t>
      </w:r>
      <w:r>
        <w:rPr>
          <w:rFonts w:hint="eastAsia" w:ascii="仿宋" w:hAnsi="仿宋" w:eastAsia="仿宋" w:cs="仿宋"/>
          <w:color w:val="auto"/>
          <w:kern w:val="0"/>
          <w:sz w:val="32"/>
          <w:szCs w:val="32"/>
          <w:lang w:val="zh-CN"/>
        </w:rPr>
        <w:t>%，存贷款比率</w:t>
      </w:r>
      <w:r>
        <w:rPr>
          <w:rFonts w:hint="eastAsia" w:ascii="仿宋" w:hAnsi="仿宋" w:eastAsia="仿宋" w:cs="仿宋"/>
          <w:color w:val="auto"/>
          <w:kern w:val="0"/>
          <w:sz w:val="32"/>
          <w:szCs w:val="32"/>
          <w:lang w:val="en-US" w:eastAsia="zh-CN"/>
        </w:rPr>
        <w:t>59.6</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 xml:space="preserve"> </w:t>
      </w:r>
    </w:p>
    <w:p>
      <w:pPr>
        <w:spacing w:line="560" w:lineRule="exact"/>
        <w:ind w:firstLine="640" w:firstLineChars="200"/>
        <w:rPr>
          <w:rFonts w:hint="eastAsia" w:ascii="仿宋" w:hAnsi="仿宋" w:eastAsia="仿宋" w:cs="仿宋"/>
          <w:color w:val="auto"/>
          <w:kern w:val="0"/>
          <w:sz w:val="32"/>
          <w:szCs w:val="32"/>
          <w:lang w:val="en-US" w:eastAsia="zh-CN"/>
        </w:rPr>
      </w:pPr>
    </w:p>
    <w:p>
      <w:pPr>
        <w:pStyle w:val="7"/>
        <w:ind w:left="0" w:leftChars="0" w:firstLine="0" w:firstLineChars="0"/>
        <w:rPr>
          <w:color w:val="auto"/>
          <w:lang w:val="zh-CN"/>
        </w:rPr>
      </w:pPr>
      <w:r>
        <w:drawing>
          <wp:inline distT="0" distB="0" distL="114300" distR="114300">
            <wp:extent cx="5616575" cy="3097530"/>
            <wp:effectExtent l="0" t="0" r="0" b="0"/>
            <wp:docPr id="13" name="图表 12" descr="7b0a202020202263686172745265734964223a202232303334343832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color w:val="auto"/>
          <w:lang w:val="zh-CN"/>
        </w:rPr>
      </w:pPr>
    </w:p>
    <w:p>
      <w:pPr>
        <w:numPr>
          <w:ilvl w:val="0"/>
          <w:numId w:val="4"/>
        </w:numPr>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教育和科学技术</w:t>
      </w:r>
    </w:p>
    <w:p>
      <w:pPr>
        <w:pStyle w:val="12"/>
        <w:ind w:left="0" w:leftChars="0" w:firstLine="0" w:firstLineChars="0"/>
        <w:rPr>
          <w:color w:val="auto"/>
          <w:lang w:val="zh-CN"/>
        </w:rPr>
      </w:pP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color w:val="auto"/>
          <w:kern w:val="0"/>
          <w:sz w:val="32"/>
          <w:szCs w:val="32"/>
          <w:lang w:val="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rPr>
        <w:t>教</w:t>
      </w:r>
      <w:r>
        <w:rPr>
          <w:rFonts w:hint="eastAsia" w:ascii="楷体_GB2312" w:hAnsi="楷体_GB2312" w:eastAsia="楷体_GB2312" w:cs="楷体_GB2312"/>
          <w:b/>
          <w:bCs/>
          <w:color w:val="auto"/>
          <w:sz w:val="32"/>
          <w:szCs w:val="32"/>
          <w:shd w:val="clear" w:color="auto" w:fill="FFFFFF"/>
          <w:lang w:val="en-US" w:eastAsia="zh-CN"/>
        </w:rPr>
        <w:t xml:space="preserve">  </w:t>
      </w:r>
      <w:r>
        <w:rPr>
          <w:rFonts w:ascii="楷体_GB2312" w:hAnsi="楷体_GB2312" w:eastAsia="楷体_GB2312" w:cs="楷体_GB2312"/>
          <w:b/>
          <w:bCs/>
          <w:color w:val="auto"/>
          <w:sz w:val="32"/>
          <w:szCs w:val="32"/>
          <w:shd w:val="clear" w:color="auto" w:fill="FFFFFF"/>
        </w:rPr>
        <w:t>育</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年末，全县有各级各类学校5</w:t>
      </w:r>
      <w:r>
        <w:rPr>
          <w:rFonts w:hint="eastAsia" w:ascii="仿宋" w:hAnsi="仿宋" w:eastAsia="仿宋" w:cs="仿宋"/>
          <w:color w:val="auto"/>
          <w:kern w:val="0"/>
          <w:sz w:val="32"/>
          <w:szCs w:val="32"/>
          <w:lang w:val="zh-CN" w:eastAsia="zh-CN"/>
        </w:rPr>
        <w:t>2</w:t>
      </w:r>
      <w:r>
        <w:rPr>
          <w:rFonts w:hint="eastAsia" w:ascii="仿宋" w:hAnsi="仿宋" w:eastAsia="仿宋" w:cs="仿宋"/>
          <w:color w:val="auto"/>
          <w:kern w:val="0"/>
          <w:sz w:val="32"/>
          <w:szCs w:val="32"/>
          <w:lang w:val="zh-CN"/>
        </w:rPr>
        <w:t>所，其中小学校10所、</w:t>
      </w:r>
      <w:r>
        <w:rPr>
          <w:rFonts w:hint="eastAsia" w:ascii="仿宋" w:hAnsi="仿宋" w:eastAsia="仿宋" w:cs="仿宋"/>
          <w:color w:val="auto"/>
          <w:kern w:val="0"/>
          <w:sz w:val="32"/>
          <w:szCs w:val="32"/>
          <w:lang w:val="zh-CN" w:eastAsia="zh-CN"/>
        </w:rPr>
        <w:t>初级</w:t>
      </w:r>
      <w:r>
        <w:rPr>
          <w:rFonts w:hint="eastAsia" w:ascii="仿宋" w:hAnsi="仿宋" w:eastAsia="仿宋" w:cs="仿宋"/>
          <w:color w:val="auto"/>
          <w:kern w:val="0"/>
          <w:sz w:val="32"/>
          <w:szCs w:val="32"/>
          <w:lang w:val="zh-CN"/>
        </w:rPr>
        <w:t>中学3所（九年一贯制2所、初级中学1所）、高完中1所，幼儿园</w:t>
      </w:r>
      <w:r>
        <w:rPr>
          <w:rFonts w:hint="eastAsia" w:ascii="仿宋" w:hAnsi="仿宋" w:eastAsia="仿宋" w:cs="仿宋"/>
          <w:color w:val="auto"/>
          <w:kern w:val="0"/>
          <w:sz w:val="32"/>
          <w:szCs w:val="32"/>
          <w:lang w:val="zh-CN" w:eastAsia="zh-CN"/>
        </w:rPr>
        <w:t>38</w:t>
      </w:r>
      <w:r>
        <w:rPr>
          <w:rFonts w:hint="eastAsia" w:ascii="仿宋" w:hAnsi="仿宋" w:eastAsia="仿宋" w:cs="仿宋"/>
          <w:color w:val="auto"/>
          <w:kern w:val="0"/>
          <w:sz w:val="32"/>
          <w:szCs w:val="32"/>
          <w:lang w:val="zh-CN"/>
        </w:rPr>
        <w:t>所。幼儿园在校学生总数2</w:t>
      </w:r>
      <w:r>
        <w:rPr>
          <w:rFonts w:hint="eastAsia" w:ascii="仿宋" w:hAnsi="仿宋" w:eastAsia="仿宋" w:cs="仿宋"/>
          <w:color w:val="auto"/>
          <w:kern w:val="0"/>
          <w:sz w:val="32"/>
          <w:szCs w:val="32"/>
          <w:lang w:val="zh-CN" w:eastAsia="zh-CN"/>
        </w:rPr>
        <w:t>341</w:t>
      </w:r>
      <w:r>
        <w:rPr>
          <w:rFonts w:hint="eastAsia" w:ascii="仿宋" w:hAnsi="仿宋" w:eastAsia="仿宋" w:cs="仿宋"/>
          <w:color w:val="auto"/>
          <w:kern w:val="0"/>
          <w:sz w:val="32"/>
          <w:szCs w:val="32"/>
          <w:lang w:val="zh-CN"/>
        </w:rPr>
        <w:t>人，小学在校学生总数6</w:t>
      </w:r>
      <w:r>
        <w:rPr>
          <w:rFonts w:hint="eastAsia" w:ascii="仿宋" w:hAnsi="仿宋" w:eastAsia="仿宋" w:cs="仿宋"/>
          <w:color w:val="auto"/>
          <w:kern w:val="0"/>
          <w:sz w:val="32"/>
          <w:szCs w:val="32"/>
          <w:lang w:val="zh-CN" w:eastAsia="zh-CN"/>
        </w:rPr>
        <w:t>393</w:t>
      </w:r>
      <w:r>
        <w:rPr>
          <w:rFonts w:hint="eastAsia" w:ascii="仿宋" w:hAnsi="仿宋" w:eastAsia="仿宋" w:cs="仿宋"/>
          <w:color w:val="auto"/>
          <w:kern w:val="0"/>
          <w:sz w:val="32"/>
          <w:szCs w:val="32"/>
          <w:lang w:val="zh-CN"/>
        </w:rPr>
        <w:t>人，普通中学在校学生总数2</w:t>
      </w:r>
      <w:r>
        <w:rPr>
          <w:rFonts w:hint="eastAsia" w:ascii="仿宋" w:hAnsi="仿宋" w:eastAsia="仿宋" w:cs="仿宋"/>
          <w:color w:val="auto"/>
          <w:kern w:val="0"/>
          <w:sz w:val="32"/>
          <w:szCs w:val="32"/>
          <w:lang w:val="zh-CN" w:eastAsia="zh-CN"/>
        </w:rPr>
        <w:t>292</w:t>
      </w:r>
      <w:r>
        <w:rPr>
          <w:rFonts w:hint="eastAsia" w:ascii="仿宋" w:hAnsi="仿宋" w:eastAsia="仿宋" w:cs="仿宋"/>
          <w:color w:val="auto"/>
          <w:kern w:val="0"/>
          <w:sz w:val="32"/>
          <w:szCs w:val="32"/>
          <w:lang w:val="zh-CN"/>
        </w:rPr>
        <w:t>人，高完中学生</w:t>
      </w:r>
      <w:r>
        <w:rPr>
          <w:rFonts w:hint="eastAsia" w:ascii="仿宋" w:hAnsi="仿宋" w:eastAsia="仿宋" w:cs="仿宋"/>
          <w:color w:val="auto"/>
          <w:kern w:val="0"/>
          <w:sz w:val="32"/>
          <w:szCs w:val="32"/>
          <w:lang w:val="zh-CN" w:eastAsia="zh-CN"/>
        </w:rPr>
        <w:t>77</w:t>
      </w:r>
      <w:r>
        <w:rPr>
          <w:rFonts w:hint="eastAsia" w:ascii="仿宋" w:hAnsi="仿宋" w:eastAsia="仿宋" w:cs="仿宋"/>
          <w:color w:val="auto"/>
          <w:kern w:val="0"/>
          <w:sz w:val="32"/>
          <w:szCs w:val="32"/>
          <w:lang w:val="zh-CN"/>
        </w:rPr>
        <w:t>人。幼儿园专任教师</w:t>
      </w:r>
      <w:r>
        <w:rPr>
          <w:rFonts w:hint="eastAsia" w:ascii="仿宋" w:hAnsi="仿宋" w:eastAsia="仿宋" w:cs="仿宋"/>
          <w:color w:val="auto"/>
          <w:kern w:val="0"/>
          <w:sz w:val="32"/>
          <w:szCs w:val="32"/>
          <w:lang w:val="zh-CN" w:eastAsia="zh-CN"/>
        </w:rPr>
        <w:t>105</w:t>
      </w:r>
      <w:r>
        <w:rPr>
          <w:rFonts w:hint="eastAsia" w:ascii="仿宋" w:hAnsi="仿宋" w:eastAsia="仿宋" w:cs="仿宋"/>
          <w:color w:val="auto"/>
          <w:kern w:val="0"/>
          <w:sz w:val="32"/>
          <w:szCs w:val="32"/>
          <w:lang w:val="zh-CN"/>
        </w:rPr>
        <w:t>人，小学专任教师3</w:t>
      </w:r>
      <w:r>
        <w:rPr>
          <w:rFonts w:hint="eastAsia" w:ascii="仿宋" w:hAnsi="仿宋" w:eastAsia="仿宋" w:cs="仿宋"/>
          <w:color w:val="auto"/>
          <w:kern w:val="0"/>
          <w:sz w:val="32"/>
          <w:szCs w:val="32"/>
          <w:lang w:val="zh-CN" w:eastAsia="zh-CN"/>
        </w:rPr>
        <w:t>58</w:t>
      </w:r>
      <w:r>
        <w:rPr>
          <w:rFonts w:hint="eastAsia" w:ascii="仿宋" w:hAnsi="仿宋" w:eastAsia="仿宋" w:cs="仿宋"/>
          <w:color w:val="auto"/>
          <w:kern w:val="0"/>
          <w:sz w:val="32"/>
          <w:szCs w:val="32"/>
          <w:lang w:val="zh-CN"/>
        </w:rPr>
        <w:t>人，</w:t>
      </w:r>
      <w:r>
        <w:rPr>
          <w:rFonts w:hint="eastAsia" w:ascii="仿宋" w:hAnsi="仿宋" w:eastAsia="仿宋" w:cs="仿宋"/>
          <w:color w:val="auto"/>
          <w:kern w:val="0"/>
          <w:sz w:val="32"/>
          <w:szCs w:val="32"/>
          <w:lang w:val="zh-CN" w:eastAsia="zh-CN"/>
        </w:rPr>
        <w:t>初级</w:t>
      </w:r>
      <w:r>
        <w:rPr>
          <w:rFonts w:hint="eastAsia" w:ascii="仿宋" w:hAnsi="仿宋" w:eastAsia="仿宋" w:cs="仿宋"/>
          <w:color w:val="auto"/>
          <w:kern w:val="0"/>
          <w:sz w:val="32"/>
          <w:szCs w:val="32"/>
          <w:lang w:val="zh-CN"/>
        </w:rPr>
        <w:t>中学专任教师</w:t>
      </w:r>
      <w:r>
        <w:rPr>
          <w:rFonts w:hint="eastAsia" w:ascii="仿宋" w:hAnsi="仿宋" w:eastAsia="仿宋" w:cs="仿宋"/>
          <w:color w:val="auto"/>
          <w:kern w:val="0"/>
          <w:sz w:val="32"/>
          <w:szCs w:val="32"/>
          <w:lang w:val="zh-CN" w:eastAsia="zh-CN"/>
        </w:rPr>
        <w:t>230</w:t>
      </w:r>
      <w:r>
        <w:rPr>
          <w:rFonts w:hint="eastAsia" w:ascii="仿宋" w:hAnsi="仿宋" w:eastAsia="仿宋" w:cs="仿宋"/>
          <w:color w:val="auto"/>
          <w:kern w:val="0"/>
          <w:sz w:val="32"/>
          <w:szCs w:val="32"/>
          <w:lang w:val="zh-CN"/>
        </w:rPr>
        <w:t>人，高完中教师</w:t>
      </w:r>
      <w:r>
        <w:rPr>
          <w:rFonts w:hint="eastAsia" w:ascii="仿宋" w:hAnsi="仿宋" w:eastAsia="仿宋" w:cs="仿宋"/>
          <w:color w:val="auto"/>
          <w:kern w:val="0"/>
          <w:sz w:val="32"/>
          <w:szCs w:val="32"/>
          <w:lang w:val="zh-CN" w:eastAsia="zh-CN"/>
        </w:rPr>
        <w:t>12</w:t>
      </w:r>
      <w:r>
        <w:rPr>
          <w:rFonts w:hint="eastAsia" w:ascii="仿宋" w:hAnsi="仿宋" w:eastAsia="仿宋" w:cs="仿宋"/>
          <w:color w:val="auto"/>
          <w:kern w:val="0"/>
          <w:sz w:val="32"/>
          <w:szCs w:val="32"/>
          <w:lang w:val="zh-CN"/>
        </w:rPr>
        <w:t>人。小学师生比达到1:</w:t>
      </w:r>
      <w:r>
        <w:rPr>
          <w:rFonts w:hint="eastAsia" w:ascii="仿宋" w:hAnsi="仿宋" w:eastAsia="仿宋" w:cs="仿宋"/>
          <w:color w:val="auto"/>
          <w:kern w:val="0"/>
          <w:sz w:val="32"/>
          <w:szCs w:val="32"/>
          <w:lang w:val="zh-CN" w:eastAsia="zh-CN"/>
        </w:rPr>
        <w:t>15.04</w:t>
      </w:r>
      <w:r>
        <w:rPr>
          <w:rFonts w:hint="eastAsia" w:ascii="仿宋" w:hAnsi="仿宋" w:eastAsia="仿宋" w:cs="仿宋"/>
          <w:color w:val="auto"/>
          <w:kern w:val="0"/>
          <w:sz w:val="32"/>
          <w:szCs w:val="32"/>
          <w:lang w:val="zh-CN"/>
        </w:rPr>
        <w:t>，初中师生比为1:1</w:t>
      </w:r>
      <w:r>
        <w:rPr>
          <w:rFonts w:hint="eastAsia" w:ascii="仿宋" w:hAnsi="仿宋" w:eastAsia="仿宋" w:cs="仿宋"/>
          <w:color w:val="auto"/>
          <w:kern w:val="0"/>
          <w:sz w:val="32"/>
          <w:szCs w:val="32"/>
          <w:lang w:val="zh-CN" w:eastAsia="zh-CN"/>
        </w:rPr>
        <w:t>4</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lang w:val="zh-CN" w:eastAsia="zh-CN"/>
        </w:rPr>
        <w:t>06</w:t>
      </w:r>
      <w:r>
        <w:rPr>
          <w:rFonts w:hint="eastAsia" w:ascii="仿宋" w:hAnsi="仿宋" w:eastAsia="仿宋" w:cs="仿宋"/>
          <w:color w:val="auto"/>
          <w:kern w:val="0"/>
          <w:sz w:val="32"/>
          <w:szCs w:val="32"/>
          <w:lang w:val="zh-CN"/>
        </w:rPr>
        <w:t>，按照义务教育均衡发展要求，我县中小学师生比符合国家标准。辖区内义务教育阶段入学率99.9</w:t>
      </w:r>
      <w:r>
        <w:rPr>
          <w:rFonts w:hint="eastAsia" w:ascii="仿宋" w:hAnsi="仿宋" w:eastAsia="仿宋" w:cs="仿宋"/>
          <w:color w:val="auto"/>
          <w:kern w:val="0"/>
          <w:sz w:val="32"/>
          <w:szCs w:val="32"/>
          <w:lang w:val="zh-CN" w:eastAsia="zh-CN"/>
        </w:rPr>
        <w:t>7</w:t>
      </w:r>
      <w:r>
        <w:rPr>
          <w:rFonts w:hint="eastAsia" w:ascii="仿宋" w:hAnsi="仿宋" w:eastAsia="仿宋" w:cs="仿宋"/>
          <w:color w:val="auto"/>
          <w:kern w:val="0"/>
          <w:sz w:val="32"/>
          <w:szCs w:val="32"/>
          <w:lang w:val="zh-CN"/>
        </w:rPr>
        <w:t>%，巩固率98.</w:t>
      </w:r>
      <w:r>
        <w:rPr>
          <w:rFonts w:hint="eastAsia" w:ascii="仿宋" w:hAnsi="仿宋" w:eastAsia="仿宋" w:cs="仿宋"/>
          <w:color w:val="auto"/>
          <w:kern w:val="0"/>
          <w:sz w:val="32"/>
          <w:szCs w:val="32"/>
          <w:lang w:val="zh-CN" w:eastAsia="zh-CN"/>
        </w:rPr>
        <w:t>93</w:t>
      </w:r>
      <w:r>
        <w:rPr>
          <w:rFonts w:hint="eastAsia" w:ascii="仿宋" w:hAnsi="仿宋" w:eastAsia="仿宋" w:cs="仿宋"/>
          <w:color w:val="auto"/>
          <w:kern w:val="0"/>
          <w:sz w:val="32"/>
          <w:szCs w:val="32"/>
          <w:lang w:val="zh-CN"/>
        </w:rPr>
        <w:t>%，高中阶段毛入学率9</w:t>
      </w:r>
      <w:r>
        <w:rPr>
          <w:rFonts w:hint="eastAsia" w:ascii="仿宋" w:hAnsi="仿宋" w:eastAsia="仿宋" w:cs="仿宋"/>
          <w:color w:val="auto"/>
          <w:kern w:val="0"/>
          <w:sz w:val="32"/>
          <w:szCs w:val="32"/>
          <w:lang w:val="zh-CN" w:eastAsia="zh-CN"/>
        </w:rPr>
        <w:t>4</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lang w:val="zh-CN" w:eastAsia="zh-CN"/>
        </w:rPr>
        <w:t>8</w:t>
      </w:r>
      <w:r>
        <w:rPr>
          <w:rFonts w:hint="eastAsia" w:ascii="仿宋" w:hAnsi="仿宋" w:eastAsia="仿宋" w:cs="仿宋"/>
          <w:color w:val="auto"/>
          <w:kern w:val="0"/>
          <w:sz w:val="32"/>
          <w:szCs w:val="32"/>
          <w:lang w:val="zh-CN"/>
        </w:rPr>
        <w:t>5%，残疾儿童入学率100%。</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sz w:val="32"/>
          <w:szCs w:val="32"/>
        </w:rPr>
      </w:pPr>
      <w:r>
        <w:rPr>
          <w:rFonts w:ascii="Times New Roman" w:hAnsi="Times New Roman" w:eastAsia="仿宋_GB2312"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科  技</w:t>
      </w:r>
      <w:r>
        <w:rPr>
          <w:rFonts w:ascii="Times New Roman" w:hAnsi="Times New Roman" w:eastAsia="仿宋_GB2312" w:cs="Times New Roman"/>
          <w:b/>
          <w:color w:val="auto"/>
          <w:kern w:val="0"/>
          <w:sz w:val="32"/>
          <w:szCs w:val="32"/>
          <w:lang w:val="zh-CN"/>
        </w:rPr>
        <w:t>】</w:t>
      </w:r>
      <w:r>
        <w:rPr>
          <w:rFonts w:hint="eastAsia" w:ascii="仿宋" w:hAnsi="仿宋" w:eastAsia="仿宋" w:cs="仿宋"/>
          <w:sz w:val="32"/>
          <w:szCs w:val="32"/>
        </w:rPr>
        <w:t>全产业链高质量发展项目，项目总投资575万元，搭建产学研合作交流平台</w:t>
      </w:r>
      <w:r>
        <w:rPr>
          <w:rFonts w:hint="eastAsia" w:ascii="仿宋" w:hAnsi="仿宋" w:eastAsia="仿宋" w:cs="仿宋"/>
          <w:sz w:val="32"/>
          <w:szCs w:val="32"/>
          <w:lang w:val="en-US" w:eastAsia="zh-CN"/>
        </w:rPr>
        <w:t>,</w:t>
      </w:r>
      <w:r>
        <w:rPr>
          <w:rFonts w:hint="eastAsia" w:ascii="仿宋" w:hAnsi="仿宋" w:eastAsia="仿宋" w:cs="仿宋"/>
          <w:sz w:val="32"/>
          <w:szCs w:val="32"/>
        </w:rPr>
        <w:t>制定壤塘县道地中药材全产业链高质量发展“十四五”及中长期发展规划</w:t>
      </w:r>
      <w:r>
        <w:rPr>
          <w:rFonts w:hint="eastAsia" w:ascii="仿宋" w:hAnsi="仿宋" w:eastAsia="仿宋" w:cs="仿宋"/>
          <w:sz w:val="32"/>
          <w:szCs w:val="32"/>
          <w:lang w:val="en-US" w:eastAsia="zh-CN"/>
        </w:rPr>
        <w:t>,</w:t>
      </w:r>
      <w:r>
        <w:rPr>
          <w:rFonts w:hint="eastAsia" w:ascii="仿宋" w:hAnsi="仿宋" w:eastAsia="仿宋" w:cs="仿宋"/>
          <w:sz w:val="32"/>
          <w:szCs w:val="32"/>
        </w:rPr>
        <w:t>示范种植基地建设壤塘县上杜</w:t>
      </w:r>
      <w:r>
        <w:rPr>
          <w:rFonts w:hint="eastAsia" w:ascii="仿宋" w:hAnsi="仿宋" w:eastAsia="仿宋" w:cs="仿宋"/>
          <w:sz w:val="32"/>
          <w:szCs w:val="32"/>
          <w:lang w:eastAsia="zh-CN"/>
        </w:rPr>
        <w:t>柯</w:t>
      </w:r>
      <w:r>
        <w:rPr>
          <w:rFonts w:hint="eastAsia" w:ascii="仿宋" w:hAnsi="仿宋" w:eastAsia="仿宋" w:cs="仿宋"/>
          <w:sz w:val="32"/>
          <w:szCs w:val="32"/>
        </w:rPr>
        <w:t>乡25亩，岗木达镇农业科技示范园区125亩。岗木达的园区包括中药材资源圃2亩，羌活、甘松、川赤芍新品种育（引）种圃3亩，品种园5亩，羌活育苗圃5亩，种植示范基地110亩；生产羌活种苗50万株，培育壤塘县道地药材全值化产品3个。</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 w:cs="Times New Roman"/>
          <w:b/>
          <w:color w:val="auto"/>
          <w:kern w:val="0"/>
          <w:sz w:val="36"/>
          <w:szCs w:val="36"/>
          <w:lang w:val="zh-CN"/>
        </w:rPr>
      </w:pPr>
      <w:r>
        <w:rPr>
          <w:rFonts w:hint="eastAsia" w:ascii="仿宋" w:hAnsi="仿宋" w:eastAsia="仿宋" w:cs="仿宋"/>
          <w:color w:val="auto"/>
          <w:sz w:val="32"/>
          <w:szCs w:val="32"/>
          <w:u w:val="none"/>
          <w:lang w:eastAsia="zh-CN"/>
        </w:rPr>
        <w:t>全县</w:t>
      </w:r>
      <w:r>
        <w:rPr>
          <w:rFonts w:hint="eastAsia" w:ascii="仿宋" w:hAnsi="仿宋" w:eastAsia="仿宋" w:cs="仿宋"/>
          <w:color w:val="auto"/>
          <w:sz w:val="32"/>
          <w:szCs w:val="32"/>
          <w:u w:val="none"/>
        </w:rPr>
        <w:t>认定县级现代农业园区3个：蔬菜现代农业园区、中蜂现代农业园区</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青稞现代农业园区；州级现代农业园区2个：壤巴拉高原双低油菜现代农业园区、壤巴拉牦牛现代农业园区。</w:t>
      </w:r>
      <w:r>
        <w:rPr>
          <w:rFonts w:hint="eastAsia" w:ascii="仿宋" w:hAnsi="仿宋" w:eastAsia="仿宋" w:cs="仿宋"/>
          <w:color w:val="auto"/>
          <w:sz w:val="32"/>
          <w:szCs w:val="32"/>
          <w:shd w:val="clear" w:color="auto" w:fill="FFFFFF"/>
          <w:lang w:val="zh-CN"/>
        </w:rPr>
        <w:t>全县共有专业技术人员</w:t>
      </w:r>
      <w:r>
        <w:rPr>
          <w:rFonts w:hint="eastAsia" w:ascii="仿宋" w:hAnsi="仿宋" w:eastAsia="仿宋" w:cs="仿宋"/>
          <w:color w:val="auto"/>
          <w:sz w:val="32"/>
          <w:szCs w:val="32"/>
          <w:shd w:val="clear" w:color="auto" w:fill="FFFFFF"/>
          <w:lang w:val="en-US" w:eastAsia="zh-CN"/>
        </w:rPr>
        <w:t>1331</w:t>
      </w:r>
      <w:r>
        <w:rPr>
          <w:rFonts w:hint="eastAsia" w:ascii="仿宋" w:hAnsi="仿宋" w:eastAsia="仿宋" w:cs="仿宋"/>
          <w:color w:val="auto"/>
          <w:sz w:val="32"/>
          <w:szCs w:val="32"/>
          <w:shd w:val="clear" w:color="auto" w:fill="FFFFFF"/>
          <w:lang w:val="zh-CN"/>
        </w:rPr>
        <w:t>人，其中农业技术人员1</w:t>
      </w:r>
      <w:r>
        <w:rPr>
          <w:rFonts w:hint="eastAsia" w:ascii="仿宋" w:hAnsi="仿宋" w:eastAsia="仿宋" w:cs="仿宋"/>
          <w:color w:val="auto"/>
          <w:sz w:val="32"/>
          <w:szCs w:val="32"/>
          <w:shd w:val="clear" w:color="auto" w:fill="FFFFFF"/>
          <w:lang w:val="en-US" w:eastAsia="zh-CN"/>
        </w:rPr>
        <w:t>05</w:t>
      </w:r>
      <w:r>
        <w:rPr>
          <w:rFonts w:hint="eastAsia" w:ascii="仿宋" w:hAnsi="仿宋" w:eastAsia="仿宋" w:cs="仿宋"/>
          <w:color w:val="auto"/>
          <w:sz w:val="32"/>
          <w:szCs w:val="32"/>
          <w:shd w:val="clear" w:color="auto" w:fill="FFFFFF"/>
          <w:lang w:val="zh-CN"/>
        </w:rPr>
        <w:t>人。</w:t>
      </w:r>
    </w:p>
    <w:p>
      <w:pPr>
        <w:widowControl/>
        <w:numPr>
          <w:ilvl w:val="0"/>
          <w:numId w:val="4"/>
        </w:numPr>
        <w:adjustRightIn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文</w:t>
      </w:r>
      <w:r>
        <w:rPr>
          <w:rFonts w:hint="eastAsia" w:ascii="黑体" w:hAnsi="黑体" w:eastAsia="黑体" w:cs="黑体"/>
          <w:b/>
          <w:color w:val="auto"/>
          <w:kern w:val="0"/>
          <w:sz w:val="36"/>
          <w:szCs w:val="36"/>
          <w:lang w:val="zh-CN"/>
        </w:rPr>
        <w:t>旅</w:t>
      </w:r>
      <w:r>
        <w:rPr>
          <w:rFonts w:ascii="黑体" w:hAnsi="黑体" w:eastAsia="黑体" w:cs="黑体"/>
          <w:b/>
          <w:color w:val="auto"/>
          <w:kern w:val="0"/>
          <w:sz w:val="36"/>
          <w:szCs w:val="36"/>
          <w:lang w:val="zh-CN"/>
        </w:rPr>
        <w:t>体育和卫生</w:t>
      </w:r>
    </w:p>
    <w:p>
      <w:pPr>
        <w:pStyle w:val="12"/>
        <w:ind w:left="0" w:leftChars="0" w:firstLine="0" w:firstLineChars="0"/>
        <w:rPr>
          <w:color w:val="auto"/>
          <w:lang w:val="zh-CN"/>
        </w:rPr>
      </w:pPr>
    </w:p>
    <w:p>
      <w:pPr>
        <w:spacing w:line="560" w:lineRule="exact"/>
        <w:ind w:firstLine="642" w:firstLineChars="200"/>
        <w:rPr>
          <w:rFonts w:hint="eastAsia" w:ascii="仿宋" w:hAnsi="仿宋" w:eastAsia="仿宋" w:cs="仿宋"/>
          <w:color w:val="auto"/>
          <w:sz w:val="32"/>
          <w:szCs w:val="32"/>
          <w:shd w:val="clear" w:color="auto" w:fill="FFFFFF"/>
        </w:rPr>
      </w:pPr>
      <w:r>
        <w:rPr>
          <w:rFonts w:ascii="Times New Roman" w:hAnsi="Times New Roman" w:eastAsia="宋体"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rPr>
        <w:t xml:space="preserve">文  </w:t>
      </w:r>
      <w:r>
        <w:rPr>
          <w:rFonts w:hint="eastAsia" w:ascii="楷体_GB2312" w:hAnsi="楷体_GB2312" w:eastAsia="楷体_GB2312" w:cs="楷体_GB2312"/>
          <w:b/>
          <w:bCs/>
          <w:color w:val="auto"/>
          <w:sz w:val="32"/>
          <w:szCs w:val="32"/>
          <w:shd w:val="clear" w:color="auto" w:fill="FFFFFF"/>
        </w:rPr>
        <w:t>旅</w:t>
      </w:r>
      <w:r>
        <w:rPr>
          <w:rFonts w:ascii="Times New Roman" w:hAnsi="Times New Roman" w:eastAsia="宋体" w:cs="Times New Roman"/>
          <w:b/>
          <w:color w:val="auto"/>
          <w:kern w:val="0"/>
          <w:sz w:val="32"/>
          <w:szCs w:val="32"/>
          <w:lang w:val="zh-CN"/>
        </w:rPr>
        <w:t>】</w:t>
      </w:r>
      <w:r>
        <w:rPr>
          <w:rFonts w:hint="eastAsia" w:ascii="仿宋" w:hAnsi="仿宋" w:eastAsia="仿宋" w:cs="仿宋"/>
          <w:color w:val="auto"/>
          <w:sz w:val="32"/>
          <w:szCs w:val="32"/>
          <w:shd w:val="clear" w:color="auto" w:fill="FFFFFF"/>
        </w:rPr>
        <w:t>年末</w:t>
      </w:r>
      <w:r>
        <w:rPr>
          <w:rFonts w:hint="eastAsia" w:ascii="仿宋" w:hAnsi="仿宋" w:eastAsia="仿宋" w:cs="仿宋"/>
          <w:color w:val="auto"/>
          <w:sz w:val="32"/>
          <w:szCs w:val="32"/>
          <w:shd w:val="clear" w:color="auto" w:fill="FFFFFF"/>
          <w:lang w:val="en-US" w:eastAsia="zh-CN"/>
        </w:rPr>
        <w:t>,</w:t>
      </w:r>
      <w:r>
        <w:rPr>
          <w:rFonts w:hint="eastAsia" w:ascii="仿宋" w:hAnsi="仿宋" w:eastAsia="仿宋" w:cs="仿宋"/>
          <w:color w:val="auto"/>
          <w:sz w:val="32"/>
          <w:szCs w:val="32"/>
          <w:shd w:val="clear" w:color="auto" w:fill="FFFFFF"/>
        </w:rPr>
        <w:t>全县有公共图书馆1个，图书藏量4.6万余册，阅览室座席数30个，影剧院1个，体育馆1个，乡镇文化站11个，县内全国重点文物保护单位3个，省级文物保护单位1个，州级文物保护单位4个。我县有A级景区共5个，其中：3A级景区4个（棒托石刻公园文化旅游景区、曾克寺文化旅游景区、壤塘县日斯满巴碉房文化旅游景区、森工记忆文化旅游景区），4A级景区1个（壤巴拉文化旅游景区)，高原林海省级生态旅游示范区1个。</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持续实施“两馆一站”及体育馆免开，面向所有青少年开展声乐、器乐、舞蹈、戏曲等的科目培训。成功承办“喜迎建州70周年”、2023年壤巴拉节暨“两联一进”干群联谊活动、阿坝州非遗保护工作现场会，并积极组织200余名干部职工及群众参与“壮丽辉煌七十年 感恩奋进新阿坝”建州70周年庆祝大会大型非遗巡游、庆祝大会文艺演出，组织各传习所参加2023年阿坝州非物质文化遗产展示展演活动。</w:t>
      </w:r>
    </w:p>
    <w:p>
      <w:pPr>
        <w:spacing w:line="560" w:lineRule="exact"/>
        <w:ind w:firstLine="640" w:firstLineChars="200"/>
        <w:rPr>
          <w:rFonts w:hint="eastAsia" w:ascii="仿宋" w:hAnsi="仿宋" w:eastAsia="仿宋" w:cs="仿宋"/>
          <w:color w:val="auto"/>
          <w:kern w:val="0"/>
          <w:sz w:val="32"/>
          <w:szCs w:val="32"/>
        </w:rPr>
      </w:pPr>
      <w:r>
        <w:rPr>
          <w:rFonts w:hint="eastAsia" w:ascii="仿宋" w:hAnsi="仿宋" w:eastAsia="仿宋" w:cs="仿宋"/>
          <w:sz w:val="32"/>
          <w:szCs w:val="32"/>
        </w:rPr>
        <w:t>认定公布第六批县级非物质文化遗产代表性传承</w:t>
      </w:r>
      <w:r>
        <w:rPr>
          <w:rFonts w:hint="eastAsia" w:ascii="仿宋" w:hAnsi="仿宋" w:eastAsia="仿宋" w:cs="仿宋"/>
          <w:sz w:val="32"/>
          <w:szCs w:val="32"/>
          <w:lang w:eastAsia="zh-CN"/>
        </w:rPr>
        <w:t>人藏医药类</w:t>
      </w:r>
      <w:r>
        <w:rPr>
          <w:rFonts w:hint="eastAsia" w:ascii="仿宋" w:hAnsi="仿宋" w:eastAsia="仿宋" w:cs="仿宋"/>
          <w:sz w:val="32"/>
          <w:szCs w:val="32"/>
          <w:lang w:val="en-US" w:eastAsia="zh-CN"/>
        </w:rPr>
        <w:t>3名，</w:t>
      </w:r>
      <w:r>
        <w:rPr>
          <w:rFonts w:hint="eastAsia" w:ascii="仿宋" w:hAnsi="仿宋" w:eastAsia="仿宋" w:cs="仿宋"/>
          <w:bCs/>
          <w:sz w:val="32"/>
          <w:szCs w:val="32"/>
        </w:rPr>
        <w:t>擦擦、</w:t>
      </w:r>
      <w:r>
        <w:rPr>
          <w:rFonts w:hint="eastAsia" w:ascii="仿宋" w:hAnsi="仿宋" w:eastAsia="仿宋" w:cs="仿宋"/>
          <w:bCs/>
          <w:sz w:val="32"/>
          <w:szCs w:val="32"/>
          <w:lang w:val="en-US" w:eastAsia="zh-CN"/>
        </w:rPr>
        <w:t>觉囊唐卡、藏陶等县级非遗工坊15个，壤巴拉藏陶非遗工坊成功申报为四川省优秀非遗工坊，</w:t>
      </w:r>
      <w:r>
        <w:rPr>
          <w:rFonts w:hint="eastAsia" w:ascii="仿宋" w:hAnsi="仿宋" w:eastAsia="仿宋" w:cs="仿宋"/>
          <w:color w:val="000000"/>
          <w:kern w:val="0"/>
          <w:sz w:val="32"/>
          <w:szCs w:val="32"/>
          <w:lang w:val="en-US" w:eastAsia="zh-CN" w:bidi="ar"/>
        </w:rPr>
        <w:t>阿如藏藏药浴申报为四川省中医药健康旅游示范基地</w:t>
      </w:r>
      <w:r>
        <w:rPr>
          <w:rFonts w:hint="eastAsia" w:ascii="仿宋" w:hAnsi="仿宋" w:eastAsia="仿宋" w:cs="仿宋"/>
          <w:bCs/>
          <w:sz w:val="32"/>
          <w:szCs w:val="32"/>
          <w:lang w:val="en-US" w:eastAsia="zh-CN"/>
        </w:rPr>
        <w:t>。</w:t>
      </w:r>
      <w:r>
        <w:rPr>
          <w:rFonts w:hint="eastAsia" w:ascii="仿宋" w:hAnsi="仿宋" w:eastAsia="仿宋" w:cs="仿宋"/>
          <w:sz w:val="32"/>
          <w:szCs w:val="32"/>
        </w:rPr>
        <w:t>推动</w:t>
      </w:r>
      <w:r>
        <w:rPr>
          <w:rFonts w:hint="eastAsia" w:ascii="仿宋" w:hAnsi="仿宋" w:eastAsia="仿宋" w:cs="仿宋"/>
          <w:sz w:val="32"/>
          <w:szCs w:val="32"/>
          <w:lang w:eastAsia="zh-CN"/>
        </w:rPr>
        <w:t>壤巴拉</w:t>
      </w:r>
      <w:r>
        <w:rPr>
          <w:rFonts w:hint="eastAsia" w:ascii="仿宋" w:hAnsi="仿宋" w:eastAsia="仿宋" w:cs="仿宋"/>
          <w:sz w:val="32"/>
          <w:szCs w:val="32"/>
          <w:lang w:val="en-US" w:eastAsia="zh-CN"/>
        </w:rPr>
        <w:t>·卓珍唐卡艺术展和</w:t>
      </w:r>
      <w:r>
        <w:rPr>
          <w:rFonts w:hint="eastAsia" w:ascii="仿宋" w:hAnsi="仿宋" w:eastAsia="仿宋" w:cs="仿宋"/>
          <w:sz w:val="32"/>
          <w:szCs w:val="32"/>
        </w:rPr>
        <w:t>本地文化书籍《山水文化》</w:t>
      </w:r>
      <w:r>
        <w:rPr>
          <w:rFonts w:hint="eastAsia" w:ascii="仿宋" w:hAnsi="仿宋" w:eastAsia="仿宋" w:cs="仿宋"/>
          <w:sz w:val="32"/>
          <w:szCs w:val="32"/>
          <w:lang w:eastAsia="zh-CN"/>
        </w:rPr>
        <w:t>新书发布会召开。组织参加</w:t>
      </w:r>
      <w:r>
        <w:rPr>
          <w:rFonts w:hint="eastAsia" w:ascii="仿宋" w:hAnsi="仿宋" w:eastAsia="仿宋" w:cs="仿宋"/>
          <w:sz w:val="32"/>
          <w:szCs w:val="32"/>
        </w:rPr>
        <w:t>2023年壤塘县文化借船出海活动“佛山行、无锡行、宁波行、温州行、上海特展、杭州</w:t>
      </w:r>
      <w:r>
        <w:rPr>
          <w:rFonts w:hint="eastAsia" w:ascii="仿宋" w:hAnsi="仿宋" w:eastAsia="仿宋" w:cs="仿宋"/>
          <w:sz w:val="32"/>
          <w:szCs w:val="32"/>
          <w:lang w:eastAsia="zh-CN"/>
        </w:rPr>
        <w:t>‘</w:t>
      </w:r>
      <w:r>
        <w:rPr>
          <w:rFonts w:hint="eastAsia" w:ascii="仿宋" w:hAnsi="仿宋" w:eastAsia="仿宋" w:cs="仿宋"/>
          <w:sz w:val="32"/>
          <w:szCs w:val="32"/>
        </w:rPr>
        <w:t>藏风宋韵</w:t>
      </w:r>
      <w:r>
        <w:rPr>
          <w:rFonts w:hint="eastAsia" w:ascii="仿宋" w:hAnsi="仿宋" w:eastAsia="仿宋" w:cs="仿宋"/>
          <w:sz w:val="32"/>
          <w:szCs w:val="32"/>
          <w:lang w:eastAsia="zh-CN"/>
        </w:rPr>
        <w:t>’</w:t>
      </w:r>
      <w:r>
        <w:rPr>
          <w:rFonts w:hint="eastAsia" w:ascii="仿宋" w:hAnsi="仿宋" w:eastAsia="仿宋" w:cs="仿宋"/>
          <w:sz w:val="32"/>
          <w:szCs w:val="32"/>
        </w:rPr>
        <w:t>展陈</w:t>
      </w:r>
      <w:r>
        <w:rPr>
          <w:rFonts w:hint="eastAsia" w:ascii="仿宋" w:hAnsi="仿宋" w:eastAsia="仿宋" w:cs="仿宋"/>
          <w:sz w:val="32"/>
          <w:szCs w:val="32"/>
          <w:lang w:eastAsia="zh-CN"/>
        </w:rPr>
        <w:t>”</w:t>
      </w:r>
      <w:r>
        <w:rPr>
          <w:rFonts w:hint="eastAsia" w:ascii="仿宋" w:hAnsi="仿宋" w:eastAsia="仿宋" w:cs="仿宋"/>
          <w:sz w:val="32"/>
          <w:szCs w:val="32"/>
        </w:rPr>
        <w:t>等开展十余次壤巴拉非遗展览活动。</w:t>
      </w:r>
      <w:r>
        <w:rPr>
          <w:rFonts w:hint="eastAsia" w:ascii="仿宋" w:hAnsi="仿宋" w:eastAsia="仿宋" w:cs="仿宋"/>
          <w:kern w:val="2"/>
          <w:sz w:val="32"/>
          <w:szCs w:val="32"/>
          <w:lang w:val="en-US" w:eastAsia="zh-CN" w:bidi="ar-SA"/>
        </w:rPr>
        <w:t>壤巴拉文化研究中心被评为2023年阿坝州非遗进校园优秀研学基地；壤巴拉非遗创业园获得2023年阿坝州非遗进校园传承教育实践基地。</w:t>
      </w:r>
    </w:p>
    <w:p>
      <w:pPr>
        <w:spacing w:line="540" w:lineRule="exact"/>
        <w:ind w:firstLine="642" w:firstLineChars="200"/>
        <w:rPr>
          <w:rFonts w:hint="eastAsia" w:ascii="仿宋" w:hAnsi="仿宋" w:eastAsia="仿宋" w:cs="仿宋"/>
          <w:sz w:val="32"/>
          <w:szCs w:val="32"/>
        </w:rPr>
      </w:pPr>
      <w:r>
        <w:rPr>
          <w:rFonts w:ascii="Times New Roman" w:hAnsi="Times New Roman" w:eastAsia="宋体" w:cs="Times New Roman"/>
          <w:b/>
          <w:color w:val="auto"/>
          <w:kern w:val="0"/>
          <w:sz w:val="32"/>
          <w:szCs w:val="32"/>
          <w:lang w:val="zh-CN"/>
        </w:rPr>
        <w:t>【</w:t>
      </w:r>
      <w:r>
        <w:rPr>
          <w:rFonts w:hint="eastAsia" w:ascii="楷体_GB2312" w:hAnsi="楷体_GB2312" w:eastAsia="楷体_GB2312" w:cs="楷体_GB2312"/>
          <w:b/>
          <w:bCs/>
          <w:color w:val="auto"/>
          <w:sz w:val="32"/>
          <w:szCs w:val="32"/>
          <w:shd w:val="clear" w:color="auto" w:fill="FFFFFF"/>
          <w:lang w:val="zh-CN"/>
        </w:rPr>
        <w:t>卫</w:t>
      </w:r>
      <w:r>
        <w:rPr>
          <w:rFonts w:hint="eastAsia" w:ascii="楷体_GB2312" w:hAnsi="楷体_GB2312" w:eastAsia="楷体_GB2312" w:cs="楷体_GB2312"/>
          <w:b/>
          <w:bCs/>
          <w:color w:val="auto"/>
          <w:sz w:val="32"/>
          <w:szCs w:val="32"/>
          <w:shd w:val="clear" w:color="auto" w:fill="FFFFFF"/>
          <w:lang w:val="en-US" w:eastAsia="zh-CN"/>
        </w:rPr>
        <w:t xml:space="preserve">  </w:t>
      </w:r>
      <w:r>
        <w:rPr>
          <w:rFonts w:hint="eastAsia" w:ascii="楷体_GB2312" w:hAnsi="楷体_GB2312" w:eastAsia="楷体_GB2312" w:cs="楷体_GB2312"/>
          <w:b/>
          <w:bCs/>
          <w:color w:val="auto"/>
          <w:sz w:val="32"/>
          <w:szCs w:val="32"/>
          <w:shd w:val="clear" w:color="auto" w:fill="FFFFFF"/>
          <w:lang w:val="zh-CN"/>
        </w:rPr>
        <w:t>生</w:t>
      </w:r>
      <w:r>
        <w:rPr>
          <w:rFonts w:ascii="Times New Roman" w:hAnsi="Times New Roman" w:eastAsia="宋体" w:cs="Times New Roman"/>
          <w:b/>
          <w:color w:val="auto"/>
          <w:kern w:val="0"/>
          <w:sz w:val="32"/>
          <w:szCs w:val="32"/>
          <w:lang w:val="zh-CN"/>
        </w:rPr>
        <w:t>】</w:t>
      </w:r>
      <w:r>
        <w:rPr>
          <w:rFonts w:hint="eastAsia" w:ascii="仿宋" w:hAnsi="仿宋" w:eastAsia="仿宋" w:cs="仿宋"/>
          <w:sz w:val="32"/>
          <w:szCs w:val="32"/>
        </w:rPr>
        <w:t>年末</w:t>
      </w:r>
      <w:r>
        <w:rPr>
          <w:rFonts w:hint="eastAsia" w:ascii="仿宋" w:hAnsi="仿宋" w:eastAsia="仿宋" w:cs="仿宋"/>
          <w:sz w:val="32"/>
          <w:szCs w:val="32"/>
          <w:lang w:val="en-US" w:eastAsia="zh-CN"/>
        </w:rPr>
        <w:t>,</w:t>
      </w:r>
      <w:r>
        <w:rPr>
          <w:rFonts w:hint="eastAsia" w:ascii="仿宋" w:hAnsi="仿宋" w:eastAsia="仿宋" w:cs="仿宋"/>
          <w:sz w:val="32"/>
          <w:szCs w:val="32"/>
        </w:rPr>
        <w:t>全县有卫生机构66个（含村卫生室），其中县级医疗卫生机构4所，基层卫生院13所（12个卫生院，1个社区卫生服务中心），村卫生室49个。开放床位268张，其中：医院198张，乡镇卫生院60张，妇幼保健院10张。卫生技术人员298人。其中：执业医师20人，执业助理医师43人。每千人拥有床位数5.</w:t>
      </w:r>
      <w:r>
        <w:rPr>
          <w:rFonts w:hint="eastAsia" w:ascii="仿宋" w:hAnsi="仿宋" w:eastAsia="仿宋" w:cs="仿宋"/>
          <w:sz w:val="32"/>
          <w:szCs w:val="32"/>
          <w:lang w:val="en-US" w:eastAsia="zh-CN"/>
        </w:rPr>
        <w:t>4</w:t>
      </w:r>
      <w:r>
        <w:rPr>
          <w:rFonts w:hint="eastAsia" w:ascii="仿宋" w:hAnsi="仿宋" w:eastAsia="仿宋" w:cs="仿宋"/>
          <w:sz w:val="32"/>
          <w:szCs w:val="32"/>
        </w:rPr>
        <w:t>张，每千人拥有卫生技术员6人。全年总诊疗人次</w:t>
      </w:r>
      <w:r>
        <w:rPr>
          <w:rFonts w:hint="eastAsia" w:ascii="仿宋" w:hAnsi="仿宋" w:eastAsia="仿宋" w:cs="仿宋"/>
          <w:sz w:val="32"/>
          <w:szCs w:val="32"/>
          <w:lang w:val="en-US" w:eastAsia="zh-CN"/>
        </w:rPr>
        <w:t>9.59</w:t>
      </w:r>
      <w:r>
        <w:rPr>
          <w:rFonts w:hint="eastAsia" w:ascii="仿宋" w:hAnsi="仿宋" w:eastAsia="仿宋" w:cs="仿宋"/>
          <w:sz w:val="32"/>
          <w:szCs w:val="32"/>
        </w:rPr>
        <w:t>万人次，比上年</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2.6</w:t>
      </w:r>
      <w:r>
        <w:rPr>
          <w:rFonts w:hint="eastAsia" w:ascii="仿宋" w:hAnsi="仿宋" w:eastAsia="仿宋" w:cs="仿宋"/>
          <w:sz w:val="32"/>
          <w:szCs w:val="32"/>
        </w:rPr>
        <w:t>%，住院入院人次</w:t>
      </w:r>
      <w:r>
        <w:rPr>
          <w:rFonts w:hint="eastAsia" w:ascii="仿宋" w:hAnsi="仿宋" w:eastAsia="仿宋" w:cs="仿宋"/>
          <w:sz w:val="32"/>
          <w:szCs w:val="32"/>
          <w:lang w:val="en-US" w:eastAsia="zh-CN"/>
        </w:rPr>
        <w:t>0.32</w:t>
      </w:r>
      <w:r>
        <w:rPr>
          <w:rFonts w:hint="eastAsia" w:ascii="仿宋" w:hAnsi="仿宋" w:eastAsia="仿宋" w:cs="仿宋"/>
          <w:sz w:val="32"/>
          <w:szCs w:val="32"/>
        </w:rPr>
        <w:t>万人次，</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3.2</w:t>
      </w:r>
      <w:r>
        <w:rPr>
          <w:rFonts w:hint="eastAsia" w:ascii="仿宋" w:hAnsi="仿宋" w:eastAsia="仿宋" w:cs="仿宋"/>
          <w:sz w:val="32"/>
          <w:szCs w:val="32"/>
        </w:rPr>
        <w:t>%。截止</w:t>
      </w:r>
      <w:r>
        <w:rPr>
          <w:rFonts w:hint="eastAsia" w:ascii="仿宋" w:hAnsi="仿宋" w:eastAsia="仿宋" w:cs="仿宋"/>
          <w:sz w:val="32"/>
          <w:szCs w:val="32"/>
          <w:lang w:eastAsia="zh-CN"/>
        </w:rPr>
        <w:t>2023</w:t>
      </w:r>
      <w:r>
        <w:rPr>
          <w:rFonts w:hint="eastAsia" w:ascii="仿宋" w:hAnsi="仿宋" w:eastAsia="仿宋" w:cs="仿宋"/>
          <w:sz w:val="32"/>
          <w:szCs w:val="32"/>
        </w:rPr>
        <w:t>年底，我县无甲类传染病发生，共报告法定乙、丙类传染病11种535例，发病率为1197.81</w:t>
      </w:r>
      <w:r>
        <w:rPr>
          <w:rFonts w:hint="eastAsia" w:ascii="仿宋" w:hAnsi="仿宋" w:eastAsia="仿宋" w:cs="仿宋"/>
          <w:sz w:val="32"/>
          <w:szCs w:val="32"/>
          <w:lang w:val="en-US" w:eastAsia="zh-CN"/>
        </w:rPr>
        <w:t>/</w:t>
      </w:r>
      <w:r>
        <w:rPr>
          <w:rFonts w:hint="eastAsia" w:ascii="仿宋" w:hAnsi="仿宋" w:eastAsia="仿宋" w:cs="仿宋"/>
          <w:sz w:val="32"/>
          <w:szCs w:val="32"/>
        </w:rPr>
        <w:t>十万，较去年同期上升39.69%，死亡2例（肺结核），死亡率4.48/十万。其中乙类传染病7种352例，发病率788.09/十万；丙类传染病4种183例，发病率409.72/十万。无散发疫情、暴发疫情及报告突发公共卫生事件发生。网络报告肺结核病患110例，发病率246.28/</w:t>
      </w:r>
      <w:r>
        <w:rPr>
          <w:rFonts w:hint="eastAsia" w:ascii="仿宋" w:hAnsi="仿宋" w:eastAsia="仿宋" w:cs="仿宋"/>
          <w:sz w:val="32"/>
          <w:szCs w:val="32"/>
          <w:lang w:eastAsia="zh-CN"/>
        </w:rPr>
        <w:t>十</w:t>
      </w:r>
      <w:r>
        <w:rPr>
          <w:rFonts w:hint="eastAsia" w:ascii="仿宋" w:hAnsi="仿宋" w:eastAsia="仿宋" w:cs="仿宋"/>
          <w:sz w:val="32"/>
          <w:szCs w:val="32"/>
        </w:rPr>
        <w:t>万</w:t>
      </w:r>
      <w:r>
        <w:rPr>
          <w:rFonts w:hint="eastAsia" w:ascii="仿宋" w:hAnsi="仿宋" w:eastAsia="仿宋" w:cs="仿宋"/>
          <w:sz w:val="32"/>
          <w:szCs w:val="32"/>
          <w:lang w:eastAsia="zh-CN"/>
        </w:rPr>
        <w:t>，</w:t>
      </w:r>
      <w:r>
        <w:rPr>
          <w:rFonts w:hint="eastAsia" w:ascii="仿宋" w:hAnsi="仿宋" w:eastAsia="仿宋" w:cs="仿宋"/>
          <w:sz w:val="32"/>
          <w:szCs w:val="32"/>
        </w:rPr>
        <w:t>登记患者19人，规范管理18人，规范管理率94.74%；艾滋病病人及感染者现存活14例，感染者随访10人，随访率71.43%，全县HIV检测12929人次，常住人口检测比例为28.95%；麻风病目前无新发病例，随访监测历年治愈患者30人。</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w:t>
      </w:r>
      <w:r>
        <w:rPr>
          <w:rFonts w:hint="eastAsia" w:ascii="仿宋" w:hAnsi="仿宋" w:eastAsia="仿宋" w:cs="仿宋"/>
          <w:sz w:val="32"/>
          <w:szCs w:val="32"/>
        </w:rPr>
        <w:t>完成包虫病防治B超筛查共计15805人，血清检测174人，检测出阳性患者19名，免费药物治疗146人，发放药品8090盒，病人登记管理率100%。</w:t>
      </w:r>
      <w:r>
        <w:rPr>
          <w:rFonts w:hint="eastAsia" w:ascii="仿宋" w:hAnsi="仿宋" w:eastAsia="仿宋" w:cs="仿宋"/>
          <w:b w:val="0"/>
          <w:bCs/>
          <w:sz w:val="32"/>
          <w:szCs w:val="32"/>
        </w:rPr>
        <w:t>大骨节病</w:t>
      </w:r>
      <w:r>
        <w:rPr>
          <w:rFonts w:hint="eastAsia" w:ascii="仿宋" w:hAnsi="仿宋" w:eastAsia="仿宋" w:cs="仿宋"/>
          <w:sz w:val="32"/>
          <w:szCs w:val="32"/>
        </w:rPr>
        <w:t>定点医院治疗共计1095人,对608名患者随访完成系统录入工作，监测病区村7—12岁儿童4020人。累计规范管理高血压病人1131人、糖尿病143人。累计登记在册严重精神障碍患者138人，规范管理137人。死因监测报告182例，死亡报告率4.07‰。肿瘤监测平台登记管理患者340人，其中生存患者149人，死亡191人。</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lang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w:t>
      </w:r>
      <w:r>
        <w:rPr>
          <w:rFonts w:hint="eastAsia" w:ascii="仿宋" w:hAnsi="仿宋" w:eastAsia="仿宋" w:cs="仿宋"/>
          <w:sz w:val="32"/>
          <w:szCs w:val="32"/>
        </w:rPr>
        <w:t>全县0—6岁儿童共4114人，系统管理3169人</w:t>
      </w:r>
      <w:r>
        <w:rPr>
          <w:rFonts w:hint="eastAsia" w:ascii="仿宋" w:hAnsi="仿宋" w:eastAsia="仿宋" w:cs="仿宋"/>
          <w:sz w:val="32"/>
          <w:szCs w:val="32"/>
          <w:lang w:eastAsia="zh-CN"/>
        </w:rPr>
        <w:t>。</w:t>
      </w:r>
      <w:r>
        <w:rPr>
          <w:rFonts w:hint="eastAsia" w:ascii="仿宋" w:hAnsi="仿宋" w:eastAsia="仿宋" w:cs="仿宋"/>
          <w:sz w:val="32"/>
          <w:szCs w:val="32"/>
        </w:rPr>
        <w:t>新生儿死亡5人，死亡率为8.547‰；婴儿死亡7人，死亡率为11.96‰；5岁以下儿童死亡11人，死亡率为18.8‰；出生缺陷5人，出生缺陷发生率85.47/万。新生儿疾病筛查400人，筛查率100%；新生儿听力筛查383人，筛查率95.75%。</w:t>
      </w:r>
    </w:p>
    <w:p>
      <w:pPr>
        <w:pStyle w:val="22"/>
        <w:spacing w:line="560" w:lineRule="exact"/>
        <w:ind w:firstLine="640" w:firstLineChars="200"/>
        <w:rPr>
          <w:rFonts w:hint="eastAsia" w:ascii="仿宋" w:hAnsi="仿宋" w:eastAsia="仿宋" w:cs="仿宋"/>
          <w:color w:val="0000FF"/>
          <w:sz w:val="32"/>
          <w:szCs w:val="32"/>
        </w:rPr>
      </w:pPr>
      <w:r>
        <w:rPr>
          <w:rFonts w:hint="eastAsia" w:ascii="仿宋" w:hAnsi="仿宋" w:eastAsia="仿宋" w:cs="仿宋"/>
          <w:sz w:val="32"/>
          <w:szCs w:val="32"/>
          <w:lang w:val="en-US" w:eastAsia="zh-CN"/>
        </w:rPr>
        <w:t>2023年，</w:t>
      </w:r>
      <w:r>
        <w:rPr>
          <w:rFonts w:hint="eastAsia" w:ascii="仿宋" w:hAnsi="仿宋" w:eastAsia="仿宋" w:cs="仿宋"/>
          <w:sz w:val="32"/>
          <w:szCs w:val="32"/>
        </w:rPr>
        <w:t>全县总产妇数585人，住院分娩活产数522人，住院分娩率89.23%，无孕产妇死亡，孕产妇系统管理率87%。</w:t>
      </w:r>
      <w:r>
        <w:rPr>
          <w:rFonts w:hint="eastAsia" w:ascii="仿宋" w:hAnsi="仿宋" w:eastAsia="仿宋" w:cs="仿宋"/>
          <w:bCs/>
          <w:sz w:val="32"/>
          <w:szCs w:val="32"/>
        </w:rPr>
        <w:t>免费孕前优生检查完成103对，免费婚前医学健康检查完成198对。育龄妇女孕情监测7756人，艾滋病、梅毒、乙肝三病孕早期检测率85.6%、孕期检测率96.1%、孕产妇检测率97.1%。为农村妇女发放叶酸625人，发放儿童营养</w:t>
      </w:r>
      <w:r>
        <w:rPr>
          <w:rFonts w:hint="eastAsia" w:ascii="仿宋" w:hAnsi="仿宋" w:eastAsia="仿宋" w:cs="仿宋"/>
          <w:sz w:val="32"/>
          <w:szCs w:val="32"/>
        </w:rPr>
        <w:t>包发放7139盒，发放率71.33%。</w:t>
      </w:r>
      <w:r>
        <w:rPr>
          <w:rFonts w:hint="eastAsia" w:ascii="仿宋" w:hAnsi="仿宋" w:eastAsia="仿宋" w:cs="仿宋"/>
          <w:color w:val="000000" w:themeColor="text1"/>
          <w:sz w:val="32"/>
          <w:szCs w:val="32"/>
        </w:rPr>
        <w:t>完成宫颈癌筛查932人，乳腺癌筛查975人，妇女病普查1314人。</w:t>
      </w:r>
    </w:p>
    <w:p>
      <w:pPr>
        <w:spacing w:line="560" w:lineRule="exact"/>
        <w:ind w:firstLine="642" w:firstLineChars="200"/>
        <w:rPr>
          <w:rFonts w:hint="eastAsia" w:ascii="仿宋" w:hAnsi="仿宋" w:eastAsia="仿宋" w:cs="仿宋"/>
          <w:sz w:val="32"/>
          <w:szCs w:val="32"/>
          <w:lang w:val="en-US" w:eastAsia="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广播电视</w:t>
      </w:r>
      <w:r>
        <w:rPr>
          <w:rFonts w:ascii="Times New Roman" w:hAnsi="Times New Roman" w:eastAsia="仿宋" w:cs="Times New Roman"/>
          <w:b/>
          <w:color w:val="auto"/>
          <w:kern w:val="0"/>
          <w:sz w:val="32"/>
          <w:szCs w:val="32"/>
          <w:lang w:val="zh-CN"/>
        </w:rPr>
        <w:t>】</w:t>
      </w:r>
      <w:r>
        <w:rPr>
          <w:rFonts w:hint="eastAsia" w:ascii="仿宋" w:hAnsi="仿宋" w:eastAsia="仿宋" w:cs="仿宋"/>
          <w:sz w:val="32"/>
          <w:szCs w:val="32"/>
          <w:lang w:val="en-US" w:eastAsia="zh-CN"/>
        </w:rPr>
        <w:t>县广播电视台拥有广播电视台1座，调频广播台1座，中央农村无线覆盖工程发射台1座，电视发射机4台。广播综合覆盖率98%，电视综合覆盖率98%，有线电视用户200户。</w:t>
      </w:r>
    </w:p>
    <w:p>
      <w:p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通过</w:t>
      </w:r>
      <w:r>
        <w:rPr>
          <w:rFonts w:hint="eastAsia" w:ascii="仿宋" w:hAnsi="仿宋" w:eastAsia="仿宋" w:cs="仿宋"/>
          <w:sz w:val="32"/>
          <w:szCs w:val="32"/>
        </w:rPr>
        <w:t>壤塘电视台、新浪微博“秘境壤塘”、壤塘家园APP客户端、微壤塘微信公众号</w:t>
      </w:r>
      <w:r>
        <w:rPr>
          <w:rFonts w:hint="eastAsia" w:ascii="仿宋" w:hAnsi="仿宋" w:eastAsia="仿宋" w:cs="仿宋"/>
          <w:sz w:val="32"/>
          <w:szCs w:val="32"/>
          <w:lang w:eastAsia="zh-CN"/>
        </w:rPr>
        <w:t>、</w:t>
      </w:r>
      <w:r>
        <w:rPr>
          <w:rFonts w:hint="eastAsia" w:ascii="仿宋" w:hAnsi="仿宋" w:eastAsia="仿宋" w:cs="仿宋"/>
          <w:sz w:val="32"/>
          <w:szCs w:val="32"/>
        </w:rPr>
        <w:t>微壤塘抖音号、微壤塘微视频号、“你好壤巴拉”调频广播电台，形成了“一端、一号、两台、三微”的强大融媒矩阵，壮大了全县主流舆论。</w:t>
      </w:r>
      <w:r>
        <w:rPr>
          <w:rFonts w:hint="eastAsia" w:ascii="仿宋" w:hAnsi="仿宋" w:eastAsia="仿宋" w:cs="仿宋"/>
          <w:sz w:val="32"/>
          <w:szCs w:val="32"/>
          <w:lang w:eastAsia="zh-CN"/>
        </w:rPr>
        <w:t>全年</w:t>
      </w:r>
      <w:r>
        <w:rPr>
          <w:rFonts w:hint="eastAsia" w:ascii="仿宋" w:hAnsi="仿宋" w:eastAsia="仿宋" w:cs="仿宋"/>
          <w:sz w:val="32"/>
          <w:szCs w:val="32"/>
        </w:rPr>
        <w:t>发布稿件</w:t>
      </w:r>
      <w:r>
        <w:rPr>
          <w:rFonts w:hint="eastAsia" w:ascii="仿宋" w:hAnsi="仿宋" w:eastAsia="仿宋" w:cs="仿宋"/>
          <w:sz w:val="32"/>
          <w:szCs w:val="32"/>
          <w:lang w:val="en-US" w:eastAsia="zh-CN"/>
        </w:rPr>
        <w:t>32</w:t>
      </w:r>
      <w:r>
        <w:rPr>
          <w:rFonts w:hint="eastAsia" w:ascii="仿宋" w:hAnsi="仿宋" w:eastAsia="仿宋" w:cs="仿宋"/>
          <w:sz w:val="32"/>
          <w:szCs w:val="32"/>
        </w:rPr>
        <w:t>40余条，</w:t>
      </w:r>
      <w:r>
        <w:rPr>
          <w:rFonts w:hint="eastAsia" w:ascii="仿宋" w:hAnsi="仿宋" w:eastAsia="仿宋" w:cs="仿宋"/>
          <w:sz w:val="32"/>
          <w:szCs w:val="32"/>
          <w:lang w:val="en-US" w:eastAsia="zh-CN"/>
        </w:rPr>
        <w:t>阅读量达49万余人次；发布</w:t>
      </w:r>
      <w:r>
        <w:rPr>
          <w:rFonts w:hint="eastAsia" w:ascii="仿宋" w:hAnsi="仿宋" w:eastAsia="仿宋" w:cs="仿宋"/>
          <w:sz w:val="32"/>
          <w:szCs w:val="32"/>
        </w:rPr>
        <w:t>短视频</w:t>
      </w:r>
      <w:r>
        <w:rPr>
          <w:rFonts w:hint="eastAsia" w:ascii="仿宋" w:hAnsi="仿宋" w:eastAsia="仿宋" w:cs="仿宋"/>
          <w:sz w:val="32"/>
          <w:szCs w:val="32"/>
          <w:lang w:val="en-US" w:eastAsia="zh-CN"/>
        </w:rPr>
        <w:t>560</w:t>
      </w:r>
      <w:r>
        <w:rPr>
          <w:rFonts w:hint="eastAsia" w:ascii="仿宋" w:hAnsi="仿宋" w:eastAsia="仿宋" w:cs="仿宋"/>
          <w:sz w:val="32"/>
          <w:szCs w:val="32"/>
        </w:rPr>
        <w:t>余条</w:t>
      </w:r>
      <w:r>
        <w:rPr>
          <w:rFonts w:hint="eastAsia" w:ascii="仿宋" w:hAnsi="仿宋" w:eastAsia="仿宋" w:cs="仿宋"/>
          <w:sz w:val="32"/>
          <w:szCs w:val="32"/>
          <w:lang w:eastAsia="zh-CN"/>
        </w:rPr>
        <w:t>，</w:t>
      </w:r>
      <w:r>
        <w:rPr>
          <w:rFonts w:hint="eastAsia" w:ascii="仿宋" w:hAnsi="仿宋" w:eastAsia="仿宋" w:cs="仿宋"/>
          <w:sz w:val="32"/>
          <w:szCs w:val="32"/>
        </w:rPr>
        <w:t>总浏览量破</w:t>
      </w:r>
      <w:r>
        <w:rPr>
          <w:rFonts w:hint="eastAsia" w:ascii="仿宋" w:hAnsi="仿宋" w:eastAsia="仿宋" w:cs="仿宋"/>
          <w:sz w:val="32"/>
          <w:szCs w:val="32"/>
          <w:lang w:val="en-US" w:eastAsia="zh-CN"/>
        </w:rPr>
        <w:t>2000万</w:t>
      </w:r>
      <w:r>
        <w:rPr>
          <w:rFonts w:hint="eastAsia" w:ascii="仿宋" w:hAnsi="仿宋" w:eastAsia="仿宋" w:cs="仿宋"/>
          <w:sz w:val="32"/>
          <w:szCs w:val="32"/>
        </w:rPr>
        <w:t>人次。</w:t>
      </w:r>
      <w:r>
        <w:rPr>
          <w:rFonts w:hint="eastAsia" w:ascii="仿宋" w:hAnsi="仿宋" w:eastAsia="仿宋" w:cs="仿宋"/>
          <w:sz w:val="32"/>
          <w:szCs w:val="32"/>
          <w:lang w:val="en-US" w:eastAsia="zh-CN"/>
        </w:rPr>
        <w:t>app</w:t>
      </w:r>
      <w:r>
        <w:rPr>
          <w:rFonts w:hint="eastAsia" w:ascii="仿宋" w:hAnsi="仿宋" w:eastAsia="仿宋" w:cs="仿宋"/>
          <w:sz w:val="32"/>
          <w:szCs w:val="32"/>
        </w:rPr>
        <w:t>下载用户达3.3万余人</w:t>
      </w:r>
      <w:r>
        <w:rPr>
          <w:rFonts w:hint="eastAsia" w:ascii="仿宋" w:hAnsi="仿宋" w:eastAsia="仿宋" w:cs="仿宋"/>
          <w:sz w:val="32"/>
          <w:szCs w:val="32"/>
          <w:lang w:eastAsia="zh-CN"/>
        </w:rPr>
        <w:t>次</w:t>
      </w:r>
      <w:r>
        <w:rPr>
          <w:rFonts w:hint="eastAsia" w:ascii="仿宋" w:hAnsi="仿宋" w:eastAsia="仿宋" w:cs="仿宋"/>
          <w:sz w:val="32"/>
          <w:szCs w:val="32"/>
        </w:rPr>
        <w:t>，覆盖率超过全县总人口73%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156条新闻稿件被中央电视台、新华社、人民日报、中国网、中新社五家国家主流媒体采用，壤塘藏戏首次荣登2023年戏曲春晚先导片。1985条新闻稿件被四川日报、四川电视台、康巴卫视、安多卫视、阿坝日报、阿坝电视台、学习强国采用。四川日报、阿坝日报在州庆期间用5个版专题报道壤塘，四川电视台新闻联播全年7次报道壤塘。各类稿件荣获中国地方都市报新闻奖3次，少数民族地区新闻奖2次，四川新闻三等奖1次。</w:t>
      </w:r>
    </w:p>
    <w:p>
      <w:pPr>
        <w:pStyle w:val="12"/>
        <w:ind w:left="0" w:leftChars="0" w:firstLine="0" w:firstLineChars="0"/>
        <w:rPr>
          <w:color w:val="auto"/>
        </w:rPr>
      </w:pPr>
    </w:p>
    <w:p>
      <w:pPr>
        <w:rPr>
          <w:color w:val="auto"/>
        </w:rPr>
      </w:pPr>
    </w:p>
    <w:p>
      <w:pPr>
        <w:widowControl/>
        <w:numPr>
          <w:ilvl w:val="0"/>
          <w:numId w:val="4"/>
        </w:numPr>
        <w:adjustRightIn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环境保护和安全生产</w:t>
      </w:r>
    </w:p>
    <w:p>
      <w:pPr>
        <w:pStyle w:val="12"/>
        <w:ind w:left="0" w:leftChars="0" w:firstLine="0" w:firstLineChars="0"/>
        <w:rPr>
          <w:color w:val="auto"/>
          <w:lang w:val="zh-CN"/>
        </w:rPr>
      </w:pPr>
    </w:p>
    <w:p>
      <w:pPr>
        <w:topLinePunct/>
        <w:spacing w:line="560" w:lineRule="exact"/>
        <w:ind w:firstLine="642" w:firstLineChars="200"/>
        <w:rPr>
          <w:rFonts w:hint="eastAsia" w:ascii="仿宋" w:hAnsi="仿宋" w:eastAsia="仿宋" w:cs="仿宋"/>
          <w:color w:val="auto"/>
          <w:sz w:val="32"/>
          <w:szCs w:val="32"/>
          <w:lang w:eastAsia="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rPr>
        <w:t>环境保护</w:t>
      </w:r>
      <w:r>
        <w:rPr>
          <w:rFonts w:ascii="Times New Roman" w:hAnsi="Times New Roman" w:eastAsia="仿宋" w:cs="Times New Roman"/>
          <w:b/>
          <w:color w:val="auto"/>
          <w:kern w:val="0"/>
          <w:sz w:val="32"/>
          <w:szCs w:val="32"/>
          <w:lang w:val="zh-CN"/>
        </w:rPr>
        <w:t>】</w:t>
      </w:r>
      <w:r>
        <w:rPr>
          <w:rFonts w:hint="eastAsia" w:ascii="仿宋" w:hAnsi="仿宋" w:eastAsia="仿宋" w:cs="仿宋"/>
          <w:color w:val="000000" w:themeColor="text1"/>
          <w:sz w:val="32"/>
          <w:szCs w:val="32"/>
          <w:lang w:eastAsia="zh-CN"/>
        </w:rPr>
        <w:t>全县垃圾处理场</w:t>
      </w:r>
      <w:r>
        <w:rPr>
          <w:rFonts w:hint="eastAsia" w:ascii="仿宋" w:hAnsi="仿宋" w:eastAsia="仿宋" w:cs="仿宋"/>
          <w:color w:val="000000" w:themeColor="text1"/>
          <w:sz w:val="32"/>
          <w:szCs w:val="32"/>
          <w:lang w:val="en-US" w:eastAsia="zh-CN"/>
        </w:rPr>
        <w:t>2座（焚烧场1个，填埋场1个），</w:t>
      </w:r>
      <w:r>
        <w:rPr>
          <w:rFonts w:hint="eastAsia" w:ascii="仿宋" w:hAnsi="仿宋" w:eastAsia="仿宋" w:cs="仿宋"/>
          <w:color w:val="000000" w:themeColor="text1"/>
          <w:sz w:val="32"/>
          <w:szCs w:val="32"/>
        </w:rPr>
        <w:t>一体化污水处理站</w:t>
      </w:r>
      <w:r>
        <w:rPr>
          <w:rFonts w:hint="eastAsia" w:ascii="仿宋" w:hAnsi="仿宋" w:eastAsia="仿宋" w:cs="仿宋"/>
          <w:color w:val="000000" w:themeColor="text1"/>
          <w:sz w:val="32"/>
          <w:szCs w:val="32"/>
          <w:lang w:val="en-US" w:eastAsia="zh-CN"/>
        </w:rPr>
        <w:t>3</w:t>
      </w:r>
      <w:r>
        <w:rPr>
          <w:rFonts w:hint="eastAsia" w:ascii="仿宋" w:hAnsi="仿宋" w:eastAsia="仿宋" w:cs="仿宋"/>
          <w:color w:val="000000" w:themeColor="text1"/>
          <w:sz w:val="32"/>
          <w:szCs w:val="32"/>
        </w:rPr>
        <w:t>座，埋设污水收集管网</w:t>
      </w:r>
      <w:r>
        <w:rPr>
          <w:rFonts w:hint="eastAsia" w:ascii="仿宋" w:hAnsi="仿宋" w:eastAsia="仿宋" w:cs="仿宋"/>
          <w:color w:val="000000" w:themeColor="text1"/>
          <w:sz w:val="32"/>
          <w:szCs w:val="32"/>
          <w:lang w:val="en-US" w:eastAsia="zh-CN"/>
        </w:rPr>
        <w:t>8.9公里</w:t>
      </w:r>
      <w:r>
        <w:rPr>
          <w:rFonts w:hint="eastAsia" w:ascii="仿宋" w:hAnsi="仿宋" w:eastAsia="仿宋" w:cs="仿宋"/>
          <w:color w:val="000000" w:themeColor="text1"/>
          <w:sz w:val="32"/>
          <w:szCs w:val="32"/>
        </w:rPr>
        <w:t>。</w:t>
      </w:r>
      <w:r>
        <w:rPr>
          <w:rFonts w:hint="eastAsia" w:ascii="仿宋" w:hAnsi="仿宋" w:eastAsia="仿宋" w:cs="仿宋"/>
          <w:sz w:val="32"/>
          <w:szCs w:val="32"/>
        </w:rPr>
        <w:t>水质</w:t>
      </w:r>
      <w:r>
        <w:rPr>
          <w:rFonts w:hint="eastAsia" w:ascii="仿宋" w:hAnsi="仿宋" w:eastAsia="仿宋" w:cs="仿宋"/>
          <w:sz w:val="32"/>
          <w:szCs w:val="32"/>
          <w:lang w:eastAsia="zh-CN"/>
        </w:rPr>
        <w:t>保持持续优良，国控、省控出境断面水质达到</w:t>
      </w:r>
      <w:r>
        <w:rPr>
          <w:rFonts w:hint="eastAsia" w:ascii="仿宋" w:hAnsi="仿宋" w:eastAsia="仿宋" w:cs="仿宋"/>
          <w:sz w:val="32"/>
          <w:szCs w:val="32"/>
        </w:rPr>
        <w:t>Ⅱ类及以上标准；县城集中式饮用水</w:t>
      </w:r>
      <w:r>
        <w:rPr>
          <w:rFonts w:hint="eastAsia" w:ascii="仿宋" w:hAnsi="仿宋" w:eastAsia="仿宋" w:cs="仿宋"/>
          <w:sz w:val="32"/>
          <w:szCs w:val="32"/>
          <w:lang w:eastAsia="zh-CN"/>
        </w:rPr>
        <w:t>水</w:t>
      </w:r>
      <w:r>
        <w:rPr>
          <w:rFonts w:hint="eastAsia" w:ascii="仿宋" w:hAnsi="仿宋" w:eastAsia="仿宋" w:cs="仿宋"/>
          <w:sz w:val="32"/>
          <w:szCs w:val="32"/>
        </w:rPr>
        <w:t>源地水质达到Ⅱ类标准；</w:t>
      </w:r>
      <w:r>
        <w:rPr>
          <w:rFonts w:hint="eastAsia" w:ascii="仿宋" w:hAnsi="仿宋" w:eastAsia="仿宋" w:cs="仿宋"/>
          <w:kern w:val="2"/>
          <w:sz w:val="32"/>
          <w:szCs w:val="32"/>
          <w:lang w:val="en-US" w:eastAsia="zh-CN" w:bidi="ar-SA"/>
        </w:rPr>
        <w:t>10</w:t>
      </w:r>
      <w:r>
        <w:rPr>
          <w:rFonts w:hint="eastAsia" w:ascii="仿宋" w:hAnsi="仿宋" w:eastAsia="仿宋" w:cs="仿宋"/>
          <w:sz w:val="32"/>
          <w:szCs w:val="32"/>
        </w:rPr>
        <w:t>个乡镇饮用水水源地水质达到Ⅱ类标准</w:t>
      </w:r>
      <w:r>
        <w:rPr>
          <w:rFonts w:hint="eastAsia" w:ascii="仿宋" w:hAnsi="仿宋" w:eastAsia="仿宋" w:cs="仿宋"/>
          <w:sz w:val="32"/>
          <w:szCs w:val="32"/>
          <w:lang w:eastAsia="zh-CN"/>
        </w:rPr>
        <w:t>，</w:t>
      </w:r>
      <w:r>
        <w:rPr>
          <w:rFonts w:hint="eastAsia" w:ascii="仿宋" w:hAnsi="仿宋" w:eastAsia="仿宋" w:cs="仿宋"/>
          <w:sz w:val="32"/>
          <w:szCs w:val="32"/>
        </w:rPr>
        <w:t>水质</w:t>
      </w:r>
      <w:r>
        <w:rPr>
          <w:rFonts w:hint="eastAsia" w:ascii="仿宋" w:hAnsi="仿宋" w:eastAsia="仿宋" w:cs="仿宋"/>
          <w:sz w:val="32"/>
          <w:szCs w:val="32"/>
          <w:lang w:eastAsia="zh-CN"/>
        </w:rPr>
        <w:t>达标率均为</w:t>
      </w:r>
      <w:r>
        <w:rPr>
          <w:rFonts w:hint="eastAsia" w:ascii="仿宋" w:hAnsi="仿宋" w:eastAsia="仿宋" w:cs="仿宋"/>
          <w:kern w:val="2"/>
          <w:sz w:val="32"/>
          <w:szCs w:val="32"/>
          <w:lang w:val="en-US" w:eastAsia="zh-CN" w:bidi="ar-SA"/>
        </w:rPr>
        <w:t>100</w:t>
      </w:r>
      <w:r>
        <w:rPr>
          <w:rFonts w:hint="eastAsia" w:ascii="仿宋" w:hAnsi="仿宋" w:eastAsia="仿宋" w:cs="仿宋"/>
          <w:sz w:val="32"/>
          <w:szCs w:val="32"/>
          <w:lang w:val="en-US" w:eastAsia="zh-CN"/>
        </w:rPr>
        <w:t>%；</w:t>
      </w:r>
      <w:r>
        <w:rPr>
          <w:rFonts w:hint="eastAsia" w:ascii="仿宋" w:hAnsi="仿宋" w:eastAsia="仿宋" w:cs="仿宋"/>
          <w:sz w:val="32"/>
          <w:szCs w:val="32"/>
        </w:rPr>
        <w:t>空气质量优良天数</w:t>
      </w:r>
      <w:r>
        <w:rPr>
          <w:rFonts w:hint="eastAsia" w:ascii="仿宋" w:hAnsi="仿宋" w:eastAsia="仿宋" w:cs="仿宋"/>
          <w:sz w:val="32"/>
          <w:szCs w:val="32"/>
          <w:lang w:val="en-US" w:eastAsia="zh-CN"/>
        </w:rPr>
        <w:t>320天（优</w:t>
      </w:r>
      <w:r>
        <w:rPr>
          <w:rFonts w:hint="eastAsia" w:ascii="仿宋" w:hAnsi="仿宋" w:eastAsia="仿宋" w:cs="仿宋"/>
          <w:kern w:val="2"/>
          <w:sz w:val="32"/>
          <w:szCs w:val="32"/>
          <w:lang w:val="en-US" w:eastAsia="zh-CN" w:bidi="ar-SA"/>
        </w:rPr>
        <w:t>291</w:t>
      </w:r>
      <w:r>
        <w:rPr>
          <w:rFonts w:hint="eastAsia" w:ascii="仿宋" w:hAnsi="仿宋" w:eastAsia="仿宋" w:cs="仿宋"/>
          <w:sz w:val="32"/>
          <w:szCs w:val="32"/>
          <w:lang w:val="en-US" w:eastAsia="zh-CN"/>
        </w:rPr>
        <w:t>天，良</w:t>
      </w:r>
      <w:r>
        <w:rPr>
          <w:rFonts w:hint="eastAsia" w:ascii="仿宋" w:hAnsi="仿宋" w:eastAsia="仿宋" w:cs="仿宋"/>
          <w:kern w:val="2"/>
          <w:sz w:val="32"/>
          <w:szCs w:val="32"/>
          <w:lang w:val="en-US" w:eastAsia="zh-CN" w:bidi="ar-SA"/>
        </w:rPr>
        <w:t>29</w:t>
      </w:r>
      <w:r>
        <w:rPr>
          <w:rFonts w:hint="eastAsia" w:ascii="仿宋" w:hAnsi="仿宋" w:eastAsia="仿宋" w:cs="仿宋"/>
          <w:sz w:val="32"/>
          <w:szCs w:val="32"/>
          <w:lang w:val="en-US" w:eastAsia="zh-CN"/>
        </w:rPr>
        <w:t>天）</w:t>
      </w:r>
      <w:r>
        <w:rPr>
          <w:rFonts w:hint="eastAsia" w:ascii="仿宋" w:hAnsi="仿宋" w:eastAsia="仿宋" w:cs="仿宋"/>
          <w:sz w:val="32"/>
          <w:szCs w:val="32"/>
        </w:rPr>
        <w:t>，</w:t>
      </w:r>
      <w:r>
        <w:rPr>
          <w:rFonts w:hint="eastAsia" w:ascii="仿宋" w:hAnsi="仿宋" w:eastAsia="仿宋" w:cs="仿宋"/>
          <w:sz w:val="32"/>
          <w:szCs w:val="32"/>
          <w:lang w:eastAsia="zh-CN"/>
        </w:rPr>
        <w:t>可吸入颗粒物（</w:t>
      </w:r>
      <w:r>
        <w:rPr>
          <w:rFonts w:hint="eastAsia" w:ascii="仿宋" w:hAnsi="仿宋" w:eastAsia="仿宋" w:cs="仿宋"/>
          <w:sz w:val="32"/>
          <w:szCs w:val="32"/>
          <w:lang w:val="en-US" w:eastAsia="zh-CN"/>
        </w:rPr>
        <w:t>PM</w:t>
      </w:r>
      <w:r>
        <w:rPr>
          <w:rFonts w:hint="eastAsia" w:ascii="仿宋" w:hAnsi="仿宋" w:eastAsia="仿宋" w:cs="仿宋"/>
          <w:sz w:val="32"/>
          <w:szCs w:val="32"/>
          <w:vertAlign w:val="subscript"/>
          <w:lang w:val="en-US" w:eastAsia="zh-CN"/>
        </w:rPr>
        <w:t>10</w:t>
      </w:r>
      <w:r>
        <w:rPr>
          <w:rFonts w:hint="eastAsia" w:ascii="仿宋" w:hAnsi="仿宋" w:eastAsia="仿宋" w:cs="仿宋"/>
          <w:sz w:val="32"/>
          <w:szCs w:val="32"/>
          <w:lang w:val="en-US" w:eastAsia="zh-CN"/>
        </w:rPr>
        <w:t>）浓度</w:t>
      </w:r>
      <w:r>
        <w:rPr>
          <w:rFonts w:hint="eastAsia" w:ascii="仿宋" w:hAnsi="仿宋" w:eastAsia="仿宋" w:cs="仿宋"/>
          <w:color w:val="auto"/>
          <w:kern w:val="2"/>
          <w:sz w:val="32"/>
          <w:szCs w:val="32"/>
          <w:lang w:val="en-US" w:eastAsia="zh-CN" w:bidi="ar-SA"/>
        </w:rPr>
        <w:t>23</w:t>
      </w:r>
      <w:r>
        <w:rPr>
          <w:rFonts w:hint="eastAsia" w:ascii="仿宋" w:hAnsi="仿宋" w:eastAsia="仿宋" w:cs="仿宋"/>
          <w:sz w:val="32"/>
          <w:szCs w:val="32"/>
          <w:lang w:val="en-US" w:eastAsia="zh-CN"/>
        </w:rPr>
        <w:t>ug/m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，细颗粒物（PM</w:t>
      </w:r>
      <w:r>
        <w:rPr>
          <w:rFonts w:hint="eastAsia" w:ascii="仿宋" w:hAnsi="仿宋" w:eastAsia="仿宋" w:cs="仿宋"/>
          <w:sz w:val="32"/>
          <w:szCs w:val="32"/>
          <w:vertAlign w:val="subscript"/>
          <w:lang w:val="en-US" w:eastAsia="zh-CN"/>
        </w:rPr>
        <w:t>2.5</w:t>
      </w:r>
      <w:r>
        <w:rPr>
          <w:rFonts w:hint="eastAsia" w:ascii="仿宋" w:hAnsi="仿宋" w:eastAsia="仿宋" w:cs="仿宋"/>
          <w:sz w:val="32"/>
          <w:szCs w:val="32"/>
          <w:lang w:val="en-US" w:eastAsia="zh-CN"/>
        </w:rPr>
        <w:t>）浓度</w:t>
      </w:r>
      <w:r>
        <w:rPr>
          <w:rFonts w:hint="eastAsia" w:ascii="仿宋" w:hAnsi="仿宋" w:eastAsia="仿宋" w:cs="仿宋"/>
          <w:color w:val="auto"/>
          <w:kern w:val="2"/>
          <w:sz w:val="32"/>
          <w:szCs w:val="32"/>
          <w:lang w:val="en-US" w:eastAsia="zh-CN" w:bidi="ar-SA"/>
        </w:rPr>
        <w:t>11</w:t>
      </w:r>
      <w:r>
        <w:rPr>
          <w:rFonts w:hint="eastAsia" w:ascii="仿宋" w:hAnsi="仿宋" w:eastAsia="仿宋" w:cs="仿宋"/>
          <w:sz w:val="32"/>
          <w:szCs w:val="32"/>
          <w:lang w:val="en-US" w:eastAsia="zh-CN"/>
        </w:rPr>
        <w:t>ug/m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，二氧化硫浓度</w:t>
      </w: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ug/m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，氮氧化物浓度</w:t>
      </w: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lang w:val="en-US" w:eastAsia="zh-CN"/>
        </w:rPr>
        <w:t>ug/m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，一氧化碳浓度</w:t>
      </w:r>
      <w:r>
        <w:rPr>
          <w:rFonts w:hint="eastAsia" w:ascii="仿宋" w:hAnsi="仿宋" w:eastAsia="仿宋" w:cs="仿宋"/>
          <w:kern w:val="2"/>
          <w:sz w:val="32"/>
          <w:szCs w:val="32"/>
          <w:lang w:val="en-US" w:eastAsia="zh-CN" w:bidi="ar-SA"/>
        </w:rPr>
        <w:t>0.6</w:t>
      </w:r>
      <w:r>
        <w:rPr>
          <w:rFonts w:hint="eastAsia" w:ascii="仿宋" w:hAnsi="仿宋" w:eastAsia="仿宋" w:cs="仿宋"/>
          <w:sz w:val="32"/>
          <w:szCs w:val="32"/>
          <w:lang w:val="en-US" w:eastAsia="zh-CN"/>
        </w:rPr>
        <w:t>mg/m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，臭氧浓度</w:t>
      </w:r>
      <w:r>
        <w:rPr>
          <w:rFonts w:hint="eastAsia" w:ascii="仿宋" w:hAnsi="仿宋" w:eastAsia="仿宋" w:cs="仿宋"/>
          <w:color w:val="auto"/>
          <w:kern w:val="2"/>
          <w:sz w:val="32"/>
          <w:szCs w:val="32"/>
          <w:lang w:val="en-US" w:eastAsia="zh-CN" w:bidi="ar-SA"/>
        </w:rPr>
        <w:t>97</w:t>
      </w:r>
      <w:r>
        <w:rPr>
          <w:rFonts w:hint="eastAsia" w:ascii="仿宋" w:hAnsi="仿宋" w:eastAsia="仿宋" w:cs="仿宋"/>
          <w:sz w:val="32"/>
          <w:szCs w:val="32"/>
          <w:lang w:val="en-US" w:eastAsia="zh-CN"/>
        </w:rPr>
        <w:t>ug/m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，全县</w:t>
      </w:r>
      <w:r>
        <w:rPr>
          <w:rFonts w:hint="eastAsia" w:ascii="仿宋" w:hAnsi="仿宋" w:eastAsia="仿宋" w:cs="仿宋"/>
          <w:sz w:val="32"/>
          <w:szCs w:val="32"/>
        </w:rPr>
        <w:t>土壤</w:t>
      </w:r>
      <w:r>
        <w:rPr>
          <w:rFonts w:hint="eastAsia" w:ascii="仿宋" w:hAnsi="仿宋" w:eastAsia="仿宋" w:cs="仿宋"/>
          <w:sz w:val="32"/>
          <w:szCs w:val="32"/>
          <w:lang w:eastAsia="zh-CN"/>
        </w:rPr>
        <w:t>保持总体安全</w:t>
      </w:r>
      <w:r>
        <w:rPr>
          <w:rFonts w:hint="eastAsia" w:ascii="仿宋" w:hAnsi="仿宋" w:eastAsia="仿宋" w:cs="仿宋"/>
          <w:sz w:val="32"/>
          <w:szCs w:val="32"/>
        </w:rPr>
        <w:t>。</w:t>
      </w:r>
    </w:p>
    <w:p>
      <w:pPr>
        <w:keepNext w:val="0"/>
        <w:keepLines w:val="0"/>
        <w:pageBreakBefore w:val="0"/>
        <w:widowControl w:val="0"/>
        <w:tabs>
          <w:tab w:val="left" w:pos="1760"/>
        </w:tabs>
        <w:kinsoku/>
        <w:wordWrap/>
        <w:overflowPunct/>
        <w:topLinePunct w:val="0"/>
        <w:autoSpaceDE/>
        <w:autoSpaceDN/>
        <w:adjustRightInd/>
        <w:snapToGrid/>
        <w:spacing w:line="540" w:lineRule="exact"/>
        <w:ind w:firstLine="642" w:firstLineChars="200"/>
        <w:textAlignment w:val="baseline"/>
        <w:rPr>
          <w:rFonts w:hint="eastAsia" w:ascii="仿宋" w:hAnsi="仿宋" w:eastAsia="仿宋" w:cs="仿宋"/>
          <w:b/>
          <w:bCs/>
          <w:sz w:val="32"/>
          <w:szCs w:val="32"/>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rPr>
        <w:t>城镇建设</w:t>
      </w:r>
      <w:r>
        <w:rPr>
          <w:rFonts w:ascii="Times New Roman" w:hAnsi="Times New Roman" w:eastAsia="仿宋" w:cs="Times New Roman"/>
          <w:b/>
          <w:color w:val="auto"/>
          <w:kern w:val="0"/>
          <w:sz w:val="32"/>
          <w:szCs w:val="32"/>
          <w:lang w:val="zh-CN"/>
        </w:rPr>
        <w:t>】</w:t>
      </w:r>
      <w:r>
        <w:rPr>
          <w:rFonts w:hint="eastAsia" w:ascii="Times New Roman" w:hAnsi="Times New Roman" w:eastAsia="仿宋" w:cs="Times New Roman"/>
          <w:b w:val="0"/>
          <w:bCs/>
          <w:color w:val="auto"/>
          <w:kern w:val="0"/>
          <w:sz w:val="32"/>
          <w:szCs w:val="32"/>
          <w:lang w:val="zh-CN"/>
        </w:rPr>
        <w:t>全县</w:t>
      </w:r>
      <w:r>
        <w:rPr>
          <w:rFonts w:hint="eastAsia" w:ascii="仿宋" w:hAnsi="仿宋" w:eastAsia="仿宋" w:cs="仿宋"/>
          <w:sz w:val="32"/>
          <w:szCs w:val="32"/>
          <w:lang w:val="en-US" w:eastAsia="zh-CN" w:bidi="ar-SA"/>
        </w:rPr>
        <w:t>净水厂1座，日生产生活饮用水3000吨，主供水管网25公里，全县水表总数3617只。</w:t>
      </w:r>
    </w:p>
    <w:p>
      <w:pPr>
        <w:pStyle w:val="20"/>
        <w:keepNext w:val="0"/>
        <w:keepLines w:val="0"/>
        <w:pageBreakBefore w:val="0"/>
        <w:widowControl w:val="0"/>
        <w:kinsoku/>
        <w:wordWrap/>
        <w:overflowPunct/>
        <w:topLinePunct w:val="0"/>
        <w:autoSpaceDE w:val="0"/>
        <w:autoSpaceDN w:val="0"/>
        <w:adjustRightInd w:val="0"/>
        <w:snapToGrid/>
        <w:spacing w:line="540" w:lineRule="exact"/>
        <w:ind w:left="0" w:firstLine="640" w:firstLineChars="200"/>
        <w:rPr>
          <w:rFonts w:hint="eastAsia" w:ascii="仿宋" w:hAnsi="仿宋" w:eastAsia="仿宋" w:cs="仿宋"/>
          <w:b w:val="0"/>
          <w:bCs/>
          <w:color w:val="00B0F0"/>
          <w:kern w:val="0"/>
          <w:sz w:val="32"/>
          <w:szCs w:val="32"/>
          <w:lang w:val="zh-CN"/>
        </w:rPr>
      </w:pPr>
      <w:r>
        <w:rPr>
          <w:rFonts w:hint="eastAsia" w:ascii="仿宋" w:hAnsi="仿宋" w:eastAsia="仿宋" w:cs="仿宋"/>
          <w:color w:val="auto"/>
          <w:sz w:val="32"/>
          <w:szCs w:val="32"/>
        </w:rPr>
        <w:t>全</w:t>
      </w:r>
      <w:r>
        <w:rPr>
          <w:rFonts w:hint="eastAsia" w:ascii="仿宋" w:hAnsi="仿宋" w:eastAsia="仿宋" w:cs="仿宋"/>
          <w:color w:val="auto"/>
          <w:sz w:val="32"/>
          <w:szCs w:val="32"/>
          <w:lang w:eastAsia="zh-CN"/>
        </w:rPr>
        <w:t>年，共开展各类安全生产专项检查</w:t>
      </w:r>
      <w:r>
        <w:rPr>
          <w:rFonts w:hint="eastAsia" w:ascii="仿宋" w:hAnsi="仿宋" w:eastAsia="仿宋" w:cs="仿宋"/>
          <w:color w:val="auto"/>
          <w:sz w:val="32"/>
          <w:szCs w:val="32"/>
          <w:lang w:val="en-US" w:eastAsia="zh-CN"/>
        </w:rPr>
        <w:t>10次，发现隐患问题163条，</w:t>
      </w:r>
      <w:r>
        <w:rPr>
          <w:rFonts w:hint="eastAsia" w:ascii="仿宋" w:hAnsi="仿宋" w:eastAsia="仿宋" w:cs="仿宋"/>
          <w:color w:val="auto"/>
          <w:sz w:val="32"/>
          <w:szCs w:val="32"/>
        </w:rPr>
        <w:t>下发</w:t>
      </w:r>
      <w:r>
        <w:rPr>
          <w:rFonts w:hint="eastAsia" w:ascii="仿宋" w:hAnsi="仿宋" w:eastAsia="仿宋" w:cs="仿宋"/>
          <w:color w:val="auto"/>
          <w:sz w:val="32"/>
          <w:szCs w:val="32"/>
          <w:lang w:eastAsia="zh-CN"/>
        </w:rPr>
        <w:t>整改</w:t>
      </w:r>
      <w:r>
        <w:rPr>
          <w:rFonts w:hint="eastAsia" w:ascii="仿宋" w:hAnsi="仿宋" w:eastAsia="仿宋" w:cs="仿宋"/>
          <w:color w:val="auto"/>
          <w:sz w:val="32"/>
          <w:szCs w:val="32"/>
        </w:rPr>
        <w:t>通知书</w:t>
      </w: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份，</w:t>
      </w:r>
      <w:r>
        <w:rPr>
          <w:rFonts w:hint="eastAsia" w:ascii="仿宋" w:hAnsi="仿宋" w:eastAsia="仿宋" w:cs="仿宋"/>
          <w:color w:val="auto"/>
          <w:sz w:val="32"/>
          <w:szCs w:val="32"/>
          <w:lang w:eastAsia="zh-CN"/>
        </w:rPr>
        <w:t>行政</w:t>
      </w:r>
      <w:r>
        <w:rPr>
          <w:rFonts w:hint="eastAsia" w:ascii="仿宋" w:hAnsi="仿宋" w:eastAsia="仿宋" w:cs="仿宋"/>
          <w:color w:val="auto"/>
          <w:sz w:val="32"/>
          <w:szCs w:val="32"/>
        </w:rPr>
        <w:t>处罚</w:t>
      </w:r>
      <w:r>
        <w:rPr>
          <w:rFonts w:hint="eastAsia" w:ascii="仿宋" w:hAnsi="仿宋" w:eastAsia="仿宋" w:cs="仿宋"/>
          <w:color w:val="auto"/>
          <w:sz w:val="32"/>
          <w:szCs w:val="32"/>
          <w:lang w:val="en-US" w:eastAsia="zh-CN"/>
        </w:rPr>
        <w:t>5起</w:t>
      </w:r>
      <w:r>
        <w:rPr>
          <w:rFonts w:hint="eastAsia" w:ascii="仿宋" w:hAnsi="仿宋" w:eastAsia="仿宋" w:cs="仿宋"/>
          <w:color w:val="auto"/>
          <w:sz w:val="32"/>
          <w:szCs w:val="32"/>
        </w:rPr>
        <w:t>，罚</w:t>
      </w:r>
      <w:r>
        <w:rPr>
          <w:rFonts w:hint="eastAsia" w:ascii="仿宋" w:hAnsi="仿宋" w:eastAsia="仿宋" w:cs="仿宋"/>
          <w:color w:val="auto"/>
          <w:sz w:val="32"/>
          <w:szCs w:val="32"/>
          <w:lang w:eastAsia="zh-CN"/>
        </w:rPr>
        <w:t>款</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元</w:t>
      </w:r>
      <w:r>
        <w:rPr>
          <w:rFonts w:hint="eastAsia" w:ascii="仿宋" w:hAnsi="仿宋" w:eastAsia="仿宋" w:cs="仿宋"/>
          <w:color w:val="auto"/>
          <w:sz w:val="32"/>
          <w:szCs w:val="32"/>
        </w:rPr>
        <w:t>，全程督促各责任主体完成整改</w:t>
      </w:r>
      <w:r>
        <w:rPr>
          <w:rFonts w:hint="eastAsia" w:ascii="仿宋" w:hAnsi="仿宋" w:eastAsia="仿宋" w:cs="仿宋"/>
          <w:color w:val="auto"/>
          <w:sz w:val="32"/>
          <w:szCs w:val="32"/>
          <w:lang w:eastAsia="zh-CN"/>
        </w:rPr>
        <w:t>。全年监管房屋市政建设项目共52个，目前已竣工24个，在建28个。全年共下发工程质量隐患整改通知书</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份，责令</w:t>
      </w:r>
      <w:r>
        <w:rPr>
          <w:rFonts w:hint="eastAsia" w:ascii="仿宋" w:hAnsi="仿宋" w:eastAsia="仿宋" w:cs="仿宋"/>
          <w:color w:val="auto"/>
          <w:sz w:val="32"/>
          <w:szCs w:val="32"/>
          <w:lang w:val="en-US" w:eastAsia="zh-CN"/>
        </w:rPr>
        <w:t>停工整改1起，对履职不到位的监理单位处罚3起，罚款3万元。</w:t>
      </w:r>
      <w:r>
        <w:rPr>
          <w:rFonts w:hint="eastAsia" w:ascii="仿宋" w:hAnsi="仿宋" w:eastAsia="仿宋" w:cs="仿宋"/>
          <w:color w:val="auto"/>
          <w:kern w:val="2"/>
          <w:sz w:val="32"/>
          <w:szCs w:val="32"/>
        </w:rPr>
        <w:t>监督房建市政项目公开招标23个，发出监督招标意见书6份，督促发布补遗15份，处理投诉案件2起。</w:t>
      </w:r>
    </w:p>
    <w:p>
      <w:pPr>
        <w:spacing w:line="560" w:lineRule="exact"/>
        <w:ind w:firstLine="645"/>
        <w:jc w:val="left"/>
        <w:rPr>
          <w:rFonts w:hint="eastAsia" w:ascii="仿宋" w:hAnsi="仿宋" w:eastAsia="仿宋" w:cs="仿宋"/>
          <w:color w:val="auto"/>
          <w:sz w:val="32"/>
          <w:szCs w:val="32"/>
          <w:lang w:val="en-US" w:eastAsia="zh-CN"/>
        </w:rPr>
      </w:pPr>
      <w:r>
        <w:rPr>
          <w:rFonts w:ascii="Times New Roman" w:hAnsi="Times New Roman" w:eastAsia="仿宋" w:cs="Times New Roman"/>
          <w:b/>
          <w:color w:val="auto"/>
          <w:kern w:val="0"/>
          <w:sz w:val="32"/>
          <w:szCs w:val="32"/>
          <w:lang w:val="zh-CN"/>
        </w:rPr>
        <w:t>【</w:t>
      </w:r>
      <w:r>
        <w:rPr>
          <w:rFonts w:hint="eastAsia" w:ascii="楷体_GB2312" w:hAnsi="楷体_GB2312" w:eastAsia="楷体_GB2312" w:cs="楷体_GB2312"/>
          <w:b/>
          <w:bCs/>
          <w:color w:val="auto"/>
          <w:sz w:val="32"/>
          <w:szCs w:val="32"/>
          <w:shd w:val="clear" w:color="auto" w:fill="FFFFFF"/>
        </w:rPr>
        <w:t>安全生产</w:t>
      </w:r>
      <w:r>
        <w:rPr>
          <w:rFonts w:ascii="Times New Roman" w:hAnsi="Times New Roman" w:eastAsia="仿宋" w:cs="Times New Roman"/>
          <w:b/>
          <w:color w:val="auto"/>
          <w:kern w:val="0"/>
          <w:sz w:val="32"/>
          <w:szCs w:val="32"/>
          <w:lang w:val="zh-CN"/>
        </w:rPr>
        <w:t>】</w:t>
      </w:r>
      <w:r>
        <w:rPr>
          <w:rFonts w:hint="eastAsia" w:ascii="仿宋" w:hAnsi="仿宋" w:eastAsia="仿宋" w:cs="仿宋"/>
          <w:b w:val="0"/>
          <w:bCs/>
          <w:color w:val="auto"/>
          <w:kern w:val="0"/>
          <w:sz w:val="32"/>
          <w:szCs w:val="32"/>
          <w:lang w:val="zh-CN"/>
        </w:rPr>
        <w:t>全年</w:t>
      </w:r>
      <w:r>
        <w:rPr>
          <w:rFonts w:hint="eastAsia" w:ascii="仿宋" w:hAnsi="仿宋" w:eastAsia="仿宋" w:cs="仿宋"/>
          <w:color w:val="auto"/>
          <w:sz w:val="32"/>
          <w:szCs w:val="32"/>
          <w:lang w:val="en-US" w:eastAsia="zh-CN"/>
        </w:rPr>
        <w:t>对危险化学品、建筑施工、道路交通、工矿商贸、地灾隐患等八大高危行业领域开展执法监督检查，共监督检查企业140余家，共发出安全问题隐患</w:t>
      </w:r>
      <w:r>
        <w:rPr>
          <w:rFonts w:hint="eastAsia" w:ascii="仿宋" w:hAnsi="仿宋" w:eastAsia="仿宋" w:cs="仿宋"/>
          <w:b w:val="0"/>
          <w:bCs/>
          <w:color w:val="auto"/>
          <w:kern w:val="0"/>
          <w:sz w:val="32"/>
          <w:szCs w:val="32"/>
          <w:lang w:val="zh-CN"/>
        </w:rPr>
        <w:t>问题共计</w:t>
      </w:r>
      <w:r>
        <w:rPr>
          <w:rFonts w:hint="eastAsia" w:ascii="仿宋" w:hAnsi="仿宋" w:eastAsia="仿宋" w:cs="仿宋"/>
          <w:b w:val="0"/>
          <w:bCs/>
          <w:color w:val="auto"/>
          <w:kern w:val="0"/>
          <w:sz w:val="32"/>
          <w:szCs w:val="32"/>
          <w:lang w:val="en-US" w:eastAsia="zh-CN"/>
        </w:rPr>
        <w:t>291</w:t>
      </w:r>
      <w:r>
        <w:rPr>
          <w:rFonts w:hint="eastAsia" w:ascii="仿宋" w:hAnsi="仿宋" w:eastAsia="仿宋" w:cs="仿宋"/>
          <w:b w:val="0"/>
          <w:bCs/>
          <w:color w:val="auto"/>
          <w:kern w:val="0"/>
          <w:sz w:val="32"/>
          <w:szCs w:val="32"/>
          <w:lang w:val="zh-CN"/>
        </w:rPr>
        <w:t>项，已立即整改</w:t>
      </w:r>
      <w:r>
        <w:rPr>
          <w:rFonts w:hint="eastAsia" w:ascii="仿宋" w:hAnsi="仿宋" w:eastAsia="仿宋" w:cs="仿宋"/>
          <w:b w:val="0"/>
          <w:bCs/>
          <w:color w:val="auto"/>
          <w:kern w:val="0"/>
          <w:sz w:val="32"/>
          <w:szCs w:val="32"/>
          <w:lang w:val="en-US" w:eastAsia="zh-CN"/>
        </w:rPr>
        <w:t>182</w:t>
      </w:r>
      <w:r>
        <w:rPr>
          <w:rFonts w:hint="eastAsia" w:ascii="仿宋" w:hAnsi="仿宋" w:eastAsia="仿宋" w:cs="仿宋"/>
          <w:b w:val="0"/>
          <w:bCs/>
          <w:color w:val="auto"/>
          <w:kern w:val="0"/>
          <w:sz w:val="32"/>
          <w:szCs w:val="32"/>
          <w:lang w:val="zh-CN"/>
        </w:rPr>
        <w:t>项，限期整改</w:t>
      </w:r>
      <w:r>
        <w:rPr>
          <w:rFonts w:hint="eastAsia" w:ascii="仿宋" w:hAnsi="仿宋" w:eastAsia="仿宋" w:cs="仿宋"/>
          <w:b w:val="0"/>
          <w:bCs/>
          <w:color w:val="auto"/>
          <w:kern w:val="0"/>
          <w:sz w:val="32"/>
          <w:szCs w:val="32"/>
          <w:lang w:val="en-US" w:eastAsia="zh-CN"/>
        </w:rPr>
        <w:t>109</w:t>
      </w:r>
      <w:r>
        <w:rPr>
          <w:rFonts w:hint="eastAsia" w:ascii="仿宋" w:hAnsi="仿宋" w:eastAsia="仿宋" w:cs="仿宋"/>
          <w:b w:val="0"/>
          <w:bCs/>
          <w:color w:val="auto"/>
          <w:kern w:val="0"/>
          <w:sz w:val="32"/>
          <w:szCs w:val="32"/>
          <w:lang w:val="zh-CN"/>
        </w:rPr>
        <w:t>项。</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全</w:t>
      </w:r>
      <w:r>
        <w:rPr>
          <w:rFonts w:hint="eastAsia" w:ascii="仿宋" w:hAnsi="仿宋" w:eastAsia="仿宋" w:cs="仿宋"/>
          <w:color w:val="auto"/>
          <w:sz w:val="32"/>
          <w:szCs w:val="32"/>
        </w:rPr>
        <w:t>年共发生非生产经营性事故</w:t>
      </w:r>
      <w:r>
        <w:rPr>
          <w:rFonts w:hint="eastAsia" w:ascii="仿宋" w:hAnsi="仿宋" w:eastAsia="仿宋" w:cs="仿宋"/>
          <w:color w:val="auto"/>
          <w:sz w:val="32"/>
          <w:szCs w:val="32"/>
          <w:lang w:val="en-US" w:eastAsia="zh-CN"/>
        </w:rPr>
        <w:t>259</w:t>
      </w:r>
      <w:r>
        <w:rPr>
          <w:rFonts w:hint="eastAsia" w:ascii="仿宋" w:hAnsi="仿宋" w:eastAsia="仿宋" w:cs="仿宋"/>
          <w:color w:val="auto"/>
          <w:sz w:val="32"/>
          <w:szCs w:val="32"/>
        </w:rPr>
        <w:t>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其中,交通事故</w:t>
      </w:r>
      <w:r>
        <w:rPr>
          <w:rFonts w:hint="eastAsia" w:ascii="仿宋" w:hAnsi="仿宋" w:eastAsia="仿宋" w:cs="仿宋"/>
          <w:color w:val="auto"/>
          <w:sz w:val="32"/>
          <w:szCs w:val="32"/>
          <w:lang w:val="en-US" w:eastAsia="zh-CN"/>
        </w:rPr>
        <w:t>345</w:t>
      </w:r>
      <w:r>
        <w:rPr>
          <w:rFonts w:hint="eastAsia" w:ascii="仿宋" w:hAnsi="仿宋" w:eastAsia="仿宋" w:cs="仿宋"/>
          <w:color w:val="auto"/>
          <w:sz w:val="32"/>
          <w:szCs w:val="32"/>
        </w:rPr>
        <w:t>起(</w:t>
      </w:r>
      <w:r>
        <w:rPr>
          <w:rFonts w:hint="eastAsia" w:ascii="仿宋" w:hAnsi="仿宋" w:eastAsia="仿宋" w:cs="仿宋"/>
          <w:color w:val="auto"/>
          <w:sz w:val="32"/>
          <w:szCs w:val="32"/>
          <w:lang w:eastAsia="zh-CN"/>
        </w:rPr>
        <w:t>简易事故</w:t>
      </w:r>
      <w:r>
        <w:rPr>
          <w:rFonts w:hint="eastAsia" w:ascii="仿宋" w:hAnsi="仿宋" w:eastAsia="仿宋" w:cs="仿宋"/>
          <w:color w:val="auto"/>
          <w:sz w:val="32"/>
          <w:szCs w:val="32"/>
          <w:lang w:val="en-US" w:eastAsia="zh-CN"/>
        </w:rPr>
        <w:t>322起、一般事故23起</w:t>
      </w:r>
      <w:r>
        <w:rPr>
          <w:rFonts w:hint="eastAsia" w:ascii="仿宋" w:hAnsi="仿宋" w:eastAsia="仿宋" w:cs="仿宋"/>
          <w:color w:val="auto"/>
          <w:sz w:val="32"/>
          <w:szCs w:val="32"/>
        </w:rPr>
        <w:t>)，受伤</w:t>
      </w:r>
      <w:r>
        <w:rPr>
          <w:rFonts w:hint="eastAsia" w:ascii="仿宋" w:hAnsi="仿宋" w:eastAsia="仿宋" w:cs="仿宋"/>
          <w:color w:val="auto"/>
          <w:sz w:val="32"/>
          <w:szCs w:val="32"/>
          <w:lang w:val="en-US" w:eastAsia="zh-CN"/>
        </w:rPr>
        <w:t>47</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死亡人数</w:t>
      </w:r>
      <w:r>
        <w:rPr>
          <w:rFonts w:hint="eastAsia" w:ascii="仿宋" w:hAnsi="仿宋" w:eastAsia="仿宋" w:cs="仿宋"/>
          <w:color w:val="auto"/>
          <w:sz w:val="32"/>
          <w:szCs w:val="32"/>
          <w:lang w:val="en-US" w:eastAsia="zh-CN"/>
        </w:rPr>
        <w:t>2人。</w:t>
      </w:r>
      <w:r>
        <w:rPr>
          <w:rFonts w:hint="eastAsia" w:ascii="仿宋" w:hAnsi="仿宋" w:eastAsia="仿宋" w:cs="仿宋"/>
          <w:color w:val="auto"/>
          <w:sz w:val="32"/>
          <w:szCs w:val="32"/>
        </w:rPr>
        <w:t>财产损失</w:t>
      </w:r>
      <w:r>
        <w:rPr>
          <w:rFonts w:hint="eastAsia" w:ascii="仿宋" w:hAnsi="仿宋" w:eastAsia="仿宋" w:cs="仿宋"/>
          <w:color w:val="auto"/>
          <w:sz w:val="32"/>
          <w:szCs w:val="32"/>
          <w:lang w:val="en-US" w:eastAsia="zh-CN"/>
        </w:rPr>
        <w:t>120</w:t>
      </w:r>
      <w:r>
        <w:rPr>
          <w:rFonts w:hint="eastAsia" w:ascii="仿宋" w:hAnsi="仿宋" w:eastAsia="仿宋" w:cs="仿宋"/>
          <w:color w:val="auto"/>
          <w:sz w:val="32"/>
          <w:szCs w:val="32"/>
        </w:rPr>
        <w:t>万元。消防事故</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起，无人员伤亡，财产损失</w:t>
      </w:r>
      <w:r>
        <w:rPr>
          <w:rFonts w:hint="eastAsia" w:ascii="仿宋" w:hAnsi="仿宋" w:eastAsia="仿宋" w:cs="仿宋"/>
          <w:color w:val="auto"/>
          <w:sz w:val="32"/>
          <w:szCs w:val="32"/>
          <w:lang w:val="en-US" w:eastAsia="zh-CN"/>
        </w:rPr>
        <w:t>78.3</w:t>
      </w:r>
      <w:r>
        <w:rPr>
          <w:rFonts w:hint="eastAsia" w:ascii="仿宋" w:hAnsi="仿宋" w:eastAsia="仿宋" w:cs="仿宋"/>
          <w:color w:val="auto"/>
          <w:sz w:val="32"/>
          <w:szCs w:val="32"/>
        </w:rPr>
        <w:t>万元。</w:t>
      </w:r>
    </w:p>
    <w:p>
      <w:pPr>
        <w:snapToGrid w:val="0"/>
        <w:spacing w:line="560" w:lineRule="exact"/>
        <w:ind w:firstLine="3252" w:firstLineChars="900"/>
        <w:textAlignment w:val="baseline"/>
        <w:rPr>
          <w:rFonts w:ascii="Times New Roman" w:hAnsi="Times New Roman" w:eastAsia="仿宋" w:cs="Times New Roman"/>
          <w:b/>
          <w:color w:val="auto"/>
          <w:kern w:val="0"/>
          <w:sz w:val="36"/>
          <w:szCs w:val="36"/>
          <w:lang w:val="zh-CN"/>
        </w:rPr>
      </w:pPr>
    </w:p>
    <w:p>
      <w:pPr>
        <w:widowControl/>
        <w:numPr>
          <w:ilvl w:val="0"/>
          <w:numId w:val="4"/>
        </w:numPr>
        <w:adjustRightInd w:val="0"/>
        <w:snapToGrid w:val="0"/>
        <w:spacing w:line="560" w:lineRule="exact"/>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人</w:t>
      </w:r>
      <w:r>
        <w:rPr>
          <w:rFonts w:hint="eastAsia" w:ascii="黑体" w:hAnsi="黑体" w:eastAsia="黑体" w:cs="黑体"/>
          <w:b/>
          <w:color w:val="auto"/>
          <w:kern w:val="0"/>
          <w:sz w:val="36"/>
          <w:szCs w:val="36"/>
          <w:lang w:val="en-US" w:eastAsia="zh-CN"/>
        </w:rPr>
        <w:t xml:space="preserve">  </w:t>
      </w:r>
      <w:r>
        <w:rPr>
          <w:rFonts w:ascii="黑体" w:hAnsi="黑体" w:eastAsia="黑体" w:cs="黑体"/>
          <w:b/>
          <w:color w:val="auto"/>
          <w:kern w:val="0"/>
          <w:sz w:val="36"/>
          <w:szCs w:val="36"/>
          <w:lang w:val="zh-CN"/>
        </w:rPr>
        <w:t>口</w:t>
      </w:r>
    </w:p>
    <w:p>
      <w:pPr>
        <w:pStyle w:val="12"/>
        <w:ind w:left="0" w:leftChars="0" w:firstLine="0" w:firstLineChars="0"/>
        <w:rPr>
          <w:color w:val="auto"/>
          <w:lang w:val="zh-CN"/>
        </w:rPr>
      </w:pPr>
    </w:p>
    <w:p>
      <w:pPr>
        <w:widowControl/>
        <w:adjustRightInd w:val="0"/>
        <w:spacing w:line="560" w:lineRule="exact"/>
        <w:ind w:firstLine="640" w:firstLineChars="200"/>
        <w:jc w:val="left"/>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kern w:val="0"/>
          <w:sz w:val="32"/>
          <w:szCs w:val="32"/>
          <w:lang w:val="zh-CN"/>
        </w:rPr>
        <w:t>年末，全县户籍人口总数</w:t>
      </w:r>
      <w:r>
        <w:rPr>
          <w:rFonts w:hint="eastAsia" w:ascii="仿宋" w:hAnsi="仿宋" w:eastAsia="仿宋" w:cs="仿宋"/>
          <w:color w:val="auto"/>
          <w:kern w:val="0"/>
          <w:sz w:val="32"/>
          <w:szCs w:val="32"/>
          <w:lang w:val="en-US" w:eastAsia="zh-CN"/>
        </w:rPr>
        <w:t>49272</w:t>
      </w:r>
      <w:r>
        <w:rPr>
          <w:rFonts w:hint="eastAsia" w:ascii="仿宋" w:hAnsi="仿宋" w:eastAsia="仿宋" w:cs="仿宋"/>
          <w:color w:val="auto"/>
          <w:kern w:val="0"/>
          <w:sz w:val="32"/>
          <w:szCs w:val="32"/>
          <w:lang w:val="zh-CN"/>
        </w:rPr>
        <w:t>人，其中：男性</w:t>
      </w:r>
      <w:r>
        <w:rPr>
          <w:rFonts w:hint="eastAsia" w:ascii="仿宋" w:hAnsi="仿宋" w:eastAsia="仿宋" w:cs="仿宋"/>
          <w:color w:val="auto"/>
          <w:kern w:val="0"/>
          <w:sz w:val="32"/>
          <w:szCs w:val="32"/>
          <w:lang w:val="en-US" w:eastAsia="zh-CN"/>
        </w:rPr>
        <w:t>24934</w:t>
      </w:r>
      <w:r>
        <w:rPr>
          <w:rFonts w:hint="eastAsia" w:ascii="仿宋" w:hAnsi="仿宋" w:eastAsia="仿宋" w:cs="仿宋"/>
          <w:color w:val="auto"/>
          <w:kern w:val="0"/>
          <w:sz w:val="32"/>
          <w:szCs w:val="32"/>
          <w:lang w:val="zh-CN"/>
        </w:rPr>
        <w:t>人，女性</w:t>
      </w:r>
      <w:r>
        <w:rPr>
          <w:rFonts w:hint="eastAsia" w:ascii="仿宋" w:hAnsi="仿宋" w:eastAsia="仿宋" w:cs="仿宋"/>
          <w:color w:val="auto"/>
          <w:kern w:val="0"/>
          <w:sz w:val="32"/>
          <w:szCs w:val="32"/>
          <w:lang w:val="en-US" w:eastAsia="zh-CN"/>
        </w:rPr>
        <w:t>24338</w:t>
      </w:r>
      <w:r>
        <w:rPr>
          <w:rFonts w:hint="eastAsia" w:ascii="仿宋" w:hAnsi="仿宋" w:eastAsia="仿宋" w:cs="仿宋"/>
          <w:color w:val="auto"/>
          <w:kern w:val="0"/>
          <w:sz w:val="32"/>
          <w:szCs w:val="32"/>
          <w:lang w:val="zh-CN"/>
        </w:rPr>
        <w:t>人；农业人口</w:t>
      </w:r>
      <w:r>
        <w:rPr>
          <w:rFonts w:hint="eastAsia" w:ascii="仿宋" w:hAnsi="仿宋" w:eastAsia="仿宋" w:cs="仿宋"/>
          <w:color w:val="auto"/>
          <w:kern w:val="0"/>
          <w:sz w:val="32"/>
          <w:szCs w:val="32"/>
          <w:lang w:val="en-US" w:eastAsia="zh-CN"/>
        </w:rPr>
        <w:t>42770</w:t>
      </w:r>
      <w:r>
        <w:rPr>
          <w:rFonts w:hint="eastAsia" w:ascii="仿宋" w:hAnsi="仿宋" w:eastAsia="仿宋" w:cs="仿宋"/>
          <w:color w:val="auto"/>
          <w:kern w:val="0"/>
          <w:sz w:val="32"/>
          <w:szCs w:val="32"/>
          <w:lang w:val="zh-CN"/>
        </w:rPr>
        <w:t>人，非农业人口</w:t>
      </w:r>
      <w:r>
        <w:rPr>
          <w:rFonts w:hint="eastAsia" w:ascii="仿宋" w:hAnsi="仿宋" w:eastAsia="仿宋" w:cs="仿宋"/>
          <w:color w:val="auto"/>
          <w:kern w:val="0"/>
          <w:sz w:val="32"/>
          <w:szCs w:val="32"/>
          <w:lang w:val="en-US" w:eastAsia="zh-CN"/>
        </w:rPr>
        <w:t>6502</w:t>
      </w:r>
      <w:r>
        <w:rPr>
          <w:rFonts w:hint="eastAsia" w:ascii="仿宋" w:hAnsi="仿宋" w:eastAsia="仿宋" w:cs="仿宋"/>
          <w:color w:val="auto"/>
          <w:kern w:val="0"/>
          <w:sz w:val="32"/>
          <w:szCs w:val="32"/>
          <w:lang w:val="zh-CN"/>
        </w:rPr>
        <w:t>人；少数民族</w:t>
      </w:r>
      <w:r>
        <w:rPr>
          <w:rFonts w:hint="eastAsia" w:ascii="仿宋" w:hAnsi="仿宋" w:eastAsia="仿宋" w:cs="仿宋"/>
          <w:color w:val="auto"/>
          <w:kern w:val="0"/>
          <w:sz w:val="32"/>
          <w:szCs w:val="32"/>
          <w:lang w:val="en-US" w:eastAsia="zh-CN"/>
        </w:rPr>
        <w:t>46836</w:t>
      </w:r>
      <w:r>
        <w:rPr>
          <w:rFonts w:hint="eastAsia" w:ascii="仿宋" w:hAnsi="仿宋" w:eastAsia="仿宋" w:cs="仿宋"/>
          <w:color w:val="auto"/>
          <w:kern w:val="0"/>
          <w:sz w:val="32"/>
          <w:szCs w:val="32"/>
        </w:rPr>
        <w:t>人，比重</w:t>
      </w:r>
      <w:r>
        <w:rPr>
          <w:rFonts w:hint="eastAsia" w:ascii="仿宋" w:hAnsi="仿宋" w:eastAsia="仿宋" w:cs="仿宋"/>
          <w:color w:val="auto"/>
          <w:kern w:val="0"/>
          <w:sz w:val="32"/>
          <w:szCs w:val="32"/>
          <w:lang w:val="en-US" w:eastAsia="zh-CN"/>
        </w:rPr>
        <w:t>95.06</w:t>
      </w:r>
      <w:r>
        <w:rPr>
          <w:rFonts w:hint="eastAsia" w:ascii="仿宋" w:hAnsi="仿宋" w:eastAsia="仿宋" w:cs="仿宋"/>
          <w:color w:val="auto"/>
          <w:kern w:val="0"/>
          <w:sz w:val="32"/>
          <w:szCs w:val="32"/>
        </w:rPr>
        <w:t>%（藏族</w:t>
      </w:r>
      <w:r>
        <w:rPr>
          <w:rFonts w:hint="eastAsia" w:ascii="仿宋" w:hAnsi="仿宋" w:eastAsia="仿宋" w:cs="仿宋"/>
          <w:color w:val="auto"/>
          <w:kern w:val="0"/>
          <w:sz w:val="32"/>
          <w:szCs w:val="32"/>
          <w:lang w:val="en-US" w:eastAsia="zh-CN"/>
        </w:rPr>
        <w:t>46406</w:t>
      </w:r>
      <w:r>
        <w:rPr>
          <w:rFonts w:hint="eastAsia" w:ascii="仿宋" w:hAnsi="仿宋" w:eastAsia="仿宋" w:cs="仿宋"/>
          <w:color w:val="auto"/>
          <w:kern w:val="0"/>
          <w:sz w:val="32"/>
          <w:szCs w:val="32"/>
        </w:rPr>
        <w:t>人，占比</w:t>
      </w:r>
      <w:r>
        <w:rPr>
          <w:rFonts w:hint="eastAsia" w:ascii="仿宋" w:hAnsi="仿宋" w:eastAsia="仿宋" w:cs="仿宋"/>
          <w:color w:val="auto"/>
          <w:kern w:val="0"/>
          <w:sz w:val="32"/>
          <w:szCs w:val="32"/>
          <w:lang w:val="en-US" w:eastAsia="zh-CN"/>
        </w:rPr>
        <w:t>94.18</w:t>
      </w:r>
      <w:r>
        <w:rPr>
          <w:rFonts w:hint="eastAsia" w:ascii="仿宋" w:hAnsi="仿宋" w:eastAsia="仿宋" w:cs="仿宋"/>
          <w:color w:val="auto"/>
          <w:kern w:val="0"/>
          <w:sz w:val="32"/>
          <w:szCs w:val="32"/>
        </w:rPr>
        <w:t>%，羌族</w:t>
      </w:r>
      <w:r>
        <w:rPr>
          <w:rFonts w:hint="eastAsia" w:ascii="仿宋" w:hAnsi="仿宋" w:eastAsia="仿宋" w:cs="仿宋"/>
          <w:color w:val="auto"/>
          <w:kern w:val="0"/>
          <w:sz w:val="32"/>
          <w:szCs w:val="32"/>
          <w:lang w:val="en-US" w:eastAsia="zh-CN"/>
        </w:rPr>
        <w:t>320</w:t>
      </w:r>
      <w:r>
        <w:rPr>
          <w:rFonts w:hint="eastAsia" w:ascii="仿宋" w:hAnsi="仿宋" w:eastAsia="仿宋" w:cs="仿宋"/>
          <w:color w:val="auto"/>
          <w:kern w:val="0"/>
          <w:sz w:val="32"/>
          <w:szCs w:val="32"/>
        </w:rPr>
        <w:t>人，占比</w:t>
      </w:r>
      <w:r>
        <w:rPr>
          <w:rFonts w:hint="eastAsia" w:ascii="仿宋" w:hAnsi="仿宋" w:eastAsia="仿宋" w:cs="仿宋"/>
          <w:color w:val="auto"/>
          <w:kern w:val="0"/>
          <w:sz w:val="32"/>
          <w:szCs w:val="32"/>
          <w:lang w:val="en-US" w:eastAsia="zh-CN"/>
        </w:rPr>
        <w:t>0.65</w:t>
      </w:r>
      <w:r>
        <w:rPr>
          <w:rFonts w:hint="eastAsia" w:ascii="仿宋" w:hAnsi="仿宋" w:eastAsia="仿宋" w:cs="仿宋"/>
          <w:color w:val="auto"/>
          <w:kern w:val="0"/>
          <w:sz w:val="32"/>
          <w:szCs w:val="32"/>
        </w:rPr>
        <w:t>%，回族</w:t>
      </w:r>
      <w:r>
        <w:rPr>
          <w:rFonts w:hint="eastAsia" w:ascii="仿宋" w:hAnsi="仿宋" w:eastAsia="仿宋" w:cs="仿宋"/>
          <w:color w:val="auto"/>
          <w:kern w:val="0"/>
          <w:sz w:val="32"/>
          <w:szCs w:val="32"/>
          <w:lang w:val="en-US" w:eastAsia="zh-CN"/>
        </w:rPr>
        <w:t>81</w:t>
      </w:r>
      <w:r>
        <w:rPr>
          <w:rFonts w:hint="eastAsia" w:ascii="仿宋" w:hAnsi="仿宋" w:eastAsia="仿宋" w:cs="仿宋"/>
          <w:color w:val="auto"/>
          <w:kern w:val="0"/>
          <w:sz w:val="32"/>
          <w:szCs w:val="32"/>
        </w:rPr>
        <w:t>人，占比0.1</w:t>
      </w:r>
      <w:r>
        <w:rPr>
          <w:rFonts w:hint="eastAsia" w:ascii="仿宋" w:hAnsi="仿宋" w:eastAsia="仿宋" w:cs="仿宋"/>
          <w:color w:val="auto"/>
          <w:kern w:val="0"/>
          <w:sz w:val="32"/>
          <w:szCs w:val="32"/>
          <w:lang w:val="en-US" w:eastAsia="zh-CN"/>
        </w:rPr>
        <w:t>7</w:t>
      </w:r>
      <w:r>
        <w:rPr>
          <w:rFonts w:hint="eastAsia" w:ascii="仿宋" w:hAnsi="仿宋" w:eastAsia="仿宋" w:cs="仿宋"/>
          <w:color w:val="auto"/>
          <w:kern w:val="0"/>
          <w:sz w:val="32"/>
          <w:szCs w:val="32"/>
        </w:rPr>
        <w:t>%，其他少数民族</w:t>
      </w:r>
      <w:r>
        <w:rPr>
          <w:rFonts w:hint="eastAsia" w:ascii="仿宋" w:hAnsi="仿宋" w:eastAsia="仿宋" w:cs="仿宋"/>
          <w:color w:val="auto"/>
          <w:kern w:val="0"/>
          <w:sz w:val="32"/>
          <w:szCs w:val="32"/>
          <w:lang w:val="en-US" w:eastAsia="zh-CN"/>
        </w:rPr>
        <w:t>29</w:t>
      </w:r>
      <w:r>
        <w:rPr>
          <w:rFonts w:hint="eastAsia" w:ascii="仿宋" w:hAnsi="仿宋" w:eastAsia="仿宋" w:cs="仿宋"/>
          <w:color w:val="auto"/>
          <w:kern w:val="0"/>
          <w:sz w:val="32"/>
          <w:szCs w:val="32"/>
        </w:rPr>
        <w:t>人，占比0.0</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%），汉族</w:t>
      </w:r>
      <w:r>
        <w:rPr>
          <w:rFonts w:hint="eastAsia" w:ascii="仿宋" w:hAnsi="仿宋" w:eastAsia="仿宋" w:cs="仿宋"/>
          <w:color w:val="auto"/>
          <w:kern w:val="0"/>
          <w:sz w:val="32"/>
          <w:szCs w:val="32"/>
          <w:lang w:val="en-US" w:eastAsia="zh-CN"/>
        </w:rPr>
        <w:t>2436</w:t>
      </w:r>
      <w:r>
        <w:rPr>
          <w:rFonts w:hint="eastAsia" w:ascii="仿宋" w:hAnsi="仿宋" w:eastAsia="仿宋" w:cs="仿宋"/>
          <w:color w:val="auto"/>
          <w:kern w:val="0"/>
          <w:sz w:val="32"/>
          <w:szCs w:val="32"/>
        </w:rPr>
        <w:t>人，占比</w:t>
      </w:r>
      <w:r>
        <w:rPr>
          <w:rFonts w:hint="eastAsia" w:ascii="仿宋" w:hAnsi="仿宋" w:eastAsia="仿宋" w:cs="仿宋"/>
          <w:color w:val="auto"/>
          <w:kern w:val="0"/>
          <w:sz w:val="32"/>
          <w:szCs w:val="32"/>
          <w:lang w:val="en-US" w:eastAsia="zh-CN"/>
        </w:rPr>
        <w:t>4.94</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zh-CN" w:eastAsia="zh-CN"/>
        </w:rPr>
        <w:t>年末常住人口</w:t>
      </w:r>
      <w:r>
        <w:rPr>
          <w:rFonts w:hint="eastAsia" w:ascii="仿宋" w:hAnsi="仿宋" w:eastAsia="仿宋" w:cs="仿宋"/>
          <w:color w:val="auto"/>
          <w:kern w:val="0"/>
          <w:sz w:val="32"/>
          <w:szCs w:val="32"/>
          <w:lang w:val="en-US" w:eastAsia="zh-CN"/>
        </w:rPr>
        <w:t>4.55万</w:t>
      </w:r>
      <w:r>
        <w:rPr>
          <w:rFonts w:hint="eastAsia" w:ascii="仿宋" w:hAnsi="仿宋" w:eastAsia="仿宋" w:cs="仿宋"/>
          <w:color w:val="auto"/>
          <w:kern w:val="0"/>
          <w:sz w:val="32"/>
          <w:szCs w:val="32"/>
          <w:lang w:val="zh-CN" w:eastAsia="zh-CN"/>
        </w:rPr>
        <w:t>人，城镇化率</w:t>
      </w:r>
      <w:r>
        <w:rPr>
          <w:rFonts w:hint="eastAsia" w:ascii="仿宋" w:hAnsi="仿宋" w:eastAsia="仿宋" w:cs="仿宋"/>
          <w:color w:val="auto"/>
          <w:kern w:val="0"/>
          <w:sz w:val="32"/>
          <w:szCs w:val="32"/>
          <w:lang w:val="en-US" w:eastAsia="zh-CN"/>
        </w:rPr>
        <w:t>27.91%，比上年提高1.13百分点。</w:t>
      </w:r>
      <w:r>
        <w:rPr>
          <w:rFonts w:hint="eastAsia" w:ascii="仿宋" w:hAnsi="仿宋" w:eastAsia="仿宋" w:cs="仿宋"/>
          <w:color w:val="auto"/>
          <w:sz w:val="32"/>
          <w:szCs w:val="32"/>
          <w:shd w:val="clear" w:color="auto" w:fill="FFFFFF"/>
          <w:lang w:val="zh-CN" w:eastAsia="zh-CN"/>
        </w:rPr>
        <w:t>全年人口出生率</w:t>
      </w:r>
      <w:r>
        <w:rPr>
          <w:rFonts w:hint="eastAsia" w:ascii="仿宋" w:hAnsi="仿宋" w:eastAsia="仿宋" w:cs="仿宋"/>
          <w:color w:val="auto"/>
          <w:sz w:val="32"/>
          <w:szCs w:val="32"/>
          <w:shd w:val="clear" w:color="auto" w:fill="FFFFFF"/>
          <w:lang w:val="en-US" w:eastAsia="zh-CN"/>
        </w:rPr>
        <w:t>14.93</w:t>
      </w:r>
      <w:r>
        <w:rPr>
          <w:rFonts w:hint="eastAsia" w:ascii="仿宋" w:hAnsi="仿宋" w:eastAsia="仿宋" w:cs="仿宋"/>
          <w:color w:val="auto"/>
          <w:sz w:val="32"/>
          <w:szCs w:val="32"/>
          <w:shd w:val="clear" w:color="auto" w:fill="FFFFFF"/>
          <w:lang w:val="zh-CN" w:eastAsia="zh-CN"/>
        </w:rPr>
        <w:t>‰，人口死亡率</w:t>
      </w:r>
      <w:r>
        <w:rPr>
          <w:rFonts w:hint="eastAsia" w:ascii="仿宋" w:hAnsi="仿宋" w:eastAsia="仿宋" w:cs="仿宋"/>
          <w:color w:val="auto"/>
          <w:sz w:val="32"/>
          <w:szCs w:val="32"/>
          <w:shd w:val="clear" w:color="auto" w:fill="FFFFFF"/>
          <w:lang w:val="en-US" w:eastAsia="zh-CN"/>
        </w:rPr>
        <w:t>3.17</w:t>
      </w:r>
      <w:r>
        <w:rPr>
          <w:rFonts w:hint="eastAsia" w:ascii="仿宋" w:hAnsi="仿宋" w:eastAsia="仿宋" w:cs="仿宋"/>
          <w:color w:val="auto"/>
          <w:sz w:val="32"/>
          <w:szCs w:val="32"/>
          <w:shd w:val="clear" w:color="auto" w:fill="FFFFFF"/>
          <w:lang w:val="zh-CN" w:eastAsia="zh-CN"/>
        </w:rPr>
        <w:t>‰，人口自然增长率为</w:t>
      </w:r>
      <w:r>
        <w:rPr>
          <w:rFonts w:hint="eastAsia" w:ascii="仿宋" w:hAnsi="仿宋" w:eastAsia="仿宋" w:cs="仿宋"/>
          <w:color w:val="auto"/>
          <w:sz w:val="32"/>
          <w:szCs w:val="32"/>
          <w:shd w:val="clear" w:color="auto" w:fill="FFFFFF"/>
          <w:lang w:val="en-US" w:eastAsia="zh-CN"/>
        </w:rPr>
        <w:t>11.76</w:t>
      </w:r>
      <w:r>
        <w:rPr>
          <w:rFonts w:hint="eastAsia" w:ascii="仿宋" w:hAnsi="仿宋" w:eastAsia="仿宋" w:cs="仿宋"/>
          <w:color w:val="auto"/>
          <w:sz w:val="32"/>
          <w:szCs w:val="32"/>
          <w:shd w:val="clear" w:color="auto" w:fill="FFFFFF"/>
          <w:lang w:val="zh-CN" w:eastAsia="zh-CN"/>
        </w:rPr>
        <w:t>‰。</w:t>
      </w:r>
    </w:p>
    <w:p>
      <w:pPr>
        <w:widowControl/>
        <w:adjustRightInd w:val="0"/>
        <w:snapToGrid w:val="0"/>
        <w:spacing w:line="560" w:lineRule="exact"/>
        <w:jc w:val="both"/>
        <w:rPr>
          <w:rFonts w:ascii="黑体" w:hAnsi="黑体" w:eastAsia="黑体" w:cs="黑体"/>
          <w:b/>
          <w:color w:val="auto"/>
          <w:kern w:val="0"/>
          <w:sz w:val="36"/>
          <w:szCs w:val="36"/>
          <w:lang w:val="zh-CN"/>
        </w:rPr>
      </w:pPr>
      <w:r>
        <w:drawing>
          <wp:anchor distT="0" distB="0" distL="114300" distR="114300" simplePos="0" relativeHeight="251667456" behindDoc="0" locked="0" layoutInCell="1" allowOverlap="1">
            <wp:simplePos x="0" y="0"/>
            <wp:positionH relativeFrom="column">
              <wp:posOffset>104775</wp:posOffset>
            </wp:positionH>
            <wp:positionV relativeFrom="paragraph">
              <wp:posOffset>46355</wp:posOffset>
            </wp:positionV>
            <wp:extent cx="5540375" cy="2752725"/>
            <wp:effectExtent l="0" t="0" r="3175" b="9525"/>
            <wp:wrapTopAndBottom/>
            <wp:docPr id="1" name="图表 9" descr="7b0a202020202263686172745265734964223a202232303437343333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widowControl/>
        <w:numPr>
          <w:ilvl w:val="0"/>
          <w:numId w:val="4"/>
        </w:numPr>
        <w:adjustRightInd w:val="0"/>
        <w:snapToGrid w:val="0"/>
        <w:spacing w:line="560" w:lineRule="exact"/>
        <w:ind w:left="0" w:leftChars="0" w:firstLine="0" w:firstLineChars="0"/>
        <w:jc w:val="center"/>
        <w:rPr>
          <w:rFonts w:ascii="黑体" w:hAnsi="黑体" w:eastAsia="黑体" w:cs="黑体"/>
          <w:b/>
          <w:color w:val="auto"/>
          <w:kern w:val="0"/>
          <w:sz w:val="36"/>
          <w:szCs w:val="36"/>
          <w:lang w:val="zh-CN"/>
        </w:rPr>
      </w:pPr>
      <w:r>
        <w:rPr>
          <w:rFonts w:ascii="黑体" w:hAnsi="黑体" w:eastAsia="黑体" w:cs="黑体"/>
          <w:b/>
          <w:color w:val="auto"/>
          <w:kern w:val="0"/>
          <w:sz w:val="36"/>
          <w:szCs w:val="36"/>
          <w:lang w:val="zh-CN"/>
        </w:rPr>
        <w:t>人民生活与社会保障</w:t>
      </w:r>
    </w:p>
    <w:p>
      <w:pPr>
        <w:pStyle w:val="7"/>
        <w:numPr>
          <w:ilvl w:val="0"/>
          <w:numId w:val="0"/>
        </w:numPr>
        <w:ind w:leftChars="0"/>
        <w:rPr>
          <w:color w:val="auto"/>
          <w:lang w:val="zh-CN"/>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全年全体居民人均可支配收入比上年增长</w:t>
      </w:r>
      <w:r>
        <w:rPr>
          <w:rFonts w:hint="eastAsia" w:ascii="仿宋" w:hAnsi="仿宋" w:eastAsia="仿宋" w:cs="仿宋"/>
          <w:i w:val="0"/>
          <w:iCs w:val="0"/>
          <w:caps w:val="0"/>
          <w:color w:val="000000"/>
          <w:spacing w:val="0"/>
          <w:sz w:val="32"/>
          <w:szCs w:val="32"/>
          <w:shd w:val="clear" w:fill="FFFFFF"/>
          <w:lang w:val="en-US" w:eastAsia="zh-CN"/>
        </w:rPr>
        <w:t>6.9</w:t>
      </w:r>
      <w:r>
        <w:rPr>
          <w:rFonts w:hint="eastAsia" w:ascii="仿宋" w:hAnsi="仿宋" w:eastAsia="仿宋" w:cs="仿宋"/>
          <w:i w:val="0"/>
          <w:iCs w:val="0"/>
          <w:caps w:val="0"/>
          <w:color w:val="000000"/>
          <w:spacing w:val="0"/>
          <w:sz w:val="32"/>
          <w:szCs w:val="32"/>
          <w:shd w:val="clear" w:fill="FFFFFF"/>
        </w:rPr>
        <w:t>%。</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shd w:val="clear" w:fill="FFFFFF"/>
        </w:rPr>
        <w:t>按常住地分，城镇居民人均可支配收入增长</w:t>
      </w:r>
      <w:r>
        <w:rPr>
          <w:rFonts w:hint="eastAsia" w:ascii="仿宋" w:hAnsi="仿宋" w:eastAsia="仿宋" w:cs="仿宋"/>
          <w:i w:val="0"/>
          <w:iCs w:val="0"/>
          <w:caps w:val="0"/>
          <w:color w:val="000000"/>
          <w:spacing w:val="0"/>
          <w:sz w:val="32"/>
          <w:szCs w:val="32"/>
          <w:shd w:val="clear" w:fill="FFFFFF"/>
          <w:lang w:val="en-US" w:eastAsia="zh-CN"/>
        </w:rPr>
        <w:t>4.7</w:t>
      </w:r>
      <w:r>
        <w:rPr>
          <w:rFonts w:hint="eastAsia" w:ascii="仿宋" w:hAnsi="仿宋" w:eastAsia="仿宋" w:cs="仿宋"/>
          <w:i w:val="0"/>
          <w:iCs w:val="0"/>
          <w:caps w:val="0"/>
          <w:color w:val="000000"/>
          <w:spacing w:val="0"/>
          <w:sz w:val="32"/>
          <w:szCs w:val="32"/>
          <w:shd w:val="clear" w:fill="FFFFFF"/>
        </w:rPr>
        <w:t>%；人均生活消费支出增长3.</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%。农村居民人均可支配收入增长</w:t>
      </w:r>
      <w:r>
        <w:rPr>
          <w:rFonts w:hint="eastAsia" w:ascii="仿宋" w:hAnsi="仿宋" w:eastAsia="仿宋" w:cs="仿宋"/>
          <w:i w:val="0"/>
          <w:iCs w:val="0"/>
          <w:caps w:val="0"/>
          <w:color w:val="000000"/>
          <w:spacing w:val="0"/>
          <w:sz w:val="32"/>
          <w:szCs w:val="32"/>
          <w:shd w:val="clear" w:fill="FFFFFF"/>
          <w:lang w:val="en-US" w:eastAsia="zh-CN"/>
        </w:rPr>
        <w:t>6.9</w:t>
      </w:r>
      <w:r>
        <w:rPr>
          <w:rFonts w:hint="eastAsia" w:ascii="仿宋" w:hAnsi="仿宋" w:eastAsia="仿宋" w:cs="仿宋"/>
          <w:i w:val="0"/>
          <w:iCs w:val="0"/>
          <w:caps w:val="0"/>
          <w:color w:val="000000"/>
          <w:spacing w:val="0"/>
          <w:sz w:val="32"/>
          <w:szCs w:val="32"/>
          <w:shd w:val="clear" w:fill="FFFFFF"/>
        </w:rPr>
        <w:t>%；人均生活消费支出增长</w:t>
      </w:r>
      <w:r>
        <w:rPr>
          <w:rFonts w:hint="eastAsia" w:ascii="仿宋" w:hAnsi="仿宋" w:eastAsia="仿宋" w:cs="仿宋"/>
          <w:i w:val="0"/>
          <w:iCs w:val="0"/>
          <w:caps w:val="0"/>
          <w:color w:val="000000"/>
          <w:spacing w:val="0"/>
          <w:sz w:val="32"/>
          <w:szCs w:val="32"/>
          <w:shd w:val="clear" w:fill="FFFFFF"/>
          <w:lang w:val="en-US" w:eastAsia="zh-CN"/>
        </w:rPr>
        <w:t>5.7</w:t>
      </w:r>
      <w:r>
        <w:rPr>
          <w:rFonts w:hint="eastAsia" w:ascii="仿宋" w:hAnsi="仿宋" w:eastAsia="仿宋" w:cs="仿宋"/>
          <w:i w:val="0"/>
          <w:iCs w:val="0"/>
          <w:caps w:val="0"/>
          <w:color w:val="000000"/>
          <w:spacing w:val="0"/>
          <w:sz w:val="32"/>
          <w:szCs w:val="32"/>
          <w:shd w:val="clear" w:fill="FFFFFF"/>
        </w:rPr>
        <w:t>%。城镇居民家庭恩格尔系数（即居民家庭食品消费支出占家庭消费总支出的比重）为</w:t>
      </w:r>
      <w:r>
        <w:rPr>
          <w:rFonts w:hint="eastAsia" w:ascii="仿宋" w:hAnsi="仿宋" w:eastAsia="仿宋" w:cs="仿宋"/>
          <w:i w:val="0"/>
          <w:iCs w:val="0"/>
          <w:caps w:val="0"/>
          <w:color w:val="000000"/>
          <w:spacing w:val="0"/>
          <w:sz w:val="32"/>
          <w:szCs w:val="32"/>
          <w:shd w:val="clear" w:fill="FFFFFF"/>
          <w:lang w:val="en-US" w:eastAsia="zh-CN"/>
        </w:rPr>
        <w:t>35</w:t>
      </w:r>
      <w:r>
        <w:rPr>
          <w:rFonts w:hint="eastAsia" w:ascii="仿宋" w:hAnsi="仿宋" w:eastAsia="仿宋" w:cs="仿宋"/>
          <w:i w:val="0"/>
          <w:iCs w:val="0"/>
          <w:caps w:val="0"/>
          <w:color w:val="000000"/>
          <w:spacing w:val="0"/>
          <w:sz w:val="32"/>
          <w:szCs w:val="32"/>
          <w:shd w:val="clear" w:fill="FFFFFF"/>
        </w:rPr>
        <w:t>%，农村居民家庭恩格尔系数为</w:t>
      </w:r>
      <w:r>
        <w:rPr>
          <w:rFonts w:hint="eastAsia" w:ascii="仿宋" w:hAnsi="仿宋" w:eastAsia="仿宋" w:cs="仿宋"/>
          <w:i w:val="0"/>
          <w:iCs w:val="0"/>
          <w:caps w:val="0"/>
          <w:color w:val="000000"/>
          <w:spacing w:val="0"/>
          <w:sz w:val="32"/>
          <w:szCs w:val="32"/>
          <w:shd w:val="clear" w:fill="FFFFFF"/>
          <w:lang w:val="en-US" w:eastAsia="zh-CN"/>
        </w:rPr>
        <w:t>40.6</w:t>
      </w:r>
      <w:r>
        <w:rPr>
          <w:rFonts w:hint="eastAsia" w:ascii="仿宋" w:hAnsi="仿宋" w:eastAsia="仿宋" w:cs="仿宋"/>
          <w:i w:val="0"/>
          <w:iCs w:val="0"/>
          <w:caps w:val="0"/>
          <w:color w:val="000000"/>
          <w:spacing w:val="0"/>
          <w:sz w:val="32"/>
          <w:szCs w:val="32"/>
          <w:shd w:val="clear" w:fill="FFFFFF"/>
        </w:rPr>
        <w:t>%。</w:t>
      </w:r>
    </w:p>
    <w:p>
      <w:pPr>
        <w:pStyle w:val="8"/>
        <w:ind w:firstLine="640" w:firstLineChars="200"/>
        <w:rPr>
          <w:rFonts w:ascii="Times New Roman" w:hAnsi="Times New Roman" w:eastAsia="仿宋" w:cs="Times New Roman"/>
          <w:bCs/>
          <w:color w:val="auto"/>
          <w:kern w:val="0"/>
          <w:sz w:val="32"/>
          <w:szCs w:val="32"/>
          <w:lang w:val="zh-CN"/>
        </w:rPr>
      </w:pPr>
      <w:r>
        <w:rPr>
          <w:rFonts w:hint="eastAsia" w:ascii="仿宋" w:hAnsi="仿宋" w:eastAsia="仿宋" w:cs="仿宋"/>
          <w:color w:val="auto"/>
          <w:sz w:val="32"/>
          <w:szCs w:val="32"/>
          <w:lang w:val="en-US" w:eastAsia="zh-CN"/>
        </w:rPr>
        <w:t>2023年</w:t>
      </w:r>
      <w:r>
        <w:rPr>
          <w:rFonts w:hint="eastAsia" w:ascii="仿宋" w:hAnsi="仿宋" w:eastAsia="仿宋" w:cs="仿宋"/>
          <w:color w:val="auto"/>
          <w:sz w:val="32"/>
          <w:szCs w:val="32"/>
        </w:rPr>
        <w:t>城乡居民人均可支配收入比为</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较202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年下降</w:t>
      </w:r>
      <w:r>
        <w:rPr>
          <w:rFonts w:hint="eastAsia" w:ascii="仿宋" w:hAnsi="仿宋" w:eastAsia="仿宋" w:cs="仿宋"/>
          <w:color w:val="auto"/>
          <w:sz w:val="32"/>
          <w:szCs w:val="32"/>
          <w:lang w:val="en-US" w:eastAsia="zh-CN"/>
        </w:rPr>
        <w:t>0.2个百分点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较2021年下降0.25个百分点，城乡居民人均可支配收入相对差距持续缩小。</w:t>
      </w:r>
    </w:p>
    <w:p>
      <w:pPr>
        <w:spacing w:line="600" w:lineRule="exact"/>
        <w:ind w:firstLine="640" w:firstLineChars="200"/>
        <w:rPr>
          <w:rFonts w:hint="default" w:ascii="仿宋" w:hAnsi="仿宋" w:eastAsia="仿宋" w:cs="仿宋"/>
          <w:color w:val="auto"/>
          <w:szCs w:val="22"/>
          <w:lang w:val="en-US"/>
        </w:rPr>
      </w:pPr>
      <w:r>
        <w:rPr>
          <w:rFonts w:ascii="Times New Roman" w:hAnsi="Times New Roman" w:eastAsia="仿宋" w:cs="Times New Roman"/>
          <w:bCs/>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劳动就业</w:t>
      </w:r>
      <w:r>
        <w:rPr>
          <w:rFonts w:ascii="Times New Roman" w:hAnsi="Times New Roman" w:eastAsia="仿宋" w:cs="Times New Roman"/>
          <w:bCs/>
          <w:color w:val="auto"/>
          <w:kern w:val="0"/>
          <w:sz w:val="32"/>
          <w:szCs w:val="32"/>
          <w:lang w:val="zh-CN"/>
        </w:rPr>
        <w:t>】</w:t>
      </w:r>
      <w:r>
        <w:rPr>
          <w:rFonts w:hint="eastAsia" w:ascii="仿宋" w:hAnsi="仿宋" w:eastAsia="仿宋" w:cs="仿宋"/>
          <w:bCs/>
          <w:color w:val="auto"/>
          <w:kern w:val="0"/>
          <w:sz w:val="32"/>
          <w:szCs w:val="32"/>
        </w:rPr>
        <w:t>年末，</w:t>
      </w:r>
      <w:r>
        <w:rPr>
          <w:rFonts w:hint="eastAsia" w:ascii="仿宋" w:hAnsi="仿宋" w:eastAsia="仿宋" w:cs="仿宋"/>
          <w:color w:val="auto"/>
          <w:sz w:val="32"/>
          <w:szCs w:val="32"/>
        </w:rPr>
        <w:t>我县城镇新增就业人数308人，就业困难人员再就业5人，城镇失业人员再就业17人，城镇登记失业率稳控在3.68%内。安置公益性岗位282人。我县共7个见习基地，共收集见习岗位40个，推荐就业见习人员20人，发放见习补贴46.99万元。对1000余名城乡劳动者开展19期各类技能培训。发放16人创业补贴16万元。</w:t>
      </w:r>
      <w:r>
        <w:rPr>
          <w:rFonts w:hint="eastAsia" w:ascii="仿宋" w:hAnsi="仿宋" w:eastAsia="仿宋" w:cs="仿宋"/>
          <w:color w:val="auto"/>
          <w:sz w:val="32"/>
          <w:szCs w:val="32"/>
          <w:lang w:val="en-US" w:eastAsia="zh-CN"/>
        </w:rPr>
        <w:t xml:space="preserve">                                                   </w:t>
      </w:r>
    </w:p>
    <w:p>
      <w:pPr>
        <w:adjustRightInd w:val="0"/>
        <w:spacing w:line="560" w:lineRule="exact"/>
        <w:ind w:firstLine="642" w:firstLineChars="200"/>
        <w:jc w:val="left"/>
        <w:rPr>
          <w:rFonts w:hint="eastAsia" w:ascii="仿宋" w:hAnsi="仿宋" w:eastAsia="仿宋" w:cs="仿宋"/>
          <w:color w:val="auto"/>
          <w:kern w:val="0"/>
          <w:sz w:val="32"/>
          <w:szCs w:val="32"/>
          <w:lang w:val="zh-CN"/>
        </w:rPr>
      </w:pPr>
      <w:r>
        <w:rPr>
          <w:rFonts w:ascii="Times New Roman" w:hAnsi="Times New Roman" w:eastAsia="仿宋" w:cs="Times New Roman"/>
          <w:b/>
          <w:color w:val="auto"/>
          <w:kern w:val="0"/>
          <w:sz w:val="32"/>
          <w:szCs w:val="32"/>
          <w:lang w:val="zh-CN"/>
        </w:rPr>
        <w:t>【</w:t>
      </w:r>
      <w:r>
        <w:rPr>
          <w:rFonts w:ascii="楷体_GB2312" w:hAnsi="楷体_GB2312" w:eastAsia="楷体_GB2312" w:cs="楷体_GB2312"/>
          <w:b/>
          <w:bCs/>
          <w:color w:val="auto"/>
          <w:sz w:val="32"/>
          <w:szCs w:val="32"/>
          <w:shd w:val="clear" w:color="auto" w:fill="FFFFFF"/>
          <w:lang w:val="zh-CN"/>
        </w:rPr>
        <w:t>社会保障</w:t>
      </w:r>
      <w:r>
        <w:rPr>
          <w:rFonts w:ascii="Times New Roman" w:hAnsi="Times New Roman" w:eastAsia="仿宋" w:cs="Times New Roman"/>
          <w:b/>
          <w:color w:val="auto"/>
          <w:kern w:val="0"/>
          <w:sz w:val="32"/>
          <w:szCs w:val="32"/>
          <w:lang w:val="zh-CN"/>
        </w:rPr>
        <w:t>】</w:t>
      </w:r>
      <w:r>
        <w:rPr>
          <w:rFonts w:hint="eastAsia" w:ascii="仿宋" w:hAnsi="仿宋" w:eastAsia="仿宋" w:cs="仿宋"/>
          <w:color w:val="auto"/>
          <w:kern w:val="0"/>
          <w:sz w:val="32"/>
          <w:szCs w:val="32"/>
          <w:lang w:val="zh-CN"/>
        </w:rPr>
        <w:t>年末</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zh-CN"/>
        </w:rPr>
        <w:t>全县参加养老保险</w:t>
      </w:r>
      <w:r>
        <w:rPr>
          <w:rFonts w:hint="eastAsia" w:ascii="仿宋" w:hAnsi="仿宋" w:eastAsia="仿宋" w:cs="仿宋"/>
          <w:color w:val="auto"/>
          <w:kern w:val="0"/>
          <w:sz w:val="32"/>
          <w:szCs w:val="32"/>
          <w:lang w:val="en-US" w:eastAsia="zh-CN"/>
        </w:rPr>
        <w:t>26917</w:t>
      </w:r>
      <w:r>
        <w:rPr>
          <w:rFonts w:hint="eastAsia" w:ascii="仿宋" w:hAnsi="仿宋" w:eastAsia="仿宋" w:cs="仿宋"/>
          <w:color w:val="auto"/>
          <w:kern w:val="0"/>
          <w:sz w:val="32"/>
          <w:szCs w:val="32"/>
          <w:lang w:val="zh-CN"/>
        </w:rPr>
        <w:t>人，其中：城镇职工基本养老保险</w:t>
      </w:r>
      <w:r>
        <w:rPr>
          <w:rFonts w:hint="eastAsia" w:ascii="仿宋" w:hAnsi="仿宋" w:eastAsia="仿宋" w:cs="仿宋"/>
          <w:color w:val="auto"/>
          <w:kern w:val="0"/>
          <w:sz w:val="32"/>
          <w:szCs w:val="32"/>
          <w:lang w:val="en-US" w:eastAsia="zh-CN"/>
        </w:rPr>
        <w:t>4596</w:t>
      </w:r>
      <w:r>
        <w:rPr>
          <w:rFonts w:hint="eastAsia" w:ascii="仿宋" w:hAnsi="仿宋" w:eastAsia="仿宋" w:cs="仿宋"/>
          <w:color w:val="auto"/>
          <w:kern w:val="0"/>
          <w:sz w:val="32"/>
          <w:szCs w:val="32"/>
          <w:lang w:val="zh-CN"/>
        </w:rPr>
        <w:t>人，城乡居民养老保险</w:t>
      </w:r>
      <w:r>
        <w:rPr>
          <w:rFonts w:hint="eastAsia" w:ascii="仿宋" w:hAnsi="仿宋" w:eastAsia="仿宋" w:cs="仿宋"/>
          <w:color w:val="auto"/>
          <w:kern w:val="0"/>
          <w:sz w:val="32"/>
          <w:szCs w:val="32"/>
          <w:lang w:val="en-US" w:eastAsia="zh-CN"/>
        </w:rPr>
        <w:t>22321</w:t>
      </w:r>
      <w:r>
        <w:rPr>
          <w:rFonts w:hint="eastAsia" w:ascii="仿宋" w:hAnsi="仿宋" w:eastAsia="仿宋" w:cs="仿宋"/>
          <w:color w:val="auto"/>
          <w:kern w:val="0"/>
          <w:sz w:val="32"/>
          <w:szCs w:val="32"/>
          <w:lang w:val="zh-CN"/>
        </w:rPr>
        <w:t>人。参加基本医疗保险</w:t>
      </w:r>
      <w:r>
        <w:rPr>
          <w:rFonts w:hint="eastAsia" w:ascii="仿宋" w:hAnsi="仿宋" w:eastAsia="仿宋" w:cs="仿宋"/>
          <w:color w:val="auto"/>
          <w:kern w:val="0"/>
          <w:sz w:val="32"/>
          <w:szCs w:val="32"/>
          <w:lang w:val="en-US" w:eastAsia="zh-CN"/>
        </w:rPr>
        <w:t>44985</w:t>
      </w:r>
      <w:r>
        <w:rPr>
          <w:rFonts w:hint="eastAsia" w:ascii="仿宋" w:hAnsi="仿宋" w:eastAsia="仿宋" w:cs="仿宋"/>
          <w:color w:val="auto"/>
          <w:kern w:val="0"/>
          <w:sz w:val="32"/>
          <w:szCs w:val="32"/>
          <w:lang w:val="zh-CN"/>
        </w:rPr>
        <w:t>人，其中：城镇职工医疗保险</w:t>
      </w:r>
      <w:r>
        <w:rPr>
          <w:rFonts w:hint="eastAsia" w:ascii="仿宋" w:hAnsi="仿宋" w:eastAsia="仿宋" w:cs="仿宋"/>
          <w:color w:val="auto"/>
          <w:kern w:val="0"/>
          <w:sz w:val="32"/>
          <w:szCs w:val="32"/>
          <w:lang w:val="en-US" w:eastAsia="zh-CN"/>
        </w:rPr>
        <w:t>5223</w:t>
      </w:r>
      <w:r>
        <w:rPr>
          <w:rFonts w:hint="eastAsia" w:ascii="仿宋" w:hAnsi="仿宋" w:eastAsia="仿宋" w:cs="仿宋"/>
          <w:color w:val="auto"/>
          <w:kern w:val="0"/>
          <w:sz w:val="32"/>
          <w:szCs w:val="32"/>
          <w:lang w:val="zh-CN"/>
        </w:rPr>
        <w:t>人，城乡居民医疗保险</w:t>
      </w:r>
      <w:r>
        <w:rPr>
          <w:rFonts w:hint="eastAsia" w:ascii="仿宋" w:hAnsi="仿宋" w:eastAsia="仿宋" w:cs="仿宋"/>
          <w:color w:val="auto"/>
          <w:kern w:val="0"/>
          <w:sz w:val="32"/>
          <w:szCs w:val="32"/>
          <w:lang w:val="en-US" w:eastAsia="zh-CN"/>
        </w:rPr>
        <w:t>39762</w:t>
      </w:r>
      <w:r>
        <w:rPr>
          <w:rFonts w:hint="eastAsia" w:ascii="仿宋" w:hAnsi="仿宋" w:eastAsia="仿宋" w:cs="仿宋"/>
          <w:color w:val="auto"/>
          <w:kern w:val="0"/>
          <w:sz w:val="32"/>
          <w:szCs w:val="32"/>
          <w:lang w:val="zh-CN"/>
        </w:rPr>
        <w:t>人。参加失业保险</w:t>
      </w:r>
      <w:r>
        <w:rPr>
          <w:rFonts w:hint="eastAsia" w:ascii="仿宋" w:hAnsi="仿宋" w:eastAsia="仿宋" w:cs="仿宋"/>
          <w:color w:val="auto"/>
          <w:kern w:val="0"/>
          <w:sz w:val="32"/>
          <w:szCs w:val="32"/>
          <w:lang w:val="en-US" w:eastAsia="zh-CN"/>
        </w:rPr>
        <w:t>2796</w:t>
      </w:r>
      <w:r>
        <w:rPr>
          <w:rFonts w:hint="eastAsia" w:ascii="仿宋" w:hAnsi="仿宋" w:eastAsia="仿宋" w:cs="仿宋"/>
          <w:color w:val="auto"/>
          <w:kern w:val="0"/>
          <w:sz w:val="32"/>
          <w:szCs w:val="32"/>
          <w:lang w:val="zh-CN"/>
        </w:rPr>
        <w:t>人，参加工伤保险</w:t>
      </w:r>
      <w:r>
        <w:rPr>
          <w:rFonts w:hint="eastAsia" w:ascii="仿宋" w:hAnsi="仿宋" w:eastAsia="仿宋" w:cs="仿宋"/>
          <w:color w:val="auto"/>
          <w:kern w:val="0"/>
          <w:sz w:val="32"/>
          <w:szCs w:val="32"/>
          <w:lang w:val="en-US" w:eastAsia="zh-CN"/>
        </w:rPr>
        <w:t>5885</w:t>
      </w:r>
      <w:r>
        <w:rPr>
          <w:rFonts w:hint="eastAsia" w:ascii="仿宋" w:hAnsi="仿宋" w:eastAsia="仿宋" w:cs="仿宋"/>
          <w:color w:val="auto"/>
          <w:kern w:val="0"/>
          <w:sz w:val="32"/>
          <w:szCs w:val="32"/>
          <w:lang w:val="zh-CN"/>
        </w:rPr>
        <w:t>人。</w:t>
      </w:r>
      <w:r>
        <w:rPr>
          <w:rFonts w:hint="eastAsia" w:ascii="仿宋" w:hAnsi="仿宋" w:eastAsia="仿宋" w:cs="仿宋"/>
          <w:color w:val="auto"/>
          <w:kern w:val="0"/>
          <w:sz w:val="32"/>
          <w:szCs w:val="32"/>
        </w:rPr>
        <w:t>年末全县共有</w:t>
      </w:r>
      <w:r>
        <w:rPr>
          <w:rFonts w:hint="eastAsia" w:ascii="仿宋" w:hAnsi="仿宋" w:eastAsia="仿宋" w:cs="仿宋"/>
          <w:color w:val="auto"/>
          <w:kern w:val="0"/>
          <w:sz w:val="32"/>
          <w:szCs w:val="32"/>
          <w:lang w:val="en-US" w:eastAsia="zh-CN"/>
        </w:rPr>
        <w:t>340</w:t>
      </w:r>
      <w:r>
        <w:rPr>
          <w:rFonts w:hint="eastAsia" w:ascii="仿宋" w:hAnsi="仿宋" w:eastAsia="仿宋" w:cs="仿宋"/>
          <w:color w:val="auto"/>
          <w:kern w:val="0"/>
          <w:sz w:val="32"/>
          <w:szCs w:val="32"/>
        </w:rPr>
        <w:t>人享受城市居民最低生活保障，</w:t>
      </w:r>
      <w:r>
        <w:rPr>
          <w:rFonts w:hint="eastAsia" w:ascii="仿宋" w:hAnsi="仿宋" w:eastAsia="仿宋" w:cs="仿宋"/>
          <w:color w:val="auto"/>
          <w:kern w:val="0"/>
          <w:sz w:val="32"/>
          <w:szCs w:val="32"/>
          <w:lang w:val="en-US" w:eastAsia="zh-CN"/>
        </w:rPr>
        <w:t>15210</w:t>
      </w:r>
      <w:r>
        <w:rPr>
          <w:rFonts w:hint="eastAsia" w:ascii="仿宋" w:hAnsi="仿宋" w:eastAsia="仿宋" w:cs="仿宋"/>
          <w:color w:val="auto"/>
          <w:kern w:val="0"/>
          <w:sz w:val="32"/>
          <w:szCs w:val="32"/>
        </w:rPr>
        <w:t>人享受农村居民最低生活保障，</w:t>
      </w:r>
      <w:r>
        <w:rPr>
          <w:rFonts w:hint="eastAsia" w:ascii="仿宋" w:hAnsi="仿宋" w:eastAsia="仿宋" w:cs="仿宋"/>
          <w:color w:val="auto"/>
          <w:kern w:val="0"/>
          <w:sz w:val="32"/>
          <w:szCs w:val="32"/>
          <w:lang w:val="en-US" w:eastAsia="zh-CN"/>
        </w:rPr>
        <w:t>1010</w:t>
      </w:r>
      <w:r>
        <w:rPr>
          <w:rFonts w:hint="eastAsia" w:ascii="仿宋" w:hAnsi="仿宋" w:eastAsia="仿宋" w:cs="仿宋"/>
          <w:color w:val="auto"/>
          <w:kern w:val="0"/>
          <w:sz w:val="32"/>
          <w:szCs w:val="32"/>
        </w:rPr>
        <w:t>人享受农村特困人员救助供养,</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人享受城镇</w:t>
      </w:r>
      <w:r>
        <w:rPr>
          <w:rFonts w:hint="eastAsia" w:ascii="仿宋" w:hAnsi="仿宋" w:eastAsia="仿宋" w:cs="仿宋"/>
          <w:color w:val="auto"/>
          <w:kern w:val="0"/>
          <w:sz w:val="32"/>
          <w:szCs w:val="32"/>
        </w:rPr>
        <w:t>特困人员救助供养。</w:t>
      </w:r>
      <w:r>
        <w:rPr>
          <w:rFonts w:hint="eastAsia" w:ascii="仿宋" w:hAnsi="仿宋" w:eastAsia="仿宋" w:cs="仿宋"/>
          <w:color w:val="auto"/>
          <w:sz w:val="32"/>
          <w:szCs w:val="32"/>
        </w:rPr>
        <w:t>全县共有农村敬老院</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所，养老服务设施开放的床位数</w:t>
      </w:r>
      <w:r>
        <w:rPr>
          <w:rFonts w:hint="eastAsia" w:ascii="仿宋" w:hAnsi="仿宋" w:eastAsia="仿宋" w:cs="仿宋"/>
          <w:color w:val="auto"/>
          <w:sz w:val="32"/>
          <w:szCs w:val="32"/>
          <w:lang w:val="en-US" w:eastAsia="zh-CN"/>
        </w:rPr>
        <w:t>430</w:t>
      </w:r>
      <w:r>
        <w:rPr>
          <w:rFonts w:hint="eastAsia" w:ascii="仿宋" w:hAnsi="仿宋" w:eastAsia="仿宋" w:cs="仿宋"/>
          <w:color w:val="auto"/>
          <w:sz w:val="32"/>
          <w:szCs w:val="32"/>
        </w:rPr>
        <w:t>张，收养救助人数</w:t>
      </w:r>
      <w:r>
        <w:rPr>
          <w:rFonts w:hint="eastAsia" w:ascii="仿宋" w:hAnsi="仿宋" w:eastAsia="仿宋" w:cs="仿宋"/>
          <w:color w:val="auto"/>
          <w:sz w:val="32"/>
          <w:szCs w:val="32"/>
          <w:lang w:val="en-US" w:eastAsia="zh-CN"/>
        </w:rPr>
        <w:t>128</w:t>
      </w:r>
      <w:r>
        <w:rPr>
          <w:rFonts w:hint="eastAsia" w:ascii="仿宋" w:hAnsi="仿宋" w:eastAsia="仿宋" w:cs="仿宋"/>
          <w:color w:val="auto"/>
          <w:sz w:val="32"/>
          <w:szCs w:val="32"/>
        </w:rPr>
        <w:t>人。</w:t>
      </w:r>
    </w:p>
    <w:p>
      <w:pPr>
        <w:spacing w:line="560" w:lineRule="exact"/>
        <w:ind w:firstLine="629" w:firstLineChars="196"/>
        <w:jc w:val="left"/>
        <w:rPr>
          <w:rFonts w:ascii="Times New Roman" w:hAnsi="Times New Roman" w:eastAsia="方正小标宋_GBK" w:cs="Times New Roman"/>
          <w:b/>
          <w:color w:val="auto"/>
          <w:sz w:val="32"/>
          <w:szCs w:val="32"/>
          <w:lang w:val="zh-CN"/>
        </w:rPr>
      </w:pPr>
    </w:p>
    <w:p>
      <w:pPr>
        <w:spacing w:line="560" w:lineRule="exact"/>
        <w:ind w:firstLine="629" w:firstLineChars="196"/>
        <w:jc w:val="left"/>
        <w:rPr>
          <w:rFonts w:ascii="Times New Roman" w:hAnsi="Times New Roman" w:eastAsia="方正小标宋_GBK" w:cs="Times New Roman"/>
          <w:b/>
          <w:color w:val="auto"/>
          <w:sz w:val="32"/>
          <w:szCs w:val="32"/>
          <w:lang w:val="zh-CN"/>
        </w:rPr>
      </w:pPr>
      <w:r>
        <w:rPr>
          <w:rFonts w:ascii="Times New Roman" w:hAnsi="Times New Roman" w:eastAsia="方正小标宋_GBK" w:cs="Times New Roman"/>
          <w:b/>
          <w:color w:val="auto"/>
          <w:sz w:val="32"/>
          <w:szCs w:val="32"/>
          <w:lang w:val="zh-CN"/>
        </w:rPr>
        <w:t>注释：</w:t>
      </w:r>
    </w:p>
    <w:p>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1.公报中部分数据为初步统计数据，正式数据以《壤塘县领导干部经济工作手册—</w:t>
      </w:r>
      <w:r>
        <w:rPr>
          <w:rFonts w:hint="eastAsia" w:ascii="仿宋" w:hAnsi="仿宋" w:eastAsia="仿宋" w:cs="仿宋"/>
          <w:color w:val="auto"/>
          <w:kern w:val="0"/>
          <w:sz w:val="32"/>
          <w:szCs w:val="32"/>
          <w:lang w:eastAsia="zh-CN"/>
        </w:rPr>
        <w:t>2023</w:t>
      </w:r>
      <w:r>
        <w:rPr>
          <w:rFonts w:hint="eastAsia" w:ascii="仿宋" w:hAnsi="仿宋" w:eastAsia="仿宋" w:cs="仿宋"/>
          <w:color w:val="auto"/>
          <w:kern w:val="0"/>
          <w:sz w:val="32"/>
          <w:szCs w:val="32"/>
        </w:rPr>
        <w:t>》为准。</w:t>
      </w:r>
    </w:p>
    <w:p>
      <w:pPr>
        <w:spacing w:line="56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2.地区生产总值、各产业及相关行业增加值绝对数按当年价格计算，增长速度按可比价格计算。</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kern w:val="0"/>
          <w:sz w:val="32"/>
          <w:szCs w:val="32"/>
        </w:rPr>
        <w:t>3.</w:t>
      </w:r>
      <w:r>
        <w:rPr>
          <w:rFonts w:hint="eastAsia" w:ascii="仿宋" w:hAnsi="仿宋" w:eastAsia="仿宋" w:cs="仿宋"/>
          <w:color w:val="auto"/>
          <w:sz w:val="32"/>
          <w:szCs w:val="32"/>
        </w:rPr>
        <w:t>公报中人口、农业机械化、交通运输、邮政、电信、金融、财政、教育、科技、文化、卫生、体育、环境保护、安全生产和社会保障数据来源于县级相关部门。</w:t>
      </w:r>
    </w:p>
    <w:p>
      <w:pPr>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4.部分数据因四舍五入的原因，存在总计与分项合计不等的情况，未作机械调整。</w:t>
      </w:r>
    </w:p>
    <w:p>
      <w:pPr>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w:t>
      </w: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00" w:usb3="00000000" w:csb0="00000000" w:csb1="00000000"/>
  </w:font>
  <w:font w:name="汉仪旗黑-55简">
    <w:altName w:val="方正黑体_GBK"/>
    <w:panose1 w:val="00020600040101010101"/>
    <w:charset w:val="80"/>
    <w:family w:val="auto"/>
    <w:pitch w:val="default"/>
    <w:sig w:usb0="00000000" w:usb1="00000000" w:usb2="00000000" w:usb3="00000000" w:csb0="00000000" w:csb1="00000000"/>
  </w:font>
  <w:font w:name="方正小标宋_GBK">
    <w:panose1 w:val="03000502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30.8pt;height:144pt;width:81.85pt;mso-position-horizontal:outside;mso-position-horizontal-relative:margin;z-index:251659264;mso-width-relative:page;mso-height-relative:page;" filled="f" stroked="f" coordsize="21600,21600" o:gfxdata="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ki6ojXAAAACAEAAA8AAAAAAAAAAQAgAAAAIgAAAGRycy9kb3du&#10;cmV2LnhtbFBLAQIUABQAAAAIAIdO4kApFOTFOQIAAGMEAAAOAAAAAAAAAAEAIAAAACYBAABkcnMv&#10;ZTJvRG9jLnhtbFBLBQYAAAAABgAGAFkBAADRBQAAAAA=&#10;">
          <v:path/>
          <v:fill on="f" focussize="0,0"/>
          <v:stroke on="f" weight="0.5pt" joinstyle="miter"/>
          <v:imagedata o:title=""/>
          <o:lock v:ext="edit"/>
          <v:textbox inset="0mm,0mm,0mm,0mm" style="mso-fit-shape-to-text:t;">
            <w:txbxContent>
              <w:p>
                <w:pPr>
                  <w:pStyle w:val="10"/>
                  <w:wordWrap w:val="0"/>
                  <w:bidi/>
                  <w:ind w:firstLine="280" w:firstLineChars="100"/>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63DBC"/>
    <w:multiLevelType w:val="singleLevel"/>
    <w:tmpl w:val="8E563DBC"/>
    <w:lvl w:ilvl="0" w:tentative="0">
      <w:start w:val="5"/>
      <w:numFmt w:val="chineseCounting"/>
      <w:suff w:val="nothing"/>
      <w:lvlText w:val="%1、"/>
      <w:lvlJc w:val="left"/>
      <w:rPr>
        <w:rFonts w:hint="eastAsia"/>
      </w:rPr>
    </w:lvl>
  </w:abstractNum>
  <w:abstractNum w:abstractNumId="1">
    <w:nsid w:val="D8166166"/>
    <w:multiLevelType w:val="singleLevel"/>
    <w:tmpl w:val="D8166166"/>
    <w:lvl w:ilvl="0" w:tentative="0">
      <w:start w:val="4"/>
      <w:numFmt w:val="chineseCounting"/>
      <w:suff w:val="nothing"/>
      <w:lvlText w:val="%1、"/>
      <w:lvlJc w:val="left"/>
      <w:rPr>
        <w:rFonts w:hint="eastAsia"/>
      </w:rPr>
    </w:lvl>
  </w:abstractNum>
  <w:abstractNum w:abstractNumId="2">
    <w:nsid w:val="305ECE95"/>
    <w:multiLevelType w:val="singleLevel"/>
    <w:tmpl w:val="305ECE95"/>
    <w:lvl w:ilvl="0" w:tentative="0">
      <w:start w:val="1"/>
      <w:numFmt w:val="chineseCounting"/>
      <w:suff w:val="nothing"/>
      <w:lvlText w:val="%1、"/>
      <w:lvlJc w:val="left"/>
      <w:rPr>
        <w:rFonts w:hint="eastAsia"/>
      </w:rPr>
    </w:lvl>
  </w:abstractNum>
  <w:abstractNum w:abstractNumId="3">
    <w:nsid w:val="3217F229"/>
    <w:multiLevelType w:val="singleLevel"/>
    <w:tmpl w:val="3217F229"/>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RjNzcwOTI3ZjIzODQxZWQ0NTNkMDI3YzJhNWQ0YWUifQ=="/>
    <w:docVar w:name="KSO_WPS_MARK_KEY" w:val="e0d97e91-99d3-4174-aed8-e16dfd8d0619"/>
  </w:docVars>
  <w:rsids>
    <w:rsidRoot w:val="66BE5A5B"/>
    <w:rsid w:val="0007262E"/>
    <w:rsid w:val="00075918"/>
    <w:rsid w:val="000B5498"/>
    <w:rsid w:val="000C1A59"/>
    <w:rsid w:val="001327FD"/>
    <w:rsid w:val="003427B9"/>
    <w:rsid w:val="00343A8F"/>
    <w:rsid w:val="003734B8"/>
    <w:rsid w:val="003C4C18"/>
    <w:rsid w:val="003E1FEE"/>
    <w:rsid w:val="004479B2"/>
    <w:rsid w:val="00500384"/>
    <w:rsid w:val="00502DEF"/>
    <w:rsid w:val="00535311"/>
    <w:rsid w:val="005E2322"/>
    <w:rsid w:val="00611BCB"/>
    <w:rsid w:val="006A235B"/>
    <w:rsid w:val="006E3E08"/>
    <w:rsid w:val="00705478"/>
    <w:rsid w:val="007E0B68"/>
    <w:rsid w:val="00831A34"/>
    <w:rsid w:val="00852F67"/>
    <w:rsid w:val="009B1D28"/>
    <w:rsid w:val="009F712A"/>
    <w:rsid w:val="00A572FE"/>
    <w:rsid w:val="00A66025"/>
    <w:rsid w:val="00A842DA"/>
    <w:rsid w:val="00B3504E"/>
    <w:rsid w:val="00D56520"/>
    <w:rsid w:val="00DB75A4"/>
    <w:rsid w:val="00E103ED"/>
    <w:rsid w:val="00EB412D"/>
    <w:rsid w:val="00F0390E"/>
    <w:rsid w:val="00F3785B"/>
    <w:rsid w:val="00FA3247"/>
    <w:rsid w:val="010E6FF4"/>
    <w:rsid w:val="0126125B"/>
    <w:rsid w:val="012902D2"/>
    <w:rsid w:val="015C324C"/>
    <w:rsid w:val="01A4768E"/>
    <w:rsid w:val="01C20EE1"/>
    <w:rsid w:val="01CA40A5"/>
    <w:rsid w:val="01D76E47"/>
    <w:rsid w:val="021940D2"/>
    <w:rsid w:val="02790153"/>
    <w:rsid w:val="02812B82"/>
    <w:rsid w:val="02873BB9"/>
    <w:rsid w:val="029B030E"/>
    <w:rsid w:val="029E458B"/>
    <w:rsid w:val="02BD2E38"/>
    <w:rsid w:val="02F76F90"/>
    <w:rsid w:val="03313983"/>
    <w:rsid w:val="034B71A1"/>
    <w:rsid w:val="035A0B12"/>
    <w:rsid w:val="03667C72"/>
    <w:rsid w:val="0375177F"/>
    <w:rsid w:val="038E15B1"/>
    <w:rsid w:val="0399327C"/>
    <w:rsid w:val="03B333EE"/>
    <w:rsid w:val="03D462F8"/>
    <w:rsid w:val="03F72ED3"/>
    <w:rsid w:val="040C25C7"/>
    <w:rsid w:val="040C49EA"/>
    <w:rsid w:val="04104F5E"/>
    <w:rsid w:val="043438CC"/>
    <w:rsid w:val="043A6E8C"/>
    <w:rsid w:val="04510922"/>
    <w:rsid w:val="04567EDA"/>
    <w:rsid w:val="04822699"/>
    <w:rsid w:val="048230D5"/>
    <w:rsid w:val="0496413A"/>
    <w:rsid w:val="04D57B05"/>
    <w:rsid w:val="04E84DE3"/>
    <w:rsid w:val="04F20390"/>
    <w:rsid w:val="05014A77"/>
    <w:rsid w:val="05121E5F"/>
    <w:rsid w:val="05556F12"/>
    <w:rsid w:val="05593A54"/>
    <w:rsid w:val="05776166"/>
    <w:rsid w:val="057A3392"/>
    <w:rsid w:val="0583546B"/>
    <w:rsid w:val="059C5FC0"/>
    <w:rsid w:val="05AD4B7E"/>
    <w:rsid w:val="05BC633A"/>
    <w:rsid w:val="05BD6DF8"/>
    <w:rsid w:val="05C11AE4"/>
    <w:rsid w:val="05C3315A"/>
    <w:rsid w:val="05CB2850"/>
    <w:rsid w:val="05E41742"/>
    <w:rsid w:val="05F42ECA"/>
    <w:rsid w:val="05FA3C1E"/>
    <w:rsid w:val="05FE477C"/>
    <w:rsid w:val="06024248"/>
    <w:rsid w:val="061136C8"/>
    <w:rsid w:val="06467EC4"/>
    <w:rsid w:val="066E467B"/>
    <w:rsid w:val="06881B9B"/>
    <w:rsid w:val="06B257B4"/>
    <w:rsid w:val="06B46F07"/>
    <w:rsid w:val="06C73193"/>
    <w:rsid w:val="06F127CA"/>
    <w:rsid w:val="06F35CC1"/>
    <w:rsid w:val="07087023"/>
    <w:rsid w:val="0720036D"/>
    <w:rsid w:val="0730041E"/>
    <w:rsid w:val="07384786"/>
    <w:rsid w:val="073D349F"/>
    <w:rsid w:val="074A5466"/>
    <w:rsid w:val="075B20F0"/>
    <w:rsid w:val="07736086"/>
    <w:rsid w:val="077434A8"/>
    <w:rsid w:val="078A39AB"/>
    <w:rsid w:val="07A64AE1"/>
    <w:rsid w:val="07B13239"/>
    <w:rsid w:val="07D505B1"/>
    <w:rsid w:val="07F94057"/>
    <w:rsid w:val="08137370"/>
    <w:rsid w:val="083B2ECB"/>
    <w:rsid w:val="083D71F3"/>
    <w:rsid w:val="08793FA4"/>
    <w:rsid w:val="0884773F"/>
    <w:rsid w:val="08C03D93"/>
    <w:rsid w:val="08C723B1"/>
    <w:rsid w:val="08E77239"/>
    <w:rsid w:val="091160FE"/>
    <w:rsid w:val="091B0965"/>
    <w:rsid w:val="091E5ACB"/>
    <w:rsid w:val="091F73F7"/>
    <w:rsid w:val="095011A8"/>
    <w:rsid w:val="09532A47"/>
    <w:rsid w:val="095A5B16"/>
    <w:rsid w:val="096E0EE8"/>
    <w:rsid w:val="09AE5E2B"/>
    <w:rsid w:val="09DE78F8"/>
    <w:rsid w:val="09ED2F44"/>
    <w:rsid w:val="09FA34EB"/>
    <w:rsid w:val="0A39367E"/>
    <w:rsid w:val="0A6A273C"/>
    <w:rsid w:val="0A717F64"/>
    <w:rsid w:val="0A877BF6"/>
    <w:rsid w:val="0A94123B"/>
    <w:rsid w:val="0AA54EA5"/>
    <w:rsid w:val="0ABF0394"/>
    <w:rsid w:val="0AC0410C"/>
    <w:rsid w:val="0AD06D50"/>
    <w:rsid w:val="0AD1626A"/>
    <w:rsid w:val="0AD41965"/>
    <w:rsid w:val="0AE24323"/>
    <w:rsid w:val="0B183F48"/>
    <w:rsid w:val="0B2F14DD"/>
    <w:rsid w:val="0B3D6181"/>
    <w:rsid w:val="0B3F5483"/>
    <w:rsid w:val="0B5D0833"/>
    <w:rsid w:val="0B6740D2"/>
    <w:rsid w:val="0B696551"/>
    <w:rsid w:val="0B6A2FE8"/>
    <w:rsid w:val="0B9C54B1"/>
    <w:rsid w:val="0BA44E58"/>
    <w:rsid w:val="0BAE645C"/>
    <w:rsid w:val="0BC82784"/>
    <w:rsid w:val="0BD52526"/>
    <w:rsid w:val="0BFD0DFB"/>
    <w:rsid w:val="0C0B2318"/>
    <w:rsid w:val="0C1A3CAA"/>
    <w:rsid w:val="0C2A6480"/>
    <w:rsid w:val="0C2D6EDF"/>
    <w:rsid w:val="0C41127C"/>
    <w:rsid w:val="0C6C05C7"/>
    <w:rsid w:val="0C8A5140"/>
    <w:rsid w:val="0C8F1A86"/>
    <w:rsid w:val="0C956E7D"/>
    <w:rsid w:val="0CDB4FAF"/>
    <w:rsid w:val="0CDB522D"/>
    <w:rsid w:val="0CE307BF"/>
    <w:rsid w:val="0CE75980"/>
    <w:rsid w:val="0D1656D2"/>
    <w:rsid w:val="0D18024F"/>
    <w:rsid w:val="0D1837CC"/>
    <w:rsid w:val="0D5048E5"/>
    <w:rsid w:val="0D614B35"/>
    <w:rsid w:val="0D8E2BF4"/>
    <w:rsid w:val="0DD07E8E"/>
    <w:rsid w:val="0DFF341A"/>
    <w:rsid w:val="0E364E11"/>
    <w:rsid w:val="0E6C7D9F"/>
    <w:rsid w:val="0E7C659C"/>
    <w:rsid w:val="0E834046"/>
    <w:rsid w:val="0E83792A"/>
    <w:rsid w:val="0EB32430"/>
    <w:rsid w:val="0EB4649D"/>
    <w:rsid w:val="0EBB5F9C"/>
    <w:rsid w:val="0EBD15FE"/>
    <w:rsid w:val="0EC50B51"/>
    <w:rsid w:val="0EC5310D"/>
    <w:rsid w:val="0ED168E7"/>
    <w:rsid w:val="0ED9731E"/>
    <w:rsid w:val="0F096B8F"/>
    <w:rsid w:val="0F0A1DF9"/>
    <w:rsid w:val="0F5113FB"/>
    <w:rsid w:val="0F543075"/>
    <w:rsid w:val="0F6C3680"/>
    <w:rsid w:val="0F6D4D62"/>
    <w:rsid w:val="0F724AA0"/>
    <w:rsid w:val="0F8120BC"/>
    <w:rsid w:val="0F931301"/>
    <w:rsid w:val="0FCE426A"/>
    <w:rsid w:val="0FD63FD1"/>
    <w:rsid w:val="0FF920BC"/>
    <w:rsid w:val="101F24C3"/>
    <w:rsid w:val="103B4960"/>
    <w:rsid w:val="10602CFD"/>
    <w:rsid w:val="10727C56"/>
    <w:rsid w:val="1087572B"/>
    <w:rsid w:val="10993435"/>
    <w:rsid w:val="10AA5642"/>
    <w:rsid w:val="10C10DC1"/>
    <w:rsid w:val="10C13627"/>
    <w:rsid w:val="10CD7C99"/>
    <w:rsid w:val="11020FDA"/>
    <w:rsid w:val="110E2867"/>
    <w:rsid w:val="110F7B9B"/>
    <w:rsid w:val="111156C1"/>
    <w:rsid w:val="113969C6"/>
    <w:rsid w:val="11551FB6"/>
    <w:rsid w:val="115B5F82"/>
    <w:rsid w:val="116504ED"/>
    <w:rsid w:val="116C730B"/>
    <w:rsid w:val="1173741C"/>
    <w:rsid w:val="118A17D7"/>
    <w:rsid w:val="11904838"/>
    <w:rsid w:val="11C1140F"/>
    <w:rsid w:val="11C444E1"/>
    <w:rsid w:val="11F60982"/>
    <w:rsid w:val="120F745A"/>
    <w:rsid w:val="12207900"/>
    <w:rsid w:val="12745F08"/>
    <w:rsid w:val="127F1D66"/>
    <w:rsid w:val="129801D4"/>
    <w:rsid w:val="12A61E39"/>
    <w:rsid w:val="12A74858"/>
    <w:rsid w:val="12B26A30"/>
    <w:rsid w:val="12B471A2"/>
    <w:rsid w:val="12C15E90"/>
    <w:rsid w:val="12DF2A5A"/>
    <w:rsid w:val="13067B93"/>
    <w:rsid w:val="132606E2"/>
    <w:rsid w:val="13337DDA"/>
    <w:rsid w:val="135760D3"/>
    <w:rsid w:val="136607A5"/>
    <w:rsid w:val="136D24D4"/>
    <w:rsid w:val="13AD4A7F"/>
    <w:rsid w:val="13CF1593"/>
    <w:rsid w:val="13F56BD4"/>
    <w:rsid w:val="13FD3848"/>
    <w:rsid w:val="14016AFC"/>
    <w:rsid w:val="140B63F8"/>
    <w:rsid w:val="1417744B"/>
    <w:rsid w:val="14414CDB"/>
    <w:rsid w:val="145A690A"/>
    <w:rsid w:val="149877C0"/>
    <w:rsid w:val="14A44654"/>
    <w:rsid w:val="14AE11B3"/>
    <w:rsid w:val="14C05C00"/>
    <w:rsid w:val="15267261"/>
    <w:rsid w:val="15291410"/>
    <w:rsid w:val="152D6842"/>
    <w:rsid w:val="153D2EF5"/>
    <w:rsid w:val="154871D8"/>
    <w:rsid w:val="154C1139"/>
    <w:rsid w:val="155D01BA"/>
    <w:rsid w:val="15667DF8"/>
    <w:rsid w:val="156B2F8B"/>
    <w:rsid w:val="157514A8"/>
    <w:rsid w:val="15AE16BF"/>
    <w:rsid w:val="15C229E1"/>
    <w:rsid w:val="15EB0C48"/>
    <w:rsid w:val="161C06B7"/>
    <w:rsid w:val="164E4CC1"/>
    <w:rsid w:val="16783AEC"/>
    <w:rsid w:val="167C36CB"/>
    <w:rsid w:val="168247F0"/>
    <w:rsid w:val="169A3F37"/>
    <w:rsid w:val="16AE139D"/>
    <w:rsid w:val="16B24372"/>
    <w:rsid w:val="16C96206"/>
    <w:rsid w:val="16E97DDE"/>
    <w:rsid w:val="16EE335F"/>
    <w:rsid w:val="16F70C15"/>
    <w:rsid w:val="16FD3A0A"/>
    <w:rsid w:val="17061B57"/>
    <w:rsid w:val="173F111A"/>
    <w:rsid w:val="174A3E64"/>
    <w:rsid w:val="178A286F"/>
    <w:rsid w:val="179D2E26"/>
    <w:rsid w:val="17A81CD8"/>
    <w:rsid w:val="17CC0594"/>
    <w:rsid w:val="17D542C1"/>
    <w:rsid w:val="17E52B01"/>
    <w:rsid w:val="17F43647"/>
    <w:rsid w:val="17F8784F"/>
    <w:rsid w:val="1807337A"/>
    <w:rsid w:val="1828712B"/>
    <w:rsid w:val="183A07EC"/>
    <w:rsid w:val="183C23D4"/>
    <w:rsid w:val="18422065"/>
    <w:rsid w:val="184719C8"/>
    <w:rsid w:val="184B5A18"/>
    <w:rsid w:val="184E4CDF"/>
    <w:rsid w:val="185E7F3A"/>
    <w:rsid w:val="18732B86"/>
    <w:rsid w:val="187C4F59"/>
    <w:rsid w:val="187E2503"/>
    <w:rsid w:val="188C387F"/>
    <w:rsid w:val="18930873"/>
    <w:rsid w:val="189C08AB"/>
    <w:rsid w:val="18C80D5B"/>
    <w:rsid w:val="18DC5E7B"/>
    <w:rsid w:val="18FE47C5"/>
    <w:rsid w:val="19005F93"/>
    <w:rsid w:val="191E4E1F"/>
    <w:rsid w:val="19735C57"/>
    <w:rsid w:val="197765BD"/>
    <w:rsid w:val="19793F35"/>
    <w:rsid w:val="19815360"/>
    <w:rsid w:val="19973E6A"/>
    <w:rsid w:val="19A64A85"/>
    <w:rsid w:val="19AD214A"/>
    <w:rsid w:val="19B102A5"/>
    <w:rsid w:val="19EF79E6"/>
    <w:rsid w:val="1A0D726C"/>
    <w:rsid w:val="1A7840BB"/>
    <w:rsid w:val="1A9A2283"/>
    <w:rsid w:val="1ABA630D"/>
    <w:rsid w:val="1AC61F94"/>
    <w:rsid w:val="1ACE3CAC"/>
    <w:rsid w:val="1AFE1E17"/>
    <w:rsid w:val="1B02691D"/>
    <w:rsid w:val="1B200C2B"/>
    <w:rsid w:val="1B595CCC"/>
    <w:rsid w:val="1B6F6FFF"/>
    <w:rsid w:val="1B7403CF"/>
    <w:rsid w:val="1B762547"/>
    <w:rsid w:val="1B7C5E2D"/>
    <w:rsid w:val="1B8B7165"/>
    <w:rsid w:val="1BA06D82"/>
    <w:rsid w:val="1BC534F8"/>
    <w:rsid w:val="1BCA4F03"/>
    <w:rsid w:val="1BE43DE8"/>
    <w:rsid w:val="1C2C33AF"/>
    <w:rsid w:val="1C343166"/>
    <w:rsid w:val="1C6E6439"/>
    <w:rsid w:val="1C772D92"/>
    <w:rsid w:val="1C944629"/>
    <w:rsid w:val="1C9817BC"/>
    <w:rsid w:val="1C99656B"/>
    <w:rsid w:val="1CB2786F"/>
    <w:rsid w:val="1CD31A7D"/>
    <w:rsid w:val="1CE74C72"/>
    <w:rsid w:val="1CE97EC1"/>
    <w:rsid w:val="1CF257FE"/>
    <w:rsid w:val="1D020796"/>
    <w:rsid w:val="1D0B1216"/>
    <w:rsid w:val="1D0B21DA"/>
    <w:rsid w:val="1D2E13A9"/>
    <w:rsid w:val="1D3D3AF6"/>
    <w:rsid w:val="1D4A647E"/>
    <w:rsid w:val="1D512922"/>
    <w:rsid w:val="1D644543"/>
    <w:rsid w:val="1D72568A"/>
    <w:rsid w:val="1D7C45C0"/>
    <w:rsid w:val="1D993A50"/>
    <w:rsid w:val="1D9E1345"/>
    <w:rsid w:val="1D9F60AC"/>
    <w:rsid w:val="1DA900F5"/>
    <w:rsid w:val="1DD71A40"/>
    <w:rsid w:val="1E0200C0"/>
    <w:rsid w:val="1E0A632B"/>
    <w:rsid w:val="1E23051F"/>
    <w:rsid w:val="1E3530D4"/>
    <w:rsid w:val="1E4B57B7"/>
    <w:rsid w:val="1E610099"/>
    <w:rsid w:val="1EA3540B"/>
    <w:rsid w:val="1EAB2D2A"/>
    <w:rsid w:val="1EB351C7"/>
    <w:rsid w:val="1EC876E7"/>
    <w:rsid w:val="1ED564F5"/>
    <w:rsid w:val="1EDA3A09"/>
    <w:rsid w:val="1EFE050F"/>
    <w:rsid w:val="1F1620F4"/>
    <w:rsid w:val="1F23759A"/>
    <w:rsid w:val="1F334C3A"/>
    <w:rsid w:val="1F422183"/>
    <w:rsid w:val="1F716A1D"/>
    <w:rsid w:val="1F751511"/>
    <w:rsid w:val="1FCE6057"/>
    <w:rsid w:val="1FE252E8"/>
    <w:rsid w:val="1FEE2ECF"/>
    <w:rsid w:val="1FFD451A"/>
    <w:rsid w:val="201F5E38"/>
    <w:rsid w:val="202B5A1D"/>
    <w:rsid w:val="204F54CB"/>
    <w:rsid w:val="20592F76"/>
    <w:rsid w:val="206C021E"/>
    <w:rsid w:val="207804FC"/>
    <w:rsid w:val="207B4905"/>
    <w:rsid w:val="20965DC4"/>
    <w:rsid w:val="20CA6428"/>
    <w:rsid w:val="20D9546B"/>
    <w:rsid w:val="20DF6C2C"/>
    <w:rsid w:val="20F600C6"/>
    <w:rsid w:val="21186BDF"/>
    <w:rsid w:val="212D5E1E"/>
    <w:rsid w:val="21515666"/>
    <w:rsid w:val="21567A47"/>
    <w:rsid w:val="216D6DDF"/>
    <w:rsid w:val="217870EE"/>
    <w:rsid w:val="217D7F76"/>
    <w:rsid w:val="217F0425"/>
    <w:rsid w:val="21913C4F"/>
    <w:rsid w:val="219634E7"/>
    <w:rsid w:val="21972779"/>
    <w:rsid w:val="21A8172A"/>
    <w:rsid w:val="21A942C7"/>
    <w:rsid w:val="21C422DC"/>
    <w:rsid w:val="21F26E49"/>
    <w:rsid w:val="21F4240C"/>
    <w:rsid w:val="22034BB2"/>
    <w:rsid w:val="2215272C"/>
    <w:rsid w:val="22295EBD"/>
    <w:rsid w:val="22502EE7"/>
    <w:rsid w:val="225466BF"/>
    <w:rsid w:val="225E628C"/>
    <w:rsid w:val="227623A2"/>
    <w:rsid w:val="22A04AF7"/>
    <w:rsid w:val="22C412CC"/>
    <w:rsid w:val="22D87535"/>
    <w:rsid w:val="230063C8"/>
    <w:rsid w:val="23424A44"/>
    <w:rsid w:val="234663EA"/>
    <w:rsid w:val="235A1F8C"/>
    <w:rsid w:val="23655450"/>
    <w:rsid w:val="23707456"/>
    <w:rsid w:val="23811C63"/>
    <w:rsid w:val="23A67E9D"/>
    <w:rsid w:val="23C14AFC"/>
    <w:rsid w:val="23C216B9"/>
    <w:rsid w:val="23CE6A21"/>
    <w:rsid w:val="242D4D7F"/>
    <w:rsid w:val="242D5F16"/>
    <w:rsid w:val="243A3CE7"/>
    <w:rsid w:val="244514B2"/>
    <w:rsid w:val="2448005C"/>
    <w:rsid w:val="246F4781"/>
    <w:rsid w:val="24870866"/>
    <w:rsid w:val="24971A38"/>
    <w:rsid w:val="24A143FA"/>
    <w:rsid w:val="24B46637"/>
    <w:rsid w:val="24B855ED"/>
    <w:rsid w:val="24CF36EA"/>
    <w:rsid w:val="24EC5DD1"/>
    <w:rsid w:val="24EF3982"/>
    <w:rsid w:val="25105A94"/>
    <w:rsid w:val="2521041C"/>
    <w:rsid w:val="253178C5"/>
    <w:rsid w:val="2536529E"/>
    <w:rsid w:val="253C5CA8"/>
    <w:rsid w:val="25570492"/>
    <w:rsid w:val="256D483F"/>
    <w:rsid w:val="25834036"/>
    <w:rsid w:val="25A727A9"/>
    <w:rsid w:val="25AA2CE7"/>
    <w:rsid w:val="25B508B9"/>
    <w:rsid w:val="25BA5ED0"/>
    <w:rsid w:val="25EE7719"/>
    <w:rsid w:val="25F233FC"/>
    <w:rsid w:val="260D2908"/>
    <w:rsid w:val="262B2929"/>
    <w:rsid w:val="263F5CEB"/>
    <w:rsid w:val="2662700D"/>
    <w:rsid w:val="266E17F0"/>
    <w:rsid w:val="267E514F"/>
    <w:rsid w:val="268900EE"/>
    <w:rsid w:val="26915A20"/>
    <w:rsid w:val="269C7383"/>
    <w:rsid w:val="269F6BFD"/>
    <w:rsid w:val="26AA1AA0"/>
    <w:rsid w:val="26B916CD"/>
    <w:rsid w:val="26D22DA5"/>
    <w:rsid w:val="26D94133"/>
    <w:rsid w:val="26FC4437"/>
    <w:rsid w:val="26FE1DEC"/>
    <w:rsid w:val="273849A0"/>
    <w:rsid w:val="274A32E5"/>
    <w:rsid w:val="275513EA"/>
    <w:rsid w:val="277F16DA"/>
    <w:rsid w:val="27B57325"/>
    <w:rsid w:val="27E62FAC"/>
    <w:rsid w:val="27F95B25"/>
    <w:rsid w:val="282B09BF"/>
    <w:rsid w:val="28564655"/>
    <w:rsid w:val="285C55FF"/>
    <w:rsid w:val="28A34A14"/>
    <w:rsid w:val="28AA5514"/>
    <w:rsid w:val="28DC063F"/>
    <w:rsid w:val="28E13773"/>
    <w:rsid w:val="28EE05DD"/>
    <w:rsid w:val="28EE2FA5"/>
    <w:rsid w:val="28F73B5D"/>
    <w:rsid w:val="28F85487"/>
    <w:rsid w:val="28FB3BD4"/>
    <w:rsid w:val="290851A4"/>
    <w:rsid w:val="291146D8"/>
    <w:rsid w:val="29173916"/>
    <w:rsid w:val="29227034"/>
    <w:rsid w:val="2977164C"/>
    <w:rsid w:val="29952B80"/>
    <w:rsid w:val="2999592E"/>
    <w:rsid w:val="29CB7E71"/>
    <w:rsid w:val="29CF29B5"/>
    <w:rsid w:val="2A0B3C02"/>
    <w:rsid w:val="2A2B2EF8"/>
    <w:rsid w:val="2A465684"/>
    <w:rsid w:val="2A593177"/>
    <w:rsid w:val="2B05199B"/>
    <w:rsid w:val="2B2474EB"/>
    <w:rsid w:val="2B2D2FCD"/>
    <w:rsid w:val="2B302A5C"/>
    <w:rsid w:val="2B4104F9"/>
    <w:rsid w:val="2B416DC7"/>
    <w:rsid w:val="2B4A2605"/>
    <w:rsid w:val="2B517290"/>
    <w:rsid w:val="2B6F3864"/>
    <w:rsid w:val="2B912DA4"/>
    <w:rsid w:val="2BB1625A"/>
    <w:rsid w:val="2BCF1FA9"/>
    <w:rsid w:val="2BD56553"/>
    <w:rsid w:val="2BE92780"/>
    <w:rsid w:val="2BF92D7C"/>
    <w:rsid w:val="2C02412C"/>
    <w:rsid w:val="2C1D136D"/>
    <w:rsid w:val="2C2C4A51"/>
    <w:rsid w:val="2C2E3173"/>
    <w:rsid w:val="2C4663BF"/>
    <w:rsid w:val="2C477D91"/>
    <w:rsid w:val="2C891334"/>
    <w:rsid w:val="2C906239"/>
    <w:rsid w:val="2CB43679"/>
    <w:rsid w:val="2CE57D68"/>
    <w:rsid w:val="2D0B6A06"/>
    <w:rsid w:val="2D104750"/>
    <w:rsid w:val="2D200D0E"/>
    <w:rsid w:val="2D245FEA"/>
    <w:rsid w:val="2D281971"/>
    <w:rsid w:val="2D5E5392"/>
    <w:rsid w:val="2D65015A"/>
    <w:rsid w:val="2D8172D3"/>
    <w:rsid w:val="2DA46B38"/>
    <w:rsid w:val="2DC25921"/>
    <w:rsid w:val="2DCA2A28"/>
    <w:rsid w:val="2E206249"/>
    <w:rsid w:val="2E2C1163"/>
    <w:rsid w:val="2E2E66CE"/>
    <w:rsid w:val="2E376F9D"/>
    <w:rsid w:val="2E467F1A"/>
    <w:rsid w:val="2E517E15"/>
    <w:rsid w:val="2E5F7614"/>
    <w:rsid w:val="2E7510DA"/>
    <w:rsid w:val="2E760635"/>
    <w:rsid w:val="2EA14F09"/>
    <w:rsid w:val="2ECE02F6"/>
    <w:rsid w:val="2EDC3406"/>
    <w:rsid w:val="2EF9442C"/>
    <w:rsid w:val="2EFA10EB"/>
    <w:rsid w:val="2F222897"/>
    <w:rsid w:val="2F2C103E"/>
    <w:rsid w:val="2F603644"/>
    <w:rsid w:val="2F6D760D"/>
    <w:rsid w:val="2F883CD6"/>
    <w:rsid w:val="2F947D1C"/>
    <w:rsid w:val="2FA656C3"/>
    <w:rsid w:val="2FA91ECD"/>
    <w:rsid w:val="2FAF6B47"/>
    <w:rsid w:val="2FB01BFA"/>
    <w:rsid w:val="2FBE5279"/>
    <w:rsid w:val="2FCA3536"/>
    <w:rsid w:val="2FF41FDE"/>
    <w:rsid w:val="2FFC0AFB"/>
    <w:rsid w:val="302B0B3B"/>
    <w:rsid w:val="304D0CD0"/>
    <w:rsid w:val="309B06AC"/>
    <w:rsid w:val="309B3EAB"/>
    <w:rsid w:val="30E54F82"/>
    <w:rsid w:val="30F9527C"/>
    <w:rsid w:val="31376626"/>
    <w:rsid w:val="316460EB"/>
    <w:rsid w:val="316B2774"/>
    <w:rsid w:val="317459BB"/>
    <w:rsid w:val="31A02984"/>
    <w:rsid w:val="31A2242A"/>
    <w:rsid w:val="31A57A34"/>
    <w:rsid w:val="31D676E2"/>
    <w:rsid w:val="31E7004C"/>
    <w:rsid w:val="31FA664D"/>
    <w:rsid w:val="31FB58A6"/>
    <w:rsid w:val="31FC7E29"/>
    <w:rsid w:val="32041735"/>
    <w:rsid w:val="32094096"/>
    <w:rsid w:val="322C3CB1"/>
    <w:rsid w:val="3240739C"/>
    <w:rsid w:val="324F1A36"/>
    <w:rsid w:val="327010D0"/>
    <w:rsid w:val="32843AED"/>
    <w:rsid w:val="32A0644D"/>
    <w:rsid w:val="32A7158A"/>
    <w:rsid w:val="32D81743"/>
    <w:rsid w:val="32DC7B08"/>
    <w:rsid w:val="32E37FAE"/>
    <w:rsid w:val="32E620B2"/>
    <w:rsid w:val="330D7865"/>
    <w:rsid w:val="3337311A"/>
    <w:rsid w:val="33A51F6D"/>
    <w:rsid w:val="33BE3942"/>
    <w:rsid w:val="3422536C"/>
    <w:rsid w:val="34614E99"/>
    <w:rsid w:val="34750B27"/>
    <w:rsid w:val="3486402D"/>
    <w:rsid w:val="34AF2210"/>
    <w:rsid w:val="34BC62C2"/>
    <w:rsid w:val="34C15B3C"/>
    <w:rsid w:val="34EB1C02"/>
    <w:rsid w:val="34ED6378"/>
    <w:rsid w:val="350F3AB9"/>
    <w:rsid w:val="35186118"/>
    <w:rsid w:val="35262B93"/>
    <w:rsid w:val="35697CEA"/>
    <w:rsid w:val="356F3B9F"/>
    <w:rsid w:val="359066F7"/>
    <w:rsid w:val="35A03E99"/>
    <w:rsid w:val="35E93B34"/>
    <w:rsid w:val="360D4876"/>
    <w:rsid w:val="361637EE"/>
    <w:rsid w:val="36262D0E"/>
    <w:rsid w:val="3627628E"/>
    <w:rsid w:val="364558F5"/>
    <w:rsid w:val="364E73B2"/>
    <w:rsid w:val="3652180C"/>
    <w:rsid w:val="367A2973"/>
    <w:rsid w:val="36A77EE8"/>
    <w:rsid w:val="36BB126E"/>
    <w:rsid w:val="36C42611"/>
    <w:rsid w:val="36E564A6"/>
    <w:rsid w:val="36F01A9E"/>
    <w:rsid w:val="370B658B"/>
    <w:rsid w:val="372324A9"/>
    <w:rsid w:val="3728399C"/>
    <w:rsid w:val="374455F9"/>
    <w:rsid w:val="3767221E"/>
    <w:rsid w:val="379320DC"/>
    <w:rsid w:val="37A3332E"/>
    <w:rsid w:val="37E26E03"/>
    <w:rsid w:val="37E454CE"/>
    <w:rsid w:val="37F710ED"/>
    <w:rsid w:val="37FD72FA"/>
    <w:rsid w:val="383627D7"/>
    <w:rsid w:val="384358B1"/>
    <w:rsid w:val="38442636"/>
    <w:rsid w:val="38C13FCA"/>
    <w:rsid w:val="38CE0530"/>
    <w:rsid w:val="38D8668E"/>
    <w:rsid w:val="38F51707"/>
    <w:rsid w:val="390239BE"/>
    <w:rsid w:val="390564E2"/>
    <w:rsid w:val="393412E1"/>
    <w:rsid w:val="39477622"/>
    <w:rsid w:val="39537D75"/>
    <w:rsid w:val="395A7356"/>
    <w:rsid w:val="396F09D3"/>
    <w:rsid w:val="398B6063"/>
    <w:rsid w:val="398E1D2F"/>
    <w:rsid w:val="39AA6FAB"/>
    <w:rsid w:val="39CC6328"/>
    <w:rsid w:val="39E82390"/>
    <w:rsid w:val="39ED065B"/>
    <w:rsid w:val="3A137F81"/>
    <w:rsid w:val="3A567C5B"/>
    <w:rsid w:val="3A592C65"/>
    <w:rsid w:val="3A6A073A"/>
    <w:rsid w:val="3AA01FBE"/>
    <w:rsid w:val="3AF41740"/>
    <w:rsid w:val="3B115802"/>
    <w:rsid w:val="3B217B55"/>
    <w:rsid w:val="3B246BD7"/>
    <w:rsid w:val="3B41722A"/>
    <w:rsid w:val="3B52516D"/>
    <w:rsid w:val="3B693880"/>
    <w:rsid w:val="3B88590D"/>
    <w:rsid w:val="3BC45079"/>
    <w:rsid w:val="3BF427EF"/>
    <w:rsid w:val="3C6F7BFD"/>
    <w:rsid w:val="3C7114A4"/>
    <w:rsid w:val="3C781258"/>
    <w:rsid w:val="3C8225D1"/>
    <w:rsid w:val="3C8A2BE2"/>
    <w:rsid w:val="3CDB01B0"/>
    <w:rsid w:val="3D3D6D72"/>
    <w:rsid w:val="3D453E79"/>
    <w:rsid w:val="3D4E7340"/>
    <w:rsid w:val="3D723D7B"/>
    <w:rsid w:val="3D813114"/>
    <w:rsid w:val="3D956BAE"/>
    <w:rsid w:val="3D960F5C"/>
    <w:rsid w:val="3D9A6E6F"/>
    <w:rsid w:val="3DCE3E6E"/>
    <w:rsid w:val="3DD37CA7"/>
    <w:rsid w:val="3E03620E"/>
    <w:rsid w:val="3E1C107E"/>
    <w:rsid w:val="3E631F9A"/>
    <w:rsid w:val="3E741AA3"/>
    <w:rsid w:val="3E77440F"/>
    <w:rsid w:val="3E883803"/>
    <w:rsid w:val="3E9055C8"/>
    <w:rsid w:val="3EA459CF"/>
    <w:rsid w:val="3EAB0654"/>
    <w:rsid w:val="3EF53E39"/>
    <w:rsid w:val="3F27773E"/>
    <w:rsid w:val="3F4151B9"/>
    <w:rsid w:val="3F670993"/>
    <w:rsid w:val="3F767786"/>
    <w:rsid w:val="3F792DF6"/>
    <w:rsid w:val="3F806461"/>
    <w:rsid w:val="3F8464AC"/>
    <w:rsid w:val="3F9D7F9C"/>
    <w:rsid w:val="3FCF18C5"/>
    <w:rsid w:val="3FE20F98"/>
    <w:rsid w:val="3FFF7354"/>
    <w:rsid w:val="40090EED"/>
    <w:rsid w:val="40113468"/>
    <w:rsid w:val="40145FBA"/>
    <w:rsid w:val="40254D11"/>
    <w:rsid w:val="402931E4"/>
    <w:rsid w:val="403A14A4"/>
    <w:rsid w:val="40A25B74"/>
    <w:rsid w:val="40D43E92"/>
    <w:rsid w:val="41020973"/>
    <w:rsid w:val="410408EB"/>
    <w:rsid w:val="412C35D5"/>
    <w:rsid w:val="41403556"/>
    <w:rsid w:val="416D699B"/>
    <w:rsid w:val="416F1AC1"/>
    <w:rsid w:val="41766CF7"/>
    <w:rsid w:val="417B60BB"/>
    <w:rsid w:val="41856F3A"/>
    <w:rsid w:val="418C6C56"/>
    <w:rsid w:val="41B94E35"/>
    <w:rsid w:val="41D754F1"/>
    <w:rsid w:val="41EC125B"/>
    <w:rsid w:val="41F5642E"/>
    <w:rsid w:val="42210794"/>
    <w:rsid w:val="42260821"/>
    <w:rsid w:val="42271533"/>
    <w:rsid w:val="42500858"/>
    <w:rsid w:val="42674891"/>
    <w:rsid w:val="427C799E"/>
    <w:rsid w:val="4291177F"/>
    <w:rsid w:val="429768C7"/>
    <w:rsid w:val="42980EEF"/>
    <w:rsid w:val="42B451EC"/>
    <w:rsid w:val="42BD2703"/>
    <w:rsid w:val="42F04887"/>
    <w:rsid w:val="42FE0D52"/>
    <w:rsid w:val="43056584"/>
    <w:rsid w:val="430842D4"/>
    <w:rsid w:val="430D2714"/>
    <w:rsid w:val="431361FF"/>
    <w:rsid w:val="432D7801"/>
    <w:rsid w:val="432F2E2A"/>
    <w:rsid w:val="43311F19"/>
    <w:rsid w:val="434A3F97"/>
    <w:rsid w:val="435557DC"/>
    <w:rsid w:val="43781B80"/>
    <w:rsid w:val="43A43A0E"/>
    <w:rsid w:val="43BC75C6"/>
    <w:rsid w:val="43BE622F"/>
    <w:rsid w:val="43DB7A47"/>
    <w:rsid w:val="443A5C0B"/>
    <w:rsid w:val="444600A8"/>
    <w:rsid w:val="44A122DD"/>
    <w:rsid w:val="44B90995"/>
    <w:rsid w:val="44BF63DB"/>
    <w:rsid w:val="44DF0DF1"/>
    <w:rsid w:val="44E83008"/>
    <w:rsid w:val="44F468B0"/>
    <w:rsid w:val="45016875"/>
    <w:rsid w:val="45222FBA"/>
    <w:rsid w:val="45234836"/>
    <w:rsid w:val="45317391"/>
    <w:rsid w:val="457D1641"/>
    <w:rsid w:val="459534C4"/>
    <w:rsid w:val="45AA1B8E"/>
    <w:rsid w:val="45B22DA9"/>
    <w:rsid w:val="45C10F83"/>
    <w:rsid w:val="45C87B25"/>
    <w:rsid w:val="45D65A60"/>
    <w:rsid w:val="45E5267F"/>
    <w:rsid w:val="45EE1561"/>
    <w:rsid w:val="45F12DF0"/>
    <w:rsid w:val="45FB3C6E"/>
    <w:rsid w:val="461113C2"/>
    <w:rsid w:val="46540183"/>
    <w:rsid w:val="465670F7"/>
    <w:rsid w:val="4660035D"/>
    <w:rsid w:val="469F0A9E"/>
    <w:rsid w:val="46B66197"/>
    <w:rsid w:val="46B9300C"/>
    <w:rsid w:val="46C16C66"/>
    <w:rsid w:val="46C42602"/>
    <w:rsid w:val="46C65F49"/>
    <w:rsid w:val="46CD1232"/>
    <w:rsid w:val="46F06968"/>
    <w:rsid w:val="4703102D"/>
    <w:rsid w:val="471468C5"/>
    <w:rsid w:val="471A13DE"/>
    <w:rsid w:val="471D5E85"/>
    <w:rsid w:val="471F0354"/>
    <w:rsid w:val="47394A4E"/>
    <w:rsid w:val="47533303"/>
    <w:rsid w:val="476A048C"/>
    <w:rsid w:val="47842F70"/>
    <w:rsid w:val="4792415F"/>
    <w:rsid w:val="479F0632"/>
    <w:rsid w:val="47B24B22"/>
    <w:rsid w:val="47C77888"/>
    <w:rsid w:val="47F00E85"/>
    <w:rsid w:val="47F22E4F"/>
    <w:rsid w:val="47F91214"/>
    <w:rsid w:val="48036E0A"/>
    <w:rsid w:val="481A3A9E"/>
    <w:rsid w:val="484C613A"/>
    <w:rsid w:val="485C06FB"/>
    <w:rsid w:val="486024AF"/>
    <w:rsid w:val="48714B46"/>
    <w:rsid w:val="489363E0"/>
    <w:rsid w:val="48CC36A0"/>
    <w:rsid w:val="48D6451F"/>
    <w:rsid w:val="48D875FD"/>
    <w:rsid w:val="48E608E9"/>
    <w:rsid w:val="48EA4403"/>
    <w:rsid w:val="48F528FC"/>
    <w:rsid w:val="49111FBF"/>
    <w:rsid w:val="491D3EFC"/>
    <w:rsid w:val="49466AFA"/>
    <w:rsid w:val="4949644B"/>
    <w:rsid w:val="496A1FBC"/>
    <w:rsid w:val="496C0591"/>
    <w:rsid w:val="496E3D1C"/>
    <w:rsid w:val="497D50F5"/>
    <w:rsid w:val="498B70B7"/>
    <w:rsid w:val="499D628F"/>
    <w:rsid w:val="49AC1198"/>
    <w:rsid w:val="49B1498B"/>
    <w:rsid w:val="49BF1503"/>
    <w:rsid w:val="49D10D2E"/>
    <w:rsid w:val="49D863F6"/>
    <w:rsid w:val="49E56A2C"/>
    <w:rsid w:val="4A031344"/>
    <w:rsid w:val="4A076836"/>
    <w:rsid w:val="4A0B1FA6"/>
    <w:rsid w:val="4A412D59"/>
    <w:rsid w:val="4A447A89"/>
    <w:rsid w:val="4A673681"/>
    <w:rsid w:val="4A7364C9"/>
    <w:rsid w:val="4A9565B8"/>
    <w:rsid w:val="4A9E79B4"/>
    <w:rsid w:val="4AA04DE4"/>
    <w:rsid w:val="4AD148FC"/>
    <w:rsid w:val="4ADB5E1D"/>
    <w:rsid w:val="4AE75F47"/>
    <w:rsid w:val="4B1E0A87"/>
    <w:rsid w:val="4B401A7E"/>
    <w:rsid w:val="4B5849A9"/>
    <w:rsid w:val="4B6712A9"/>
    <w:rsid w:val="4B6909DA"/>
    <w:rsid w:val="4B6D69DB"/>
    <w:rsid w:val="4B7122DD"/>
    <w:rsid w:val="4B727F62"/>
    <w:rsid w:val="4B8870B1"/>
    <w:rsid w:val="4B9E069A"/>
    <w:rsid w:val="4BC617A3"/>
    <w:rsid w:val="4BC863A1"/>
    <w:rsid w:val="4BCC0611"/>
    <w:rsid w:val="4BEA116A"/>
    <w:rsid w:val="4C066EC9"/>
    <w:rsid w:val="4C0671A7"/>
    <w:rsid w:val="4C200896"/>
    <w:rsid w:val="4C235CCD"/>
    <w:rsid w:val="4C26588A"/>
    <w:rsid w:val="4C2823AA"/>
    <w:rsid w:val="4C406562"/>
    <w:rsid w:val="4C4E00DA"/>
    <w:rsid w:val="4C6B5C95"/>
    <w:rsid w:val="4C847808"/>
    <w:rsid w:val="4CA977D5"/>
    <w:rsid w:val="4CAC0D83"/>
    <w:rsid w:val="4CAE12D2"/>
    <w:rsid w:val="4CB41F48"/>
    <w:rsid w:val="4CE216E4"/>
    <w:rsid w:val="4CED1C46"/>
    <w:rsid w:val="4CED704F"/>
    <w:rsid w:val="4CF17B79"/>
    <w:rsid w:val="4D03300D"/>
    <w:rsid w:val="4D05292B"/>
    <w:rsid w:val="4D0816A0"/>
    <w:rsid w:val="4D181B86"/>
    <w:rsid w:val="4D241086"/>
    <w:rsid w:val="4D5D4867"/>
    <w:rsid w:val="4D6B45F7"/>
    <w:rsid w:val="4D754801"/>
    <w:rsid w:val="4D7C4E47"/>
    <w:rsid w:val="4D87495F"/>
    <w:rsid w:val="4DB210B7"/>
    <w:rsid w:val="4DB64580"/>
    <w:rsid w:val="4DBF51AA"/>
    <w:rsid w:val="4DD74FC1"/>
    <w:rsid w:val="4DDC6134"/>
    <w:rsid w:val="4E062098"/>
    <w:rsid w:val="4E0770FF"/>
    <w:rsid w:val="4E0E1E01"/>
    <w:rsid w:val="4E0F0317"/>
    <w:rsid w:val="4E430FF7"/>
    <w:rsid w:val="4E4D5283"/>
    <w:rsid w:val="4E544FA0"/>
    <w:rsid w:val="4E6E027D"/>
    <w:rsid w:val="4E922C96"/>
    <w:rsid w:val="4ECB0E82"/>
    <w:rsid w:val="4ECC61A8"/>
    <w:rsid w:val="4ED90ED2"/>
    <w:rsid w:val="4EE871CB"/>
    <w:rsid w:val="4EEC640D"/>
    <w:rsid w:val="4EFC6876"/>
    <w:rsid w:val="4EFC7FCB"/>
    <w:rsid w:val="4F092210"/>
    <w:rsid w:val="4F322047"/>
    <w:rsid w:val="4F577B82"/>
    <w:rsid w:val="4F590025"/>
    <w:rsid w:val="4F644633"/>
    <w:rsid w:val="4F963C03"/>
    <w:rsid w:val="4F9A62A6"/>
    <w:rsid w:val="4F9E5CA0"/>
    <w:rsid w:val="4FF82FCD"/>
    <w:rsid w:val="501B27D4"/>
    <w:rsid w:val="50286B63"/>
    <w:rsid w:val="503B1837"/>
    <w:rsid w:val="50591CBD"/>
    <w:rsid w:val="506B19F1"/>
    <w:rsid w:val="50802552"/>
    <w:rsid w:val="5093051D"/>
    <w:rsid w:val="509E3B74"/>
    <w:rsid w:val="50AF7B2F"/>
    <w:rsid w:val="50E01F52"/>
    <w:rsid w:val="50E50DE3"/>
    <w:rsid w:val="5104488E"/>
    <w:rsid w:val="510F2A0C"/>
    <w:rsid w:val="51145BE4"/>
    <w:rsid w:val="51157ECE"/>
    <w:rsid w:val="511F2CD2"/>
    <w:rsid w:val="512F6EC2"/>
    <w:rsid w:val="515966AD"/>
    <w:rsid w:val="515D6245"/>
    <w:rsid w:val="51826FF2"/>
    <w:rsid w:val="51944D87"/>
    <w:rsid w:val="51AF590D"/>
    <w:rsid w:val="51B64EEE"/>
    <w:rsid w:val="51C82F5D"/>
    <w:rsid w:val="51E52D5E"/>
    <w:rsid w:val="52072758"/>
    <w:rsid w:val="520A7BEB"/>
    <w:rsid w:val="520B3C55"/>
    <w:rsid w:val="52130A4D"/>
    <w:rsid w:val="521E161F"/>
    <w:rsid w:val="5233481F"/>
    <w:rsid w:val="524207C8"/>
    <w:rsid w:val="52722424"/>
    <w:rsid w:val="52A4585A"/>
    <w:rsid w:val="52A51DDF"/>
    <w:rsid w:val="52AB2578"/>
    <w:rsid w:val="52B623DC"/>
    <w:rsid w:val="52D7061B"/>
    <w:rsid w:val="52D746E1"/>
    <w:rsid w:val="5356113C"/>
    <w:rsid w:val="535C003B"/>
    <w:rsid w:val="53715570"/>
    <w:rsid w:val="53737BE3"/>
    <w:rsid w:val="53974113"/>
    <w:rsid w:val="539D0113"/>
    <w:rsid w:val="53A90D2B"/>
    <w:rsid w:val="53B6747F"/>
    <w:rsid w:val="53C06841"/>
    <w:rsid w:val="53D97DEF"/>
    <w:rsid w:val="53F96359"/>
    <w:rsid w:val="54047583"/>
    <w:rsid w:val="54095938"/>
    <w:rsid w:val="541C01FF"/>
    <w:rsid w:val="542B051B"/>
    <w:rsid w:val="542D1CD6"/>
    <w:rsid w:val="542D593B"/>
    <w:rsid w:val="545253A1"/>
    <w:rsid w:val="5457392B"/>
    <w:rsid w:val="546248D3"/>
    <w:rsid w:val="546304C6"/>
    <w:rsid w:val="546B16F0"/>
    <w:rsid w:val="54943ECC"/>
    <w:rsid w:val="54A13C33"/>
    <w:rsid w:val="54B0031A"/>
    <w:rsid w:val="54DE6AB4"/>
    <w:rsid w:val="54E0475B"/>
    <w:rsid w:val="54FC355F"/>
    <w:rsid w:val="550477F8"/>
    <w:rsid w:val="55092033"/>
    <w:rsid w:val="551335D5"/>
    <w:rsid w:val="55201481"/>
    <w:rsid w:val="55233629"/>
    <w:rsid w:val="55384597"/>
    <w:rsid w:val="5541612B"/>
    <w:rsid w:val="55454979"/>
    <w:rsid w:val="5563538C"/>
    <w:rsid w:val="556C2493"/>
    <w:rsid w:val="557E6A6C"/>
    <w:rsid w:val="558E2045"/>
    <w:rsid w:val="559B4B21"/>
    <w:rsid w:val="55B421C9"/>
    <w:rsid w:val="55BE25C3"/>
    <w:rsid w:val="55E21100"/>
    <w:rsid w:val="560F4981"/>
    <w:rsid w:val="5637484F"/>
    <w:rsid w:val="56D006F6"/>
    <w:rsid w:val="56E803BD"/>
    <w:rsid w:val="56E85B49"/>
    <w:rsid w:val="57174680"/>
    <w:rsid w:val="57570933"/>
    <w:rsid w:val="57614D00"/>
    <w:rsid w:val="57727705"/>
    <w:rsid w:val="57776ECD"/>
    <w:rsid w:val="577C161C"/>
    <w:rsid w:val="5780017C"/>
    <w:rsid w:val="57A81AFA"/>
    <w:rsid w:val="57B95737"/>
    <w:rsid w:val="57C729D1"/>
    <w:rsid w:val="57C739B1"/>
    <w:rsid w:val="57DC7E95"/>
    <w:rsid w:val="57F57678"/>
    <w:rsid w:val="57FD02AE"/>
    <w:rsid w:val="57FF3F8A"/>
    <w:rsid w:val="580E1B9E"/>
    <w:rsid w:val="586438F5"/>
    <w:rsid w:val="586F5B54"/>
    <w:rsid w:val="589E4491"/>
    <w:rsid w:val="58B24474"/>
    <w:rsid w:val="58CD1B9F"/>
    <w:rsid w:val="58CD4BB1"/>
    <w:rsid w:val="58D81DB6"/>
    <w:rsid w:val="58ED05E8"/>
    <w:rsid w:val="58F21EBB"/>
    <w:rsid w:val="58F37324"/>
    <w:rsid w:val="590B0574"/>
    <w:rsid w:val="59317C66"/>
    <w:rsid w:val="59472DC9"/>
    <w:rsid w:val="59883613"/>
    <w:rsid w:val="59884061"/>
    <w:rsid w:val="598E476E"/>
    <w:rsid w:val="59A55F73"/>
    <w:rsid w:val="59D00FDF"/>
    <w:rsid w:val="59EA25A5"/>
    <w:rsid w:val="5A0D3D16"/>
    <w:rsid w:val="5A15151A"/>
    <w:rsid w:val="5A3D4D81"/>
    <w:rsid w:val="5A4709EE"/>
    <w:rsid w:val="5A4F5EDF"/>
    <w:rsid w:val="5A7C1DA4"/>
    <w:rsid w:val="5A84494F"/>
    <w:rsid w:val="5AA20705"/>
    <w:rsid w:val="5AA40D46"/>
    <w:rsid w:val="5AA47119"/>
    <w:rsid w:val="5AC6203F"/>
    <w:rsid w:val="5AD56065"/>
    <w:rsid w:val="5ADF1011"/>
    <w:rsid w:val="5B02355A"/>
    <w:rsid w:val="5B160921"/>
    <w:rsid w:val="5B3550D5"/>
    <w:rsid w:val="5B396FD4"/>
    <w:rsid w:val="5B44528A"/>
    <w:rsid w:val="5B4A7460"/>
    <w:rsid w:val="5B4D778B"/>
    <w:rsid w:val="5B4E64AF"/>
    <w:rsid w:val="5B5E462C"/>
    <w:rsid w:val="5B7A2DDD"/>
    <w:rsid w:val="5B802DFD"/>
    <w:rsid w:val="5BAA7B18"/>
    <w:rsid w:val="5BAC35E9"/>
    <w:rsid w:val="5BB85E93"/>
    <w:rsid w:val="5BB97AB4"/>
    <w:rsid w:val="5BDF521B"/>
    <w:rsid w:val="5BF734D0"/>
    <w:rsid w:val="5C087C9F"/>
    <w:rsid w:val="5C115B42"/>
    <w:rsid w:val="5C1B076F"/>
    <w:rsid w:val="5C2369D5"/>
    <w:rsid w:val="5C626416"/>
    <w:rsid w:val="5C653798"/>
    <w:rsid w:val="5C6B2874"/>
    <w:rsid w:val="5C9578CE"/>
    <w:rsid w:val="5CAA290F"/>
    <w:rsid w:val="5CB67E30"/>
    <w:rsid w:val="5CC248C4"/>
    <w:rsid w:val="5CE55C5D"/>
    <w:rsid w:val="5D4A08BD"/>
    <w:rsid w:val="5D6E75D3"/>
    <w:rsid w:val="5D71747C"/>
    <w:rsid w:val="5D902A97"/>
    <w:rsid w:val="5DCF41F5"/>
    <w:rsid w:val="5DD07337"/>
    <w:rsid w:val="5DE352BC"/>
    <w:rsid w:val="5DF92D00"/>
    <w:rsid w:val="5E057787"/>
    <w:rsid w:val="5E1377E3"/>
    <w:rsid w:val="5E433003"/>
    <w:rsid w:val="5E5D3039"/>
    <w:rsid w:val="5E6912A0"/>
    <w:rsid w:val="5EAE7678"/>
    <w:rsid w:val="5EDA66BF"/>
    <w:rsid w:val="5EDB56E2"/>
    <w:rsid w:val="5EFF733D"/>
    <w:rsid w:val="5F0A4A16"/>
    <w:rsid w:val="5F0B075F"/>
    <w:rsid w:val="5F0F66AF"/>
    <w:rsid w:val="5F162297"/>
    <w:rsid w:val="5F1D3030"/>
    <w:rsid w:val="5FAF0290"/>
    <w:rsid w:val="5FBE1B3D"/>
    <w:rsid w:val="5FC27B39"/>
    <w:rsid w:val="5FC353A5"/>
    <w:rsid w:val="5FCA6734"/>
    <w:rsid w:val="5FD62539"/>
    <w:rsid w:val="5FF971C8"/>
    <w:rsid w:val="60117E72"/>
    <w:rsid w:val="60550DC1"/>
    <w:rsid w:val="605D1356"/>
    <w:rsid w:val="605D5C3C"/>
    <w:rsid w:val="606E4C6F"/>
    <w:rsid w:val="606F0773"/>
    <w:rsid w:val="60757CB3"/>
    <w:rsid w:val="6094289E"/>
    <w:rsid w:val="60AA0313"/>
    <w:rsid w:val="60AE1B95"/>
    <w:rsid w:val="60B6126D"/>
    <w:rsid w:val="60B92304"/>
    <w:rsid w:val="60C416A7"/>
    <w:rsid w:val="60D3786A"/>
    <w:rsid w:val="60DD7C85"/>
    <w:rsid w:val="60E703E1"/>
    <w:rsid w:val="60FB291D"/>
    <w:rsid w:val="61397CD2"/>
    <w:rsid w:val="6158067E"/>
    <w:rsid w:val="615A7643"/>
    <w:rsid w:val="61762F8E"/>
    <w:rsid w:val="61883FD3"/>
    <w:rsid w:val="61897F29"/>
    <w:rsid w:val="618E41D0"/>
    <w:rsid w:val="61934C53"/>
    <w:rsid w:val="619C1726"/>
    <w:rsid w:val="61B01959"/>
    <w:rsid w:val="61D25B59"/>
    <w:rsid w:val="61E653D1"/>
    <w:rsid w:val="6230766F"/>
    <w:rsid w:val="6239222B"/>
    <w:rsid w:val="6245249A"/>
    <w:rsid w:val="625E58EA"/>
    <w:rsid w:val="6293057A"/>
    <w:rsid w:val="629B760D"/>
    <w:rsid w:val="629C433C"/>
    <w:rsid w:val="62B47E83"/>
    <w:rsid w:val="62D51351"/>
    <w:rsid w:val="62F0280B"/>
    <w:rsid w:val="6300586B"/>
    <w:rsid w:val="63770981"/>
    <w:rsid w:val="63911860"/>
    <w:rsid w:val="63B50650"/>
    <w:rsid w:val="63B72F80"/>
    <w:rsid w:val="63BB7D7D"/>
    <w:rsid w:val="63BF1571"/>
    <w:rsid w:val="63F278BB"/>
    <w:rsid w:val="63F634C7"/>
    <w:rsid w:val="63F82F8D"/>
    <w:rsid w:val="64060F85"/>
    <w:rsid w:val="641265C5"/>
    <w:rsid w:val="64175EC6"/>
    <w:rsid w:val="641A130C"/>
    <w:rsid w:val="641B17DC"/>
    <w:rsid w:val="641F032A"/>
    <w:rsid w:val="642A41AF"/>
    <w:rsid w:val="644D2DDF"/>
    <w:rsid w:val="6467109F"/>
    <w:rsid w:val="647469FB"/>
    <w:rsid w:val="647A2E71"/>
    <w:rsid w:val="648F5F90"/>
    <w:rsid w:val="64D0549B"/>
    <w:rsid w:val="64D23995"/>
    <w:rsid w:val="64E61EDB"/>
    <w:rsid w:val="64EB7996"/>
    <w:rsid w:val="64EC0669"/>
    <w:rsid w:val="651761F5"/>
    <w:rsid w:val="65226780"/>
    <w:rsid w:val="6527785B"/>
    <w:rsid w:val="652D2E2A"/>
    <w:rsid w:val="65303B2E"/>
    <w:rsid w:val="656C5B5F"/>
    <w:rsid w:val="65812F9C"/>
    <w:rsid w:val="65977F63"/>
    <w:rsid w:val="65B0017A"/>
    <w:rsid w:val="65B80DDC"/>
    <w:rsid w:val="65C92FEA"/>
    <w:rsid w:val="65E547AE"/>
    <w:rsid w:val="65EB0122"/>
    <w:rsid w:val="66167475"/>
    <w:rsid w:val="66197AF2"/>
    <w:rsid w:val="6633025F"/>
    <w:rsid w:val="66480C99"/>
    <w:rsid w:val="665615AC"/>
    <w:rsid w:val="666D430B"/>
    <w:rsid w:val="66B36712"/>
    <w:rsid w:val="66B617C0"/>
    <w:rsid w:val="66BE5A5B"/>
    <w:rsid w:val="66D73233"/>
    <w:rsid w:val="66E4146C"/>
    <w:rsid w:val="66E7570C"/>
    <w:rsid w:val="66F432A2"/>
    <w:rsid w:val="670F3E8F"/>
    <w:rsid w:val="67256946"/>
    <w:rsid w:val="67432343"/>
    <w:rsid w:val="67535261"/>
    <w:rsid w:val="675D6729"/>
    <w:rsid w:val="679D2705"/>
    <w:rsid w:val="67A23A10"/>
    <w:rsid w:val="67A3298E"/>
    <w:rsid w:val="67A51837"/>
    <w:rsid w:val="67BA7BF3"/>
    <w:rsid w:val="67BD6AD2"/>
    <w:rsid w:val="681639A2"/>
    <w:rsid w:val="68213DC9"/>
    <w:rsid w:val="6823503C"/>
    <w:rsid w:val="68357D39"/>
    <w:rsid w:val="684D304D"/>
    <w:rsid w:val="68550B65"/>
    <w:rsid w:val="68897672"/>
    <w:rsid w:val="689306AB"/>
    <w:rsid w:val="68944758"/>
    <w:rsid w:val="68AE3709"/>
    <w:rsid w:val="68B93AAC"/>
    <w:rsid w:val="68BF6282"/>
    <w:rsid w:val="68C27158"/>
    <w:rsid w:val="68F23E8E"/>
    <w:rsid w:val="68FB170C"/>
    <w:rsid w:val="691722BE"/>
    <w:rsid w:val="693654E7"/>
    <w:rsid w:val="693A042A"/>
    <w:rsid w:val="694330B3"/>
    <w:rsid w:val="695B58FD"/>
    <w:rsid w:val="69654059"/>
    <w:rsid w:val="697028F2"/>
    <w:rsid w:val="69912070"/>
    <w:rsid w:val="6995751E"/>
    <w:rsid w:val="699A6627"/>
    <w:rsid w:val="69DA1138"/>
    <w:rsid w:val="69DC5183"/>
    <w:rsid w:val="69E14DA6"/>
    <w:rsid w:val="69F03739"/>
    <w:rsid w:val="69FB1EC3"/>
    <w:rsid w:val="6A0E36C1"/>
    <w:rsid w:val="6A103F81"/>
    <w:rsid w:val="6A3273AF"/>
    <w:rsid w:val="6A437567"/>
    <w:rsid w:val="6A5079A9"/>
    <w:rsid w:val="6A552E93"/>
    <w:rsid w:val="6A595749"/>
    <w:rsid w:val="6A9B5B4F"/>
    <w:rsid w:val="6AC10880"/>
    <w:rsid w:val="6AE9695B"/>
    <w:rsid w:val="6AF30621"/>
    <w:rsid w:val="6B0935F2"/>
    <w:rsid w:val="6B1675CD"/>
    <w:rsid w:val="6B3F5417"/>
    <w:rsid w:val="6B497849"/>
    <w:rsid w:val="6B5F393A"/>
    <w:rsid w:val="6BAF2C82"/>
    <w:rsid w:val="6BB93D50"/>
    <w:rsid w:val="6BD651C1"/>
    <w:rsid w:val="6BD87D86"/>
    <w:rsid w:val="6C073DD8"/>
    <w:rsid w:val="6C0F5FDE"/>
    <w:rsid w:val="6C2C14E7"/>
    <w:rsid w:val="6C353187"/>
    <w:rsid w:val="6C5C5A5A"/>
    <w:rsid w:val="6C661677"/>
    <w:rsid w:val="6C8E0AED"/>
    <w:rsid w:val="6CAA42EF"/>
    <w:rsid w:val="6CC95802"/>
    <w:rsid w:val="6CCD0F27"/>
    <w:rsid w:val="6CD721E3"/>
    <w:rsid w:val="6CDD1FE1"/>
    <w:rsid w:val="6CE93D1B"/>
    <w:rsid w:val="6CEA21C3"/>
    <w:rsid w:val="6D1F4A35"/>
    <w:rsid w:val="6D464F20"/>
    <w:rsid w:val="6D5E04BB"/>
    <w:rsid w:val="6D7A508E"/>
    <w:rsid w:val="6D7D3218"/>
    <w:rsid w:val="6DC72505"/>
    <w:rsid w:val="6DD64CB0"/>
    <w:rsid w:val="6DE41D8A"/>
    <w:rsid w:val="6DF7167A"/>
    <w:rsid w:val="6E06119C"/>
    <w:rsid w:val="6E0F7A08"/>
    <w:rsid w:val="6E19501D"/>
    <w:rsid w:val="6E1E0E52"/>
    <w:rsid w:val="6E276AFF"/>
    <w:rsid w:val="6E2B6896"/>
    <w:rsid w:val="6E34121C"/>
    <w:rsid w:val="6E6A3D7F"/>
    <w:rsid w:val="6E8E6630"/>
    <w:rsid w:val="6EAA5DA0"/>
    <w:rsid w:val="6EC90F63"/>
    <w:rsid w:val="6EDA6425"/>
    <w:rsid w:val="6EF004AA"/>
    <w:rsid w:val="6EF65E94"/>
    <w:rsid w:val="6F0E2287"/>
    <w:rsid w:val="6F1F4BDB"/>
    <w:rsid w:val="6F344CA5"/>
    <w:rsid w:val="6F593630"/>
    <w:rsid w:val="6F643868"/>
    <w:rsid w:val="6F816DAF"/>
    <w:rsid w:val="6F963F3C"/>
    <w:rsid w:val="6FA96B5C"/>
    <w:rsid w:val="6FD475BD"/>
    <w:rsid w:val="6FFD220E"/>
    <w:rsid w:val="700627AA"/>
    <w:rsid w:val="70365183"/>
    <w:rsid w:val="703D5908"/>
    <w:rsid w:val="706C30B5"/>
    <w:rsid w:val="706F792D"/>
    <w:rsid w:val="708D6139"/>
    <w:rsid w:val="70A95EF1"/>
    <w:rsid w:val="70AD2730"/>
    <w:rsid w:val="70BD1D97"/>
    <w:rsid w:val="70D94A29"/>
    <w:rsid w:val="711B0B33"/>
    <w:rsid w:val="713A2FED"/>
    <w:rsid w:val="714A5429"/>
    <w:rsid w:val="71737DC1"/>
    <w:rsid w:val="717730AC"/>
    <w:rsid w:val="7182591A"/>
    <w:rsid w:val="71936BCC"/>
    <w:rsid w:val="71BF40F4"/>
    <w:rsid w:val="71E0047C"/>
    <w:rsid w:val="71E14BF0"/>
    <w:rsid w:val="71ED62B2"/>
    <w:rsid w:val="720D3E16"/>
    <w:rsid w:val="722A2F40"/>
    <w:rsid w:val="722D7F47"/>
    <w:rsid w:val="725134A0"/>
    <w:rsid w:val="726A3326"/>
    <w:rsid w:val="729C1185"/>
    <w:rsid w:val="72C60FDD"/>
    <w:rsid w:val="72D43498"/>
    <w:rsid w:val="730724BE"/>
    <w:rsid w:val="7312356F"/>
    <w:rsid w:val="732579CA"/>
    <w:rsid w:val="73456E5D"/>
    <w:rsid w:val="736B2694"/>
    <w:rsid w:val="736E1AA3"/>
    <w:rsid w:val="73841965"/>
    <w:rsid w:val="7398016C"/>
    <w:rsid w:val="73A549A8"/>
    <w:rsid w:val="73B52D9A"/>
    <w:rsid w:val="73C81D87"/>
    <w:rsid w:val="73CC7807"/>
    <w:rsid w:val="73CE153C"/>
    <w:rsid w:val="73D2575F"/>
    <w:rsid w:val="73DB0740"/>
    <w:rsid w:val="73E75745"/>
    <w:rsid w:val="741A4194"/>
    <w:rsid w:val="74220E22"/>
    <w:rsid w:val="74365CEE"/>
    <w:rsid w:val="744E7BB3"/>
    <w:rsid w:val="74536DDE"/>
    <w:rsid w:val="74544D26"/>
    <w:rsid w:val="745B69AC"/>
    <w:rsid w:val="746C0317"/>
    <w:rsid w:val="748106CE"/>
    <w:rsid w:val="74844506"/>
    <w:rsid w:val="74F87447"/>
    <w:rsid w:val="750833A2"/>
    <w:rsid w:val="751C6B90"/>
    <w:rsid w:val="752363D0"/>
    <w:rsid w:val="75387185"/>
    <w:rsid w:val="753E0DE7"/>
    <w:rsid w:val="7553299F"/>
    <w:rsid w:val="755B6016"/>
    <w:rsid w:val="7569258E"/>
    <w:rsid w:val="75741FB7"/>
    <w:rsid w:val="75847866"/>
    <w:rsid w:val="75882579"/>
    <w:rsid w:val="75A347BE"/>
    <w:rsid w:val="75B82733"/>
    <w:rsid w:val="75CD63EC"/>
    <w:rsid w:val="75EA4177"/>
    <w:rsid w:val="75F97A3D"/>
    <w:rsid w:val="7600675C"/>
    <w:rsid w:val="760D620A"/>
    <w:rsid w:val="76182881"/>
    <w:rsid w:val="761C7688"/>
    <w:rsid w:val="76365A9C"/>
    <w:rsid w:val="7656222D"/>
    <w:rsid w:val="767B0330"/>
    <w:rsid w:val="768A7E88"/>
    <w:rsid w:val="76BB24DB"/>
    <w:rsid w:val="76BE5DDB"/>
    <w:rsid w:val="76C00F41"/>
    <w:rsid w:val="76D66828"/>
    <w:rsid w:val="76E74953"/>
    <w:rsid w:val="76F459ED"/>
    <w:rsid w:val="77161E07"/>
    <w:rsid w:val="7728196F"/>
    <w:rsid w:val="77297D8C"/>
    <w:rsid w:val="772B3B04"/>
    <w:rsid w:val="77421C23"/>
    <w:rsid w:val="77543075"/>
    <w:rsid w:val="77577CCB"/>
    <w:rsid w:val="776D5AC7"/>
    <w:rsid w:val="7799530F"/>
    <w:rsid w:val="7799673A"/>
    <w:rsid w:val="77A90327"/>
    <w:rsid w:val="77CE12D5"/>
    <w:rsid w:val="77D7628B"/>
    <w:rsid w:val="781B4B9E"/>
    <w:rsid w:val="78306975"/>
    <w:rsid w:val="78411F99"/>
    <w:rsid w:val="78623556"/>
    <w:rsid w:val="78BD5496"/>
    <w:rsid w:val="78C747E5"/>
    <w:rsid w:val="78DC4F70"/>
    <w:rsid w:val="78E430A7"/>
    <w:rsid w:val="78EC6716"/>
    <w:rsid w:val="78F43512"/>
    <w:rsid w:val="791365C8"/>
    <w:rsid w:val="795B3194"/>
    <w:rsid w:val="795F49F4"/>
    <w:rsid w:val="7961247C"/>
    <w:rsid w:val="79894852"/>
    <w:rsid w:val="79A27111"/>
    <w:rsid w:val="79B42900"/>
    <w:rsid w:val="79C50187"/>
    <w:rsid w:val="79CD2D84"/>
    <w:rsid w:val="79D73AA9"/>
    <w:rsid w:val="79F24465"/>
    <w:rsid w:val="79F27BDC"/>
    <w:rsid w:val="79FD6082"/>
    <w:rsid w:val="7A1117AA"/>
    <w:rsid w:val="7A687587"/>
    <w:rsid w:val="7A9071F4"/>
    <w:rsid w:val="7AA23FA5"/>
    <w:rsid w:val="7AB63215"/>
    <w:rsid w:val="7AB77058"/>
    <w:rsid w:val="7AC13A97"/>
    <w:rsid w:val="7ADC6C36"/>
    <w:rsid w:val="7AE74C21"/>
    <w:rsid w:val="7AEF4E49"/>
    <w:rsid w:val="7AF21BC8"/>
    <w:rsid w:val="7AF823F7"/>
    <w:rsid w:val="7B2B0D03"/>
    <w:rsid w:val="7B5F7A2B"/>
    <w:rsid w:val="7B6018A2"/>
    <w:rsid w:val="7B737828"/>
    <w:rsid w:val="7B91039C"/>
    <w:rsid w:val="7B926C39"/>
    <w:rsid w:val="7BF42D23"/>
    <w:rsid w:val="7BF936F7"/>
    <w:rsid w:val="7C0B4DE9"/>
    <w:rsid w:val="7C0B5CB2"/>
    <w:rsid w:val="7C0D2A2F"/>
    <w:rsid w:val="7C594C70"/>
    <w:rsid w:val="7C653B99"/>
    <w:rsid w:val="7C685099"/>
    <w:rsid w:val="7C6A5E66"/>
    <w:rsid w:val="7C6F0797"/>
    <w:rsid w:val="7C896EAB"/>
    <w:rsid w:val="7CA51C63"/>
    <w:rsid w:val="7CC43DB5"/>
    <w:rsid w:val="7CD25804"/>
    <w:rsid w:val="7CE42526"/>
    <w:rsid w:val="7D1312C2"/>
    <w:rsid w:val="7D1A02E6"/>
    <w:rsid w:val="7D703AE6"/>
    <w:rsid w:val="7D9A4CF5"/>
    <w:rsid w:val="7DB82512"/>
    <w:rsid w:val="7DCB02F5"/>
    <w:rsid w:val="7DD83597"/>
    <w:rsid w:val="7DE06535"/>
    <w:rsid w:val="7DEA787A"/>
    <w:rsid w:val="7E1842F0"/>
    <w:rsid w:val="7E1C4DDD"/>
    <w:rsid w:val="7E265025"/>
    <w:rsid w:val="7E3D754B"/>
    <w:rsid w:val="7E5E0DDB"/>
    <w:rsid w:val="7E7458EF"/>
    <w:rsid w:val="7E7C2E97"/>
    <w:rsid w:val="7E9E4BBC"/>
    <w:rsid w:val="7EB7085A"/>
    <w:rsid w:val="7EDC6DDA"/>
    <w:rsid w:val="7EE376DB"/>
    <w:rsid w:val="7EE66563"/>
    <w:rsid w:val="7EF05721"/>
    <w:rsid w:val="7EF40C80"/>
    <w:rsid w:val="7EF9663E"/>
    <w:rsid w:val="7EFF032E"/>
    <w:rsid w:val="7F066FE0"/>
    <w:rsid w:val="7F2419DE"/>
    <w:rsid w:val="7F3123A5"/>
    <w:rsid w:val="7F85109E"/>
    <w:rsid w:val="7F8D6D01"/>
    <w:rsid w:val="7F9113FF"/>
    <w:rsid w:val="7FA67669"/>
    <w:rsid w:val="7FC04A85"/>
    <w:rsid w:val="7FDE4DA6"/>
    <w:rsid w:val="7FEC33A0"/>
    <w:rsid w:val="7FFA1C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unhideWhenUsed/>
    <w:qFormat/>
    <w:uiPriority w:val="99"/>
    <w:pPr>
      <w:spacing w:before="100" w:beforeAutospacing="1" w:after="100" w:afterAutospacing="1"/>
      <w:ind w:left="800" w:leftChars="800"/>
    </w:pPr>
  </w:style>
  <w:style w:type="paragraph" w:styleId="5">
    <w:name w:val="Body Text"/>
    <w:basedOn w:val="1"/>
    <w:next w:val="1"/>
    <w:unhideWhenUsed/>
    <w:qFormat/>
    <w:uiPriority w:val="99"/>
    <w:pPr>
      <w:spacing w:after="120"/>
    </w:pPr>
  </w:style>
  <w:style w:type="paragraph" w:styleId="6">
    <w:name w:val="Body Text Indent"/>
    <w:basedOn w:val="1"/>
    <w:next w:val="7"/>
    <w:qFormat/>
    <w:uiPriority w:val="0"/>
    <w:pPr>
      <w:spacing w:after="120"/>
      <w:ind w:left="420" w:leftChars="200"/>
    </w:pPr>
  </w:style>
  <w:style w:type="paragraph" w:styleId="7">
    <w:name w:val="Body Text First Indent 2"/>
    <w:basedOn w:val="6"/>
    <w:next w:val="8"/>
    <w:qFormat/>
    <w:uiPriority w:val="0"/>
    <w:pPr>
      <w:ind w:firstLine="420" w:firstLineChars="200"/>
    </w:pPr>
    <w:rPr>
      <w:rFonts w:ascii="Calibri" w:hAnsi="Calibri"/>
    </w:rPr>
  </w:style>
  <w:style w:type="paragraph" w:styleId="8">
    <w:name w:val="Plain Text"/>
    <w:basedOn w:val="1"/>
    <w:unhideWhenUsed/>
    <w:qFormat/>
    <w:uiPriority w:val="99"/>
    <w:rPr>
      <w:rFonts w:ascii="宋体" w:hAnsi="Courier New"/>
    </w:r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able of figures"/>
    <w:basedOn w:val="1"/>
    <w:next w:val="1"/>
    <w:qFormat/>
    <w:uiPriority w:val="0"/>
    <w:pPr>
      <w:ind w:left="200" w:leftChars="200" w:hanging="200" w:hangingChars="200"/>
    </w:pPr>
    <w:rPr>
      <w:szCs w:val="22"/>
    </w:rPr>
  </w:style>
  <w:style w:type="paragraph" w:styleId="13">
    <w:name w:val="Normal (Web)"/>
    <w:basedOn w:val="1"/>
    <w:qFormat/>
    <w:uiPriority w:val="0"/>
    <w:pPr>
      <w:spacing w:before="100" w:beforeAutospacing="1" w:after="100" w:afterAutospacing="1"/>
      <w:jc w:val="left"/>
    </w:pPr>
    <w:rPr>
      <w:rFonts w:cs="Times New Roman"/>
      <w:kern w:val="0"/>
      <w:sz w:val="24"/>
    </w:rPr>
  </w:style>
  <w:style w:type="character" w:styleId="16">
    <w:name w:val="FollowedHyperlink"/>
    <w:basedOn w:val="15"/>
    <w:qFormat/>
    <w:uiPriority w:val="0"/>
    <w:rPr>
      <w:color w:val="333333"/>
      <w:u w:val="none"/>
    </w:rPr>
  </w:style>
  <w:style w:type="character" w:styleId="17">
    <w:name w:val="Hyperlink"/>
    <w:basedOn w:val="15"/>
    <w:qFormat/>
    <w:uiPriority w:val="0"/>
    <w:rPr>
      <w:color w:val="333333"/>
      <w:u w:val="none"/>
    </w:rPr>
  </w:style>
  <w:style w:type="character" w:customStyle="1" w:styleId="18">
    <w:name w:val="NormalCharacter"/>
    <w:semiHidden/>
    <w:qFormat/>
    <w:uiPriority w:val="0"/>
  </w:style>
  <w:style w:type="character" w:customStyle="1" w:styleId="19">
    <w:name w:val="批注框文本 Char"/>
    <w:basedOn w:val="15"/>
    <w:link w:val="9"/>
    <w:qFormat/>
    <w:uiPriority w:val="0"/>
    <w:rPr>
      <w:rFonts w:asciiTheme="minorHAnsi" w:hAnsiTheme="minorHAnsi" w:eastAsiaTheme="minorEastAsia" w:cstheme="minorBidi"/>
      <w:kern w:val="2"/>
      <w:sz w:val="18"/>
      <w:szCs w:val="18"/>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文档正文"/>
    <w:basedOn w:val="1"/>
    <w:qFormat/>
    <w:uiPriority w:val="99"/>
    <w:pPr>
      <w:adjustRightInd w:val="0"/>
      <w:spacing w:line="480" w:lineRule="atLeast"/>
      <w:textAlignment w:val="baseline"/>
    </w:pPr>
    <w:rPr>
      <w:rFonts w:ascii="Arial" w:hAnsi="Arial"/>
      <w:kern w:val="0"/>
      <w:szCs w:val="21"/>
    </w:rPr>
  </w:style>
  <w:style w:type="paragraph" w:styleId="22">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8.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image" Target="media/image4.png"/><Relationship Id="rId15" Type="http://schemas.openxmlformats.org/officeDocument/2006/relationships/oleObject" Target="embeddings/oleObject3.bin"/><Relationship Id="rId14" Type="http://schemas.openxmlformats.org/officeDocument/2006/relationships/image" Target="media/image3.png"/><Relationship Id="rId13" Type="http://schemas.openxmlformats.org/officeDocument/2006/relationships/oleObject" Target="embeddings/oleObject2.bin"/><Relationship Id="rId12" Type="http://schemas.openxmlformats.org/officeDocument/2006/relationships/image" Target="media/image2.png"/><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themeOverride" Target="../theme/themeOverride1.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_rels/chart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themeOverride" Target="../theme/themeOverride5.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image" Target="../media/image6.png"/><Relationship Id="rId2" Type="http://schemas.openxmlformats.org/officeDocument/2006/relationships/themeOverride" Target="../theme/themeOverride2.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_rels/chart4.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themeOverride" Target="../theme/themeOverride3.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_rels/chart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themeOverride" Target="../theme/themeOverride6.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_rels/chart7.xml.rels><?xml version="1.0" encoding="UTF-8" standalone="yes"?>
<Relationships xmlns="http://schemas.openxmlformats.org/package/2006/relationships"><Relationship Id="rId6" Type="http://schemas.microsoft.com/office/2011/relationships/chartColorStyle" Target="colors3.xml"/><Relationship Id="rId5" Type="http://schemas.microsoft.com/office/2011/relationships/chartStyle" Target="style3.xml"/><Relationship Id="rId4" Type="http://schemas.openxmlformats.org/officeDocument/2006/relationships/image" Target="../media/image14.png"/><Relationship Id="rId3" Type="http://schemas.openxmlformats.org/officeDocument/2006/relationships/image" Target="../media/image13.png"/><Relationship Id="rId2" Type="http://schemas.openxmlformats.org/officeDocument/2006/relationships/themeOverride" Target="../theme/themeOverride8.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_rels/chart8.xml.rels><?xml version="1.0" encoding="UTF-8" standalone="yes"?>
<Relationships xmlns="http://schemas.openxmlformats.org/package/2006/relationships"><Relationship Id="rId7" Type="http://schemas.microsoft.com/office/2011/relationships/chartColorStyle" Target="colors2.xml"/><Relationship Id="rId6" Type="http://schemas.microsoft.com/office/2011/relationships/chartStyle" Target="style2.xml"/><Relationship Id="rId5" Type="http://schemas.openxmlformats.org/officeDocument/2006/relationships/image" Target="../media/image12.png"/><Relationship Id="rId4" Type="http://schemas.openxmlformats.org/officeDocument/2006/relationships/image" Target="../media/image11.png"/><Relationship Id="rId3" Type="http://schemas.openxmlformats.org/officeDocument/2006/relationships/image" Target="../media/image10.png"/><Relationship Id="rId2" Type="http://schemas.openxmlformats.org/officeDocument/2006/relationships/themeOverride" Target="../theme/themeOverride7.xml"/><Relationship Id="rId1" Type="http://schemas.openxmlformats.org/officeDocument/2006/relationships/oleObject" Target="file:///E:\&#20309;&#27946;&#33805;\&#32508;&#21512;&#26680;&#31639;\&#21382;&#24180;&#22269;&#27665;&#32463;&#27982;&#21644;&#31038;&#20250;&#21457;&#23637;&#20844;&#25253;\&#22756;&#22616;2023&#24180;&#20844;&#25253;&#2104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1</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：近五年壤塘县地区生产总值及增长速度</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22858914816269"/>
          <c:y val="0.0563492063492064"/>
        </c:manualLayout>
      </c:layout>
      <c:overlay val="false"/>
      <c:spPr>
        <a:noFill/>
        <a:ln>
          <a:noFill/>
        </a:ln>
        <a:effectLst/>
      </c:spPr>
    </c:title>
    <c:autoTitleDeleted val="false"/>
    <c:plotArea>
      <c:layout/>
      <c:barChart>
        <c:barDir val="col"/>
        <c:grouping val="clustered"/>
        <c:varyColors val="false"/>
        <c:ser>
          <c:idx val="0"/>
          <c:order val="0"/>
          <c:tx>
            <c:strRef>
              <c:f>[壤塘2023年公报制图表.xls]Sheet1!$A$2</c:f>
              <c:strCache>
                <c:ptCount val="1"/>
                <c:pt idx="0">
                  <c:v>地区生产总值（万元）</c:v>
                </c:pt>
              </c:strCache>
            </c:strRef>
          </c:tx>
          <c:spPr>
            <a:blipFill>
              <a:blip xmlns:r="http://schemas.openxmlformats.org/officeDocument/2006/relationships" r:embed="rId3"/>
              <a:stretch>
                <a:fillRect/>
              </a:stretch>
            </a:blipFill>
            <a:ln>
              <a:noFill/>
            </a:ln>
            <a:effectLst>
              <a:outerShdw blurRad="101600" dir="13500000" sy="23000" kx="1200000" algn="br" rotWithShape="0">
                <a:schemeClr val="tx1">
                  <a:lumMod val="95000"/>
                  <a:lumOff val="5000"/>
                  <a:alpha val="20000"/>
                </a:schemeClr>
              </a:outerShdw>
            </a:effectLst>
          </c:spPr>
          <c:invertIfNegative val="false"/>
          <c:dPt>
            <c:idx val="0"/>
            <c:invertIfNegative val="false"/>
            <c:bubble3D val="false"/>
            <c:explosion val="0"/>
            <c:spPr>
              <a:blipFill>
                <a:blip xmlns:r="http://schemas.openxmlformats.org/officeDocument/2006/relationships" r:embed="rId3"/>
                <a:stretch>
                  <a:fillRect/>
                </a:stretch>
              </a:blipFill>
              <a:ln>
                <a:noFill/>
              </a:ln>
              <a:effectLst>
                <a:outerShdw blurRad="101600" dir="13500000" sy="23000" kx="1200000" algn="br" rotWithShape="0">
                  <a:schemeClr val="tx1">
                    <a:lumMod val="95000"/>
                    <a:lumOff val="5000"/>
                    <a:alpha val="20000"/>
                  </a:schemeClr>
                </a:outerShdw>
              </a:effectLst>
            </c:spPr>
          </c:dPt>
          <c:dPt>
            <c:idx val="1"/>
            <c:invertIfNegative val="false"/>
            <c:bubble3D val="false"/>
            <c:explosion val="0"/>
            <c:spPr>
              <a:blipFill>
                <a:blip xmlns:r="http://schemas.openxmlformats.org/officeDocument/2006/relationships" r:embed="rId3"/>
                <a:stretch>
                  <a:fillRect/>
                </a:stretch>
              </a:blipFill>
              <a:ln>
                <a:noFill/>
              </a:ln>
              <a:effectLst>
                <a:outerShdw blurRad="101600" dir="13500000" sy="23000" kx="1200000" algn="br" rotWithShape="0">
                  <a:schemeClr val="tx1">
                    <a:lumMod val="95000"/>
                    <a:lumOff val="5000"/>
                    <a:alpha val="20000"/>
                  </a:schemeClr>
                </a:outerShdw>
              </a:effectLst>
            </c:spPr>
          </c:dPt>
          <c:dPt>
            <c:idx val="2"/>
            <c:invertIfNegative val="false"/>
            <c:bubble3D val="false"/>
            <c:explosion val="0"/>
            <c:spPr>
              <a:blipFill>
                <a:blip xmlns:r="http://schemas.openxmlformats.org/officeDocument/2006/relationships" r:embed="rId3"/>
                <a:stretch>
                  <a:fillRect/>
                </a:stretch>
              </a:blipFill>
              <a:ln>
                <a:noFill/>
              </a:ln>
              <a:effectLst>
                <a:outerShdw blurRad="101600" dir="13500000" sy="23000" kx="1200000" algn="br" rotWithShape="0">
                  <a:schemeClr val="tx1">
                    <a:lumMod val="95000"/>
                    <a:lumOff val="5000"/>
                    <a:alpha val="20000"/>
                  </a:schemeClr>
                </a:outerShdw>
              </a:effectLst>
            </c:spPr>
          </c:dPt>
          <c:dPt>
            <c:idx val="3"/>
            <c:invertIfNegative val="false"/>
            <c:bubble3D val="false"/>
            <c:explosion val="0"/>
            <c:spPr>
              <a:blipFill>
                <a:blip xmlns:r="http://schemas.openxmlformats.org/officeDocument/2006/relationships" r:embed="rId3"/>
                <a:stretch>
                  <a:fillRect/>
                </a:stretch>
              </a:blipFill>
              <a:ln>
                <a:noFill/>
              </a:ln>
              <a:effectLst>
                <a:outerShdw blurRad="101600" dir="13500000" sy="23000" kx="1200000" algn="br" rotWithShape="0">
                  <a:schemeClr val="tx1">
                    <a:lumMod val="95000"/>
                    <a:lumOff val="5000"/>
                    <a:alpha val="20000"/>
                  </a:schemeClr>
                </a:outerShdw>
              </a:effectLst>
            </c:spPr>
          </c:dPt>
          <c:dLbls>
            <c:dLbl>
              <c:idx val="0"/>
              <c:layout>
                <c:manualLayout>
                  <c:x val="-0.00465538775973657"/>
                  <c:y val="0.02595238095238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26190476190476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
                  <c:y val="0.0292857142857143"/>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0158964460088566"/>
                  <c:y val="0.0226190476190476"/>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
                  <c:y val="0.02595238095238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[壤塘2023年公报制图表.xls]Sheet1!$B$1:$F$1</c:f>
              <c:strCache>
                <c:ptCount val="5"/>
                <c:pt idx="0">
                  <c:v>2019年</c:v>
                </c:pt>
                <c:pt idx="1">
                  <c:v>2020年</c:v>
                </c:pt>
                <c:pt idx="2">
                  <c:v>2021年</c:v>
                </c:pt>
                <c:pt idx="3">
                  <c:v>2022年</c:v>
                </c:pt>
                <c:pt idx="4">
                  <c:v>2023年</c:v>
                </c:pt>
              </c:strCache>
            </c:strRef>
          </c:cat>
          <c:val>
            <c:numRef>
              <c:f>[壤塘2023年公报制图表.xls]Sheet1!$B$2:$F$2</c:f>
              <c:numCache>
                <c:formatCode>General</c:formatCode>
                <c:ptCount val="5"/>
                <c:pt idx="0">
                  <c:v>122015</c:v>
                </c:pt>
                <c:pt idx="1">
                  <c:v>132089</c:v>
                </c:pt>
                <c:pt idx="2">
                  <c:v>143048</c:v>
                </c:pt>
                <c:pt idx="3">
                  <c:v>144822</c:v>
                </c:pt>
                <c:pt idx="4">
                  <c:v>155015</c:v>
                </c:pt>
              </c:numCache>
            </c:numRef>
          </c:val>
        </c:ser>
        <c:dLbls>
          <c:showLegendKey val="false"/>
          <c:showVal val="false"/>
          <c:showCatName val="false"/>
          <c:showSerName val="false"/>
          <c:showPercent val="false"/>
          <c:showBubbleSize val="false"/>
        </c:dLbls>
        <c:gapWidth val="75"/>
        <c:overlap val="-25"/>
        <c:axId val="891152195"/>
        <c:axId val="962840764"/>
      </c:barChart>
      <c:lineChart>
        <c:grouping val="standard"/>
        <c:varyColors val="false"/>
        <c:ser>
          <c:idx val="1"/>
          <c:order val="1"/>
          <c:tx>
            <c:strRef>
              <c:f>[壤塘2023年公报制图表.xls]Sheet1!$A$3</c:f>
              <c:strCache>
                <c:ptCount val="1"/>
                <c:pt idx="0">
                  <c:v>增长速度(%)</c:v>
                </c:pt>
              </c:strCache>
            </c:strRef>
          </c:tx>
          <c:spPr>
            <a:ln w="28575" cap="rnd" cmpd="sng" algn="ctr">
              <a:solidFill>
                <a:schemeClr val="accent2"/>
              </a:solidFill>
              <a:prstDash val="solid"/>
              <a:round/>
            </a:ln>
            <a:effectLst/>
          </c:spPr>
          <c:marker>
            <c:symbol val="circle"/>
            <c:size val="5"/>
            <c:spPr>
              <a:solidFill>
                <a:srgbClr val="FF0000"/>
              </a:solidFill>
              <a:ln w="9525" cap="flat" cmpd="sng" algn="ctr">
                <a:solidFill>
                  <a:schemeClr val="accent2"/>
                </a:solidFill>
                <a:prstDash val="solid"/>
                <a:round/>
              </a:ln>
              <a:effectLst/>
            </c:spPr>
          </c:marker>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[壤塘2023年公报制图表.xls]Sheet1!$B$1:$F$1</c:f>
              <c:strCache>
                <c:ptCount val="5"/>
                <c:pt idx="0">
                  <c:v>2019年</c:v>
                </c:pt>
                <c:pt idx="1">
                  <c:v>2020年</c:v>
                </c:pt>
                <c:pt idx="2">
                  <c:v>2021年</c:v>
                </c:pt>
                <c:pt idx="3">
                  <c:v>2022年</c:v>
                </c:pt>
                <c:pt idx="4">
                  <c:v>2023年</c:v>
                </c:pt>
              </c:strCache>
            </c:strRef>
          </c:cat>
          <c:val>
            <c:numRef>
              <c:f>[壤塘2023年公报制图表.xls]Sheet1!$B$3:$F$3</c:f>
              <c:numCache>
                <c:formatCode>General</c:formatCode>
                <c:ptCount val="5"/>
                <c:pt idx="0">
                  <c:v>5</c:v>
                </c:pt>
                <c:pt idx="1">
                  <c:v>1.1</c:v>
                </c:pt>
                <c:pt idx="2">
                  <c:v>6.5</c:v>
                </c:pt>
                <c:pt idx="3">
                  <c:v>1.6</c:v>
                </c:pt>
                <c:pt idx="4">
                  <c:v>6.8</c:v>
                </c:pt>
              </c:numCache>
            </c:numRef>
          </c:val>
          <c:smooth val="false"/>
        </c:ser>
        <c:dLbls>
          <c:showLegendKey val="false"/>
          <c:showVal val="false"/>
          <c:showCatName val="false"/>
          <c:showSerName val="false"/>
          <c:showPercent val="false"/>
          <c:showBubbleSize val="false"/>
        </c:dLbls>
        <c:marker val="true"/>
        <c:smooth val="false"/>
        <c:axId val="994418781"/>
        <c:axId val="628699239"/>
      </c:lineChart>
      <c:catAx>
        <c:axId val="891152195"/>
        <c:scaling>
          <c:orientation val="minMax"/>
        </c:scaling>
        <c:delete val="false"/>
        <c:axPos val="b"/>
        <c:majorTickMark val="none"/>
        <c:minorTickMark val="none"/>
        <c:tickLblPos val="nextTo"/>
        <c:spPr>
          <a:noFill/>
          <a:ln w="9525" cap="flat" cmpd="sng" algn="ctr">
            <a:solidFill>
              <a:schemeClr val="bg1">
                <a:alpha val="50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62840764"/>
        <c:crosses val="autoZero"/>
        <c:auto val="true"/>
        <c:lblAlgn val="ctr"/>
        <c:lblOffset val="100"/>
        <c:noMultiLvlLbl val="false"/>
      </c:catAx>
      <c:valAx>
        <c:axId val="962840764"/>
        <c:scaling>
          <c:orientation val="minMax"/>
        </c:scaling>
        <c:delete val="false"/>
        <c:axPos val="l"/>
        <c:majorGridlines>
          <c:spPr>
            <a:ln w="9525" cap="flat" cmpd="sng" algn="ctr">
              <a:solidFill>
                <a:schemeClr val="bg1">
                  <a:alpha val="20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91152195"/>
        <c:crosses val="autoZero"/>
        <c:crossBetween val="between"/>
      </c:valAx>
      <c:catAx>
        <c:axId val="994418781"/>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FFFFFF">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28699239"/>
        <c:crosses val="autoZero"/>
        <c:auto val="true"/>
        <c:lblAlgn val="ctr"/>
        <c:lblOffset val="100"/>
        <c:noMultiLvlLbl val="false"/>
      </c:catAx>
      <c:valAx>
        <c:axId val="628699239"/>
        <c:scaling>
          <c:orientation val="minMax"/>
        </c:scaling>
        <c:delete val="false"/>
        <c:axPos val="r"/>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94418781"/>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gradFill rotWithShape="true">
      <a:gsLst>
        <a:gs pos="58000">
          <a:srgbClr val="CDFBCD"/>
        </a:gs>
        <a:gs pos="99000">
          <a:srgbClr val="72D773"/>
        </a:gs>
        <a:gs pos="98000">
          <a:srgbClr val="72D673"/>
        </a:gs>
        <a:gs pos="98000">
          <a:srgbClr val="A9E4A9"/>
        </a:gs>
      </a:gsLst>
      <a:lin ang="16200000" scaled="false"/>
    </a:gradFill>
    <a:ln w="9525" cap="flat" cmpd="sng" algn="ctr">
      <a:solidFill>
        <a:schemeClr val="tx1">
          <a:lumMod val="15000"/>
          <a:lumOff val="85000"/>
        </a:schemeClr>
      </a:solidFill>
      <a:prstDash val="solid"/>
      <a:round/>
    </a:ln>
    <a:effectLst/>
  </c:spPr>
  <c:txPr>
    <a:bodyPr wrap="square"/>
    <a:lstStyle/>
    <a:p>
      <a:pPr>
        <a:defRPr lang="zh-CN">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alpha val="68000"/>
                  </a:sysClr>
                </a:solidFill>
                <a:latin typeface="微软雅黑" panose="020B0503020204020204" charset="-122"/>
                <a:ea typeface="微软雅黑" panose="020B0503020204020204" charset="-122"/>
                <a:cs typeface="+mn-cs"/>
              </a:defRPr>
            </a:pP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2</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：近五年壤塘县三次产业增加值占地区生产总值比重（</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rPr>
              <a:t>）</a:t>
            </a:r>
            <a:endParaRPr altLang="en-US"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15394736842105"/>
          <c:y val="0.0277777777777778"/>
        </c:manualLayout>
      </c:layout>
      <c:overlay val="false"/>
      <c:spPr>
        <a:noFill/>
        <a:ln>
          <a:noFill/>
        </a:ln>
        <a:effectLst/>
      </c:spPr>
    </c:title>
    <c:autoTitleDeleted val="false"/>
    <c:plotArea>
      <c:layout/>
      <c:barChart>
        <c:barDir val="col"/>
        <c:grouping val="percentStacked"/>
        <c:varyColors val="false"/>
        <c:ser>
          <c:idx val="0"/>
          <c:order val="0"/>
          <c:tx>
            <c:strRef>
              <c:f>[壤塘2023年公报制图表.xls]Sheet1!$A$28</c:f>
              <c:strCache>
                <c:ptCount val="1"/>
                <c:pt idx="0">
                  <c:v>一产业</c:v>
                </c:pt>
              </c:strCache>
            </c:strRef>
          </c:tx>
          <c:spPr>
            <a:blipFill>
              <a:blip xmlns:r="http://schemas.openxmlformats.org/officeDocument/2006/relationships" r:embed="rId3"/>
              <a:stretch>
                <a:fillRect/>
              </a:stretch>
            </a:blip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[壤塘2023年公报制图表.xls]Sheet1!$B$27:$F$27</c:f>
              <c:strCache>
                <c:ptCount val="5"/>
                <c:pt idx="0">
                  <c:v>2019年</c:v>
                </c:pt>
                <c:pt idx="1">
                  <c:v>2020年</c:v>
                </c:pt>
                <c:pt idx="2">
                  <c:v>2021年</c:v>
                </c:pt>
                <c:pt idx="3">
                  <c:v>2022年</c:v>
                </c:pt>
                <c:pt idx="4">
                  <c:v>2023年</c:v>
                </c:pt>
              </c:strCache>
            </c:strRef>
          </c:cat>
          <c:val>
            <c:numRef>
              <c:f>[壤塘2023年公报制图表.xls]Sheet1!$B$28:$F$28</c:f>
              <c:numCache>
                <c:formatCode>General</c:formatCode>
                <c:ptCount val="5"/>
                <c:pt idx="0">
                  <c:v>24.5</c:v>
                </c:pt>
                <c:pt idx="1">
                  <c:v>28.8</c:v>
                </c:pt>
                <c:pt idx="2">
                  <c:v>29.2</c:v>
                </c:pt>
                <c:pt idx="3">
                  <c:v>29.1</c:v>
                </c:pt>
                <c:pt idx="4">
                  <c:v>28.2</c:v>
                </c:pt>
              </c:numCache>
            </c:numRef>
          </c:val>
        </c:ser>
        <c:ser>
          <c:idx val="1"/>
          <c:order val="1"/>
          <c:tx>
            <c:strRef>
              <c:f>[壤塘2023年公报制图表.xls]Sheet1!$A$29</c:f>
              <c:strCache>
                <c:ptCount val="1"/>
                <c:pt idx="0">
                  <c:v>二产业</c:v>
                </c:pt>
              </c:strCache>
            </c:strRef>
          </c:tx>
          <c:spPr>
            <a:gradFill>
              <a:gsLst>
                <a:gs pos="50000">
                  <a:srgbClr val="2CAF29"/>
                </a:gs>
                <a:gs pos="2000">
                  <a:srgbClr val="A3E9A3"/>
                </a:gs>
                <a:gs pos="100000">
                  <a:srgbClr val="0B8F08"/>
                </a:gs>
              </a:gsLst>
              <a:lin ang="16200000" scaled="false"/>
            </a:gra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[壤塘2023年公报制图表.xls]Sheet1!$B$27:$F$27</c:f>
              <c:strCache>
                <c:ptCount val="5"/>
                <c:pt idx="0">
                  <c:v>2019年</c:v>
                </c:pt>
                <c:pt idx="1">
                  <c:v>2020年</c:v>
                </c:pt>
                <c:pt idx="2">
                  <c:v>2021年</c:v>
                </c:pt>
                <c:pt idx="3">
                  <c:v>2022年</c:v>
                </c:pt>
                <c:pt idx="4">
                  <c:v>2023年</c:v>
                </c:pt>
              </c:strCache>
            </c:strRef>
          </c:cat>
          <c:val>
            <c:numRef>
              <c:f>[壤塘2023年公报制图表.xls]Sheet1!$B$29:$F$29</c:f>
              <c:numCache>
                <c:formatCode>General</c:formatCode>
                <c:ptCount val="5"/>
                <c:pt idx="0">
                  <c:v>5.5</c:v>
                </c:pt>
                <c:pt idx="1">
                  <c:v>4.2</c:v>
                </c:pt>
                <c:pt idx="2">
                  <c:v>4.3</c:v>
                </c:pt>
                <c:pt idx="3">
                  <c:v>4.4</c:v>
                </c:pt>
                <c:pt idx="4">
                  <c:v>4.1</c:v>
                </c:pt>
              </c:numCache>
            </c:numRef>
          </c:val>
        </c:ser>
        <c:ser>
          <c:idx val="2"/>
          <c:order val="2"/>
          <c:tx>
            <c:strRef>
              <c:f>[壤塘2023年公报制图表.xls]Sheet1!$A$30</c:f>
              <c:strCache>
                <c:ptCount val="1"/>
                <c:pt idx="0">
                  <c:v>三产业</c:v>
                </c:pt>
              </c:strCache>
            </c:strRef>
          </c:tx>
          <c:spPr>
            <a:gradFill>
              <a:gsLst>
                <a:gs pos="0">
                  <a:srgbClr val="D92763"/>
                </a:gs>
                <a:gs pos="50000">
                  <a:srgbClr val="E3447A"/>
                </a:gs>
                <a:gs pos="79000">
                  <a:srgbClr val="EC6091"/>
                </a:gs>
              </a:gsLst>
              <a:lin ang="5400000" scaled="true"/>
            </a:gradFill>
            <a:ln>
              <a:noFill/>
            </a:ln>
            <a:effectLst>
              <a:innerShdw blurRad="114300">
                <a:prstClr val="black"/>
              </a:inn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[壤塘2023年公报制图表.xls]Sheet1!$B$27:$F$27</c:f>
              <c:strCache>
                <c:ptCount val="5"/>
                <c:pt idx="0">
                  <c:v>2019年</c:v>
                </c:pt>
                <c:pt idx="1">
                  <c:v>2020年</c:v>
                </c:pt>
                <c:pt idx="2">
                  <c:v>2021年</c:v>
                </c:pt>
                <c:pt idx="3">
                  <c:v>2022年</c:v>
                </c:pt>
                <c:pt idx="4">
                  <c:v>2023年</c:v>
                </c:pt>
              </c:strCache>
            </c:strRef>
          </c:cat>
          <c:val>
            <c:numRef>
              <c:f>[壤塘2023年公报制图表.xls]Sheet1!$B$30:$F$30</c:f>
              <c:numCache>
                <c:formatCode>General</c:formatCode>
                <c:ptCount val="5"/>
                <c:pt idx="0">
                  <c:v>70</c:v>
                </c:pt>
                <c:pt idx="1">
                  <c:v>67</c:v>
                </c:pt>
                <c:pt idx="2">
                  <c:v>66.5</c:v>
                </c:pt>
                <c:pt idx="3">
                  <c:v>66.5</c:v>
                </c:pt>
                <c:pt idx="4">
                  <c:v>67.7</c:v>
                </c:pt>
              </c:numCache>
            </c:numRef>
          </c:val>
        </c:ser>
        <c:dLbls>
          <c:showLegendKey val="false"/>
          <c:showVal val="false"/>
          <c:showCatName val="false"/>
          <c:showSerName val="false"/>
          <c:showPercent val="false"/>
          <c:showBubbleSize val="false"/>
        </c:dLbls>
        <c:gapWidth val="75"/>
        <c:overlap val="100"/>
        <c:axId val="552241889"/>
        <c:axId val="362083609"/>
      </c:barChart>
      <c:catAx>
        <c:axId val="552241889"/>
        <c:scaling>
          <c:orientation val="minMax"/>
        </c:scaling>
        <c:delete val="false"/>
        <c:axPos val="b"/>
        <c:majorTickMark val="none"/>
        <c:minorTickMark val="none"/>
        <c:tickLblPos val="nextTo"/>
        <c:spPr>
          <a:noFill/>
          <a:ln w="9525" cap="flat" cmpd="sng" algn="ctr">
            <a:solidFill>
              <a:schemeClr val="bg1">
                <a:lumMod val="95000"/>
                <a:alpha val="14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crossAx val="362083609"/>
        <c:crosses val="autoZero"/>
        <c:auto val="true"/>
        <c:lblAlgn val="ctr"/>
        <c:lblOffset val="100"/>
        <c:noMultiLvlLbl val="false"/>
      </c:catAx>
      <c:valAx>
        <c:axId val="362083609"/>
        <c:scaling>
          <c:orientation val="minMax"/>
        </c:scaling>
        <c:delete val="false"/>
        <c:axPos val="l"/>
        <c:majorGridlines>
          <c:spPr>
            <a:ln w="9525" cap="flat" cmpd="sng" algn="ctr">
              <a:solidFill>
                <a:schemeClr val="bg1">
                  <a:lumMod val="95000"/>
                  <a:alpha val="13000"/>
                </a:schemeClr>
              </a:solidFill>
              <a:prstDash val="solid"/>
              <a:round/>
            </a:ln>
            <a:effectLst/>
          </c:spPr>
        </c:majorGridlines>
        <c:numFmt formatCode="0%" sourceLinked="true"/>
        <c:majorTickMark val="out"/>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crossAx val="552241889"/>
        <c:crosses val="autoZero"/>
        <c:crossBetween val="between"/>
      </c:valAx>
      <c:spPr>
        <a:noFill/>
        <a:ln>
          <a:solidFill>
            <a:schemeClr val="bg1">
              <a:lumMod val="95000"/>
              <a:alpha val="0"/>
            </a:schemeClr>
          </a:solid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legendEntry>
      <c:legendEntry>
        <c:idx val="2"/>
        <c:txPr>
          <a:bodyPr rot="0" spcFirstLastPara="0" vertOverflow="ellipsis" vert="horz" wrap="square" anchor="ctr" anchorCtr="tru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ysClr val="windowText" lastClr="000000">
                  <a:alpha val="68000"/>
                </a:sysClr>
              </a:solidFill>
              <a:latin typeface="微软雅黑" panose="020B0503020204020204" charset="-122"/>
              <a:ea typeface="微软雅黑" panose="020B0503020204020204" charset="-122"/>
              <a:cs typeface="+mn-cs"/>
            </a:defRPr>
          </a:pPr>
        </a:p>
      </c:txPr>
    </c:legend>
    <c:plotVisOnly val="true"/>
    <c:dispBlanksAs val="gap"/>
    <c:showDLblsOverMax val="false"/>
  </c:chart>
  <c:spPr>
    <a:no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wrap="square"/>
    <a:lstStyle/>
    <a:p>
      <a:pPr>
        <a:defRPr lang="zh-CN">
          <a:solidFill>
            <a:schemeClr val="bg1">
              <a:alpha val="68000"/>
            </a:schemeClr>
          </a:solidFill>
          <a:latin typeface="微软雅黑" panose="020B0503020204020204" charset="-122"/>
          <a:ea typeface="微软雅黑" panose="020B0503020204020204"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ln w="0" cmpd="sng">
                  <a:noFill/>
                  <a:prstDash val="solid"/>
                </a:ln>
                <a:solidFill>
                  <a:schemeClr val="tx1"/>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rPr>
              <a:t>图</a:t>
            </a:r>
            <a:r>
              <a:rPr lang="en-US" altLang="zh-CN" sz="140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rPr>
              <a:t>3</a:t>
            </a:r>
            <a:r>
              <a:rPr altLang="en-US" sz="140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rPr>
              <a:t>：近五年壤塘县民营经济增加值及增长速度</a:t>
            </a:r>
            <a:endParaRPr altLang="en-US" sz="140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c:rich>
      </c:tx>
      <c:layout>
        <c:manualLayout>
          <c:xMode val="edge"/>
          <c:yMode val="edge"/>
          <c:x val="0.163796073027903"/>
          <c:y val="0.019875336644847"/>
        </c:manualLayout>
      </c:layout>
      <c:overlay val="false"/>
      <c:spPr>
        <a:noFill/>
        <a:ln>
          <a:noFill/>
        </a:ln>
        <a:effectLst/>
      </c:spPr>
    </c:title>
    <c:autoTitleDeleted val="false"/>
    <c:plotArea>
      <c:layout/>
      <c:barChart>
        <c:barDir val="col"/>
        <c:grouping val="clustered"/>
        <c:varyColors val="false"/>
        <c:ser>
          <c:idx val="0"/>
          <c:order val="0"/>
          <c:tx>
            <c:strRef>
              <c:f>[壤塘2023年公报制图表.xls]Sheet1!$A$5</c:f>
              <c:strCache>
                <c:ptCount val="1"/>
                <c:pt idx="0">
                  <c:v>民营经济()</c:v>
                </c:pt>
              </c:strCache>
            </c:strRef>
          </c:tx>
          <c:spPr>
            <a:blipFill rotWithShape="true">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sym typeface="汉仪旗黑-55简" panose="00020600040101010101" charset="-128"/>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[壤塘2023年公报制图表.xls]Sheet1!$B$4:$F$4</c:f>
              <c:strCache>
                <c:ptCount val="5"/>
                <c:pt idx="0">
                  <c:v>2019年</c:v>
                </c:pt>
                <c:pt idx="1">
                  <c:v>2020年</c:v>
                </c:pt>
                <c:pt idx="2">
                  <c:v>2021年</c:v>
                </c:pt>
                <c:pt idx="3">
                  <c:v>2022年</c:v>
                </c:pt>
                <c:pt idx="4">
                  <c:v>2023年</c:v>
                </c:pt>
              </c:strCache>
            </c:strRef>
          </c:cat>
          <c:val>
            <c:numRef>
              <c:f>[壤塘2023年公报制图表.xls]Sheet1!$B$5:$F$5</c:f>
              <c:numCache>
                <c:formatCode>General</c:formatCode>
                <c:ptCount val="5"/>
                <c:pt idx="0">
                  <c:v>48584</c:v>
                </c:pt>
                <c:pt idx="1">
                  <c:v>50081</c:v>
                </c:pt>
                <c:pt idx="2">
                  <c:v>53783</c:v>
                </c:pt>
                <c:pt idx="3">
                  <c:v>54221</c:v>
                </c:pt>
                <c:pt idx="4">
                  <c:v>57996</c:v>
                </c:pt>
              </c:numCache>
            </c:numRef>
          </c:val>
        </c:ser>
        <c:dLbls>
          <c:showLegendKey val="false"/>
          <c:showVal val="true"/>
          <c:showCatName val="false"/>
          <c:showSerName val="false"/>
          <c:showPercent val="false"/>
          <c:showBubbleSize val="false"/>
        </c:dLbls>
        <c:gapWidth val="75"/>
        <c:overlap val="-25"/>
        <c:axId val="168976978"/>
        <c:axId val="939458901"/>
      </c:barChart>
      <c:lineChart>
        <c:grouping val="standard"/>
        <c:varyColors val="false"/>
        <c:ser>
          <c:idx val="1"/>
          <c:order val="1"/>
          <c:tx>
            <c:strRef>
              <c:f>[壤塘2023年公报制图表.xls]Sheet1!$A$6</c:f>
              <c:strCache>
                <c:ptCount val="1"/>
                <c:pt idx="0">
                  <c:v>增长速度(%)</c:v>
                </c:pt>
              </c:strCache>
            </c:strRef>
          </c:tx>
          <c:spPr>
            <a:ln w="28575" cap="rnd" cmpd="sng">
              <a:solidFill>
                <a:srgbClr val="D40CD6"/>
              </a:solidFill>
              <a:prstDash val="sysDash"/>
              <a:round/>
              <a:headEnd type="none"/>
              <a:tailEnd type="none"/>
            </a:ln>
            <a:effectLst>
              <a:outerShdw blurRad="76200" dir="18900000" sy="23000" kx="-1200000" algn="bl" rotWithShape="0">
                <a:prstClr val="black">
                  <a:alpha val="20000"/>
                </a:prstClr>
              </a:outerShdw>
            </a:effectLst>
            <a:sp3d contourW="28575"/>
          </c:spPr>
          <c:marker>
            <c:symbol val="circle"/>
            <c:size val="5"/>
            <c:spPr>
              <a:solidFill>
                <a:srgbClr val="D40CD6"/>
              </a:solidFill>
              <a:ln w="9525">
                <a:solidFill>
                  <a:srgbClr val="D40CD6"/>
                </a:solidFill>
              </a:ln>
              <a:effectLst/>
            </c:spPr>
          </c:marker>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solidFill>
                    <a:latin typeface="+mn-lt"/>
                    <a:ea typeface="+mn-ea"/>
                    <a:cs typeface="+mn-cs"/>
                    <a:sym typeface="汉仪旗黑-55简" panose="00020600040101010101" charset="-128"/>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[壤塘2023年公报制图表.xls]Sheet1!$B$4:$F$4</c:f>
              <c:strCache>
                <c:ptCount val="5"/>
                <c:pt idx="0">
                  <c:v>2019年</c:v>
                </c:pt>
                <c:pt idx="1">
                  <c:v>2020年</c:v>
                </c:pt>
                <c:pt idx="2">
                  <c:v>2021年</c:v>
                </c:pt>
                <c:pt idx="3">
                  <c:v>2022年</c:v>
                </c:pt>
                <c:pt idx="4">
                  <c:v>2023年</c:v>
                </c:pt>
              </c:strCache>
            </c:strRef>
          </c:cat>
          <c:val>
            <c:numRef>
              <c:f>[壤塘2023年公报制图表.xls]Sheet1!$B$6:$F$6</c:f>
              <c:numCache>
                <c:formatCode>General</c:formatCode>
                <c:ptCount val="5"/>
                <c:pt idx="0">
                  <c:v>5.3</c:v>
                </c:pt>
                <c:pt idx="1">
                  <c:v>0.3</c:v>
                </c:pt>
                <c:pt idx="2">
                  <c:v>6</c:v>
                </c:pt>
                <c:pt idx="3">
                  <c:v>0.9</c:v>
                </c:pt>
                <c:pt idx="4">
                  <c:v>6.4</c:v>
                </c:pt>
              </c:numCache>
            </c:numRef>
          </c:val>
          <c:smooth val="false"/>
        </c:ser>
        <c:dLbls>
          <c:showLegendKey val="false"/>
          <c:showVal val="true"/>
          <c:showCatName val="false"/>
          <c:showSerName val="false"/>
          <c:showPercent val="false"/>
          <c:showBubbleSize val="false"/>
        </c:dLbls>
        <c:marker val="true"/>
        <c:smooth val="false"/>
        <c:axId val="602630331"/>
        <c:axId val="783163985"/>
      </c:lineChart>
      <c:catAx>
        <c:axId val="168976978"/>
        <c:scaling>
          <c:orientation val="minMax"/>
        </c:scaling>
        <c:delete val="false"/>
        <c:axPos val="b"/>
        <c:numFmt formatCode="General" sourceLinked="true"/>
        <c:majorTickMark val="none"/>
        <c:minorTickMark val="none"/>
        <c:tickLblPos val="nextTo"/>
        <c:spPr>
          <a:noFill/>
          <a:ln w="9525" cap="flat" cmpd="sng" algn="ctr">
            <a:solidFill>
              <a:srgbClr val="7A7A7A"/>
            </a:solidFill>
            <a:round/>
          </a:ln>
          <a:effectLst/>
        </c:spPr>
        <c:txPr>
          <a:bodyPr rot="-60000000" spcFirstLastPara="0" vertOverflow="ellipsis" vert="horz" wrap="square" anchor="ctr" anchorCtr="true" forceAA="false"/>
          <a:lstStyle/>
          <a:p>
            <a:pPr>
              <a:defRPr lang="zh-CN" sz="900" b="0" i="0" u="none" strike="noStrike" kern="1200" cap="none" spc="0" normalizeH="0" baseline="0">
                <a:solidFill>
                  <a:schemeClr val="tx1"/>
                </a:solidFill>
                <a:uFill>
                  <a:solidFill>
                    <a:schemeClr val="tx1">
                      <a:lumMod val="65000"/>
                      <a:lumOff val="35000"/>
                    </a:schemeClr>
                  </a:solidFill>
                </a:uFill>
                <a:latin typeface="+mn-lt"/>
                <a:ea typeface="+mn-ea"/>
                <a:cs typeface="+mn-cs"/>
                <a:sym typeface="汉仪旗黑-55简" panose="00020600040101010101" charset="-128"/>
              </a:defRPr>
            </a:pPr>
          </a:p>
        </c:txPr>
        <c:crossAx val="939458901"/>
        <c:crosses val="autoZero"/>
        <c:auto val="true"/>
        <c:lblAlgn val="ctr"/>
        <c:lblOffset val="100"/>
        <c:noMultiLvlLbl val="false"/>
      </c:catAx>
      <c:valAx>
        <c:axId val="939458901"/>
        <c:scaling>
          <c:orientation val="minMax"/>
        </c:scaling>
        <c:delete val="false"/>
        <c:axPos val="l"/>
        <c:majorGridlines>
          <c:spPr>
            <a:ln w="0" cap="flat" cmpd="sng" algn="ctr">
              <a:solidFill>
                <a:sysClr val="window" lastClr="FFFFFF">
                  <a:lumMod val="85000"/>
                </a:sysClr>
              </a:solidFill>
              <a:prstDash val="solid"/>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chemeClr val="tx1"/>
                </a:solidFill>
                <a:latin typeface="+mn-lt"/>
                <a:ea typeface="+mn-ea"/>
                <a:cs typeface="+mn-cs"/>
                <a:sym typeface="汉仪旗黑-55简" panose="00020600040101010101" charset="-128"/>
              </a:defRPr>
            </a:pPr>
          </a:p>
        </c:txPr>
        <c:crossAx val="168976978"/>
        <c:crosses val="autoZero"/>
        <c:crossBetween val="between"/>
      </c:valAx>
      <c:catAx>
        <c:axId val="602630331"/>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sym typeface="汉仪旗黑-55简" panose="00020600040101010101" charset="-128"/>
              </a:defRPr>
            </a:pPr>
          </a:p>
        </c:txPr>
        <c:crossAx val="783163985"/>
        <c:crosses val="autoZero"/>
        <c:auto val="true"/>
        <c:lblAlgn val="ctr"/>
        <c:lblOffset val="100"/>
        <c:noMultiLvlLbl val="false"/>
      </c:catAx>
      <c:valAx>
        <c:axId val="783163985"/>
        <c:scaling>
          <c:orientation val="minMax"/>
        </c:scaling>
        <c:delete val="false"/>
        <c:axPos val="r"/>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solidFill>
                <a:latin typeface="+mn-lt"/>
                <a:ea typeface="+mn-ea"/>
                <a:cs typeface="+mn-cs"/>
                <a:sym typeface="汉仪旗黑-55简" panose="00020600040101010101" charset="-128"/>
              </a:defRPr>
            </a:pPr>
          </a:p>
        </c:txPr>
        <c:crossAx val="602630331"/>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cap="none" spc="0" normalizeH="0" baseline="0">
                <a:solidFill>
                  <a:schemeClr val="tx1"/>
                </a:solidFill>
                <a:uFill>
                  <a:solidFill>
                    <a:schemeClr val="tx1">
                      <a:lumMod val="65000"/>
                      <a:lumOff val="35000"/>
                    </a:schemeClr>
                  </a:solidFill>
                </a:uFill>
                <a:latin typeface="+mn-lt"/>
                <a:ea typeface="+mn-ea"/>
                <a:cs typeface="+mn-cs"/>
                <a:sym typeface="汉仪旗黑-55简" panose="00020600040101010101" charset="-128"/>
              </a:defRPr>
            </a:pPr>
          </a:p>
        </c:txPr>
      </c:legendEntry>
      <c:legendEntry>
        <c:idx val="1"/>
        <c:txPr>
          <a:bodyPr rot="0" spcFirstLastPara="0" vertOverflow="ellipsis" vert="horz" wrap="square" anchor="ctr" anchorCtr="true"/>
          <a:lstStyle/>
          <a:p>
            <a:pPr>
              <a:defRPr lang="zh-CN" sz="900" b="0" i="0" u="none" strike="noStrike" kern="1200" cap="none" spc="0" normalizeH="0" baseline="0">
                <a:solidFill>
                  <a:schemeClr val="tx1"/>
                </a:solidFill>
                <a:uFill>
                  <a:solidFill>
                    <a:schemeClr val="tx1">
                      <a:lumMod val="65000"/>
                      <a:lumOff val="35000"/>
                    </a:schemeClr>
                  </a:solidFill>
                </a:uFill>
                <a:latin typeface="+mn-lt"/>
                <a:ea typeface="+mn-ea"/>
                <a:cs typeface="+mn-cs"/>
                <a:sym typeface="汉仪旗黑-55简" panose="00020600040101010101" charset="-128"/>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cap="none" spc="0" normalizeH="0" baseline="0">
              <a:solidFill>
                <a:schemeClr val="tx1"/>
              </a:solidFill>
              <a:uFill>
                <a:solidFill>
                  <a:schemeClr val="tx1">
                    <a:lumMod val="65000"/>
                    <a:lumOff val="35000"/>
                  </a:schemeClr>
                </a:solidFill>
              </a:uFill>
              <a:latin typeface="+mn-lt"/>
              <a:ea typeface="+mn-ea"/>
              <a:cs typeface="+mn-cs"/>
              <a:sym typeface="汉仪旗黑-55简" panose="00020600040101010101" charset="-128"/>
            </a:defRPr>
          </a:pPr>
        </a:p>
      </c:txPr>
    </c:legend>
    <c:plotVisOnly val="true"/>
    <c:dispBlanksAs val="gap"/>
    <c:showDLblsOverMax val="false"/>
  </c:chart>
  <c:spPr>
    <a:noFill/>
    <a:ln w="25400" cap="flat" cmpd="sng" algn="ctr">
      <a:noFill/>
      <a:prstDash val="solid"/>
      <a:round/>
    </a:ln>
    <a:effectLst/>
    <a:sp3d>
      <a:extrusionClr>
        <a:srgbClr val="FFFFFF"/>
      </a:extrusionClr>
      <a:contourClr>
        <a:srgbClr val="FFFFFF"/>
      </a:contourClr>
    </a:sp3d>
  </c:spPr>
  <c:txPr>
    <a:bodyPr/>
    <a:lstStyle/>
    <a:p>
      <a:pPr>
        <a:defRPr lang="zh-CN">
          <a:solidFill>
            <a:schemeClr val="tx1"/>
          </a:solidFill>
          <a:latin typeface="+mn-lt"/>
          <a:ea typeface="+mn-ea"/>
          <a:cs typeface="+mn-cs"/>
          <a:sym typeface="汉仪旗黑-55简" panose="00020600040101010101" charset="-128"/>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mn-lt"/>
                <a:ea typeface="+mn-ea"/>
                <a:cs typeface="+mn-cs"/>
              </a:defRPr>
            </a:pPr>
            <a:r>
              <a:rPr>
                <a:solidFill>
                  <a:sysClr val="windowText" lastClr="000000"/>
                </a:solidFill>
              </a:rPr>
              <a:t>图</a:t>
            </a:r>
            <a:r>
              <a:rPr lang="en-US" altLang="zh-CN">
                <a:solidFill>
                  <a:sysClr val="windowText" lastClr="000000"/>
                </a:solidFill>
              </a:rPr>
              <a:t>4</a:t>
            </a:r>
            <a:r>
              <a:rPr altLang="en-US">
                <a:solidFill>
                  <a:sysClr val="windowText" lastClr="000000"/>
                </a:solidFill>
              </a:rPr>
              <a:t>：近五年壤塘县农林牧渔业总产值及增长速度</a:t>
            </a:r>
            <a:endParaRPr altLang="en-US">
              <a:solidFill>
                <a:sysClr val="windowText" lastClr="000000"/>
              </a:solidFill>
            </a:endParaRPr>
          </a:p>
        </c:rich>
      </c:tx>
      <c:layout/>
      <c:overlay val="false"/>
      <c:spPr>
        <a:noFill/>
        <a:ln>
          <a:noFill/>
        </a:ln>
        <a:effectLst/>
      </c:spPr>
    </c:title>
    <c:autoTitleDeleted val="false"/>
    <c:plotArea>
      <c:layout/>
      <c:barChart>
        <c:barDir val="col"/>
        <c:grouping val="clustered"/>
        <c:varyColors val="false"/>
        <c:ser>
          <c:idx val="0"/>
          <c:order val="0"/>
          <c:tx>
            <c:strRef>
              <c:f>[壤塘2023年公报制图表.xls]Sheet1!$A$77</c:f>
              <c:strCache>
                <c:ptCount val="1"/>
                <c:pt idx="0">
                  <c:v>农林牧渔业总产值(万元)</c:v>
                </c:pt>
              </c:strCache>
            </c:strRef>
          </c:tx>
          <c:spPr>
            <a:blipFill rotWithShape="true">
              <a:blip xmlns:r="http://schemas.openxmlformats.org/officeDocument/2006/relationships" r:embed="rId3">
                <a:duotone>
                  <a:schemeClr val="accent1">
                    <a:shade val="45000"/>
                    <a:satMod val="135000"/>
                  </a:schemeClr>
                  <a:prstClr val="white"/>
                </a:duotone>
              </a:blip>
              <a:stretch>
                <a:fillRect/>
              </a:stretch>
            </a:blipFill>
            <a:ln>
              <a:noFill/>
            </a:ln>
            <a:effectLst>
              <a:outerShdw blurRad="38100" dir="18900000" sy="23000" kx="-1200000" algn="bl" rotWithShape="0">
                <a:prstClr val="black">
                  <a:alpha val="20000"/>
                </a:prstClr>
              </a:outerShdw>
            </a:effectLst>
          </c:spPr>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[壤塘2023年公报制图表.xls]Sheet1!$B$76:$F$76</c:f>
              <c:strCache>
                <c:ptCount val="5"/>
                <c:pt idx="0">
                  <c:v>2019年</c:v>
                </c:pt>
                <c:pt idx="1">
                  <c:v>2020年</c:v>
                </c:pt>
                <c:pt idx="2">
                  <c:v>2021年</c:v>
                </c:pt>
                <c:pt idx="3">
                  <c:v>2022年</c:v>
                </c:pt>
                <c:pt idx="4">
                  <c:v>2023年</c:v>
                </c:pt>
              </c:strCache>
            </c:strRef>
          </c:cat>
          <c:val>
            <c:numRef>
              <c:f>[壤塘2023年公报制图表.xls]Sheet1!$B$77:$F$77</c:f>
              <c:numCache>
                <c:formatCode>General</c:formatCode>
                <c:ptCount val="5"/>
                <c:pt idx="0">
                  <c:v>49055</c:v>
                </c:pt>
                <c:pt idx="1">
                  <c:v>63630</c:v>
                </c:pt>
                <c:pt idx="2">
                  <c:v>69637</c:v>
                </c:pt>
                <c:pt idx="3">
                  <c:v>70270</c:v>
                </c:pt>
                <c:pt idx="4">
                  <c:v>76175</c:v>
                </c:pt>
              </c:numCache>
            </c:numRef>
          </c:val>
        </c:ser>
        <c:dLbls>
          <c:showLegendKey val="false"/>
          <c:showVal val="true"/>
          <c:showCatName val="false"/>
          <c:showSerName val="false"/>
          <c:showPercent val="false"/>
          <c:showBubbleSize val="false"/>
        </c:dLbls>
        <c:gapWidth val="75"/>
        <c:overlap val="-25"/>
        <c:axId val="267937229"/>
        <c:axId val="989421024"/>
      </c:barChart>
      <c:lineChart>
        <c:grouping val="stacked"/>
        <c:varyColors val="false"/>
        <c:ser>
          <c:idx val="1"/>
          <c:order val="1"/>
          <c:tx>
            <c:strRef>
              <c:f>[壤塘2023年公报制图表.xls]Sheet1!$A$78</c:f>
              <c:strCache>
                <c:ptCount val="1"/>
                <c:pt idx="0">
                  <c:v>增长速度(%)</c:v>
                </c:pt>
              </c:strCache>
            </c:strRef>
          </c:tx>
          <c:spPr>
            <a:effectLst>
              <a:outerShdw blurRad="38100" dir="18900000" sy="23000" kx="-1200000" algn="bl" rotWithShape="0">
                <a:prstClr val="black">
                  <a:alpha val="20000"/>
                </a:prstClr>
              </a:outerShdw>
            </a:effectLst>
          </c:spPr>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ysClr val="windowText" lastClr="000000"/>
                    </a:solidFill>
                    <a:latin typeface="+mn-lt"/>
                    <a:ea typeface="+mn-ea"/>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ext>
            </c:extLst>
          </c:dLbls>
          <c:cat>
            <c:strRef>
              <c:f>[壤塘2023年公报制图表.xls]Sheet1!$B$76:$F$76</c:f>
              <c:strCache>
                <c:ptCount val="5"/>
                <c:pt idx="0">
                  <c:v>2019年</c:v>
                </c:pt>
                <c:pt idx="1">
                  <c:v>2020年</c:v>
                </c:pt>
                <c:pt idx="2">
                  <c:v>2021年</c:v>
                </c:pt>
                <c:pt idx="3">
                  <c:v>2022年</c:v>
                </c:pt>
                <c:pt idx="4">
                  <c:v>2023年</c:v>
                </c:pt>
              </c:strCache>
            </c:strRef>
          </c:cat>
          <c:val>
            <c:numRef>
              <c:f>[壤塘2023年公报制图表.xls]Sheet1!$B$78:$F$78</c:f>
              <c:numCache>
                <c:formatCode>General</c:formatCode>
                <c:ptCount val="5"/>
                <c:pt idx="0">
                  <c:v>4.3</c:v>
                </c:pt>
                <c:pt idx="1">
                  <c:v>4.7</c:v>
                </c:pt>
                <c:pt idx="2">
                  <c:v>7.5</c:v>
                </c:pt>
                <c:pt idx="3">
                  <c:v>3.7</c:v>
                </c:pt>
                <c:pt idx="4">
                  <c:v>12.6</c:v>
                </c:pt>
              </c:numCache>
            </c:numRef>
          </c:val>
          <c:smooth val="false"/>
        </c:ser>
        <c:dLbls>
          <c:showLegendKey val="false"/>
          <c:showVal val="true"/>
          <c:showCatName val="false"/>
          <c:showSerName val="false"/>
          <c:showPercent val="false"/>
          <c:showBubbleSize val="false"/>
        </c:dLbls>
        <c:marker val="true"/>
        <c:smooth val="false"/>
        <c:axId val="737438111"/>
        <c:axId val="815109788"/>
      </c:lineChart>
      <c:catAx>
        <c:axId val="267937229"/>
        <c:scaling>
          <c:orientation val="minMax"/>
        </c:scaling>
        <c:delete val="false"/>
        <c:axPos val="b"/>
        <c:numFmt formatCode="General" sourceLinked="true"/>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mn-lt"/>
                <a:ea typeface="+mn-ea"/>
                <a:cs typeface="+mn-cs"/>
              </a:defRPr>
            </a:pPr>
          </a:p>
        </c:txPr>
        <c:crossAx val="989421024"/>
        <c:crosses val="autoZero"/>
        <c:auto val="true"/>
        <c:lblAlgn val="ctr"/>
        <c:lblOffset val="100"/>
        <c:noMultiLvlLbl val="false"/>
      </c:catAx>
      <c:valAx>
        <c:axId val="989421024"/>
        <c:scaling>
          <c:orientation val="minMax"/>
        </c:scaling>
        <c:delete val="false"/>
        <c:axPos val="l"/>
        <c:majorGridlines>
          <c:spPr>
            <a:ln w="6350" cap="flat" cmpd="sng" algn="ctr">
              <a:noFill/>
              <a:prstDash val="solid"/>
              <a:round/>
            </a:ln>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crossAx val="267937229"/>
        <c:crosses val="autoZero"/>
        <c:crossBetween val="between"/>
      </c:valAx>
      <c:catAx>
        <c:axId val="737438111"/>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815109788"/>
        <c:crosses val="autoZero"/>
        <c:auto val="true"/>
        <c:lblAlgn val="ctr"/>
        <c:lblOffset val="100"/>
        <c:noMultiLvlLbl val="false"/>
      </c:catAx>
      <c:valAx>
        <c:axId val="815109788"/>
        <c:scaling>
          <c:orientation val="minMax"/>
        </c:scaling>
        <c:delete val="false"/>
        <c:axPos val="r"/>
        <c:numFmt formatCode="General" sourceLinked="true"/>
        <c:majorTickMark val="none"/>
        <c:minorTickMark val="none"/>
        <c:tickLblPos val="nextTo"/>
        <c:txPr>
          <a:bodyPr rot="-60000000" spcFirstLastPara="0" vertOverflow="ellipsis" vert="horz" wrap="square" anchor="ctr" anchorCtr="true"/>
          <a:lstStyle/>
          <a:p>
            <a:pPr>
              <a:defRPr lang="zh-CN" sz="1000" b="0" i="0" u="none" strike="noStrike" kern="1200" baseline="0">
                <a:solidFill>
                  <a:sysClr val="windowText" lastClr="000000"/>
                </a:solidFill>
                <a:latin typeface="+mn-lt"/>
                <a:ea typeface="+mn-ea"/>
                <a:cs typeface="+mn-cs"/>
              </a:defRPr>
            </a:pPr>
          </a:p>
        </c:txPr>
        <c:crossAx val="737438111"/>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mn-lt"/>
                <a:ea typeface="+mn-ea"/>
                <a:cs typeface="+mn-cs"/>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mn-lt"/>
              <a:ea typeface="+mn-ea"/>
              <a:cs typeface="+mn-cs"/>
            </a:defRPr>
          </a:pPr>
        </a:p>
      </c:txPr>
    </c:legend>
    <c:plotVisOnly val="true"/>
    <c:dispBlanksAs val="gap"/>
    <c:showDLblsOverMax val="false"/>
  </c:chart>
  <c:spPr>
    <a:solidFill>
      <a:schemeClr val="bg1"/>
    </a:solidFill>
    <a:ln w="6350" cap="flat" cmpd="sng" algn="ctr">
      <a:noFill/>
      <a:prstDash val="solid"/>
      <a:round/>
    </a:ln>
    <a:effectLst>
      <a:outerShdw blurRad="63500" dist="37357" dir="2700000" sx="0" sy="0" rotWithShape="0">
        <a:scrgbClr r="0" g="0" b="0"/>
      </a:outerShdw>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图</a:t>
            </a:r>
            <a:r>
              <a:rPr lang="en-US" altLang="zh-CN"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5</a:t>
            </a:r>
            <a:r>
              <a:rPr altLang="en-US" sz="14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：近五年壤塘县固定资产投资增长速度</a:t>
            </a:r>
            <a:endParaRPr altLang="en-US" sz="1100" b="0" i="0" u="none" strike="noStrike" baseline="0">
              <a:solidFill>
                <a:srgbClr val="000000"/>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c:rich>
      </c:tx>
      <c:layout/>
      <c:overlay val="false"/>
      <c:spPr>
        <a:noFill/>
        <a:ln>
          <a:noFill/>
        </a:ln>
        <a:effectLst/>
      </c:spPr>
    </c:title>
    <c:autoTitleDeleted val="false"/>
    <c:plotArea>
      <c:layout/>
      <c:lineChart>
        <c:grouping val="standard"/>
        <c:varyColors val="false"/>
        <c:ser>
          <c:idx val="0"/>
          <c:order val="0"/>
          <c:tx>
            <c:strRef>
              <c:f>[壤塘2023年公报制图表.xls]Sheet1!$A$54</c:f>
              <c:strCache>
                <c:ptCount val="1"/>
                <c:pt idx="0">
                  <c:v>增长速度(%)</c:v>
                </c:pt>
              </c:strCache>
            </c:strRef>
          </c:tx>
          <c:spPr>
            <a:ln w="12700" cap="rnd" cmpd="sng" algn="ctr">
              <a:solidFill>
                <a:srgbClr val="D40CD6"/>
              </a:solidFill>
              <a:prstDash val="sysDot"/>
              <a:round/>
            </a:ln>
            <a:effectLst/>
          </c:spPr>
          <c:marker>
            <c:symbol val="circle"/>
            <c:size val="10"/>
            <c:spPr>
              <a:solidFill>
                <a:srgbClr val="D40CD6"/>
              </a:solidFill>
              <a:ln w="9525" cap="flat" cmpd="sng" algn="ctr">
                <a:solidFill>
                  <a:srgbClr val="D40CD6"/>
                </a:solidFill>
                <a:prstDash val="solid"/>
                <a:round/>
              </a:ln>
              <a:effectLst/>
            </c:spPr>
          </c:marker>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mn-lt"/>
                    <a:ea typeface="+mn-ea"/>
                    <a:cs typeface="+mn-cs"/>
                    <a:sym typeface="微软雅黑" panose="020B0503020204020204" charset="-122"/>
                  </a:defRPr>
                </a:pPr>
              </a:p>
            </c:txPr>
            <c:dLblPos val="t"/>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[壤塘2023年公报制图表.xls]Sheet1!$B$53:$F$53</c:f>
              <c:strCache>
                <c:ptCount val="5"/>
                <c:pt idx="0">
                  <c:v>2019年</c:v>
                </c:pt>
                <c:pt idx="1">
                  <c:v>2020年</c:v>
                </c:pt>
                <c:pt idx="2">
                  <c:v>2021年</c:v>
                </c:pt>
                <c:pt idx="3">
                  <c:v>2022年</c:v>
                </c:pt>
                <c:pt idx="4">
                  <c:v>2023年</c:v>
                </c:pt>
              </c:strCache>
            </c:strRef>
          </c:cat>
          <c:val>
            <c:numRef>
              <c:f>[壤塘2023年公报制图表.xls]Sheet1!$B$54:$F$54</c:f>
              <c:numCache>
                <c:formatCode>General</c:formatCode>
                <c:ptCount val="5"/>
                <c:pt idx="0">
                  <c:v>9.2</c:v>
                </c:pt>
                <c:pt idx="1">
                  <c:v>6</c:v>
                </c:pt>
                <c:pt idx="2">
                  <c:v>2.6</c:v>
                </c:pt>
                <c:pt idx="3">
                  <c:v>5.5</c:v>
                </c:pt>
                <c:pt idx="4">
                  <c:v>12.5</c:v>
                </c:pt>
              </c:numCache>
            </c:numRef>
          </c:val>
          <c:smooth val="true"/>
        </c:ser>
        <c:dLbls>
          <c:showLegendKey val="false"/>
          <c:showVal val="false"/>
          <c:showCatName val="false"/>
          <c:showSerName val="false"/>
          <c:showPercent val="false"/>
          <c:showBubbleSize val="false"/>
        </c:dLbls>
        <c:marker val="true"/>
        <c:smooth val="true"/>
        <c:axId val="25920823"/>
        <c:axId val="227166941"/>
      </c:lineChart>
      <c:catAx>
        <c:axId val="25920823"/>
        <c:scaling>
          <c:orientation val="minMax"/>
        </c:scaling>
        <c:delete val="false"/>
        <c:axPos val="b"/>
        <c:majorTickMark val="out"/>
        <c:minorTickMark val="none"/>
        <c:tickLblPos val="nextTo"/>
        <c:spPr>
          <a:noFill/>
          <a:ln w="952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mn-lt"/>
                <a:ea typeface="+mn-ea"/>
                <a:cs typeface="+mn-cs"/>
                <a:sym typeface="微软雅黑" panose="020B0503020204020204" charset="-122"/>
              </a:defRPr>
            </a:pPr>
          </a:p>
        </c:txPr>
        <c:crossAx val="227166941"/>
        <c:crosses val="autoZero"/>
        <c:auto val="true"/>
        <c:lblAlgn val="ctr"/>
        <c:lblOffset val="100"/>
        <c:noMultiLvlLbl val="false"/>
      </c:catAx>
      <c:valAx>
        <c:axId val="227166941"/>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out"/>
        <c:minorTickMark val="none"/>
        <c:tickLblPos val="nextTo"/>
        <c:spPr>
          <a:noFill/>
          <a:ln w="6350"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mn-lt"/>
                <a:ea typeface="+mn-ea"/>
                <a:cs typeface="+mn-cs"/>
                <a:sym typeface="微软雅黑" panose="020B0503020204020204" charset="-122"/>
              </a:defRPr>
            </a:pPr>
          </a:p>
        </c:txPr>
        <c:crossAx val="25920823"/>
        <c:crosses val="autoZero"/>
        <c:crossBetween val="between"/>
      </c:valAx>
      <c:spPr>
        <a:noFill/>
        <a:ln>
          <a:solidFill>
            <a:srgbClr val="DEBF67">
              <a:alpha val="50000"/>
            </a:srgbClr>
          </a:solid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mn-lt"/>
                <a:ea typeface="+mn-ea"/>
                <a:cs typeface="+mn-cs"/>
                <a:sym typeface="微软雅黑" panose="020B0503020204020204" charset="-122"/>
              </a:defRPr>
            </a:pPr>
          </a:p>
        </c:txPr>
      </c:legendEntry>
      <c:layout>
        <c:manualLayout>
          <c:xMode val="edge"/>
          <c:yMode val="edge"/>
          <c:x val="0.400921052631579"/>
          <c:y val="0.894675925925926"/>
          <c:w val="0.202105263157895"/>
          <c:h val="0.0775462962962963"/>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mn-lt"/>
              <a:ea typeface="+mn-ea"/>
              <a:cs typeface="+mn-cs"/>
              <a:sym typeface="微软雅黑" panose="020B0503020204020204" charset="-122"/>
            </a:defRPr>
          </a:pPr>
        </a:p>
      </c:txPr>
    </c:legend>
    <c:plotVisOnly val="true"/>
    <c:dispBlanksAs val="gap"/>
    <c:showDLblsOverMax val="false"/>
  </c:chart>
  <c:spPr>
    <a:noFill/>
    <a:ln w="25400" cap="flat" cmpd="sng" algn="ctr">
      <a:noFill/>
      <a:prstDash val="solid"/>
      <a:round/>
    </a:ln>
    <a:effectLst/>
    <a:sp3d>
      <a:extrusionClr>
        <a:srgbClr val="FFFFFF"/>
      </a:extrusionClr>
      <a:contourClr>
        <a:srgbClr val="FFFFFF"/>
      </a:contourClr>
    </a:sp3d>
  </c:spPr>
  <c:txPr>
    <a:bodyPr wrap="square"/>
    <a:lstStyle/>
    <a:p>
      <a:pPr>
        <a:defRPr lang="zh-CN">
          <a:solidFill>
            <a:schemeClr val="tx1"/>
          </a:solidFill>
          <a:latin typeface="+mn-lt"/>
          <a:ea typeface="+mn-ea"/>
          <a:cs typeface="+mn-cs"/>
          <a:sym typeface="微软雅黑" panose="020B050302020402020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sz="1400" b="0" i="0" u="none" strike="noStrike"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图</a:t>
            </a:r>
            <a:r>
              <a:rPr lang="en-US" altLang="zh-CN" sz="1400" b="0" i="0" u="none" strike="noStrike"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6</a:t>
            </a:r>
            <a:r>
              <a:rPr altLang="en-US" sz="1400" b="0" i="0" u="none" strike="noStrike"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：近五年壤塘县社会消费品零售总额</a:t>
            </a:r>
            <a:endParaRPr altLang="en-US" sz="1400" b="0" i="0" u="none" strike="noStrike"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a:p>
            <a:pPr>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sz="1400" b="0" i="0" u="none" strike="noStrike"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rPr>
              <a:t>及增长速度</a:t>
            </a:r>
            <a:endParaRPr altLang="en-US" sz="1400" b="0" i="0" u="none" strike="noStrike"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endParaRPr>
          </a:p>
        </c:rich>
      </c:tx>
      <c:layout/>
      <c:overlay val="false"/>
      <c:spPr>
        <a:noFill/>
        <a:ln>
          <a:noFill/>
        </a:ln>
        <a:effectLst/>
      </c:spPr>
    </c:title>
    <c:autoTitleDeleted val="false"/>
    <c:plotArea>
      <c:layout/>
      <c:barChart>
        <c:barDir val="col"/>
        <c:grouping val="clustered"/>
        <c:varyColors val="false"/>
        <c:ser>
          <c:idx val="0"/>
          <c:order val="0"/>
          <c:tx>
            <c:strRef>
              <c:f>[壤塘2023年公报制图表.xls]Sheet1!$A$11</c:f>
              <c:strCache>
                <c:ptCount val="1"/>
                <c:pt idx="0">
                  <c:v>社会消费品零售总额(万元)</c:v>
                </c:pt>
              </c:strCache>
            </c:strRef>
          </c:tx>
          <c:spPr>
            <a:blipFill>
              <a:blip xmlns:r="http://schemas.openxmlformats.org/officeDocument/2006/relationships" r:embed="rId3"/>
              <a:stretch>
                <a:fillRect/>
              </a:stretch>
            </a:blipFill>
            <a:ln>
              <a:noFill/>
            </a:ln>
            <a:effectLst>
              <a:outerShdw blurRad="76200" dir="18900000" sy="23000" kx="-1200000" algn="bl" rotWithShape="0">
                <a:prstClr val="black">
                  <a:alpha val="20000"/>
                </a:prstClr>
              </a:outerShdw>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[壤塘2023年公报制图表.xls]Sheet1!$B$10:$F$10</c:f>
              <c:strCache>
                <c:ptCount val="5"/>
                <c:pt idx="0">
                  <c:v>2019年</c:v>
                </c:pt>
                <c:pt idx="1">
                  <c:v>2020年</c:v>
                </c:pt>
                <c:pt idx="2">
                  <c:v>2021年</c:v>
                </c:pt>
                <c:pt idx="3">
                  <c:v>2022年</c:v>
                </c:pt>
                <c:pt idx="4">
                  <c:v>2023年</c:v>
                </c:pt>
              </c:strCache>
            </c:strRef>
          </c:cat>
          <c:val>
            <c:numRef>
              <c:f>[壤塘2023年公报制图表.xls]Sheet1!$B$11:$F$11</c:f>
              <c:numCache>
                <c:formatCode>General</c:formatCode>
                <c:ptCount val="5"/>
                <c:pt idx="0">
                  <c:v>34657</c:v>
                </c:pt>
                <c:pt idx="1">
                  <c:v>33257</c:v>
                </c:pt>
                <c:pt idx="2">
                  <c:v>36642</c:v>
                </c:pt>
                <c:pt idx="3">
                  <c:v>35302</c:v>
                </c:pt>
                <c:pt idx="4">
                  <c:v>38968</c:v>
                </c:pt>
              </c:numCache>
            </c:numRef>
          </c:val>
        </c:ser>
        <c:dLbls>
          <c:showLegendKey val="false"/>
          <c:showVal val="false"/>
          <c:showCatName val="false"/>
          <c:showSerName val="false"/>
          <c:showPercent val="false"/>
          <c:showBubbleSize val="false"/>
        </c:dLbls>
        <c:gapWidth val="75"/>
        <c:overlap val="-25"/>
        <c:axId val="340038041"/>
        <c:axId val="231199393"/>
      </c:barChart>
      <c:lineChart>
        <c:grouping val="standard"/>
        <c:varyColors val="false"/>
        <c:ser>
          <c:idx val="1"/>
          <c:order val="1"/>
          <c:tx>
            <c:strRef>
              <c:f>[壤塘2023年公报制图表.xls]Sheet1!$A$12</c:f>
              <c:strCache>
                <c:ptCount val="1"/>
                <c:pt idx="0">
                  <c:v>增长速度(%)</c:v>
                </c:pt>
              </c:strCache>
            </c:strRef>
          </c:tx>
          <c:spPr>
            <a:ln w="22225" cap="rnd" cmpd="dbl" algn="ctr">
              <a:solidFill>
                <a:srgbClr val="01AABC"/>
              </a:solidFill>
              <a:prstDash val="sysDot"/>
              <a:round/>
            </a:ln>
            <a:effectLst/>
          </c:spPr>
          <c:marker>
            <c:spPr>
              <a:solidFill>
                <a:srgbClr val="00B0F0"/>
              </a:solidFill>
            </c:spPr>
          </c:marker>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[壤塘2023年公报制图表.xls]Sheet1!$B$10:$F$10</c:f>
              <c:strCache>
                <c:ptCount val="5"/>
                <c:pt idx="0">
                  <c:v>2019年</c:v>
                </c:pt>
                <c:pt idx="1">
                  <c:v>2020年</c:v>
                </c:pt>
                <c:pt idx="2">
                  <c:v>2021年</c:v>
                </c:pt>
                <c:pt idx="3">
                  <c:v>2022年</c:v>
                </c:pt>
                <c:pt idx="4">
                  <c:v>2023年</c:v>
                </c:pt>
              </c:strCache>
            </c:strRef>
          </c:cat>
          <c:val>
            <c:numRef>
              <c:f>[壤塘2023年公报制图表.xls]Sheet1!$B$12:$F$12</c:f>
              <c:numCache>
                <c:formatCode>General</c:formatCode>
                <c:ptCount val="5"/>
                <c:pt idx="0">
                  <c:v>6.3</c:v>
                </c:pt>
                <c:pt idx="1">
                  <c:v>-4</c:v>
                </c:pt>
                <c:pt idx="2">
                  <c:v>10.2</c:v>
                </c:pt>
                <c:pt idx="3">
                  <c:v>-3.7</c:v>
                </c:pt>
                <c:pt idx="4">
                  <c:v>10.4</c:v>
                </c:pt>
              </c:numCache>
            </c:numRef>
          </c:val>
          <c:smooth val="false"/>
        </c:ser>
        <c:dLbls>
          <c:showLegendKey val="false"/>
          <c:showVal val="true"/>
          <c:showCatName val="false"/>
          <c:showSerName val="false"/>
          <c:showPercent val="false"/>
          <c:showBubbleSize val="false"/>
        </c:dLbls>
        <c:marker val="true"/>
        <c:smooth val="false"/>
        <c:axId val="409921875"/>
        <c:axId val="442727938"/>
      </c:lineChart>
      <c:catAx>
        <c:axId val="340038041"/>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31199393"/>
        <c:crosses val="autoZero"/>
        <c:auto val="true"/>
        <c:lblAlgn val="ctr"/>
        <c:lblOffset val="100"/>
        <c:noMultiLvlLbl val="false"/>
      </c:catAx>
      <c:valAx>
        <c:axId val="231199393"/>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40038041"/>
        <c:crosses val="autoZero"/>
        <c:crossBetween val="between"/>
      </c:valAx>
      <c:catAx>
        <c:axId val="409921875"/>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1000" b="0" i="0" u="none" strike="noStrike" kern="1200" baseline="0">
                <a:solidFill>
                  <a:srgbClr val="595959">
                    <a:alpha val="100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42727938"/>
        <c:crosses val="autoZero"/>
        <c:auto val="true"/>
        <c:lblAlgn val="ctr"/>
        <c:lblOffset val="100"/>
        <c:noMultiLvlLbl val="false"/>
      </c:catAx>
      <c:valAx>
        <c:axId val="442727938"/>
        <c:scaling>
          <c:orientation val="minMax"/>
        </c:scaling>
        <c:delete val="false"/>
        <c:axPos val="r"/>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09921875"/>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noFill/>
      <a:prstDash val="solid"/>
      <a:round/>
    </a:ln>
    <a:effectLst/>
  </c:spPr>
  <c:txPr>
    <a:bodyPr wrap="square"/>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bg1"/>
                </a:solidFill>
                <a:latin typeface="微软雅黑" panose="020B0503020204020204" charset="-122"/>
                <a:ea typeface="微软雅黑" panose="020B0503020204020204" charset="-122"/>
                <a:cs typeface="+mn-cs"/>
              </a:defRPr>
            </a:pPr>
            <a:r>
              <a:rPr lang="zh-CN" altLang="en-US"/>
              <a:t>标</a:t>
            </a:r>
            <a:r>
              <a:rPr lang="zh-CN" altLang="en-US">
                <a:solidFill>
                  <a:sysClr val="windowText" lastClr="000000"/>
                </a:solidFill>
              </a:rPr>
              <a:t>图</a:t>
            </a:r>
            <a:r>
              <a:rPr lang="en-US" altLang="zh-CN">
                <a:solidFill>
                  <a:sysClr val="windowText" lastClr="000000"/>
                </a:solidFill>
              </a:rPr>
              <a:t>7</a:t>
            </a:r>
            <a:r>
              <a:rPr altLang="en-US">
                <a:solidFill>
                  <a:sysClr val="windowText" lastClr="000000"/>
                </a:solidFill>
              </a:rPr>
              <a:t>：近五年壤塘县地方公共财政收入</a:t>
            </a:r>
            <a:endParaRPr altLang="en-US">
              <a:solidFill>
                <a:sysClr val="windowText" lastClr="000000"/>
              </a:solidFill>
            </a:endParaRPr>
          </a:p>
          <a:p>
            <a:pPr>
              <a:defRPr lang="zh-CN" sz="1400" b="0" i="0" u="none" strike="noStrike" kern="1200" spc="0" baseline="0">
                <a:solidFill>
                  <a:schemeClr val="bg1"/>
                </a:solidFill>
                <a:latin typeface="微软雅黑" panose="020B0503020204020204" charset="-122"/>
                <a:ea typeface="微软雅黑" panose="020B0503020204020204" charset="-122"/>
                <a:cs typeface="+mn-cs"/>
              </a:defRPr>
            </a:pPr>
            <a:r>
              <a:rPr altLang="en-US">
                <a:solidFill>
                  <a:sysClr val="windowText" lastClr="000000"/>
                </a:solidFill>
              </a:rPr>
              <a:t>及增长速度</a:t>
            </a:r>
            <a:r>
              <a:rPr lang="zh-CN" altLang="en-US"/>
              <a:t>题</a:t>
            </a:r>
            <a:endParaRPr lang="zh-CN" altLang="en-US"/>
          </a:p>
        </c:rich>
      </c:tx>
      <c:layout>
        <c:manualLayout>
          <c:xMode val="edge"/>
          <c:yMode val="edge"/>
          <c:x val="0.216902204635387"/>
          <c:y val="0.0260529743812419"/>
        </c:manualLayout>
      </c:layout>
      <c:overlay val="false"/>
      <c:spPr>
        <a:noFill/>
        <a:ln>
          <a:noFill/>
        </a:ln>
        <a:effectLst/>
      </c:spPr>
    </c:title>
    <c:autoTitleDeleted val="false"/>
    <c:plotArea>
      <c:layout/>
      <c:barChart>
        <c:barDir val="col"/>
        <c:grouping val="clustered"/>
        <c:varyColors val="false"/>
        <c:ser>
          <c:idx val="1"/>
          <c:order val="0"/>
          <c:tx>
            <c:strRef>
              <c:f>[壤塘2023年公报制图表.xls]Sheet1!$A$17</c:f>
              <c:strCache>
                <c:ptCount val="1"/>
                <c:pt idx="0">
                  <c:v>地方公共财政收入(万元)</c:v>
                </c:pt>
              </c:strCache>
            </c:strRef>
          </c:tx>
          <c:spPr>
            <a:blipFill dpi="0" rotWithShape="true">
              <a:blip xmlns:r="http://schemas.openxmlformats.org/officeDocument/2006/relationships" r:embed="rId3"/>
              <a:srcRect/>
              <a:stretch>
                <a:fillRect/>
              </a:stretch>
            </a:blipFill>
            <a:ln>
              <a:noFill/>
            </a:ln>
            <a:effectLst>
              <a:outerShdw blurRad="50800" dir="18900000" sy="23000" kx="-1200000" algn="bl" rotWithShape="0">
                <a:prstClr val="black">
                  <a:alpha val="30000"/>
                </a:prstClr>
              </a:outerShdw>
            </a:effectLst>
          </c:spPr>
          <c:invertIfNegative val="false"/>
          <c:dPt>
            <c:idx val="0"/>
            <c:invertIfNegative val="false"/>
            <c:bubble3D val="false"/>
            <c:spPr>
              <a:blipFill dpi="0" rotWithShape="true">
                <a:blip xmlns:r="http://schemas.openxmlformats.org/officeDocument/2006/relationships" r:embed="rId4"/>
                <a:srcRect/>
                <a:stretch>
                  <a:fillRect r="12000" b="-50000"/>
                </a:stretch>
              </a:blipFill>
              <a:ln>
                <a:noFill/>
              </a:ln>
              <a:effectLst>
                <a:outerShdw blurRad="50800" dir="18900000" sy="23000" kx="-1200000" algn="bl" rotWithShape="0">
                  <a:prstClr val="black">
                    <a:alpha val="30000"/>
                  </a:prstClr>
                </a:outerShdw>
              </a:effectLst>
            </c:spPr>
          </c:dPt>
          <c:dPt>
            <c:idx val="1"/>
            <c:invertIfNegative val="false"/>
            <c:bubble3D val="false"/>
            <c:spPr>
              <a:blipFill dpi="0" rotWithShape="true">
                <a:blip xmlns:r="http://schemas.openxmlformats.org/officeDocument/2006/relationships" r:embed="rId3"/>
                <a:srcRect/>
                <a:stretch>
                  <a:fillRect b="-1000"/>
                </a:stretch>
              </a:blipFill>
              <a:ln>
                <a:noFill/>
              </a:ln>
              <a:effectLst>
                <a:outerShdw blurRad="50800" dir="18900000" sy="23000" kx="-1200000" algn="bl" rotWithShape="0">
                  <a:prstClr val="black">
                    <a:alpha val="30000"/>
                  </a:prstClr>
                </a:outerShdw>
              </a:effectLst>
            </c:spPr>
          </c:dPt>
          <c:dPt>
            <c:idx val="2"/>
            <c:invertIfNegative val="false"/>
            <c:bubble3D val="false"/>
            <c:spPr>
              <a:blipFill dpi="0" rotWithShape="true">
                <a:blip xmlns:r="http://schemas.openxmlformats.org/officeDocument/2006/relationships" r:embed="rId3"/>
                <a:srcRect/>
                <a:stretch>
                  <a:fillRect/>
                </a:stretch>
              </a:blipFill>
              <a:ln>
                <a:noFill/>
              </a:ln>
              <a:effectLst>
                <a:outerShdw blurRad="50800" dir="18900000" sy="23000" kx="-1200000" algn="bl" rotWithShape="0">
                  <a:prstClr val="black">
                    <a:alpha val="30000"/>
                  </a:prstClr>
                </a:outerShdw>
              </a:effectLst>
            </c:spPr>
          </c:dPt>
          <c:dPt>
            <c:idx val="3"/>
            <c:invertIfNegative val="false"/>
            <c:bubble3D val="false"/>
            <c:spPr>
              <a:blipFill dpi="0" rotWithShape="true">
                <a:blip xmlns:r="http://schemas.openxmlformats.org/officeDocument/2006/relationships" r:embed="rId3"/>
                <a:srcRect/>
                <a:stretch>
                  <a:fillRect/>
                </a:stretch>
              </a:blipFill>
              <a:ln>
                <a:noFill/>
              </a:ln>
              <a:effectLst>
                <a:outerShdw blurRad="50800" dir="18900000" sy="23000" kx="-1200000" algn="bl" rotWithShape="0">
                  <a:prstClr val="black">
                    <a:alpha val="30000"/>
                  </a:prstClr>
                </a:outerShdw>
              </a:effectLst>
            </c:spPr>
          </c:dPt>
          <c:dLbls>
            <c:dLbl>
              <c:idx val="4"/>
              <c:layout>
                <c:manualLayout>
                  <c:x val="-0.00592105263157895"/>
                  <c:y val="-0.0486111111111111"/>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[壤塘2023年公报制图表.xls]Sheet1!$B$16:$F$16</c:f>
              <c:strCache>
                <c:ptCount val="5"/>
                <c:pt idx="0">
                  <c:v>2019年</c:v>
                </c:pt>
                <c:pt idx="1">
                  <c:v>2020年</c:v>
                </c:pt>
                <c:pt idx="2">
                  <c:v>2021年</c:v>
                </c:pt>
                <c:pt idx="3">
                  <c:v>2022年</c:v>
                </c:pt>
                <c:pt idx="4">
                  <c:v>2023年</c:v>
                </c:pt>
              </c:strCache>
            </c:strRef>
          </c:cat>
          <c:val>
            <c:numRef>
              <c:f>[壤塘2023年公报制图表.xls]Sheet1!$B$17:$F$17</c:f>
              <c:numCache>
                <c:formatCode>General</c:formatCode>
                <c:ptCount val="5"/>
                <c:pt idx="0">
                  <c:v>2319</c:v>
                </c:pt>
                <c:pt idx="1">
                  <c:v>2468</c:v>
                </c:pt>
                <c:pt idx="2">
                  <c:v>2659</c:v>
                </c:pt>
                <c:pt idx="3">
                  <c:v>2900</c:v>
                </c:pt>
                <c:pt idx="4">
                  <c:v>4012</c:v>
                </c:pt>
              </c:numCache>
            </c:numRef>
          </c:val>
        </c:ser>
        <c:dLbls>
          <c:showLegendKey val="false"/>
          <c:showVal val="true"/>
          <c:showCatName val="false"/>
          <c:showSerName val="false"/>
          <c:showPercent val="false"/>
          <c:showBubbleSize val="false"/>
        </c:dLbls>
        <c:gapWidth val="75"/>
        <c:overlap val="-25"/>
        <c:axId val="593910431"/>
        <c:axId val="495511595"/>
      </c:barChart>
      <c:lineChart>
        <c:grouping val="stacked"/>
        <c:varyColors val="false"/>
        <c:ser>
          <c:idx val="2"/>
          <c:order val="1"/>
          <c:tx>
            <c:strRef>
              <c:f>[壤塘2023年公报制图表.xls]Sheet1!$A$18</c:f>
              <c:strCache>
                <c:ptCount val="1"/>
                <c:pt idx="0">
                  <c:v>增长速度(%)</c:v>
                </c:pt>
              </c:strCache>
            </c:strRef>
          </c:tx>
          <c:spPr>
            <a:ln w="28575" cap="rnd">
              <a:solidFill>
                <a:schemeClr val="accent3"/>
              </a:solidFill>
              <a:round/>
            </a:ln>
            <a:effectLst>
              <a:outerShdw blurRad="50800" dir="18900000" sy="23000" kx="-1200000" algn="bl" rotWithShape="0">
                <a:prstClr val="black">
                  <a:alpha val="30000"/>
                </a:prstClr>
              </a:outerShdw>
            </a:effectLst>
          </c:spPr>
          <c:marker>
            <c:symbol val="circle"/>
            <c:size val="5"/>
            <c:spPr>
              <a:solidFill>
                <a:schemeClr val="accent3"/>
              </a:solidFill>
              <a:ln w="9525">
                <a:solidFill>
                  <a:schemeClr val="accent3"/>
                </a:solidFill>
              </a:ln>
              <a:effectLst/>
            </c:spPr>
          </c:marker>
          <c:dPt>
            <c:idx val="0"/>
            <c:marker>
              <c:symbol val="circle"/>
              <c:size val="5"/>
              <c:spPr>
                <a:solidFill>
                  <a:schemeClr val="accent3"/>
                </a:solidFill>
                <a:ln w="9525">
                  <a:solidFill>
                    <a:schemeClr val="accent3"/>
                  </a:solidFill>
                </a:ln>
                <a:effectLst/>
              </c:spPr>
            </c:marker>
            <c:bubble3D val="false"/>
            <c:spPr>
              <a:ln w="28575" cap="rnd">
                <a:solidFill>
                  <a:schemeClr val="accent3"/>
                </a:solidFill>
                <a:round/>
              </a:ln>
              <a:effectLst>
                <a:outerShdw blurRad="50800" dir="18900000" sy="23000" kx="-1200000" algn="bl" rotWithShape="0">
                  <a:prstClr val="black">
                    <a:alpha val="30000"/>
                  </a:prstClr>
                </a:outerShdw>
              </a:effectLst>
            </c:spPr>
          </c:dPt>
          <c:dPt>
            <c:idx val="1"/>
            <c:marker>
              <c:symbol val="circle"/>
              <c:size val="5"/>
              <c:spPr>
                <a:solidFill>
                  <a:schemeClr val="accent3"/>
                </a:solidFill>
                <a:ln w="9525">
                  <a:solidFill>
                    <a:schemeClr val="accent3"/>
                  </a:solidFill>
                </a:ln>
                <a:effectLst/>
              </c:spPr>
            </c:marker>
            <c:bubble3D val="false"/>
            <c:spPr>
              <a:ln w="28575" cap="rnd">
                <a:solidFill>
                  <a:schemeClr val="accent3"/>
                </a:solidFill>
                <a:round/>
              </a:ln>
              <a:effectLst>
                <a:outerShdw blurRad="50800" dir="18900000" sy="23000" kx="-1200000" algn="bl" rotWithShape="0">
                  <a:prstClr val="black">
                    <a:alpha val="30000"/>
                  </a:prstClr>
                </a:outerShdw>
              </a:effectLst>
            </c:spPr>
          </c:dPt>
          <c:dPt>
            <c:idx val="3"/>
            <c:marker>
              <c:symbol val="circle"/>
              <c:size val="5"/>
              <c:spPr>
                <a:solidFill>
                  <a:schemeClr val="accent3"/>
                </a:solidFill>
                <a:ln w="9525">
                  <a:solidFill>
                    <a:schemeClr val="accent3"/>
                  </a:solidFill>
                </a:ln>
                <a:effectLst/>
              </c:spPr>
            </c:marker>
            <c:bubble3D val="false"/>
            <c:spPr>
              <a:ln w="28575" cap="rnd">
                <a:solidFill>
                  <a:schemeClr val="accent3"/>
                </a:solidFill>
                <a:round/>
              </a:ln>
              <a:effectLst>
                <a:outerShdw blurRad="50800" dir="18900000" sy="23000" kx="-1200000" algn="bl" rotWithShape="0">
                  <a:prstClr val="black">
                    <a:alpha val="30000"/>
                  </a:prstClr>
                </a:outerShdw>
              </a:effectLst>
            </c:spPr>
          </c:dPt>
          <c:dLbls>
            <c:dLbl>
              <c:idx val="0"/>
              <c:layout>
                <c:manualLayout>
                  <c:x val="0.0101752402487281"/>
                  <c:y val="-0.023489932885906"/>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01752402487281"/>
                  <c:y val="-0.0436241610738255"/>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508762012436405"/>
                  <c:y val="-0.0469798657718121"/>
                </c:manualLayout>
              </c:layout>
              <c:dLblPos val="r"/>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[壤塘2023年公报制图表.xls]Sheet1!$B$16:$F$16</c:f>
              <c:strCache>
                <c:ptCount val="5"/>
                <c:pt idx="0">
                  <c:v>2019年</c:v>
                </c:pt>
                <c:pt idx="1">
                  <c:v>2020年</c:v>
                </c:pt>
                <c:pt idx="2">
                  <c:v>2021年</c:v>
                </c:pt>
                <c:pt idx="3">
                  <c:v>2022年</c:v>
                </c:pt>
                <c:pt idx="4">
                  <c:v>2023年</c:v>
                </c:pt>
              </c:strCache>
            </c:strRef>
          </c:cat>
          <c:val>
            <c:numRef>
              <c:f>[壤塘2023年公报制图表.xls]Sheet1!$B$18:$F$18</c:f>
              <c:numCache>
                <c:formatCode>General</c:formatCode>
                <c:ptCount val="5"/>
                <c:pt idx="0">
                  <c:v>13.9</c:v>
                </c:pt>
                <c:pt idx="1">
                  <c:v>6.5</c:v>
                </c:pt>
                <c:pt idx="2">
                  <c:v>7.7</c:v>
                </c:pt>
                <c:pt idx="3">
                  <c:v>9.1</c:v>
                </c:pt>
                <c:pt idx="4">
                  <c:v>38.3</c:v>
                </c:pt>
              </c:numCache>
            </c:numRef>
          </c:val>
          <c:smooth val="false"/>
        </c:ser>
        <c:dLbls>
          <c:showLegendKey val="false"/>
          <c:showVal val="true"/>
          <c:showCatName val="false"/>
          <c:showSerName val="false"/>
          <c:showPercent val="false"/>
          <c:showBubbleSize val="false"/>
        </c:dLbls>
        <c:marker val="true"/>
        <c:smooth val="false"/>
        <c:axId val="878466132"/>
        <c:axId val="649187579"/>
      </c:lineChart>
      <c:catAx>
        <c:axId val="593910431"/>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crossAx val="495511595"/>
        <c:crosses val="autoZero"/>
        <c:auto val="true"/>
        <c:lblAlgn val="ctr"/>
        <c:lblOffset val="100"/>
        <c:noMultiLvlLbl val="false"/>
      </c:catAx>
      <c:valAx>
        <c:axId val="495511595"/>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crossAx val="593910431"/>
        <c:crosses val="autoZero"/>
        <c:crossBetween val="between"/>
      </c:valAx>
      <c:catAx>
        <c:axId val="878466132"/>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crossAx val="649187579"/>
        <c:crosses val="autoZero"/>
        <c:auto val="true"/>
        <c:lblAlgn val="ctr"/>
        <c:lblOffset val="100"/>
        <c:noMultiLvlLbl val="false"/>
      </c:catAx>
      <c:valAx>
        <c:axId val="649187579"/>
        <c:scaling>
          <c:orientation val="minMax"/>
        </c:scaling>
        <c:delete val="false"/>
        <c:axPos val="r"/>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crossAx val="878466132"/>
        <c:crosses val="max"/>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mn-cs"/>
            </a:defRPr>
          </a:pPr>
        </a:p>
      </c:txPr>
    </c:legend>
    <c:plotVisOnly val="true"/>
    <c:dispBlanksAs val="gap"/>
    <c:showDLblsOverMax val="false"/>
  </c:chart>
  <c:spPr>
    <a:noFill/>
    <a:ln w="19050" cap="flat" cmpd="sng" algn="ctr">
      <a:noFill/>
      <a:round/>
    </a:ln>
    <a:effectLst>
      <a:outerShdw blurRad="63500" dist="37357" dir="2700000" sx="0" sy="0" rotWithShape="0">
        <a:scrgbClr r="0" g="0" b="0"/>
      </a:outerShdw>
    </a:effectLst>
  </c:spPr>
  <c:txPr>
    <a:bodyPr/>
    <a:lstStyle/>
    <a:p>
      <a:pPr>
        <a:defRPr lang="zh-CN">
          <a:solidFill>
            <a:schemeClr val="bg1"/>
          </a:solidFill>
          <a:latin typeface="微软雅黑" panose="020B0503020204020204" charset="-122"/>
          <a:ea typeface="微软雅黑" panose="020B0503020204020204" charset="-122"/>
        </a:defRPr>
      </a:pPr>
    </a:p>
  </c:txPr>
  <c:externalData r:id="rId1">
    <c:autoUpdate val="false"/>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ln w="0" cmpd="sng">
                  <a:noFill/>
                  <a:prstDash val="solid"/>
                </a:ln>
                <a:solidFill>
                  <a:sysClr val="windowText" lastClr="000000"/>
                </a:solidFill>
                <a:effectLst/>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r>
              <a:rPr altLang="en-US">
                <a:solidFill>
                  <a:sysClr val="windowText" lastClr="000000"/>
                </a:solidFill>
              </a:rPr>
              <a:t>图</a:t>
            </a:r>
            <a:r>
              <a:rPr lang="en-US" altLang="zh-CN">
                <a:solidFill>
                  <a:sysClr val="windowText" lastClr="000000"/>
                </a:solidFill>
              </a:rPr>
              <a:t>8</a:t>
            </a:r>
            <a:r>
              <a:rPr altLang="en-US">
                <a:solidFill>
                  <a:sysClr val="windowText" lastClr="000000"/>
                </a:solidFill>
              </a:rPr>
              <a:t>：壤塘县近五年常住人口及户籍人口</a:t>
            </a:r>
            <a:endParaRPr altLang="en-US">
              <a:solidFill>
                <a:sysClr val="windowText" lastClr="000000"/>
              </a:solidFill>
            </a:endParaRPr>
          </a:p>
        </c:rich>
      </c:tx>
      <c:layout/>
      <c:overlay val="false"/>
      <c:spPr>
        <a:noFill/>
        <a:ln>
          <a:noFill/>
        </a:ln>
        <a:effectLst/>
      </c:spPr>
    </c:title>
    <c:autoTitleDeleted val="false"/>
    <c:plotArea>
      <c:layout/>
      <c:barChart>
        <c:barDir val="col"/>
        <c:grouping val="clustered"/>
        <c:varyColors val="false"/>
        <c:ser>
          <c:idx val="0"/>
          <c:order val="0"/>
          <c:tx>
            <c:strRef>
              <c:f>[壤塘2023年公报制图表.xls]Sheet1!$A$32</c:f>
              <c:strCache>
                <c:ptCount val="1"/>
                <c:pt idx="0">
                  <c:v>常住人口（人）</c:v>
                </c:pt>
              </c:strCache>
            </c:strRef>
          </c:tx>
          <c:spPr>
            <a:blipFill rotWithShape="true">
              <a:blip xmlns:r="http://schemas.openxmlformats.org/officeDocument/2006/relationships" r:embed="rId3"/>
              <a:stretch>
                <a:fillRect/>
              </a:stretch>
            </a:blipFill>
            <a:ln>
              <a:noFill/>
            </a:ln>
            <a:effectLst/>
          </c:spPr>
          <c:invertIfNegative val="false"/>
          <c:pictureOptions>
            <c:pictureFormat val="stack"/>
          </c:pictureOptions>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[壤塘2023年公报制图表.xls]Sheet1!$B$31:$F$31</c:f>
              <c:strCache>
                <c:ptCount val="5"/>
                <c:pt idx="0">
                  <c:v>2019年</c:v>
                </c:pt>
                <c:pt idx="1">
                  <c:v>2020年</c:v>
                </c:pt>
                <c:pt idx="2">
                  <c:v>2021年</c:v>
                </c:pt>
                <c:pt idx="3">
                  <c:v>2022年</c:v>
                </c:pt>
                <c:pt idx="4">
                  <c:v>2023年</c:v>
                </c:pt>
              </c:strCache>
            </c:strRef>
          </c:cat>
          <c:val>
            <c:numRef>
              <c:f>[壤塘2023年公报制图表.xls]Sheet1!$B$32:$F$32</c:f>
              <c:numCache>
                <c:formatCode>General</c:formatCode>
                <c:ptCount val="5"/>
                <c:pt idx="0">
                  <c:v>43000</c:v>
                </c:pt>
                <c:pt idx="1">
                  <c:v>44679</c:v>
                </c:pt>
                <c:pt idx="2">
                  <c:v>45000</c:v>
                </c:pt>
                <c:pt idx="3">
                  <c:v>45200</c:v>
                </c:pt>
                <c:pt idx="4">
                  <c:v>45500</c:v>
                </c:pt>
              </c:numCache>
            </c:numRef>
          </c:val>
        </c:ser>
        <c:ser>
          <c:idx val="1"/>
          <c:order val="1"/>
          <c:tx>
            <c:strRef>
              <c:f>[壤塘2023年公报制图表.xls]Sheet1!$A$33</c:f>
              <c:strCache>
                <c:ptCount val="1"/>
                <c:pt idx="0">
                  <c:v>户籍人口（人）</c:v>
                </c:pt>
              </c:strCache>
            </c:strRef>
          </c:tx>
          <c:spPr>
            <a:blipFill rotWithShape="true">
              <a:blip xmlns:r="http://schemas.openxmlformats.org/officeDocument/2006/relationships" r:embed="rId4"/>
              <a:stretch>
                <a:fillRect/>
              </a:stretch>
            </a:blipFill>
            <a:ln>
              <a:noFill/>
            </a:ln>
            <a:effectLst/>
          </c:spPr>
          <c:invertIfNegative val="false"/>
          <c:pictureOptions>
            <c:pictureFormat val="stack"/>
          </c:pictureOptions>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ysClr val="windowText" lastClr="000000"/>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[壤塘2023年公报制图表.xls]Sheet1!$B$31:$F$31</c:f>
              <c:strCache>
                <c:ptCount val="5"/>
                <c:pt idx="0">
                  <c:v>2019年</c:v>
                </c:pt>
                <c:pt idx="1">
                  <c:v>2020年</c:v>
                </c:pt>
                <c:pt idx="2">
                  <c:v>2021年</c:v>
                </c:pt>
                <c:pt idx="3">
                  <c:v>2022年</c:v>
                </c:pt>
                <c:pt idx="4">
                  <c:v>2023年</c:v>
                </c:pt>
              </c:strCache>
            </c:strRef>
          </c:cat>
          <c:val>
            <c:numRef>
              <c:f>[壤塘2023年公报制图表.xls]Sheet1!$B$33:$F$33</c:f>
              <c:numCache>
                <c:formatCode>General</c:formatCode>
                <c:ptCount val="5"/>
                <c:pt idx="0">
                  <c:v>46484</c:v>
                </c:pt>
                <c:pt idx="1">
                  <c:v>47056</c:v>
                </c:pt>
                <c:pt idx="2">
                  <c:v>47447</c:v>
                </c:pt>
                <c:pt idx="3">
                  <c:v>48415</c:v>
                </c:pt>
                <c:pt idx="4">
                  <c:v>49272</c:v>
                </c:pt>
              </c:numCache>
            </c:numRef>
          </c:val>
        </c:ser>
        <c:dLbls>
          <c:showLegendKey val="false"/>
          <c:showVal val="true"/>
          <c:showCatName val="false"/>
          <c:showSerName val="false"/>
          <c:showPercent val="false"/>
          <c:showBubbleSize val="false"/>
        </c:dLbls>
        <c:gapWidth val="75"/>
        <c:overlap val="-25"/>
        <c:axId val="806466061"/>
        <c:axId val="105576011"/>
      </c:barChart>
      <c:catAx>
        <c:axId val="806466061"/>
        <c:scaling>
          <c:orientation val="minMax"/>
        </c:scaling>
        <c:delete val="false"/>
        <c:axPos val="b"/>
        <c:numFmt formatCode="General" sourceLinked="true"/>
        <c:majorTickMark val="none"/>
        <c:minorTickMark val="none"/>
        <c:tickLblPos val="nextTo"/>
        <c:spPr>
          <a:noFill/>
          <a:ln w="9525" cap="flat" cmpd="sng" algn="ctr">
            <a:solidFill>
              <a:srgbClr val="616161"/>
            </a:solidFill>
            <a:round/>
          </a:ln>
          <a:effectLst/>
        </c:spPr>
        <c:txPr>
          <a:bodyPr rot="-60000000" spcFirstLastPara="0" vertOverflow="ellipsis" vert="horz" wrap="square" anchor="ctr" anchorCtr="true" forceAA="false"/>
          <a:lstStyle/>
          <a:p>
            <a:pPr>
              <a:defRPr lang="zh-CN" sz="900" b="0" i="0" u="none" strike="noStrike" kern="1200" cap="none" spc="0" normalizeH="0" baseline="0">
                <a:solidFill>
                  <a:sysClr val="windowText" lastClr="000000"/>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105576011"/>
        <c:crosses val="autoZero"/>
        <c:auto val="true"/>
        <c:lblAlgn val="ctr"/>
        <c:lblOffset val="100"/>
        <c:noMultiLvlLbl val="false"/>
      </c:catAx>
      <c:valAx>
        <c:axId val="105576011"/>
        <c:scaling>
          <c:orientation val="minMax"/>
        </c:scaling>
        <c:delete val="false"/>
        <c:axPos val="l"/>
        <c:majorGridlines>
          <c:spPr>
            <a:ln w="9525" cap="flat" cmpd="sng" algn="ctr">
              <a:solidFill>
                <a:srgbClr val="BCD3DD"/>
              </a:solidFill>
              <a:prstDash val="dash"/>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crossAx val="806466061"/>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900" b="0" i="0" u="none" strike="noStrike" kern="1200" cap="none" spc="0" normalizeH="0" baseline="0">
                <a:solidFill>
                  <a:sysClr val="windowText" lastClr="000000"/>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egendEntry>
        <c:idx val="1"/>
        <c:txPr>
          <a:bodyPr rot="0" spcFirstLastPara="0" vertOverflow="ellipsis" vert="horz" wrap="square" anchor="ctr" anchorCtr="true"/>
          <a:lstStyle/>
          <a:p>
            <a:pPr>
              <a:defRPr lang="zh-CN" sz="900" b="0" i="0" u="none" strike="noStrike" kern="1200" cap="none" spc="0" normalizeH="0" baseline="0">
                <a:solidFill>
                  <a:sysClr val="windowText" lastClr="000000"/>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cap="none" spc="0" normalizeH="0" baseline="0">
              <a:solidFill>
                <a:sysClr val="windowText" lastClr="000000"/>
              </a:solidFill>
              <a:uFill>
                <a:solidFill>
                  <a:schemeClr val="tx1">
                    <a:lumMod val="65000"/>
                    <a:lumOff val="35000"/>
                  </a:schemeClr>
                </a:solidFill>
              </a:u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legend>
    <c:plotVisOnly val="true"/>
    <c:dispBlanksAs val="gap"/>
    <c:showDLblsOverMax val="false"/>
  </c:chart>
  <c:spPr>
    <a:blipFill rotWithShape="true">
      <a:blip xmlns:r="http://schemas.openxmlformats.org/officeDocument/2006/relationships" r:embed="rId5"/>
      <a:stretch>
        <a:fillRect/>
      </a:stretch>
    </a:blipFill>
    <a:ln w="12700" cap="flat" cmpd="sng" algn="ctr">
      <a:noFill/>
      <a:round/>
    </a:ln>
    <a:effectLst/>
  </c:spPr>
  <c:txPr>
    <a:bodyPr/>
    <a:lstStyle/>
    <a:p>
      <a:pPr>
        <a:defRPr lang="zh-CN">
          <a:solidFill>
            <a:sysClr val="windowText" lastClr="000000"/>
          </a:solidFill>
          <a:latin typeface="汉仪旗黑-55简" panose="00020600040101010101" charset="-128"/>
          <a:ea typeface="汉仪旗黑-55简" panose="00020600040101010101" charset="-128"/>
          <a:cs typeface="汉仪旗黑-55简" panose="00020600040101010101" charset="-128"/>
          <a:sym typeface="汉仪旗黑-55简" panose="00020600040101010101" charset="-128"/>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自定义 15">
    <a:dk1>
      <a:srgbClr val="000000"/>
    </a:dk1>
    <a:lt1>
      <a:srgbClr val="FFFFFF"/>
    </a:lt1>
    <a:dk2>
      <a:srgbClr val="000000"/>
    </a:dk2>
    <a:lt2>
      <a:srgbClr val="FEFFFF"/>
    </a:lt2>
    <a:accent1>
      <a:srgbClr val="39C586"/>
    </a:accent1>
    <a:accent2>
      <a:srgbClr val="5E78F8"/>
    </a:accent2>
    <a:accent3>
      <a:srgbClr val="9264E6"/>
    </a:accent3>
    <a:accent4>
      <a:srgbClr val="2CA7E4"/>
    </a:accent4>
    <a:accent5>
      <a:srgbClr val="F2B12E"/>
    </a:accent5>
    <a:accent6>
      <a:srgbClr val="DD4752"/>
    </a:accent6>
    <a:hlink>
      <a:srgbClr val="304FFE"/>
    </a:hlink>
    <a:folHlink>
      <a:srgbClr val="00A3F4"/>
    </a:folHlink>
  </a:clrScheme>
  <a:fontScheme name="微软雅黑">
    <a:majorFont>
      <a:latin typeface="Arial"/>
      <a:ea typeface="微软雅黑"/>
      <a:cs typeface=""/>
    </a:majorFont>
    <a:minorFont>
      <a:latin typeface="Arial"/>
      <a:ea typeface="微软雅黑"/>
      <a:cs typeface=""/>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6984</Words>
  <Characters>8365</Characters>
  <Lines>43</Lines>
  <Paragraphs>12</Paragraphs>
  <TotalTime>0</TotalTime>
  <ScaleCrop>false</ScaleCrop>
  <LinksUpToDate>false</LinksUpToDate>
  <CharactersWithSpaces>8504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2018-12-22T21:56:00Z</dcterms:created>
  <dc:creator>雪域谪仙</dc:creator>
  <cp:lastModifiedBy>user</cp:lastModifiedBy>
  <cp:lastPrinted>2024-05-23T22:13:00Z</cp:lastPrinted>
  <dcterms:modified xsi:type="dcterms:W3CDTF">2026-05-22T13:57:19Z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76E533EB1D564336AA2DC448AD93516A</vt:lpwstr>
  </property>
  <property fmtid="{D5CDD505-2E9C-101B-9397-08002B2CF9AE}" pid="4" name="commondata">
    <vt:lpwstr>eyJoZGlkIjoiNzRjNzcwOTI3ZjIzODQxZWQ0NTNkMDI3YzJhNWQ0YWUifQ==</vt:lpwstr>
  </property>
</Properties>
</file>