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89CEA">
      <w:pPr>
        <w:spacing w:line="578" w:lineRule="exact"/>
        <w:contextualSpacing/>
        <w:rPr>
          <w:rFonts w:eastAsia="黑体"/>
          <w:szCs w:val="32"/>
          <w:lang w:val="zh-CN"/>
        </w:rPr>
      </w:pPr>
      <w:r>
        <w:rPr>
          <w:rFonts w:eastAsia="黑体"/>
          <w:szCs w:val="32"/>
          <w:lang w:val="zh-CN"/>
        </w:rPr>
        <w:t>附件</w:t>
      </w:r>
      <w:r>
        <w:rPr>
          <w:rFonts w:hint="eastAsia" w:eastAsia="黑体"/>
          <w:szCs w:val="32"/>
        </w:rPr>
        <w:t>2</w:t>
      </w:r>
    </w:p>
    <w:p w14:paraId="1B13C2EC">
      <w:pPr>
        <w:widowControl/>
        <w:spacing w:line="578" w:lineRule="exact"/>
        <w:contextualSpacing/>
        <w:jc w:val="left"/>
        <w:rPr>
          <w:rFonts w:eastAsia="宋体"/>
          <w:b/>
          <w:sz w:val="44"/>
          <w:szCs w:val="44"/>
          <w:shd w:val="clear" w:color="auto" w:fill="FFFFFF"/>
        </w:rPr>
      </w:pPr>
    </w:p>
    <w:p w14:paraId="6ED270A3">
      <w:pPr>
        <w:widowControl/>
        <w:spacing w:line="578" w:lineRule="exact"/>
        <w:contextualSpacing/>
        <w:jc w:val="center"/>
        <w:rPr>
          <w:rFonts w:hint="eastAsia" w:eastAsia="方正小标宋简体"/>
          <w:bCs/>
          <w:sz w:val="44"/>
          <w:szCs w:val="44"/>
          <w:shd w:val="clear" w:color="auto" w:fill="FFFFFF"/>
          <w:lang w:eastAsia="zh-CN"/>
        </w:rPr>
      </w:pPr>
      <w:r>
        <w:rPr>
          <w:rFonts w:hint="eastAsia" w:eastAsia="方正小标宋简体"/>
          <w:bCs/>
          <w:sz w:val="44"/>
          <w:szCs w:val="44"/>
          <w:shd w:val="clear" w:color="auto" w:fill="FFFFFF"/>
          <w:lang w:eastAsia="zh-CN"/>
        </w:rPr>
        <w:t>壤塘县人民医院</w:t>
      </w:r>
    </w:p>
    <w:p w14:paraId="5289D533">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val="en-US" w:eastAsia="zh-CN"/>
        </w:rPr>
        <w:t>2025年</w:t>
      </w:r>
      <w:r>
        <w:rPr>
          <w:rFonts w:eastAsia="方正小标宋简体"/>
          <w:bCs/>
          <w:sz w:val="44"/>
          <w:szCs w:val="44"/>
          <w:shd w:val="clear" w:color="auto" w:fill="FFFFFF"/>
        </w:rPr>
        <w:t>预算绩效</w:t>
      </w:r>
      <w:r>
        <w:rPr>
          <w:rFonts w:hint="eastAsia" w:eastAsia="方正小标宋简体"/>
          <w:bCs/>
          <w:sz w:val="44"/>
          <w:szCs w:val="44"/>
          <w:shd w:val="clear" w:color="auto" w:fill="FFFFFF"/>
        </w:rPr>
        <w:t>自评</w:t>
      </w:r>
      <w:r>
        <w:rPr>
          <w:rFonts w:eastAsia="方正小标宋简体"/>
          <w:bCs/>
          <w:sz w:val="44"/>
          <w:szCs w:val="44"/>
          <w:shd w:val="clear" w:color="auto" w:fill="FFFFFF"/>
        </w:rPr>
        <w:t>报告</w:t>
      </w:r>
    </w:p>
    <w:p w14:paraId="14947FCB">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29922400">
      <w:pPr>
        <w:widowControl/>
        <w:adjustRightInd w:val="0"/>
        <w:snapToGrid w:val="0"/>
        <w:spacing w:line="578" w:lineRule="exact"/>
        <w:ind w:firstLine="640" w:firstLineChars="200"/>
        <w:contextualSpacing/>
        <w:jc w:val="left"/>
        <w:rPr>
          <w:szCs w:val="32"/>
        </w:rPr>
      </w:pPr>
      <w:r>
        <w:rPr>
          <w:rFonts w:eastAsia="黑体"/>
          <w:color w:val="000000"/>
          <w:kern w:val="0"/>
          <w:szCs w:val="32"/>
          <w:shd w:val="clear" w:color="auto" w:fill="FFFFFF"/>
          <w:lang w:val="zh-CN"/>
        </w:rPr>
        <w:t>一、部门基本情况</w:t>
      </w:r>
    </w:p>
    <w:p w14:paraId="210DB986">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（一）机构组成。</w:t>
      </w:r>
    </w:p>
    <w:p w14:paraId="71E4211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仿宋_GB2312" w:cs="宋体"/>
          <w:color w:val="000000"/>
          <w:kern w:val="0"/>
          <w:szCs w:val="32"/>
          <w:shd w:val="clear" w:color="auto" w:fill="FFFFFF"/>
          <w:lang w:val="en-US" w:eastAsia="zh-CN"/>
        </w:rPr>
      </w:pPr>
      <w:r>
        <w:rPr>
          <w:rFonts w:hint="eastAsia" w:ascii="仿宋_GB2312" w:hAnsi="仿宋_GB2312" w:eastAsia="仿宋_GB2312" w:cs="仿宋_GB2312"/>
          <w:sz w:val="32"/>
          <w:szCs w:val="32"/>
          <w:lang w:eastAsia="zh-CN"/>
        </w:rPr>
        <w:t>壤塘县人民医院</w:t>
      </w:r>
      <w:r>
        <w:rPr>
          <w:rFonts w:hint="eastAsia" w:ascii="仿宋_GB2312" w:hAnsi="仿宋_GB2312" w:eastAsia="仿宋_GB2312" w:cs="仿宋_GB2312"/>
          <w:sz w:val="32"/>
          <w:szCs w:val="32"/>
        </w:rPr>
        <w:t>，机构性质：财政全额拨款事业单位，机构地址：</w:t>
      </w:r>
      <w:r>
        <w:rPr>
          <w:rFonts w:hint="eastAsia" w:ascii="仿宋_GB2312" w:hAnsi="仿宋_GB2312" w:eastAsia="仿宋_GB2312" w:cs="仿宋_GB2312"/>
          <w:sz w:val="32"/>
          <w:szCs w:val="32"/>
          <w:lang w:eastAsia="zh-CN"/>
        </w:rPr>
        <w:t>壤塘县罗吾塘中街</w:t>
      </w:r>
      <w:r>
        <w:rPr>
          <w:rFonts w:hint="eastAsia" w:ascii="仿宋_GB2312" w:hAnsi="仿宋_GB2312" w:eastAsia="仿宋_GB2312" w:cs="仿宋_GB2312"/>
          <w:sz w:val="32"/>
          <w:szCs w:val="32"/>
          <w:lang w:val="en-US" w:eastAsia="zh-CN"/>
        </w:rPr>
        <w:t>180号</w:t>
      </w:r>
      <w:r>
        <w:rPr>
          <w:rFonts w:hint="eastAsia" w:ascii="仿宋_GB2312" w:hAnsi="仿宋_GB2312" w:eastAsia="仿宋_GB2312" w:cs="仿宋_GB2312"/>
          <w:sz w:val="32"/>
          <w:szCs w:val="32"/>
        </w:rPr>
        <w:t>，负责人：</w:t>
      </w:r>
      <w:r>
        <w:rPr>
          <w:rFonts w:hint="eastAsia" w:ascii="仿宋_GB2312" w:hAnsi="仿宋_GB2312" w:cs="仿宋_GB2312"/>
          <w:sz w:val="32"/>
          <w:szCs w:val="32"/>
          <w:lang w:val="en-US" w:eastAsia="zh-CN"/>
        </w:rPr>
        <w:t>肖强</w:t>
      </w:r>
    </w:p>
    <w:p w14:paraId="468DD43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宋体" w:cs="宋体"/>
          <w:b/>
          <w:bCs/>
          <w:color w:val="000000"/>
          <w:kern w:val="0"/>
          <w:szCs w:val="32"/>
          <w:shd w:val="clear" w:color="auto" w:fill="FFFFFF"/>
          <w:lang w:val="zh-CN"/>
        </w:rPr>
      </w:pPr>
      <w:r>
        <w:rPr>
          <w:rFonts w:hint="eastAsia" w:ascii="仿宋_GB2312" w:hAnsi="宋体" w:cs="宋体"/>
          <w:b/>
          <w:bCs/>
          <w:color w:val="000000"/>
          <w:kern w:val="0"/>
          <w:sz w:val="32"/>
          <w:szCs w:val="32"/>
          <w:shd w:val="clear" w:fill="FFFFFF"/>
          <w:lang w:val="en-US" w:eastAsia="zh-CN" w:bidi="ar-SA"/>
        </w:rPr>
        <w:t>1.</w:t>
      </w:r>
      <w:r>
        <w:rPr>
          <w:rFonts w:hint="eastAsia" w:ascii="仿宋_GB2312" w:hAnsi="宋体" w:cs="宋体"/>
          <w:b/>
          <w:bCs/>
          <w:color w:val="000000"/>
          <w:kern w:val="0"/>
          <w:szCs w:val="32"/>
          <w:shd w:val="clear" w:color="auto" w:fill="FFFFFF"/>
          <w:lang w:val="zh-CN"/>
        </w:rPr>
        <w:t>机构组成</w:t>
      </w:r>
    </w:p>
    <w:p w14:paraId="320092F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（1）设置有一级诊疗室：内科、外科、妇产科、儿科、重症医学科（ICU）、五官科（眼科、耳鼻喉科、口腔科）、麻醉科。</w:t>
      </w:r>
    </w:p>
    <w:p w14:paraId="713E354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（2）医技科室：检验科、影像科、药剂科、超声诊断室、心电图室、血库、手术室、消毒供应中心。</w:t>
      </w:r>
    </w:p>
    <w:p w14:paraId="19DA7A1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（3）管理科室：</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lang w:val="en-US" w:eastAsia="zh-CN"/>
        </w:rPr>
        <w:t>运营中心、党务行政中心、监督管理中心、药械项目后勤管理中心、医疗管理中心、信息管理中心、人力资源管理中心、宣传文化中心、公共卫生管理中心、医保运营中心</w:t>
      </w:r>
    </w:p>
    <w:p w14:paraId="63BF2A4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（4）学科建设：县域内重点专科：骨科专业组、产科专业组、专业组。</w:t>
      </w:r>
    </w:p>
    <w:p w14:paraId="3218FB5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）开设有内传科、外科、妇儿科、五官科、预防保健科等临床科室。能对内科、外科、儿科、妇科、产科、皮肤科、耳鼻喉科等常见病、多发病、疑难重症进行诊治。</w:t>
      </w:r>
    </w:p>
    <w:p w14:paraId="6289DDF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color w:val="000000"/>
          <w:kern w:val="0"/>
          <w:szCs w:val="32"/>
          <w:shd w:val="clear" w:color="auto" w:fill="FFFFFF"/>
          <w:lang w:val="zh-CN"/>
        </w:rPr>
      </w:pPr>
      <w:r>
        <w:rPr>
          <w:rFonts w:hint="eastAsia" w:eastAsia="楷体_GB2312" w:cs="Times New Roman"/>
          <w:b/>
          <w:bCs/>
          <w:color w:val="000000"/>
          <w:kern w:val="0"/>
          <w:sz w:val="32"/>
          <w:szCs w:val="32"/>
          <w:shd w:val="clear" w:fill="FFFFFF"/>
          <w:lang w:val="en-US" w:eastAsia="zh-CN" w:bidi="ar-SA"/>
        </w:rPr>
        <w:t>2.</w:t>
      </w:r>
      <w:r>
        <w:rPr>
          <w:rFonts w:eastAsia="楷体_GB2312"/>
          <w:b/>
          <w:bCs/>
          <w:color w:val="000000"/>
          <w:kern w:val="0"/>
          <w:szCs w:val="32"/>
          <w:shd w:val="clear" w:color="auto" w:fill="FFFFFF"/>
          <w:lang w:val="zh-CN"/>
        </w:rPr>
        <w:t>机构职能。</w:t>
      </w:r>
    </w:p>
    <w:p w14:paraId="72E031D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）贯彻执行党中央、国务院及省市县有关医</w:t>
      </w:r>
      <w:r>
        <w:rPr>
          <w:rFonts w:hint="eastAsia" w:ascii="仿宋_GB2312" w:hAnsi="仿宋_GB2312" w:eastAsia="仿宋_GB2312" w:cs="仿宋_GB2312"/>
          <w:sz w:val="32"/>
          <w:szCs w:val="32"/>
          <w:lang w:val="en-US" w:eastAsia="zh-CN"/>
        </w:rPr>
        <w:t>药</w:t>
      </w:r>
      <w:r>
        <w:rPr>
          <w:rFonts w:hint="eastAsia" w:ascii="仿宋_GB2312" w:hAnsi="仿宋_GB2312" w:eastAsia="仿宋_GB2312" w:cs="仿宋_GB2312"/>
          <w:sz w:val="32"/>
          <w:szCs w:val="32"/>
          <w:lang w:eastAsia="zh-CN"/>
        </w:rPr>
        <w:t>卫生方面的路线、方针、政策和国家的法律法规，开展以现代医药技术为主的疾病预防、保健、诊断、治疗及康复等相关技术服务;</w:t>
      </w:r>
    </w:p>
    <w:p w14:paraId="60B4FD3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）负责在壤塘县卫生健康局领导、协调下开展对重大疾病、流行病、传染病及突发公共卫生事件进行预防控制工作，配合有关部门参与对上述重大事件实施防控与干预，以及按规定报告传染病疫情信息。</w:t>
      </w:r>
    </w:p>
    <w:p w14:paraId="43E2DE9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）参与我县或相关地区的应急、救灾等方面工作。</w:t>
      </w:r>
    </w:p>
    <w:p w14:paraId="082083E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）负责全县范围内基层乡村卫生工作者的业务培训。</w:t>
      </w:r>
    </w:p>
    <w:p w14:paraId="71FC97D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承办壤塘县卫生健康局和上级业务部门交办的其他事项。</w:t>
      </w:r>
    </w:p>
    <w:p w14:paraId="17874EA2">
      <w:pPr>
        <w:spacing w:line="578" w:lineRule="exact"/>
        <w:ind w:firstLine="643" w:firstLineChars="200"/>
        <w:jc w:val="left"/>
        <w:rPr>
          <w:rFonts w:eastAsia="楷体_GB2312"/>
          <w:b/>
          <w:bCs/>
          <w:color w:val="000000"/>
          <w:kern w:val="0"/>
          <w:szCs w:val="32"/>
          <w:shd w:val="clear" w:color="auto" w:fill="FFFFFF"/>
          <w:lang w:val="zh-CN"/>
        </w:rPr>
      </w:pPr>
      <w:r>
        <w:rPr>
          <w:rFonts w:hint="eastAsia" w:eastAsia="楷体_GB2312"/>
          <w:b/>
          <w:bCs/>
          <w:color w:val="000000"/>
          <w:kern w:val="0"/>
          <w:szCs w:val="32"/>
          <w:shd w:val="clear" w:color="auto" w:fill="FFFFFF"/>
          <w:lang w:val="en-US" w:eastAsia="zh-CN"/>
        </w:rPr>
        <w:t>3.</w:t>
      </w:r>
      <w:r>
        <w:rPr>
          <w:rFonts w:eastAsia="楷体_GB2312"/>
          <w:b/>
          <w:bCs/>
          <w:color w:val="000000"/>
          <w:kern w:val="0"/>
          <w:szCs w:val="32"/>
          <w:shd w:val="clear" w:color="auto" w:fill="FFFFFF"/>
          <w:lang w:val="zh-CN"/>
        </w:rPr>
        <w:t>人员概况。</w:t>
      </w:r>
    </w:p>
    <w:p w14:paraId="7BA189F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2025年末，人员编制</w:t>
      </w:r>
      <w:r>
        <w:rPr>
          <w:rFonts w:hint="eastAsia" w:ascii="仿宋_GB2312" w:hAnsi="仿宋_GB2312" w:eastAsia="仿宋_GB2312" w:cs="仿宋_GB2312"/>
          <w:sz w:val="32"/>
          <w:szCs w:val="32"/>
          <w:lang w:val="zh-CN" w:eastAsia="zh-CN"/>
        </w:rPr>
        <w:t>104人，</w:t>
      </w:r>
      <w:r>
        <w:rPr>
          <w:rFonts w:hint="eastAsia" w:ascii="仿宋_GB2312" w:hAnsi="仿宋_GB2312" w:eastAsia="仿宋_GB2312" w:cs="仿宋_GB2312"/>
          <w:sz w:val="32"/>
          <w:szCs w:val="32"/>
          <w:lang w:val="en-US" w:eastAsia="zh-CN"/>
        </w:rPr>
        <w:t>年末</w:t>
      </w:r>
      <w:r>
        <w:rPr>
          <w:rFonts w:hint="eastAsia" w:ascii="仿宋_GB2312" w:hAnsi="仿宋_GB2312" w:eastAsia="仿宋_GB2312" w:cs="仿宋_GB2312"/>
          <w:sz w:val="32"/>
          <w:szCs w:val="32"/>
          <w:lang w:eastAsia="zh-CN"/>
        </w:rPr>
        <w:t>在职人员总数</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eastAsia="zh-CN"/>
        </w:rPr>
        <w:t>人，其中：事业专技人员</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lang w:eastAsia="zh-CN"/>
        </w:rPr>
        <w:t>名，事业管理人员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名，事业工勤人员2名。</w:t>
      </w:r>
    </w:p>
    <w:p w14:paraId="2E313B80">
      <w:pPr>
        <w:widowControl/>
        <w:adjustRightInd w:val="0"/>
        <w:snapToGrid w:val="0"/>
        <w:spacing w:line="578" w:lineRule="exact"/>
        <w:ind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二、部门资金收支情况</w:t>
      </w:r>
    </w:p>
    <w:p w14:paraId="14335098">
      <w:pPr>
        <w:widowControl/>
        <w:adjustRightInd w:val="0"/>
        <w:snapToGrid w:val="0"/>
        <w:spacing w:line="578" w:lineRule="exact"/>
        <w:ind w:firstLine="643" w:firstLineChars="200"/>
        <w:contextualSpacing/>
        <w:jc w:val="left"/>
        <w:rPr>
          <w:szCs w:val="32"/>
        </w:rPr>
      </w:pPr>
      <w:r>
        <w:rPr>
          <w:rFonts w:eastAsia="楷体_GB2312"/>
          <w:b/>
          <w:bCs/>
          <w:color w:val="000000"/>
          <w:kern w:val="0"/>
          <w:szCs w:val="32"/>
          <w:shd w:val="clear" w:color="auto" w:fill="FFFFFF"/>
          <w:lang w:val="zh-CN"/>
        </w:rPr>
        <w:t>（一）收入情况。</w:t>
      </w:r>
    </w:p>
    <w:p w14:paraId="57794D7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财政下达壤塘县人民医院年初预算收入3208.03万元，执行中追加预算安排3015.06万元，合计6223.10万元,其中一般公共预算财政拨款收入5290.66万元、政府性基金预算财政拨款收入932.44万元，较2024年同期数减少748.10万元，减少10.73%。</w:t>
      </w:r>
    </w:p>
    <w:p w14:paraId="7E914BD1">
      <w:pPr>
        <w:widowControl/>
        <w:numPr>
          <w:ilvl w:val="0"/>
          <w:numId w:val="0"/>
        </w:numPr>
        <w:adjustRightInd w:val="0"/>
        <w:snapToGrid w:val="0"/>
        <w:spacing w:line="578" w:lineRule="exact"/>
        <w:ind w:left="0" w:leftChars="0" w:firstLine="640" w:firstLineChars="200"/>
        <w:contextualSpacing/>
        <w:jc w:val="left"/>
        <w:rPr>
          <w:szCs w:val="32"/>
        </w:rPr>
      </w:pP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w:t>
      </w:r>
      <w:r>
        <w:rPr>
          <w:rFonts w:eastAsia="楷体_GB2312"/>
          <w:b/>
          <w:bCs/>
          <w:color w:val="000000"/>
          <w:kern w:val="0"/>
          <w:szCs w:val="32"/>
          <w:shd w:val="clear" w:color="auto" w:fill="FFFFFF"/>
          <w:lang w:val="zh-CN"/>
        </w:rPr>
        <w:t>支出情况。</w:t>
      </w:r>
    </w:p>
    <w:p w14:paraId="6E2A18B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1.2025年壤塘县人民医院财政资金支出6223.10万元，较2024年同期数减少748.10万元，减少10.73%。其中：基本支出2673.03万元，占42.95%；项目支出3550.07万元，占57.05%。完成情况较好，支出严格按照预算执行。</w:t>
      </w:r>
    </w:p>
    <w:p w14:paraId="52DAFB4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2.2025年壤塘县人民医院属于事业单位，职工差旅费、公务用车运行维护费等费用在本级财务支出，未使用财政资金支付“三公”经费。</w:t>
      </w:r>
    </w:p>
    <w:p w14:paraId="229B5592">
      <w:pPr>
        <w:widowControl/>
        <w:numPr>
          <w:ilvl w:val="0"/>
          <w:numId w:val="0"/>
        </w:numPr>
        <w:adjustRightInd w:val="0"/>
        <w:snapToGrid w:val="0"/>
        <w:spacing w:line="578" w:lineRule="exact"/>
        <w:ind w:left="0" w:leftChars="0" w:firstLine="643" w:firstLineChars="200"/>
        <w:contextualSpacing/>
        <w:jc w:val="left"/>
        <w:rPr>
          <w:rFonts w:eastAsia="楷体_GB2312"/>
          <w:b/>
          <w:szCs w:val="32"/>
        </w:rPr>
      </w:pPr>
      <w:r>
        <w:rPr>
          <w:rFonts w:hint="eastAsia" w:ascii="Times New Roman" w:hAnsi="Times New Roman" w:eastAsia="楷体_GB2312" w:cs="Times New Roman"/>
          <w:b/>
          <w:kern w:val="2"/>
          <w:sz w:val="32"/>
          <w:szCs w:val="32"/>
          <w:lang w:val="en-US" w:eastAsia="zh-CN" w:bidi="ar-SA"/>
        </w:rPr>
        <w:t>（</w:t>
      </w:r>
      <w:r>
        <w:rPr>
          <w:rFonts w:hint="eastAsia" w:eastAsia="楷体_GB2312" w:cs="Times New Roman"/>
          <w:b/>
          <w:kern w:val="2"/>
          <w:sz w:val="32"/>
          <w:szCs w:val="32"/>
          <w:lang w:val="en-US" w:eastAsia="zh-CN" w:bidi="ar-SA"/>
        </w:rPr>
        <w:t>三</w:t>
      </w:r>
      <w:r>
        <w:rPr>
          <w:rFonts w:hint="eastAsia" w:ascii="Times New Roman" w:hAnsi="Times New Roman" w:eastAsia="楷体_GB2312" w:cs="Times New Roman"/>
          <w:b/>
          <w:kern w:val="2"/>
          <w:sz w:val="32"/>
          <w:szCs w:val="32"/>
          <w:lang w:val="en-US" w:eastAsia="zh-CN" w:bidi="ar-SA"/>
        </w:rPr>
        <w:t>）</w:t>
      </w:r>
      <w:r>
        <w:rPr>
          <w:rFonts w:eastAsia="楷体_GB2312"/>
          <w:b/>
          <w:szCs w:val="32"/>
        </w:rPr>
        <w:t>结余分配和结转结余情况。</w:t>
      </w:r>
    </w:p>
    <w:p w14:paraId="21BFE0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壤塘县人民医院2025年决算报表结余分配536.23万元。</w:t>
      </w:r>
    </w:p>
    <w:p w14:paraId="1CC59912">
      <w:pPr>
        <w:widowControl/>
        <w:adjustRightInd w:val="0"/>
        <w:snapToGrid w:val="0"/>
        <w:spacing w:line="578" w:lineRule="exact"/>
        <w:ind w:firstLine="640" w:firstLineChars="200"/>
        <w:contextualSpacing/>
        <w:jc w:val="left"/>
        <w:rPr>
          <w:rFonts w:eastAsia="黑体"/>
          <w:color w:val="000000" w:themeColor="text1"/>
          <w:kern w:val="0"/>
          <w:szCs w:val="32"/>
          <w:shd w:val="clear" w:color="auto" w:fill="FFFFFF"/>
        </w:rPr>
      </w:pPr>
      <w:r>
        <w:rPr>
          <w:rFonts w:eastAsia="黑体"/>
          <w:color w:val="000000"/>
          <w:kern w:val="0"/>
          <w:szCs w:val="32"/>
          <w:shd w:val="clear" w:color="auto" w:fill="FFFFFF"/>
        </w:rPr>
        <w:t>三、部门预算绩效分析</w:t>
      </w:r>
    </w:p>
    <w:p w14:paraId="50DDAD2E">
      <w:pPr>
        <w:adjustRightInd w:val="0"/>
        <w:snapToGrid w:val="0"/>
        <w:spacing w:line="578" w:lineRule="exact"/>
        <w:ind w:firstLine="643" w:firstLineChars="200"/>
        <w:contextualSpacing/>
        <w:jc w:val="left"/>
        <w:rPr>
          <w:color w:val="000000"/>
          <w:kern w:val="0"/>
          <w:szCs w:val="32"/>
          <w:shd w:val="clear" w:color="auto" w:fill="FFFFFF"/>
          <w:lang w:val="zh-CN"/>
        </w:rPr>
      </w:pPr>
      <w:r>
        <w:rPr>
          <w:rFonts w:eastAsia="楷体_GB2312"/>
          <w:b/>
          <w:bCs/>
          <w:color w:val="000000"/>
          <w:kern w:val="0"/>
          <w:szCs w:val="32"/>
          <w:shd w:val="clear" w:color="auto" w:fill="FFFFFF"/>
          <w:lang w:val="zh-CN"/>
        </w:rPr>
        <w:t>（一）部门预算总体绩效分析。</w:t>
      </w:r>
    </w:p>
    <w:p w14:paraId="34EDEA1E">
      <w:pPr>
        <w:adjustRightInd w:val="0"/>
        <w:snapToGrid w:val="0"/>
        <w:spacing w:line="578" w:lineRule="exact"/>
        <w:ind w:firstLine="643" w:firstLineChars="200"/>
        <w:contextualSpacing/>
        <w:jc w:val="left"/>
        <w:rPr>
          <w:b/>
          <w:bCs/>
          <w:color w:val="000000"/>
          <w:kern w:val="0"/>
          <w:szCs w:val="32"/>
          <w:highlight w:val="none"/>
          <w:shd w:val="clear" w:color="auto" w:fill="FFFFFF"/>
          <w:lang w:val="zh-CN"/>
        </w:rPr>
      </w:pPr>
      <w:r>
        <w:rPr>
          <w:rFonts w:eastAsia="楷体_GB2312"/>
          <w:b/>
          <w:bCs/>
          <w:color w:val="000000"/>
          <w:kern w:val="0"/>
          <w:szCs w:val="32"/>
          <w:highlight w:val="none"/>
          <w:shd w:val="clear" w:color="auto" w:fill="FFFFFF"/>
        </w:rPr>
        <w:t>1.</w:t>
      </w:r>
      <w:r>
        <w:rPr>
          <w:rFonts w:eastAsia="楷体_GB2312"/>
          <w:b/>
          <w:bCs/>
          <w:color w:val="000000"/>
          <w:kern w:val="0"/>
          <w:szCs w:val="32"/>
          <w:highlight w:val="none"/>
          <w:shd w:val="clear" w:color="auto" w:fill="FFFFFF"/>
          <w:lang w:val="zh-CN"/>
        </w:rPr>
        <w:t>履职效能。</w:t>
      </w:r>
    </w:p>
    <w:p w14:paraId="244CF71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年紧紧围绕县委县政府、县卫健局制定的目标任务,坚持以“以患者为中心，以质量为核心”的服务理念，不断深化医疗体制改革，加强医疗质量管理</w:t>
      </w:r>
      <w:r>
        <w:rPr>
          <w:rFonts w:hint="eastAsia" w:ascii="仿宋_GB2312" w:hAnsi="仿宋_GB2312" w:eastAsia="仿宋_GB2312" w:cs="仿宋_GB2312"/>
          <w:sz w:val="32"/>
          <w:szCs w:val="32"/>
          <w:lang w:val="en-US" w:eastAsia="zh-CN"/>
        </w:rPr>
        <w:t>，根据职能职责工作：（1）</w:t>
      </w:r>
      <w:r>
        <w:rPr>
          <w:rFonts w:hint="default" w:ascii="仿宋_GB2312" w:hAnsi="仿宋_GB2312" w:eastAsia="仿宋_GB2312" w:cs="仿宋_GB2312"/>
          <w:sz w:val="32"/>
          <w:szCs w:val="32"/>
          <w:lang w:val="en-US" w:eastAsia="zh-CN"/>
        </w:rPr>
        <w:t>截</w:t>
      </w:r>
      <w:r>
        <w:rPr>
          <w:rFonts w:hint="eastAsia" w:ascii="仿宋_GB2312" w:hAnsi="仿宋_GB2312" w:eastAsia="仿宋_GB2312" w:cs="仿宋_GB2312"/>
          <w:sz w:val="32"/>
          <w:szCs w:val="32"/>
          <w:lang w:val="en-US" w:eastAsia="zh-CN"/>
        </w:rPr>
        <w:t>止</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日门诊就诊患者</w:t>
      </w:r>
      <w:r>
        <w:rPr>
          <w:rFonts w:hint="eastAsia" w:ascii="仿宋_GB2312" w:hAnsi="仿宋_GB2312" w:eastAsia="仿宋_GB2312" w:cs="仿宋_GB2312"/>
          <w:sz w:val="32"/>
          <w:szCs w:val="32"/>
          <w:lang w:val="en-US" w:eastAsia="zh-CN"/>
        </w:rPr>
        <w:t>33523</w:t>
      </w:r>
      <w:r>
        <w:rPr>
          <w:rFonts w:hint="default" w:ascii="仿宋_GB2312" w:hAnsi="仿宋_GB2312" w:eastAsia="仿宋_GB2312" w:cs="仿宋_GB2312"/>
          <w:sz w:val="32"/>
          <w:szCs w:val="32"/>
          <w:lang w:val="en-US" w:eastAsia="zh-CN"/>
        </w:rPr>
        <w:t>人次，同比增长5.49%。住院患者</w:t>
      </w:r>
      <w:r>
        <w:rPr>
          <w:rFonts w:hint="eastAsia" w:ascii="仿宋_GB2312" w:hAnsi="仿宋_GB2312" w:eastAsia="仿宋_GB2312" w:cs="仿宋_GB2312"/>
          <w:sz w:val="32"/>
          <w:szCs w:val="32"/>
          <w:lang w:val="en-US" w:eastAsia="zh-CN"/>
        </w:rPr>
        <w:t>2521</w:t>
      </w:r>
      <w:r>
        <w:rPr>
          <w:rFonts w:hint="default" w:ascii="仿宋_GB2312" w:hAnsi="仿宋_GB2312" w:eastAsia="仿宋_GB2312" w:cs="仿宋_GB2312"/>
          <w:sz w:val="32"/>
          <w:szCs w:val="32"/>
          <w:lang w:val="en-US" w:eastAsia="zh-CN"/>
        </w:rPr>
        <w:t>人次，同比</w:t>
      </w:r>
      <w:r>
        <w:rPr>
          <w:rFonts w:hint="eastAsia" w:ascii="仿宋_GB2312" w:hAnsi="仿宋_GB2312" w:eastAsia="仿宋_GB2312" w:cs="仿宋_GB2312"/>
          <w:sz w:val="32"/>
          <w:szCs w:val="32"/>
          <w:lang w:val="en-US" w:eastAsia="zh-CN"/>
        </w:rPr>
        <w:t>基本持平</w:t>
      </w:r>
      <w:r>
        <w:rPr>
          <w:rFonts w:hint="default" w:ascii="仿宋_GB2312" w:hAnsi="仿宋_GB2312" w:eastAsia="仿宋_GB2312" w:cs="仿宋_GB2312"/>
          <w:sz w:val="32"/>
          <w:szCs w:val="32"/>
          <w:lang w:val="en-US" w:eastAsia="zh-CN"/>
        </w:rPr>
        <w:t>。健康体检人次达</w:t>
      </w:r>
      <w:r>
        <w:rPr>
          <w:rFonts w:hint="eastAsia" w:ascii="仿宋_GB2312" w:hAnsi="仿宋_GB2312" w:eastAsia="仿宋_GB2312" w:cs="仿宋_GB2312"/>
          <w:sz w:val="32"/>
          <w:szCs w:val="32"/>
          <w:lang w:val="en-US" w:eastAsia="zh-CN"/>
        </w:rPr>
        <w:t>17331</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同比增长</w:t>
      </w:r>
      <w:r>
        <w:rPr>
          <w:rFonts w:hint="eastAsia" w:ascii="仿宋_GB2312" w:hAnsi="仿宋_GB2312" w:eastAsia="仿宋_GB2312" w:cs="仿宋_GB2312"/>
          <w:sz w:val="32"/>
          <w:szCs w:val="32"/>
          <w:lang w:val="en-US" w:eastAsia="zh-CN"/>
        </w:rPr>
        <w:t>425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传染病管理：截止2025年12月31日累计网络直报传染病265例，无甲类传染病；肺结核专项管理累计收治55例；食源性监测累计上报173例；死因监测管理累计上报22例。传染病报告率100%，传染病报告及时率100%，常规下乡送药随访20次，艾滋病筛查15318人，艾滋病存活15人，在治15人,治疗覆盖率100%</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根据《部门预算绩效自评打分表》得分12分。</w:t>
      </w:r>
    </w:p>
    <w:p w14:paraId="471BF7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b/>
          <w:bCs/>
          <w:color w:val="000000"/>
          <w:kern w:val="0"/>
          <w:szCs w:val="32"/>
          <w:shd w:val="clear" w:color="auto" w:fill="FFFFFF"/>
          <w:lang w:val="zh-CN"/>
        </w:rPr>
      </w:pPr>
      <w:r>
        <w:rPr>
          <w:rFonts w:hint="eastAsia" w:eastAsia="楷体_GB2312"/>
          <w:b/>
          <w:bCs/>
          <w:color w:val="000000"/>
          <w:kern w:val="0"/>
          <w:szCs w:val="32"/>
          <w:shd w:val="clear" w:color="auto" w:fill="FFFFFF"/>
          <w:lang w:val="en-US" w:eastAsia="zh-CN"/>
        </w:rPr>
        <w:t>2.</w:t>
      </w:r>
      <w:r>
        <w:rPr>
          <w:rFonts w:eastAsia="楷体_GB2312"/>
          <w:b/>
          <w:bCs/>
          <w:color w:val="000000"/>
          <w:kern w:val="0"/>
          <w:szCs w:val="32"/>
          <w:shd w:val="clear" w:color="auto" w:fill="FFFFFF"/>
          <w:lang w:val="zh-CN"/>
        </w:rPr>
        <w:t>预算管理。</w:t>
      </w:r>
    </w:p>
    <w:p w14:paraId="3392E41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color w:val="000000"/>
          <w:sz w:val="32"/>
          <w:szCs w:val="32"/>
          <w:highlight w:val="none"/>
        </w:rPr>
      </w:pPr>
      <w:r>
        <w:rPr>
          <w:rFonts w:hint="default" w:ascii="仿宋_GB2312" w:hAnsi="仿宋_GB2312" w:eastAsia="仿宋_GB2312" w:cs="仿宋_GB2312"/>
          <w:sz w:val="32"/>
          <w:szCs w:val="32"/>
          <w:lang w:val="en-US" w:eastAsia="zh-CN"/>
        </w:rPr>
        <w:t>本年度年初预算收入为</w:t>
      </w:r>
      <w:r>
        <w:rPr>
          <w:rFonts w:hint="eastAsia" w:ascii="仿宋_GB2312" w:hAnsi="仿宋_GB2312" w:eastAsia="仿宋_GB2312" w:cs="仿宋_GB2312"/>
          <w:sz w:val="32"/>
          <w:szCs w:val="32"/>
          <w:lang w:val="en-US" w:eastAsia="zh-CN"/>
        </w:rPr>
        <w:t>3208.03</w:t>
      </w:r>
      <w:r>
        <w:rPr>
          <w:rFonts w:hint="default" w:ascii="仿宋_GB2312" w:hAnsi="仿宋_GB2312" w:eastAsia="仿宋_GB2312" w:cs="仿宋_GB2312"/>
          <w:sz w:val="32"/>
          <w:szCs w:val="32"/>
          <w:lang w:val="en-US" w:eastAsia="zh-CN"/>
        </w:rPr>
        <w:t>万元，本年度决算支出数为</w:t>
      </w:r>
      <w:r>
        <w:rPr>
          <w:rFonts w:hint="eastAsia" w:ascii="仿宋_GB2312" w:hAnsi="仿宋_GB2312" w:eastAsia="仿宋_GB2312" w:cs="仿宋_GB2312"/>
          <w:sz w:val="32"/>
          <w:szCs w:val="32"/>
          <w:lang w:val="en-US" w:eastAsia="zh-CN"/>
        </w:rPr>
        <w:t>6223.10</w:t>
      </w:r>
      <w:r>
        <w:rPr>
          <w:rFonts w:hint="default" w:ascii="仿宋_GB2312" w:hAnsi="仿宋_GB2312" w:eastAsia="仿宋_GB2312" w:cs="仿宋_GB2312"/>
          <w:sz w:val="32"/>
          <w:szCs w:val="32"/>
          <w:lang w:val="en-US" w:eastAsia="zh-CN"/>
        </w:rPr>
        <w:t>万元。决算支出数比年初预算数增加了</w:t>
      </w:r>
      <w:r>
        <w:rPr>
          <w:rFonts w:hint="eastAsia" w:ascii="仿宋_GB2312" w:hAnsi="仿宋_GB2312" w:eastAsia="仿宋_GB2312" w:cs="仿宋_GB2312"/>
          <w:sz w:val="32"/>
          <w:szCs w:val="32"/>
          <w:lang w:val="en-US" w:eastAsia="zh-CN"/>
        </w:rPr>
        <w:t>3015.07</w:t>
      </w:r>
      <w:r>
        <w:rPr>
          <w:rFonts w:hint="default" w:ascii="仿宋_GB2312" w:hAnsi="仿宋_GB2312" w:eastAsia="仿宋_GB2312" w:cs="仿宋_GB2312"/>
          <w:sz w:val="32"/>
          <w:szCs w:val="32"/>
          <w:lang w:val="en-US" w:eastAsia="zh-CN"/>
        </w:rPr>
        <w:t>万元。存在差异的主要原因为人员经费上涨，保险缴费基数调高,</w:t>
      </w:r>
      <w:r>
        <w:rPr>
          <w:rFonts w:hint="eastAsia" w:ascii="仿宋_GB2312" w:hAnsi="仿宋_GB2312" w:eastAsia="仿宋_GB2312" w:cs="仿宋_GB2312"/>
          <w:sz w:val="32"/>
          <w:szCs w:val="32"/>
          <w:lang w:val="en-US" w:eastAsia="zh-CN"/>
        </w:rPr>
        <w:t>能力提升专项资金及</w:t>
      </w:r>
      <w:r>
        <w:rPr>
          <w:rFonts w:hint="default" w:ascii="仿宋_GB2312" w:hAnsi="仿宋_GB2312" w:eastAsia="仿宋_GB2312" w:cs="仿宋_GB2312"/>
          <w:sz w:val="32"/>
          <w:szCs w:val="32"/>
          <w:lang w:val="en-US" w:eastAsia="zh-CN"/>
        </w:rPr>
        <w:t>政府性基金预算财政拨款收入增加。</w:t>
      </w:r>
      <w:r>
        <w:rPr>
          <w:rFonts w:hint="eastAsia" w:ascii="仿宋_GB2312" w:hAnsi="仿宋_GB2312" w:cs="仿宋_GB2312"/>
          <w:sz w:val="32"/>
          <w:szCs w:val="32"/>
          <w:lang w:val="en-US" w:eastAsia="zh-CN"/>
        </w:rPr>
        <w:t>根据《部门预算绩效自评打分表》得分19分。</w:t>
      </w:r>
    </w:p>
    <w:p w14:paraId="447F14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b/>
          <w:bCs/>
          <w:kern w:val="2"/>
          <w:sz w:val="32"/>
          <w:szCs w:val="24"/>
          <w:lang w:val="en-US" w:eastAsia="zh-CN" w:bidi="ar-SA"/>
        </w:rPr>
      </w:pPr>
      <w:r>
        <w:rPr>
          <w:rFonts w:hint="eastAsia" w:cs="Times New Roman"/>
          <w:b/>
          <w:bCs/>
          <w:kern w:val="2"/>
          <w:sz w:val="32"/>
          <w:szCs w:val="24"/>
          <w:lang w:val="en-US" w:eastAsia="zh-CN" w:bidi="ar-SA"/>
        </w:rPr>
        <w:t>3.</w:t>
      </w:r>
      <w:r>
        <w:rPr>
          <w:rFonts w:hint="default" w:ascii="Times New Roman" w:hAnsi="Times New Roman" w:eastAsia="仿宋_GB2312" w:cs="Times New Roman"/>
          <w:b/>
          <w:bCs/>
          <w:kern w:val="2"/>
          <w:sz w:val="32"/>
          <w:szCs w:val="24"/>
          <w:lang w:val="en-US" w:eastAsia="zh-CN" w:bidi="ar-SA"/>
        </w:rPr>
        <w:t>预算资金管理情况。</w:t>
      </w:r>
    </w:p>
    <w:p w14:paraId="12712E9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壤塘县人民医院</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年预算收入</w:t>
      </w:r>
      <w:r>
        <w:rPr>
          <w:rFonts w:hint="eastAsia" w:ascii="仿宋_GB2312" w:hAnsi="仿宋_GB2312" w:eastAsia="仿宋_GB2312" w:cs="仿宋_GB2312"/>
          <w:sz w:val="32"/>
          <w:szCs w:val="32"/>
          <w:lang w:val="en-US" w:eastAsia="zh-CN"/>
        </w:rPr>
        <w:t>8124.46</w:t>
      </w:r>
      <w:r>
        <w:rPr>
          <w:rFonts w:hint="default" w:ascii="仿宋_GB2312" w:hAnsi="仿宋_GB2312" w:eastAsia="仿宋_GB2312" w:cs="仿宋_GB2312"/>
          <w:sz w:val="32"/>
          <w:szCs w:val="32"/>
          <w:lang w:val="en-US" w:eastAsia="zh-CN"/>
        </w:rPr>
        <w:t>万元，一般公共预算拨款收入</w:t>
      </w:r>
      <w:r>
        <w:rPr>
          <w:rFonts w:hint="eastAsia" w:ascii="仿宋_GB2312" w:hAnsi="仿宋_GB2312" w:eastAsia="仿宋_GB2312" w:cs="仿宋_GB2312"/>
          <w:sz w:val="32"/>
          <w:szCs w:val="32"/>
          <w:lang w:val="en-US" w:eastAsia="zh-CN"/>
        </w:rPr>
        <w:t>5290.66</w:t>
      </w:r>
      <w:r>
        <w:rPr>
          <w:rFonts w:hint="default" w:ascii="仿宋_GB2312" w:hAnsi="仿宋_GB2312" w:eastAsia="仿宋_GB2312" w:cs="仿宋_GB2312"/>
          <w:sz w:val="32"/>
          <w:szCs w:val="32"/>
          <w:lang w:val="en-US" w:eastAsia="zh-CN"/>
        </w:rPr>
        <w:t>万元，政府性基金预算财政拨款收入</w:t>
      </w:r>
      <w:r>
        <w:rPr>
          <w:rFonts w:hint="eastAsia" w:ascii="仿宋_GB2312" w:hAnsi="仿宋_GB2312" w:eastAsia="仿宋_GB2312" w:cs="仿宋_GB2312"/>
          <w:sz w:val="32"/>
          <w:szCs w:val="32"/>
          <w:lang w:val="en-US" w:eastAsia="zh-CN"/>
        </w:rPr>
        <w:t>932.44</w:t>
      </w:r>
      <w:r>
        <w:rPr>
          <w:rFonts w:hint="default" w:ascii="仿宋_GB2312" w:hAnsi="仿宋_GB2312" w:eastAsia="仿宋_GB2312" w:cs="仿宋_GB2312"/>
          <w:sz w:val="32"/>
          <w:szCs w:val="32"/>
          <w:lang w:val="en-US" w:eastAsia="zh-CN"/>
        </w:rPr>
        <w:t>万元，事业预算收入</w:t>
      </w:r>
      <w:r>
        <w:rPr>
          <w:rFonts w:hint="eastAsia" w:ascii="仿宋_GB2312" w:hAnsi="仿宋_GB2312" w:eastAsia="仿宋_GB2312" w:cs="仿宋_GB2312"/>
          <w:sz w:val="32"/>
          <w:szCs w:val="32"/>
          <w:lang w:val="en-US" w:eastAsia="zh-CN"/>
        </w:rPr>
        <w:t>1901.36</w:t>
      </w:r>
      <w:r>
        <w:rPr>
          <w:rFonts w:hint="default" w:ascii="仿宋_GB2312" w:hAnsi="仿宋_GB2312" w:eastAsia="仿宋_GB2312" w:cs="仿宋_GB2312"/>
          <w:sz w:val="32"/>
          <w:szCs w:val="32"/>
          <w:lang w:val="en-US" w:eastAsia="zh-CN"/>
        </w:rPr>
        <w:t>万元。壤塘县人民医院</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年支出预算</w:t>
      </w:r>
      <w:r>
        <w:rPr>
          <w:rFonts w:hint="eastAsia" w:ascii="仿宋_GB2312" w:hAnsi="仿宋_GB2312" w:eastAsia="仿宋_GB2312" w:cs="仿宋_GB2312"/>
          <w:sz w:val="32"/>
          <w:szCs w:val="32"/>
          <w:lang w:val="en-US" w:eastAsia="zh-CN"/>
        </w:rPr>
        <w:t>7588.23</w:t>
      </w:r>
      <w:r>
        <w:rPr>
          <w:rFonts w:hint="default" w:ascii="仿宋_GB2312" w:hAnsi="仿宋_GB2312" w:eastAsia="仿宋_GB2312" w:cs="仿宋_GB2312"/>
          <w:sz w:val="32"/>
          <w:szCs w:val="32"/>
          <w:lang w:val="en-US" w:eastAsia="zh-CN"/>
        </w:rPr>
        <w:t>万元，其中：基本支出</w:t>
      </w:r>
      <w:r>
        <w:rPr>
          <w:rFonts w:hint="eastAsia" w:ascii="仿宋_GB2312" w:hAnsi="仿宋_GB2312" w:eastAsia="仿宋_GB2312" w:cs="仿宋_GB2312"/>
          <w:sz w:val="32"/>
          <w:szCs w:val="32"/>
          <w:lang w:val="en-US" w:eastAsia="zh-CN"/>
        </w:rPr>
        <w:t>4038.15</w:t>
      </w:r>
      <w:r>
        <w:rPr>
          <w:rFonts w:hint="default" w:ascii="仿宋_GB2312" w:hAnsi="仿宋_GB2312" w:eastAsia="仿宋_GB2312" w:cs="仿宋_GB2312"/>
          <w:sz w:val="32"/>
          <w:szCs w:val="32"/>
          <w:lang w:val="en-US" w:eastAsia="zh-CN"/>
        </w:rPr>
        <w:t>万元，项目支出</w:t>
      </w:r>
      <w:r>
        <w:rPr>
          <w:rFonts w:hint="eastAsia" w:ascii="仿宋_GB2312" w:hAnsi="仿宋_GB2312" w:eastAsia="仿宋_GB2312" w:cs="仿宋_GB2312"/>
          <w:sz w:val="32"/>
          <w:szCs w:val="32"/>
          <w:lang w:val="en-US" w:eastAsia="zh-CN"/>
        </w:rPr>
        <w:t>3550.07</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，年末结余分配536.23万元</w:t>
      </w:r>
      <w:r>
        <w:rPr>
          <w:rFonts w:hint="default" w:ascii="仿宋_GB2312" w:hAnsi="仿宋_GB2312" w:eastAsia="仿宋_GB2312" w:cs="仿宋_GB2312"/>
          <w:sz w:val="32"/>
          <w:szCs w:val="32"/>
          <w:lang w:val="en-US" w:eastAsia="zh-CN"/>
        </w:rPr>
        <w:t>。</w:t>
      </w:r>
    </w:p>
    <w:p w14:paraId="146FFF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b/>
          <w:bCs/>
          <w:color w:val="000000"/>
          <w:kern w:val="0"/>
          <w:szCs w:val="32"/>
          <w:shd w:val="clear" w:color="auto" w:fill="FFFFFF"/>
          <w:lang w:val="zh-CN"/>
        </w:rPr>
      </w:pPr>
      <w:r>
        <w:rPr>
          <w:rFonts w:hint="eastAsia" w:eastAsia="楷体_GB2312"/>
          <w:b/>
          <w:bCs/>
          <w:color w:val="000000"/>
          <w:kern w:val="0"/>
          <w:szCs w:val="32"/>
          <w:shd w:val="clear" w:color="auto" w:fill="FFFFFF"/>
          <w:lang w:val="en-US" w:eastAsia="zh-CN"/>
        </w:rPr>
        <w:t>4.</w:t>
      </w:r>
      <w:r>
        <w:rPr>
          <w:rFonts w:eastAsia="楷体_GB2312"/>
          <w:b/>
          <w:bCs/>
          <w:color w:val="000000"/>
          <w:kern w:val="0"/>
          <w:szCs w:val="32"/>
          <w:shd w:val="clear" w:color="auto" w:fill="FFFFFF"/>
          <w:lang w:val="zh-CN"/>
        </w:rPr>
        <w:t>财务管理。</w:t>
      </w:r>
    </w:p>
    <w:p w14:paraId="04148A4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本年度财务人员严格执行收支两条线制度，严格按照上级及各部门有关文件要求，</w:t>
      </w:r>
      <w:r>
        <w:rPr>
          <w:rFonts w:hint="eastAsia" w:ascii="仿宋_GB2312" w:hAnsi="仿宋_GB2312" w:cs="仿宋_GB2312"/>
          <w:sz w:val="32"/>
          <w:szCs w:val="32"/>
          <w:lang w:val="en-US" w:eastAsia="zh-CN"/>
        </w:rPr>
        <w:t>以</w:t>
      </w:r>
      <w:r>
        <w:rPr>
          <w:rFonts w:hint="default" w:ascii="仿宋_GB2312" w:hAnsi="仿宋_GB2312" w:eastAsia="仿宋_GB2312" w:cs="仿宋_GB2312"/>
          <w:sz w:val="32"/>
          <w:szCs w:val="32"/>
          <w:lang w:val="en-US" w:eastAsia="zh-CN"/>
        </w:rPr>
        <w:t>县财政</w:t>
      </w:r>
      <w:r>
        <w:rPr>
          <w:rFonts w:hint="eastAsia" w:ascii="仿宋_GB2312" w:hAnsi="仿宋_GB2312" w:cs="仿宋_GB2312"/>
          <w:sz w:val="32"/>
          <w:szCs w:val="32"/>
          <w:lang w:val="en-US" w:eastAsia="zh-CN"/>
        </w:rPr>
        <w:t>局</w:t>
      </w:r>
      <w:r>
        <w:rPr>
          <w:rFonts w:hint="default" w:ascii="仿宋_GB2312" w:hAnsi="仿宋_GB2312" w:eastAsia="仿宋_GB2312" w:cs="仿宋_GB2312"/>
          <w:sz w:val="32"/>
          <w:szCs w:val="32"/>
          <w:lang w:val="en-US" w:eastAsia="zh-CN"/>
        </w:rPr>
        <w:t>支出管理股室、国库审核无误后的经费财务报表为基础，根据每项经费指标的功能科目及经济分类科目以及该指标本年实际支付数在部门决算软件中逐笔据实填列。</w:t>
      </w:r>
    </w:p>
    <w:p w14:paraId="5C0F1B9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管理运营中心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管理运营中心有权拒绝受理。</w:t>
      </w:r>
    </w:p>
    <w:p w14:paraId="661D8F8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（3）各审批领导审查财务收支的真实性、合法性、必要性，并在报销凭证上明确签署报销意见。</w:t>
      </w:r>
    </w:p>
    <w:p w14:paraId="08D284F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出纳人员对已经审批后的支出票据必须进行复核（复核票据张数、金额、审批程序），对不符合规定的票据有权拒绝支付并立即向分管领导报告。严格控制现金支付，原则上采用公务卡和转账结算。会计人员进行会计核算时，对不符合财经管理规定的票据有权拒绝接受并应立即报告。</w:t>
      </w:r>
    </w:p>
    <w:p w14:paraId="1D7A7AC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财务管理运营中心负责单位内控评价与监督工作，具体职责如下：负责制定单位内部控制监督评价相关制度；负责组织对单位年度内部控制工作自评工作；负责对本单位风险管理工作的实施情况和有效性进行监督和检查；负责对各个部门各业务流程的执行情况进行监督和检查。      </w:t>
      </w:r>
    </w:p>
    <w:p w14:paraId="6ADA4A8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（6）决算编制工作完成后及时将所有数据、相关编制说明和分析报告交由县财政</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lang w:val="en-US" w:eastAsia="zh-CN"/>
        </w:rPr>
        <w:t>相关股室进行检查审核，单位部门决算数据全面真实地反映了单位本年经费开支及使用情况，不存在应编未编、错误列编、重现调整决算资金总额度的现象。</w:t>
      </w:r>
      <w:r>
        <w:rPr>
          <w:rFonts w:hint="eastAsia" w:ascii="仿宋_GB2312" w:hAnsi="仿宋_GB2312" w:cs="仿宋_GB2312"/>
          <w:sz w:val="32"/>
          <w:szCs w:val="32"/>
          <w:lang w:val="en-US" w:eastAsia="zh-CN"/>
        </w:rPr>
        <w:t>根据《部门预算绩效自评打分表》得分9分。</w:t>
      </w:r>
    </w:p>
    <w:p w14:paraId="28DA0B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color w:val="000000"/>
          <w:kern w:val="0"/>
          <w:szCs w:val="32"/>
          <w:highlight w:val="none"/>
          <w:shd w:val="clear" w:color="auto" w:fill="FFFFFF"/>
          <w:lang w:val="zh-CN"/>
        </w:rPr>
      </w:pPr>
      <w:r>
        <w:rPr>
          <w:rFonts w:hint="eastAsia" w:eastAsia="楷体_GB2312"/>
          <w:b/>
          <w:bCs/>
          <w:color w:val="000000"/>
          <w:kern w:val="0"/>
          <w:szCs w:val="32"/>
          <w:highlight w:val="none"/>
          <w:shd w:val="clear" w:color="auto" w:fill="FFFFFF"/>
          <w:lang w:val="en-US" w:eastAsia="zh-CN"/>
        </w:rPr>
        <w:t>5.</w:t>
      </w:r>
      <w:r>
        <w:rPr>
          <w:rFonts w:eastAsia="楷体_GB2312"/>
          <w:b/>
          <w:bCs/>
          <w:color w:val="000000"/>
          <w:kern w:val="0"/>
          <w:szCs w:val="32"/>
          <w:highlight w:val="none"/>
          <w:shd w:val="clear" w:color="auto" w:fill="FFFFFF"/>
          <w:lang w:val="zh-CN"/>
        </w:rPr>
        <w:t>资产管理。</w:t>
      </w:r>
    </w:p>
    <w:p w14:paraId="225C9D6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highlight w:val="none"/>
          <w:lang w:val="en-US" w:eastAsia="zh-CN"/>
        </w:rPr>
        <w:t>固定资产在用率：</w:t>
      </w:r>
      <w:r>
        <w:rPr>
          <w:rFonts w:hint="eastAsia" w:ascii="仿宋_GB2312" w:hAnsi="仿宋_GB2312" w:eastAsia="仿宋_GB2312" w:cs="仿宋_GB2312"/>
          <w:sz w:val="32"/>
          <w:szCs w:val="32"/>
          <w:lang w:val="en-US" w:eastAsia="zh-CN"/>
        </w:rPr>
        <w:t>2025年12月31日，壤塘县人民医院《四川省行政事业性国有资产管理信息系统》固定资产总计8244.15万元，在用固定资产8244.15万元，固定资产在用率达100%。</w:t>
      </w:r>
      <w:r>
        <w:rPr>
          <w:rFonts w:hint="eastAsia" w:ascii="仿宋_GB2312" w:hAnsi="仿宋_GB2312" w:cs="仿宋_GB2312"/>
          <w:sz w:val="32"/>
          <w:szCs w:val="32"/>
          <w:lang w:val="en-US" w:eastAsia="zh-CN"/>
        </w:rPr>
        <w:t>根据《部门预算绩效自评打分表》得分9分。</w:t>
      </w:r>
    </w:p>
    <w:p w14:paraId="78DB29A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color w:val="000000"/>
          <w:kern w:val="0"/>
          <w:szCs w:val="32"/>
          <w:highlight w:val="none"/>
          <w:shd w:val="clear" w:color="auto" w:fill="FFFFFF"/>
          <w:lang w:val="zh-CN"/>
        </w:rPr>
      </w:pPr>
      <w:r>
        <w:rPr>
          <w:rFonts w:hint="eastAsia" w:eastAsia="楷体_GB2312"/>
          <w:b/>
          <w:bCs/>
          <w:color w:val="000000"/>
          <w:kern w:val="0"/>
          <w:szCs w:val="32"/>
          <w:highlight w:val="none"/>
          <w:shd w:val="clear" w:color="auto" w:fill="FFFFFF"/>
          <w:lang w:val="en-US" w:eastAsia="zh-CN"/>
        </w:rPr>
        <w:t>6.</w:t>
      </w:r>
      <w:r>
        <w:rPr>
          <w:rFonts w:eastAsia="楷体_GB2312"/>
          <w:b/>
          <w:bCs/>
          <w:color w:val="000000"/>
          <w:kern w:val="0"/>
          <w:szCs w:val="32"/>
          <w:highlight w:val="none"/>
          <w:shd w:val="clear" w:color="auto" w:fill="FFFFFF"/>
          <w:lang w:val="zh-CN"/>
        </w:rPr>
        <w:t>采购管理。</w:t>
      </w:r>
    </w:p>
    <w:p w14:paraId="540DCC6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2025年壤塘县人民医院采购支出总计2026.66万元，其中采购货物支出840.85万元，采购服务支出1185.81万元；政府采购授予中小企业金额1083.96万元。</w:t>
      </w:r>
      <w:r>
        <w:rPr>
          <w:rFonts w:hint="eastAsia" w:ascii="仿宋_GB2312" w:hAnsi="仿宋_GB2312" w:cs="仿宋_GB2312"/>
          <w:sz w:val="32"/>
          <w:szCs w:val="32"/>
          <w:lang w:val="en-US" w:eastAsia="zh-CN"/>
        </w:rPr>
        <w:t>根据《部门预算绩效自评打分表》得分6分。</w:t>
      </w:r>
    </w:p>
    <w:p w14:paraId="04ECB691">
      <w:pPr>
        <w:widowControl/>
        <w:adjustRightInd w:val="0"/>
        <w:snapToGrid w:val="0"/>
        <w:spacing w:line="578" w:lineRule="exact"/>
        <w:ind w:firstLine="643" w:firstLineChars="200"/>
        <w:contextualSpacing/>
        <w:jc w:val="left"/>
        <w:rPr>
          <w:color w:val="000000"/>
          <w:kern w:val="0"/>
          <w:szCs w:val="32"/>
          <w:shd w:val="clear" w:color="auto" w:fill="FFFFFF"/>
        </w:rPr>
      </w:pPr>
      <w:r>
        <w:rPr>
          <w:rFonts w:eastAsia="楷体_GB2312"/>
          <w:b/>
          <w:bCs/>
          <w:color w:val="000000"/>
          <w:kern w:val="0"/>
          <w:szCs w:val="32"/>
          <w:shd w:val="clear" w:color="auto" w:fill="FFFFFF"/>
          <w:lang w:val="zh-CN"/>
        </w:rPr>
        <w:t>（二）部门预算项目绩效分析。</w:t>
      </w:r>
    </w:p>
    <w:p w14:paraId="386D02B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常年项目绩效分析。</w:t>
      </w:r>
      <w:r>
        <w:rPr>
          <w:rFonts w:hint="eastAsia"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2679.95</w:t>
      </w:r>
      <w:r>
        <w:rPr>
          <w:rFonts w:hint="eastAsia" w:ascii="仿宋_GB2312" w:hAnsi="仿宋_GB2312" w:eastAsia="仿宋_GB2312" w:cs="仿宋_GB2312"/>
          <w:sz w:val="32"/>
          <w:szCs w:val="32"/>
          <w:lang w:val="zh-CN" w:eastAsia="zh-CN"/>
        </w:rPr>
        <w:t>万元，1—1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月预算执行总体进度为</w:t>
      </w:r>
      <w:r>
        <w:rPr>
          <w:rFonts w:hint="eastAsia" w:ascii="仿宋_GB2312" w:hAnsi="仿宋_GB2312" w:eastAsia="仿宋_GB2312" w:cs="仿宋_GB2312"/>
          <w:sz w:val="32"/>
          <w:szCs w:val="32"/>
          <w:lang w:val="en-US" w:eastAsia="zh-CN"/>
        </w:rPr>
        <w:t>99.74</w:t>
      </w:r>
      <w:r>
        <w:rPr>
          <w:rFonts w:hint="eastAsia" w:ascii="仿宋_GB2312" w:hAnsi="仿宋_GB2312" w:eastAsia="仿宋_GB2312" w:cs="仿宋_GB2312"/>
          <w:sz w:val="32"/>
          <w:szCs w:val="32"/>
          <w:lang w:val="zh-CN" w:eastAsia="zh-CN"/>
        </w:rPr>
        <w:t>%，其中：预算结余率大于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w:t>
      </w:r>
    </w:p>
    <w:p w14:paraId="74740C2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阶段（含一次性）项目绩效分析。</w:t>
      </w:r>
      <w:r>
        <w:rPr>
          <w:rFonts w:hint="eastAsia"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4816.65</w:t>
      </w:r>
      <w:r>
        <w:rPr>
          <w:rFonts w:hint="eastAsia" w:ascii="仿宋_GB2312" w:hAnsi="仿宋_GB2312" w:eastAsia="仿宋_GB2312" w:cs="仿宋_GB2312"/>
          <w:sz w:val="32"/>
          <w:szCs w:val="32"/>
          <w:lang w:val="zh-CN" w:eastAsia="zh-CN"/>
        </w:rPr>
        <w:t>万元，1—1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月预算执行总体进度为</w:t>
      </w:r>
      <w:r>
        <w:rPr>
          <w:rFonts w:hint="eastAsia" w:ascii="仿宋_GB2312" w:hAnsi="仿宋_GB2312" w:eastAsia="仿宋_GB2312" w:cs="仿宋_GB2312"/>
          <w:sz w:val="32"/>
          <w:szCs w:val="32"/>
          <w:lang w:val="en-US" w:eastAsia="zh-CN"/>
        </w:rPr>
        <w:t>73.88</w:t>
      </w:r>
      <w:r>
        <w:rPr>
          <w:rFonts w:hint="eastAsia" w:ascii="仿宋_GB2312" w:hAnsi="仿宋_GB2312" w:eastAsia="仿宋_GB2312" w:cs="仿宋_GB2312"/>
          <w:sz w:val="32"/>
          <w:szCs w:val="32"/>
          <w:lang w:val="zh-CN" w:eastAsia="zh-CN"/>
        </w:rPr>
        <w:t>%，其中：预算结余率大于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个</w:t>
      </w:r>
      <w:r>
        <w:rPr>
          <w:rFonts w:hint="eastAsia" w:ascii="仿宋_GB2312" w:hAnsi="仿宋_GB2312" w:cs="仿宋_GB2312"/>
          <w:sz w:val="32"/>
          <w:szCs w:val="32"/>
          <w:lang w:val="zh-CN" w:eastAsia="zh-CN"/>
        </w:rPr>
        <w:t>。</w:t>
      </w:r>
    </w:p>
    <w:p w14:paraId="6B51B54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eastAsia="zh-CN"/>
        </w:rPr>
        <w:t>项目决策。</w:t>
      </w:r>
    </w:p>
    <w:p w14:paraId="24AF9A4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color w:val="auto"/>
          <w:sz w:val="32"/>
          <w:szCs w:val="32"/>
          <w:highlight w:val="none"/>
          <w:lang w:val="en-US" w:eastAsia="zh-CN"/>
        </w:rPr>
        <w:t>壤塘县人民医院</w:t>
      </w:r>
      <w:r>
        <w:rPr>
          <w:rFonts w:hint="eastAsia" w:ascii="仿宋_GB2312" w:hAnsi="仿宋_GB2312" w:eastAsia="仿宋_GB2312" w:cs="仿宋_GB2312"/>
          <w:sz w:val="32"/>
          <w:szCs w:val="32"/>
          <w:lang w:val="en-US" w:eastAsia="zh-CN"/>
        </w:rPr>
        <w:t>是财政全额拨款单位，涉及的资金均为上级转移资金和县财政</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lang w:val="en-US" w:eastAsia="zh-CN"/>
        </w:rPr>
        <w:t>根据需求进行保障。上级转移资金到县级财政</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lang w:val="en-US" w:eastAsia="zh-CN"/>
        </w:rPr>
        <w:t>后，县卫生健康局进行资金的分配，各个二级预算单位根据涉及到的项目细化当年项目实施内容，结合上级部门指标要求和单位工作重点</w:t>
      </w:r>
      <w:r>
        <w:rPr>
          <w:rFonts w:hint="eastAsia" w:ascii="仿宋_GB2312" w:hAnsi="仿宋_GB2312" w:eastAsia="仿宋_GB2312" w:cs="仿宋_GB2312"/>
          <w:sz w:val="32"/>
          <w:szCs w:val="32"/>
          <w:lang w:val="zh-CN" w:eastAsia="zh-CN"/>
        </w:rPr>
        <w:t>科学合理、规范完整、量化细化设置项目绩效目标并在规定时间完成项目入库工作。</w:t>
      </w:r>
    </w:p>
    <w:p w14:paraId="57980EB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2.项目执行</w:t>
      </w:r>
      <w:r>
        <w:rPr>
          <w:rFonts w:hint="eastAsia" w:ascii="仿宋_GB2312" w:hAnsi="仿宋_GB2312" w:eastAsia="仿宋_GB2312" w:cs="仿宋_GB2312"/>
          <w:b/>
          <w:bCs/>
          <w:sz w:val="32"/>
          <w:szCs w:val="32"/>
          <w:lang w:val="zh-CN" w:eastAsia="zh-CN"/>
        </w:rPr>
        <w:t>。</w:t>
      </w:r>
    </w:p>
    <w:p w14:paraId="0AB1AA4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2025年壤塘县人民医院项目专款资金下达4816.65万元，截止2025年12月31日，实际拨付金额为3558.30万元，资金拨付率73.88%。</w:t>
      </w:r>
    </w:p>
    <w:p w14:paraId="51E085A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eastAsia="zh-CN"/>
        </w:rPr>
        <w:t>目标实现。</w:t>
      </w:r>
    </w:p>
    <w:p w14:paraId="3443749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截</w:t>
      </w:r>
      <w:r>
        <w:rPr>
          <w:rFonts w:hint="eastAsia" w:ascii="仿宋_GB2312" w:hAnsi="仿宋_GB2312" w:eastAsia="仿宋_GB2312" w:cs="仿宋_GB2312"/>
          <w:sz w:val="32"/>
          <w:szCs w:val="32"/>
          <w:lang w:val="en-US" w:eastAsia="zh-CN"/>
        </w:rPr>
        <w:t>止</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日门诊就诊患者</w:t>
      </w:r>
      <w:r>
        <w:rPr>
          <w:rFonts w:hint="eastAsia" w:ascii="仿宋_GB2312" w:hAnsi="仿宋_GB2312" w:eastAsia="仿宋_GB2312" w:cs="仿宋_GB2312"/>
          <w:sz w:val="32"/>
          <w:szCs w:val="32"/>
          <w:lang w:val="en-US" w:eastAsia="zh-CN"/>
        </w:rPr>
        <w:t>33523</w:t>
      </w:r>
      <w:r>
        <w:rPr>
          <w:rFonts w:hint="default" w:ascii="仿宋_GB2312" w:hAnsi="仿宋_GB2312" w:eastAsia="仿宋_GB2312" w:cs="仿宋_GB2312"/>
          <w:sz w:val="32"/>
          <w:szCs w:val="32"/>
          <w:lang w:val="en-US" w:eastAsia="zh-CN"/>
        </w:rPr>
        <w:t>人次，同比增长5.49%。住院患者</w:t>
      </w:r>
      <w:r>
        <w:rPr>
          <w:rFonts w:hint="eastAsia" w:ascii="仿宋_GB2312" w:hAnsi="仿宋_GB2312" w:eastAsia="仿宋_GB2312" w:cs="仿宋_GB2312"/>
          <w:sz w:val="32"/>
          <w:szCs w:val="32"/>
          <w:lang w:val="en-US" w:eastAsia="zh-CN"/>
        </w:rPr>
        <w:t>2521</w:t>
      </w:r>
      <w:r>
        <w:rPr>
          <w:rFonts w:hint="default" w:ascii="仿宋_GB2312" w:hAnsi="仿宋_GB2312" w:eastAsia="仿宋_GB2312" w:cs="仿宋_GB2312"/>
          <w:sz w:val="32"/>
          <w:szCs w:val="32"/>
          <w:lang w:val="en-US" w:eastAsia="zh-CN"/>
        </w:rPr>
        <w:t>人次，同比</w:t>
      </w:r>
      <w:r>
        <w:rPr>
          <w:rFonts w:hint="eastAsia" w:ascii="仿宋_GB2312" w:hAnsi="仿宋_GB2312" w:eastAsia="仿宋_GB2312" w:cs="仿宋_GB2312"/>
          <w:sz w:val="32"/>
          <w:szCs w:val="32"/>
          <w:lang w:val="en-US" w:eastAsia="zh-CN"/>
        </w:rPr>
        <w:t>基本持平</w:t>
      </w:r>
      <w:r>
        <w:rPr>
          <w:rFonts w:hint="default" w:ascii="仿宋_GB2312" w:hAnsi="仿宋_GB2312" w:eastAsia="仿宋_GB2312" w:cs="仿宋_GB2312"/>
          <w:sz w:val="32"/>
          <w:szCs w:val="32"/>
          <w:lang w:val="en-US" w:eastAsia="zh-CN"/>
        </w:rPr>
        <w:t>。健康体检人次达</w:t>
      </w:r>
      <w:r>
        <w:rPr>
          <w:rFonts w:hint="eastAsia" w:ascii="仿宋_GB2312" w:hAnsi="仿宋_GB2312" w:eastAsia="仿宋_GB2312" w:cs="仿宋_GB2312"/>
          <w:sz w:val="32"/>
          <w:szCs w:val="32"/>
          <w:lang w:val="en-US" w:eastAsia="zh-CN"/>
        </w:rPr>
        <w:t>17331</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同比增长</w:t>
      </w:r>
      <w:r>
        <w:rPr>
          <w:rFonts w:hint="eastAsia" w:ascii="仿宋_GB2312" w:hAnsi="仿宋_GB2312" w:eastAsia="仿宋_GB2312" w:cs="仿宋_GB2312"/>
          <w:sz w:val="32"/>
          <w:szCs w:val="32"/>
          <w:lang w:val="en-US" w:eastAsia="zh-CN"/>
        </w:rPr>
        <w:t>425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传染病管理：截止2025年12月31日累计网络直报传染病265例，无甲类传染病；肺结核专项管理累计收治55例；食源性监测累计上报173例；死因监测管理累计上报22例。传染病报告率100%，传染病报告及时率100%，常规下乡送药随访20次，艾滋病筛查15318人，艾滋病存活15人，在治15人,治疗覆盖率100%</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根据《部门预算绩效自评打分表》得分33分。</w:t>
      </w:r>
    </w:p>
    <w:p w14:paraId="6A1F05B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eastAsia="楷体_GB2312"/>
          <w:b/>
          <w:bCs/>
          <w:szCs w:val="32"/>
          <w:highlight w:val="none"/>
          <w:lang w:val="zh-CN"/>
        </w:rPr>
      </w:pPr>
      <w:r>
        <w:rPr>
          <w:rFonts w:eastAsia="楷体_GB2312"/>
          <w:b/>
          <w:bCs/>
          <w:color w:val="000000"/>
          <w:kern w:val="0"/>
          <w:szCs w:val="32"/>
          <w:highlight w:val="none"/>
          <w:shd w:val="clear" w:color="auto" w:fill="FFFFFF"/>
          <w:lang w:val="zh-CN"/>
        </w:rPr>
        <w:t>（三）</w:t>
      </w:r>
      <w:r>
        <w:rPr>
          <w:rFonts w:eastAsia="楷体_GB2312"/>
          <w:b/>
          <w:bCs/>
          <w:szCs w:val="32"/>
          <w:highlight w:val="none"/>
          <w:lang w:val="zh-CN"/>
        </w:rPr>
        <w:t>结果应用情况。</w:t>
      </w:r>
    </w:p>
    <w:p w14:paraId="797778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在项目资金管理方面，建立和健全项目资金管理制度和管理办法。严格资金的使用和划拨流程，确保资金使用安全、公平、合理。项目资金做到专款专</w:t>
      </w:r>
      <w:bookmarkStart w:id="1" w:name="_GoBack"/>
      <w:bookmarkEnd w:id="1"/>
      <w:r>
        <w:rPr>
          <w:rFonts w:hint="default" w:ascii="仿宋_GB2312" w:hAnsi="仿宋_GB2312" w:eastAsia="仿宋_GB2312" w:cs="仿宋_GB2312"/>
          <w:sz w:val="32"/>
          <w:szCs w:val="32"/>
          <w:lang w:val="en-US" w:eastAsia="zh-CN"/>
        </w:rPr>
        <w:t>用，及时支付。资金的支付均通过对公账户，切实保障了资金使用的准确性和安全性。严守财经法规、财经纪律。严格执行财务管理制度，做到厉行节约、精打细算，把有效的资金用到刀刃上，让财政资金发挥最大的社会经济效益并保证我单位各项工作的正常运转。</w:t>
      </w:r>
    </w:p>
    <w:p w14:paraId="044B67A8">
      <w:pPr>
        <w:widowControl/>
        <w:adjustRightInd w:val="0"/>
        <w:snapToGrid w:val="0"/>
        <w:spacing w:line="578" w:lineRule="exact"/>
        <w:ind w:firstLine="640" w:firstLineChars="200"/>
        <w:contextualSpacing/>
        <w:jc w:val="left"/>
        <w:rPr>
          <w:rFonts w:eastAsia="黑体"/>
          <w:color w:val="000000"/>
          <w:kern w:val="0"/>
          <w:szCs w:val="32"/>
          <w:highlight w:val="none"/>
          <w:shd w:val="clear" w:color="auto" w:fill="FFFFFF"/>
        </w:rPr>
      </w:pPr>
      <w:r>
        <w:rPr>
          <w:rFonts w:eastAsia="黑体"/>
          <w:color w:val="000000"/>
          <w:kern w:val="0"/>
          <w:szCs w:val="32"/>
          <w:highlight w:val="none"/>
          <w:shd w:val="clear" w:color="auto" w:fill="FFFFFF"/>
        </w:rPr>
        <w:t>四、评价结论及建议</w:t>
      </w:r>
    </w:p>
    <w:p w14:paraId="0EF206E5">
      <w:pPr>
        <w:widowControl/>
        <w:adjustRightInd w:val="0"/>
        <w:snapToGrid w:val="0"/>
        <w:spacing w:line="578" w:lineRule="exact"/>
        <w:ind w:firstLine="643" w:firstLineChars="200"/>
        <w:contextualSpacing/>
        <w:jc w:val="left"/>
        <w:rPr>
          <w:rFonts w:eastAsia="楷体_GB2312"/>
          <w:b/>
          <w:bCs/>
          <w:color w:val="000000"/>
          <w:kern w:val="0"/>
          <w:szCs w:val="32"/>
          <w:highlight w:val="none"/>
          <w:shd w:val="clear" w:color="auto" w:fill="FFFFFF"/>
          <w:lang w:val="zh-CN"/>
        </w:rPr>
      </w:pPr>
      <w:r>
        <w:rPr>
          <w:rFonts w:eastAsia="楷体_GB2312"/>
          <w:b/>
          <w:bCs/>
          <w:color w:val="000000"/>
          <w:kern w:val="0"/>
          <w:szCs w:val="32"/>
          <w:highlight w:val="none"/>
          <w:shd w:val="clear" w:color="auto" w:fill="FFFFFF"/>
          <w:lang w:val="zh-CN"/>
        </w:rPr>
        <w:t>（一）评价结论。</w:t>
      </w:r>
    </w:p>
    <w:p w14:paraId="33CE294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本部门按要求对</w:t>
      </w:r>
      <w:r>
        <w:rPr>
          <w:rFonts w:hint="eastAsia" w:ascii="仿宋_GB2312" w:hAnsi="仿宋_GB2312" w:eastAsia="仿宋_GB2312" w:cs="仿宋_GB2312"/>
          <w:sz w:val="32"/>
          <w:szCs w:val="32"/>
          <w:lang w:val="en-US" w:eastAsia="zh-CN"/>
        </w:rPr>
        <w:t>2025年部门整体支出绩效评价情况开展自评，并撰写《壤塘县人民医院2025年部门整体支出绩效评价报告》。根据考核评分细则，严格按照国家的相关财务管理制度规定，财务制度健全、会计核算规范，依照计划管理使用。按照部门预算绩效自评打分表得分</w:t>
      </w:r>
      <w:r>
        <w:rPr>
          <w:rFonts w:hint="eastAsia" w:ascii="仿宋_GB2312" w:hAnsi="仿宋_GB2312" w:cs="仿宋_GB2312"/>
          <w:sz w:val="32"/>
          <w:szCs w:val="32"/>
          <w:lang w:val="en-US" w:eastAsia="zh-CN"/>
        </w:rPr>
        <w:t>88</w:t>
      </w:r>
      <w:r>
        <w:rPr>
          <w:rFonts w:hint="eastAsia" w:ascii="仿宋_GB2312" w:hAnsi="仿宋_GB2312" w:eastAsia="仿宋_GB2312" w:cs="仿宋_GB2312"/>
          <w:sz w:val="32"/>
          <w:szCs w:val="32"/>
          <w:lang w:val="en-US" w:eastAsia="zh-CN"/>
        </w:rPr>
        <w:t>分。见附表1（部门预算绩效自评打分表）</w:t>
      </w:r>
    </w:p>
    <w:p w14:paraId="7899F6CA">
      <w:pPr>
        <w:widowControl/>
        <w:numPr>
          <w:ilvl w:val="0"/>
          <w:numId w:val="0"/>
        </w:numPr>
        <w:adjustRightInd w:val="0"/>
        <w:snapToGrid w:val="0"/>
        <w:spacing w:line="578" w:lineRule="exact"/>
        <w:ind w:left="0" w:leftChars="0" w:firstLine="643" w:firstLineChars="200"/>
        <w:contextualSpacing/>
        <w:jc w:val="left"/>
        <w:rPr>
          <w:rFonts w:eastAsia="楷体_GB2312"/>
          <w:b/>
          <w:bCs/>
          <w:color w:val="000000"/>
          <w:kern w:val="0"/>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eastAsia="楷体_GB2312"/>
          <w:b/>
          <w:bCs/>
          <w:color w:val="000000"/>
          <w:kern w:val="0"/>
          <w:szCs w:val="32"/>
          <w:highlight w:val="none"/>
          <w:shd w:val="clear" w:color="auto" w:fill="FFFFFF"/>
          <w:lang w:val="zh-CN"/>
        </w:rPr>
        <w:t>存在问题。</w:t>
      </w:r>
    </w:p>
    <w:p w14:paraId="7E7B751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预期目标与实际实施结果绩效存在一定程度的差异，有绩效意识但重视程度需进一步加强。</w:t>
      </w:r>
    </w:p>
    <w:p w14:paraId="11EEA25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财务监控制度未得到有效执行，存在一定缺陷。</w:t>
      </w:r>
    </w:p>
    <w:p w14:paraId="46FD930F">
      <w:pPr>
        <w:widowControl/>
        <w:numPr>
          <w:ilvl w:val="0"/>
          <w:numId w:val="0"/>
        </w:numPr>
        <w:adjustRightInd w:val="0"/>
        <w:snapToGrid w:val="0"/>
        <w:spacing w:line="578" w:lineRule="exact"/>
        <w:ind w:left="0" w:leftChars="0" w:firstLine="643" w:firstLineChars="200"/>
        <w:contextualSpacing/>
        <w:jc w:val="left"/>
        <w:rPr>
          <w:rFonts w:eastAsia="楷体_GB2312"/>
          <w:b/>
          <w:bCs/>
          <w:color w:val="000000"/>
          <w:kern w:val="0"/>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eastAsia="楷体_GB2312"/>
          <w:b/>
          <w:bCs/>
          <w:color w:val="000000"/>
          <w:kern w:val="0"/>
          <w:szCs w:val="32"/>
          <w:highlight w:val="none"/>
          <w:shd w:val="clear" w:color="auto" w:fill="FFFFFF"/>
          <w:lang w:val="zh-CN"/>
        </w:rPr>
        <w:t>改进建议。</w:t>
      </w:r>
      <w:bookmarkStart w:id="0" w:name="_Hlk110546638"/>
    </w:p>
    <w:p w14:paraId="64FE923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提高思想认识，加强对绩效考评相关工作的重视程度。</w:t>
      </w:r>
    </w:p>
    <w:p w14:paraId="19309C9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安排专人参与相关培训学习，提高业务能力。</w:t>
      </w:r>
    </w:p>
    <w:p w14:paraId="0CEAA42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将加强单位内控建设，健全财务管理制度，严格控制经费支出，提高资金使用效率。</w:t>
      </w:r>
      <w:bookmarkEnd w:id="0"/>
    </w:p>
    <w:p w14:paraId="2538382F">
      <w:pPr>
        <w:pStyle w:val="2"/>
        <w:rPr>
          <w:rFonts w:hint="eastAsia" w:ascii="仿宋" w:hAnsi="仿宋" w:eastAsia="仿宋" w:cs="仿宋"/>
          <w:sz w:val="32"/>
          <w:szCs w:val="32"/>
          <w:lang w:val="zh-CN" w:eastAsia="zh-CN"/>
        </w:rPr>
      </w:pPr>
    </w:p>
    <w:p w14:paraId="2C45DFAB">
      <w:pPr>
        <w:pStyle w:val="2"/>
        <w:rPr>
          <w:rFonts w:hint="eastAsia" w:ascii="仿宋" w:hAnsi="仿宋" w:eastAsia="仿宋" w:cs="仿宋"/>
          <w:sz w:val="32"/>
          <w:szCs w:val="32"/>
          <w:lang w:val="zh-CN" w:eastAsia="zh-CN"/>
        </w:rPr>
      </w:pPr>
    </w:p>
    <w:p w14:paraId="145683DF">
      <w:pPr>
        <w:spacing w:line="578" w:lineRule="exact"/>
        <w:ind w:firstLine="640" w:firstLineChars="200"/>
        <w:jc w:val="left"/>
        <w:rPr>
          <w:szCs w:val="32"/>
        </w:rPr>
      </w:pPr>
      <w:r>
        <w:rPr>
          <w:color w:val="000000"/>
          <w:kern w:val="0"/>
          <w:szCs w:val="32"/>
          <w:shd w:val="clear" w:color="auto" w:fill="FFFFFF"/>
        </w:rPr>
        <w:t>附表：</w:t>
      </w:r>
      <w:r>
        <w:rPr>
          <w:rFonts w:hint="eastAsia"/>
          <w:color w:val="000000"/>
          <w:kern w:val="0"/>
          <w:szCs w:val="32"/>
          <w:shd w:val="clear" w:color="auto" w:fill="FFFFFF"/>
        </w:rPr>
        <w:t>1.</w:t>
      </w:r>
      <w:r>
        <w:rPr>
          <w:rFonts w:hint="eastAsia"/>
          <w:szCs w:val="32"/>
        </w:rPr>
        <w:t>部门预算绩效自评打分表</w:t>
      </w:r>
    </w:p>
    <w:p w14:paraId="75CA34C6">
      <w:pPr>
        <w:spacing w:line="578" w:lineRule="exact"/>
        <w:ind w:firstLine="1600" w:firstLineChars="500"/>
        <w:jc w:val="left"/>
        <w:rPr>
          <w:color w:val="000000"/>
          <w:kern w:val="0"/>
          <w:szCs w:val="32"/>
          <w:shd w:val="clear" w:color="auto" w:fill="FFFFFF"/>
        </w:rPr>
      </w:pPr>
      <w:r>
        <w:rPr>
          <w:rFonts w:hint="eastAsia"/>
          <w:szCs w:val="32"/>
        </w:rPr>
        <w:t>2.</w:t>
      </w:r>
      <w:r>
        <w:rPr>
          <w:color w:val="000000"/>
          <w:kern w:val="0"/>
          <w:szCs w:val="32"/>
          <w:shd w:val="clear" w:color="auto" w:fill="FFFFFF"/>
        </w:rPr>
        <w:t>部门整体</w:t>
      </w:r>
      <w:r>
        <w:rPr>
          <w:rFonts w:hint="eastAsia"/>
          <w:color w:val="000000"/>
          <w:kern w:val="0"/>
          <w:szCs w:val="32"/>
          <w:shd w:val="clear" w:color="auto" w:fill="FFFFFF"/>
        </w:rPr>
        <w:t>支出</w:t>
      </w:r>
      <w:r>
        <w:rPr>
          <w:color w:val="000000"/>
          <w:kern w:val="0"/>
          <w:szCs w:val="32"/>
          <w:shd w:val="clear" w:color="auto" w:fill="FFFFFF"/>
        </w:rPr>
        <w:t>绩效目标完成情况自评表</w:t>
      </w:r>
    </w:p>
    <w:p w14:paraId="5B19EA93">
      <w:pPr>
        <w:spacing w:line="578" w:lineRule="exact"/>
        <w:jc w:val="left"/>
        <w:rPr>
          <w:rFonts w:eastAsia="黑体"/>
        </w:rPr>
      </w:pPr>
      <w:r>
        <w:rPr>
          <w:rFonts w:eastAsia="黑体"/>
        </w:rPr>
        <w:t>附表</w:t>
      </w:r>
      <w:r>
        <w:rPr>
          <w:rFonts w:hint="eastAsia" w:eastAsia="黑体"/>
        </w:rPr>
        <w:t>1</w:t>
      </w:r>
    </w:p>
    <w:p w14:paraId="1A4CF25A">
      <w:pPr>
        <w:widowControl/>
        <w:spacing w:line="600" w:lineRule="exact"/>
        <w:jc w:val="center"/>
        <w:textAlignment w:val="center"/>
        <w:rPr>
          <w:rFonts w:eastAsia="方正小标宋简体"/>
          <w:color w:val="000000"/>
          <w:kern w:val="0"/>
          <w:sz w:val="44"/>
          <w:szCs w:val="44"/>
        </w:rPr>
      </w:pPr>
      <w:r>
        <w:rPr>
          <w:rFonts w:hint="eastAsia" w:eastAsia="方正小标宋简体"/>
          <w:color w:val="000000"/>
          <w:kern w:val="0"/>
          <w:sz w:val="44"/>
          <w:szCs w:val="44"/>
        </w:rPr>
        <w:t>部门预算绩效自评打分表</w:t>
      </w:r>
    </w:p>
    <w:tbl>
      <w:tblPr>
        <w:tblStyle w:val="13"/>
        <w:tblW w:w="10912" w:type="dxa"/>
        <w:jc w:val="center"/>
        <w:tblLayout w:type="fixed"/>
        <w:tblCellMar>
          <w:top w:w="0" w:type="dxa"/>
          <w:left w:w="108" w:type="dxa"/>
          <w:bottom w:w="0" w:type="dxa"/>
          <w:right w:w="108" w:type="dxa"/>
        </w:tblCellMar>
      </w:tblPr>
      <w:tblGrid>
        <w:gridCol w:w="1097"/>
        <w:gridCol w:w="1201"/>
        <w:gridCol w:w="1929"/>
        <w:gridCol w:w="717"/>
        <w:gridCol w:w="4760"/>
        <w:gridCol w:w="730"/>
        <w:gridCol w:w="478"/>
      </w:tblGrid>
      <w:tr w14:paraId="3E9C61B5">
        <w:tblPrEx>
          <w:tblCellMar>
            <w:top w:w="0" w:type="dxa"/>
            <w:left w:w="108" w:type="dxa"/>
            <w:bottom w:w="0" w:type="dxa"/>
            <w:right w:w="108" w:type="dxa"/>
          </w:tblCellMar>
        </w:tblPrEx>
        <w:trPr>
          <w:trHeight w:val="23" w:hRule="atLeast"/>
          <w:jc w:val="center"/>
        </w:trPr>
        <w:tc>
          <w:tcPr>
            <w:tcW w:w="4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666F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绩效评价指标指标分值</w:t>
            </w:r>
          </w:p>
        </w:tc>
        <w:tc>
          <w:tcPr>
            <w:tcW w:w="4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2186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指标解释</w:t>
            </w:r>
          </w:p>
        </w:tc>
        <w:tc>
          <w:tcPr>
            <w:tcW w:w="730" w:type="dxa"/>
            <w:vMerge w:val="restart"/>
            <w:tcBorders>
              <w:top w:val="single" w:color="000000" w:sz="4" w:space="0"/>
              <w:left w:val="single" w:color="000000" w:sz="4" w:space="0"/>
              <w:right w:val="single" w:color="000000" w:sz="4" w:space="0"/>
            </w:tcBorders>
            <w:shd w:val="clear" w:color="auto" w:fill="auto"/>
            <w:vAlign w:val="center"/>
          </w:tcPr>
          <w:p w14:paraId="6112F002">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6545BB58">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14:paraId="1ECB014A">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nil"/>
            </w:tcBorders>
            <w:shd w:val="clear" w:color="auto" w:fill="auto"/>
            <w:vAlign w:val="center"/>
          </w:tcPr>
          <w:p w14:paraId="0E7D1DE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4D7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57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69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指标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分值</w:t>
            </w:r>
          </w:p>
        </w:tc>
        <w:tc>
          <w:tcPr>
            <w:tcW w:w="4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1AD11">
            <w:pPr>
              <w:widowControl/>
              <w:spacing w:line="240" w:lineRule="exact"/>
              <w:jc w:val="center"/>
              <w:rPr>
                <w:rFonts w:hint="eastAsia" w:ascii="宋体" w:hAnsi="宋体" w:eastAsia="宋体" w:cs="宋体"/>
                <w:color w:val="000000"/>
                <w:sz w:val="21"/>
                <w:szCs w:val="21"/>
              </w:rPr>
            </w:pPr>
          </w:p>
        </w:tc>
        <w:tc>
          <w:tcPr>
            <w:tcW w:w="730" w:type="dxa"/>
            <w:vMerge w:val="continue"/>
            <w:tcBorders>
              <w:left w:val="single" w:color="000000" w:sz="4" w:space="0"/>
              <w:bottom w:val="single" w:color="000000" w:sz="4" w:space="0"/>
              <w:right w:val="single" w:color="000000" w:sz="4" w:space="0"/>
            </w:tcBorders>
            <w:shd w:val="clear" w:color="auto" w:fill="auto"/>
            <w:vAlign w:val="center"/>
          </w:tcPr>
          <w:p w14:paraId="0073D760">
            <w:pPr>
              <w:widowControl/>
              <w:spacing w:line="240" w:lineRule="exact"/>
              <w:jc w:val="center"/>
              <w:rPr>
                <w:rFonts w:hint="eastAsia" w:ascii="宋体" w:hAnsi="宋体" w:eastAsia="宋体" w:cs="宋体"/>
                <w:color w:val="000000"/>
                <w:sz w:val="21"/>
                <w:szCs w:val="21"/>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10CC0B1E">
            <w:pPr>
              <w:widowControl/>
              <w:spacing w:line="240" w:lineRule="exact"/>
              <w:jc w:val="center"/>
              <w:rPr>
                <w:rFonts w:hint="eastAsia" w:ascii="宋体" w:hAnsi="宋体" w:eastAsia="宋体" w:cs="宋体"/>
                <w:color w:val="000000"/>
                <w:sz w:val="21"/>
                <w:szCs w:val="21"/>
              </w:rPr>
            </w:pPr>
          </w:p>
        </w:tc>
      </w:tr>
      <w:tr w14:paraId="7A6D573A">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right w:val="single" w:color="000000" w:sz="4" w:space="0"/>
            </w:tcBorders>
            <w:shd w:val="clear" w:color="auto" w:fill="auto"/>
            <w:vAlign w:val="center"/>
          </w:tcPr>
          <w:p w14:paraId="09C262EC">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总体绩效（65分）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607A">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履职效能</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（15分）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B62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履职效果</w:t>
            </w:r>
          </w:p>
        </w:tc>
        <w:tc>
          <w:tcPr>
            <w:tcW w:w="717" w:type="dxa"/>
            <w:tcBorders>
              <w:top w:val="nil"/>
              <w:left w:val="single" w:color="000000" w:sz="4" w:space="0"/>
              <w:bottom w:val="single" w:color="000000" w:sz="4" w:space="0"/>
              <w:right w:val="single" w:color="000000" w:sz="4" w:space="0"/>
            </w:tcBorders>
            <w:shd w:val="clear" w:color="auto" w:fill="auto"/>
            <w:vAlign w:val="center"/>
          </w:tcPr>
          <w:p w14:paraId="504CD52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88A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部门整体绩效目标中选定3-5个核心职能目标，反映该项职能目标完成效果情况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DC6C">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69BE">
            <w:pPr>
              <w:widowControl/>
              <w:spacing w:line="240" w:lineRule="exact"/>
              <w:jc w:val="left"/>
              <w:textAlignment w:val="center"/>
              <w:rPr>
                <w:rFonts w:hint="eastAsia" w:ascii="宋体" w:hAnsi="宋体" w:eastAsia="宋体" w:cs="宋体"/>
                <w:color w:val="000000"/>
                <w:kern w:val="0"/>
                <w:sz w:val="21"/>
                <w:szCs w:val="21"/>
              </w:rPr>
            </w:pPr>
          </w:p>
        </w:tc>
      </w:tr>
      <w:tr w14:paraId="3973119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7E0E819">
            <w:pPr>
              <w:widowControl/>
              <w:spacing w:line="240" w:lineRule="exact"/>
              <w:jc w:val="center"/>
              <w:rPr>
                <w:rFonts w:hint="eastAsia" w:ascii="宋体" w:hAnsi="宋体" w:eastAsia="宋体" w:cs="宋体"/>
                <w:b/>
                <w:color w:val="000000"/>
                <w:sz w:val="21"/>
                <w:szCs w:val="21"/>
              </w:rPr>
            </w:pP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1826C470">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预算管理</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（25分）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E3D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预算编制质量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FF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9EC6">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部门是否严格按要求编制年初部门预算，年初预算编制的科学性和准确性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6AF5">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801">
            <w:pPr>
              <w:widowControl/>
              <w:spacing w:line="240" w:lineRule="exact"/>
              <w:jc w:val="left"/>
              <w:textAlignment w:val="center"/>
              <w:rPr>
                <w:rFonts w:hint="eastAsia" w:ascii="宋体" w:hAnsi="宋体" w:eastAsia="宋体" w:cs="宋体"/>
                <w:color w:val="000000"/>
                <w:kern w:val="0"/>
                <w:sz w:val="21"/>
                <w:szCs w:val="21"/>
              </w:rPr>
            </w:pPr>
          </w:p>
        </w:tc>
      </w:tr>
      <w:tr w14:paraId="6B245842">
        <w:tblPrEx>
          <w:tblCellMar>
            <w:top w:w="0" w:type="dxa"/>
            <w:left w:w="108" w:type="dxa"/>
            <w:bottom w:w="0" w:type="dxa"/>
            <w:right w:w="108" w:type="dxa"/>
          </w:tblCellMar>
        </w:tblPrEx>
        <w:trPr>
          <w:trHeight w:val="340" w:hRule="atLeast"/>
          <w:jc w:val="center"/>
        </w:trPr>
        <w:tc>
          <w:tcPr>
            <w:tcW w:w="1097" w:type="dxa"/>
            <w:vMerge w:val="continue"/>
            <w:tcBorders>
              <w:left w:val="single" w:color="000000" w:sz="4" w:space="0"/>
              <w:right w:val="single" w:color="000000" w:sz="4" w:space="0"/>
            </w:tcBorders>
            <w:shd w:val="clear" w:color="auto" w:fill="auto"/>
            <w:vAlign w:val="center"/>
          </w:tcPr>
          <w:p w14:paraId="638EC4EE">
            <w:pPr>
              <w:widowControl/>
              <w:spacing w:line="240" w:lineRule="exact"/>
              <w:jc w:val="center"/>
              <w:rPr>
                <w:rFonts w:hint="eastAsia" w:ascii="宋体" w:hAnsi="宋体" w:eastAsia="宋体" w:cs="宋体"/>
                <w:b/>
                <w:color w:val="000000"/>
                <w:sz w:val="21"/>
                <w:szCs w:val="21"/>
              </w:rPr>
            </w:pPr>
          </w:p>
        </w:tc>
        <w:tc>
          <w:tcPr>
            <w:tcW w:w="1201" w:type="dxa"/>
            <w:vMerge w:val="continue"/>
            <w:tcBorders>
              <w:left w:val="single" w:color="000000" w:sz="4" w:space="0"/>
              <w:right w:val="single" w:color="000000" w:sz="4" w:space="0"/>
            </w:tcBorders>
            <w:shd w:val="clear" w:color="auto" w:fill="auto"/>
            <w:vAlign w:val="center"/>
          </w:tcPr>
          <w:p w14:paraId="25364017">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1B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单位收入统筹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283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0AEE">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部门统筹自有收入努力程度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354E">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0CA9">
            <w:pPr>
              <w:widowControl/>
              <w:spacing w:line="240" w:lineRule="exact"/>
              <w:jc w:val="left"/>
              <w:textAlignment w:val="center"/>
              <w:rPr>
                <w:rFonts w:hint="eastAsia" w:ascii="宋体" w:hAnsi="宋体" w:eastAsia="宋体" w:cs="宋体"/>
                <w:color w:val="000000"/>
                <w:kern w:val="0"/>
                <w:sz w:val="21"/>
                <w:szCs w:val="21"/>
              </w:rPr>
            </w:pPr>
          </w:p>
        </w:tc>
      </w:tr>
      <w:tr w14:paraId="4C010BFB">
        <w:tblPrEx>
          <w:tblCellMar>
            <w:top w:w="0" w:type="dxa"/>
            <w:left w:w="108" w:type="dxa"/>
            <w:bottom w:w="0" w:type="dxa"/>
            <w:right w:w="108" w:type="dxa"/>
          </w:tblCellMar>
        </w:tblPrEx>
        <w:trPr>
          <w:trHeight w:val="370" w:hRule="atLeast"/>
          <w:jc w:val="center"/>
        </w:trPr>
        <w:tc>
          <w:tcPr>
            <w:tcW w:w="1097" w:type="dxa"/>
            <w:vMerge w:val="continue"/>
            <w:tcBorders>
              <w:left w:val="single" w:color="000000" w:sz="4" w:space="0"/>
              <w:right w:val="single" w:color="000000" w:sz="4" w:space="0"/>
            </w:tcBorders>
            <w:shd w:val="clear" w:color="auto" w:fill="auto"/>
            <w:vAlign w:val="center"/>
          </w:tcPr>
          <w:p w14:paraId="132B72F2">
            <w:pPr>
              <w:widowControl/>
              <w:spacing w:line="240" w:lineRule="exact"/>
              <w:jc w:val="center"/>
              <w:rPr>
                <w:rFonts w:hint="eastAsia" w:ascii="宋体" w:hAnsi="宋体" w:eastAsia="宋体" w:cs="宋体"/>
                <w:b/>
                <w:color w:val="000000"/>
                <w:sz w:val="21"/>
                <w:szCs w:val="21"/>
              </w:rPr>
            </w:pPr>
          </w:p>
        </w:tc>
        <w:tc>
          <w:tcPr>
            <w:tcW w:w="1201" w:type="dxa"/>
            <w:vMerge w:val="continue"/>
            <w:tcBorders>
              <w:left w:val="single" w:color="000000" w:sz="4" w:space="0"/>
              <w:right w:val="single" w:color="000000" w:sz="4" w:space="0"/>
            </w:tcBorders>
            <w:shd w:val="clear" w:color="auto" w:fill="auto"/>
            <w:vAlign w:val="center"/>
          </w:tcPr>
          <w:p w14:paraId="5893286B">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B4B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支出执行管理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3A7">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6</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8432">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部门1至6月、1至10月预算执行情况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29C5">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34F">
            <w:pPr>
              <w:widowControl/>
              <w:spacing w:line="240" w:lineRule="exact"/>
              <w:jc w:val="left"/>
              <w:textAlignment w:val="center"/>
              <w:rPr>
                <w:rFonts w:hint="eastAsia" w:ascii="宋体" w:hAnsi="宋体" w:eastAsia="宋体" w:cs="宋体"/>
                <w:color w:val="000000"/>
                <w:kern w:val="0"/>
                <w:sz w:val="21"/>
                <w:szCs w:val="21"/>
              </w:rPr>
            </w:pPr>
          </w:p>
        </w:tc>
      </w:tr>
      <w:tr w14:paraId="72D7A4A6">
        <w:tblPrEx>
          <w:tblCellMar>
            <w:top w:w="0" w:type="dxa"/>
            <w:left w:w="108" w:type="dxa"/>
            <w:bottom w:w="0" w:type="dxa"/>
            <w:right w:w="108" w:type="dxa"/>
          </w:tblCellMar>
        </w:tblPrEx>
        <w:trPr>
          <w:trHeight w:val="490" w:hRule="atLeast"/>
          <w:jc w:val="center"/>
        </w:trPr>
        <w:tc>
          <w:tcPr>
            <w:tcW w:w="1097" w:type="dxa"/>
            <w:vMerge w:val="continue"/>
            <w:tcBorders>
              <w:left w:val="single" w:color="000000" w:sz="4" w:space="0"/>
              <w:right w:val="single" w:color="000000" w:sz="4" w:space="0"/>
            </w:tcBorders>
            <w:shd w:val="clear" w:color="auto" w:fill="auto"/>
            <w:vAlign w:val="center"/>
          </w:tcPr>
          <w:p w14:paraId="7A918477">
            <w:pPr>
              <w:widowControl/>
              <w:spacing w:line="240" w:lineRule="exact"/>
              <w:jc w:val="center"/>
              <w:rPr>
                <w:rFonts w:hint="eastAsia" w:ascii="宋体" w:hAnsi="宋体" w:eastAsia="宋体" w:cs="宋体"/>
                <w:b/>
                <w:color w:val="000000"/>
                <w:sz w:val="21"/>
                <w:szCs w:val="21"/>
              </w:rPr>
            </w:pPr>
          </w:p>
        </w:tc>
        <w:tc>
          <w:tcPr>
            <w:tcW w:w="1201" w:type="dxa"/>
            <w:vMerge w:val="continue"/>
            <w:tcBorders>
              <w:left w:val="single" w:color="000000" w:sz="4" w:space="0"/>
              <w:right w:val="single" w:color="000000" w:sz="4" w:space="0"/>
            </w:tcBorders>
            <w:shd w:val="clear" w:color="auto" w:fill="auto"/>
            <w:vAlign w:val="center"/>
          </w:tcPr>
          <w:p w14:paraId="7FD2A748">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6D5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预算年终结余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9F0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FDDE">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部门整体年终预算结余情况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5262">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F91">
            <w:pPr>
              <w:widowControl/>
              <w:spacing w:line="240" w:lineRule="exact"/>
              <w:jc w:val="left"/>
              <w:textAlignment w:val="center"/>
              <w:rPr>
                <w:rFonts w:hint="eastAsia" w:ascii="宋体" w:hAnsi="宋体" w:eastAsia="宋体" w:cs="宋体"/>
                <w:color w:val="000000"/>
                <w:kern w:val="0"/>
                <w:sz w:val="21"/>
                <w:szCs w:val="21"/>
              </w:rPr>
            </w:pPr>
          </w:p>
        </w:tc>
      </w:tr>
      <w:tr w14:paraId="20EDB6D5">
        <w:tblPrEx>
          <w:tblCellMar>
            <w:top w:w="0" w:type="dxa"/>
            <w:left w:w="108" w:type="dxa"/>
            <w:bottom w:w="0" w:type="dxa"/>
            <w:right w:w="108" w:type="dxa"/>
          </w:tblCellMar>
        </w:tblPrEx>
        <w:trPr>
          <w:trHeight w:val="743" w:hRule="atLeast"/>
          <w:jc w:val="center"/>
        </w:trPr>
        <w:tc>
          <w:tcPr>
            <w:tcW w:w="1097" w:type="dxa"/>
            <w:vMerge w:val="continue"/>
            <w:tcBorders>
              <w:left w:val="single" w:color="000000" w:sz="4" w:space="0"/>
              <w:right w:val="single" w:color="000000" w:sz="4" w:space="0"/>
            </w:tcBorders>
            <w:shd w:val="clear" w:color="auto" w:fill="auto"/>
            <w:vAlign w:val="center"/>
          </w:tcPr>
          <w:p w14:paraId="3CD3D63F">
            <w:pPr>
              <w:widowControl/>
              <w:spacing w:line="240" w:lineRule="exact"/>
              <w:jc w:val="center"/>
              <w:rPr>
                <w:rFonts w:hint="eastAsia" w:ascii="宋体" w:hAnsi="宋体" w:eastAsia="宋体" w:cs="宋体"/>
                <w:b/>
                <w:color w:val="000000"/>
                <w:sz w:val="21"/>
                <w:szCs w:val="21"/>
              </w:rPr>
            </w:pPr>
          </w:p>
        </w:tc>
        <w:tc>
          <w:tcPr>
            <w:tcW w:w="1201" w:type="dxa"/>
            <w:vMerge w:val="continue"/>
            <w:tcBorders>
              <w:left w:val="single" w:color="000000" w:sz="4" w:space="0"/>
              <w:right w:val="single" w:color="000000" w:sz="4" w:space="0"/>
            </w:tcBorders>
            <w:shd w:val="clear" w:color="auto" w:fill="auto"/>
            <w:vAlign w:val="center"/>
          </w:tcPr>
          <w:p w14:paraId="5C99AE89">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34DE">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严控一般性支出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D04E">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DE8">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部门严控“三公”经费、会议、培训、差旅、办节办展、办公设备购置、信息化建设和运维、课题经费、竞赛活动、规划编制一般性支出情况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4D0">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BF19">
            <w:pPr>
              <w:widowControl/>
              <w:spacing w:line="240" w:lineRule="exact"/>
              <w:jc w:val="left"/>
              <w:textAlignment w:val="center"/>
              <w:rPr>
                <w:rFonts w:hint="eastAsia" w:ascii="宋体" w:hAnsi="宋体" w:eastAsia="宋体" w:cs="宋体"/>
                <w:color w:val="000000"/>
                <w:kern w:val="0"/>
                <w:sz w:val="21"/>
                <w:szCs w:val="21"/>
              </w:rPr>
            </w:pPr>
          </w:p>
        </w:tc>
      </w:tr>
      <w:tr w14:paraId="548D237E">
        <w:tblPrEx>
          <w:tblCellMar>
            <w:top w:w="0" w:type="dxa"/>
            <w:left w:w="108" w:type="dxa"/>
            <w:bottom w:w="0" w:type="dxa"/>
            <w:right w:w="108" w:type="dxa"/>
          </w:tblCellMar>
        </w:tblPrEx>
        <w:trPr>
          <w:trHeight w:val="545" w:hRule="atLeast"/>
          <w:jc w:val="center"/>
        </w:trPr>
        <w:tc>
          <w:tcPr>
            <w:tcW w:w="1097" w:type="dxa"/>
            <w:vMerge w:val="continue"/>
            <w:tcBorders>
              <w:left w:val="single" w:color="000000" w:sz="4" w:space="0"/>
              <w:right w:val="single" w:color="000000" w:sz="4" w:space="0"/>
            </w:tcBorders>
            <w:shd w:val="clear" w:color="auto" w:fill="auto"/>
            <w:vAlign w:val="center"/>
          </w:tcPr>
          <w:p w14:paraId="24C9FA6C">
            <w:pPr>
              <w:widowControl/>
              <w:spacing w:line="240" w:lineRule="exact"/>
              <w:jc w:val="center"/>
              <w:rPr>
                <w:rFonts w:hint="eastAsia" w:ascii="宋体" w:hAnsi="宋体" w:eastAsia="宋体" w:cs="宋体"/>
                <w:b/>
                <w:color w:val="000000"/>
                <w:sz w:val="21"/>
                <w:szCs w:val="21"/>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3B64D">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财务管理</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（10分）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005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财务管理制度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0FB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0743">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部门财务管理制度建立情况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7A7">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AF4">
            <w:pPr>
              <w:widowControl/>
              <w:spacing w:line="240" w:lineRule="exact"/>
              <w:jc w:val="left"/>
              <w:textAlignment w:val="center"/>
              <w:rPr>
                <w:rFonts w:hint="eastAsia" w:ascii="宋体" w:hAnsi="宋体" w:eastAsia="宋体" w:cs="宋体"/>
                <w:color w:val="000000"/>
                <w:kern w:val="0"/>
                <w:sz w:val="21"/>
                <w:szCs w:val="21"/>
              </w:rPr>
            </w:pPr>
          </w:p>
        </w:tc>
      </w:tr>
      <w:tr w14:paraId="7829A98E">
        <w:tblPrEx>
          <w:tblCellMar>
            <w:top w:w="0" w:type="dxa"/>
            <w:left w:w="108" w:type="dxa"/>
            <w:bottom w:w="0" w:type="dxa"/>
            <w:right w:w="108" w:type="dxa"/>
          </w:tblCellMar>
        </w:tblPrEx>
        <w:trPr>
          <w:trHeight w:val="90" w:hRule="atLeast"/>
          <w:jc w:val="center"/>
        </w:trPr>
        <w:tc>
          <w:tcPr>
            <w:tcW w:w="1097" w:type="dxa"/>
            <w:vMerge w:val="continue"/>
            <w:tcBorders>
              <w:left w:val="single" w:color="000000" w:sz="4" w:space="0"/>
              <w:right w:val="single" w:color="000000" w:sz="4" w:space="0"/>
            </w:tcBorders>
            <w:shd w:val="clear" w:color="auto" w:fill="auto"/>
            <w:vAlign w:val="center"/>
          </w:tcPr>
          <w:p w14:paraId="04237100">
            <w:pPr>
              <w:widowControl/>
              <w:spacing w:line="240" w:lineRule="exact"/>
              <w:jc w:val="center"/>
              <w:rPr>
                <w:rFonts w:hint="eastAsia" w:ascii="宋体" w:hAnsi="宋体" w:eastAsia="宋体" w:cs="宋体"/>
                <w:b/>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CBEF">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FE6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财务岗位设置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AB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5AF7">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部门财务岗位设置是否符合相关财务管理制度要求</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26B">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F42">
            <w:pPr>
              <w:widowControl/>
              <w:spacing w:line="240" w:lineRule="exact"/>
              <w:jc w:val="left"/>
              <w:textAlignment w:val="center"/>
              <w:rPr>
                <w:rFonts w:hint="eastAsia" w:ascii="宋体" w:hAnsi="宋体" w:eastAsia="宋体" w:cs="宋体"/>
                <w:color w:val="000000"/>
                <w:kern w:val="0"/>
                <w:sz w:val="21"/>
                <w:szCs w:val="21"/>
              </w:rPr>
            </w:pPr>
          </w:p>
        </w:tc>
      </w:tr>
      <w:tr w14:paraId="4E55EFE9">
        <w:tblPrEx>
          <w:tblCellMar>
            <w:top w:w="0" w:type="dxa"/>
            <w:left w:w="108" w:type="dxa"/>
            <w:bottom w:w="0" w:type="dxa"/>
            <w:right w:w="108" w:type="dxa"/>
          </w:tblCellMar>
        </w:tblPrEx>
        <w:trPr>
          <w:trHeight w:val="430" w:hRule="atLeast"/>
          <w:jc w:val="center"/>
        </w:trPr>
        <w:tc>
          <w:tcPr>
            <w:tcW w:w="1097" w:type="dxa"/>
            <w:vMerge w:val="continue"/>
            <w:tcBorders>
              <w:left w:val="single" w:color="000000" w:sz="4" w:space="0"/>
              <w:right w:val="single" w:color="000000" w:sz="4" w:space="0"/>
            </w:tcBorders>
            <w:shd w:val="clear" w:color="auto" w:fill="auto"/>
            <w:vAlign w:val="center"/>
          </w:tcPr>
          <w:p w14:paraId="46798080">
            <w:pPr>
              <w:widowControl/>
              <w:spacing w:line="240" w:lineRule="exact"/>
              <w:jc w:val="center"/>
              <w:rPr>
                <w:rFonts w:hint="eastAsia" w:ascii="宋体" w:hAnsi="宋体" w:eastAsia="宋体" w:cs="宋体"/>
                <w:b/>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1F13">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EFC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资金使用规范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AD5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D44">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部门资金使用是否符合相关财务管理制度规定</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8089">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39D">
            <w:pPr>
              <w:widowControl/>
              <w:spacing w:line="240" w:lineRule="exact"/>
              <w:jc w:val="left"/>
              <w:textAlignment w:val="center"/>
              <w:rPr>
                <w:rFonts w:hint="eastAsia" w:ascii="宋体" w:hAnsi="宋体" w:eastAsia="宋体" w:cs="宋体"/>
                <w:color w:val="000000"/>
                <w:kern w:val="0"/>
                <w:sz w:val="21"/>
                <w:szCs w:val="21"/>
              </w:rPr>
            </w:pPr>
          </w:p>
        </w:tc>
      </w:tr>
      <w:tr w14:paraId="787DF4E7">
        <w:tblPrEx>
          <w:tblCellMar>
            <w:top w:w="0" w:type="dxa"/>
            <w:left w:w="108" w:type="dxa"/>
            <w:bottom w:w="0" w:type="dxa"/>
            <w:right w:w="108" w:type="dxa"/>
          </w:tblCellMar>
        </w:tblPrEx>
        <w:trPr>
          <w:trHeight w:val="325" w:hRule="atLeast"/>
          <w:jc w:val="center"/>
        </w:trPr>
        <w:tc>
          <w:tcPr>
            <w:tcW w:w="1097" w:type="dxa"/>
            <w:vMerge w:val="continue"/>
            <w:tcBorders>
              <w:left w:val="single" w:color="000000" w:sz="4" w:space="0"/>
              <w:right w:val="single" w:color="000000" w:sz="4" w:space="0"/>
            </w:tcBorders>
            <w:shd w:val="clear" w:color="auto" w:fill="auto"/>
            <w:vAlign w:val="center"/>
          </w:tcPr>
          <w:p w14:paraId="41AA7FB6">
            <w:pPr>
              <w:widowControl/>
              <w:spacing w:line="240" w:lineRule="exact"/>
              <w:jc w:val="center"/>
              <w:rPr>
                <w:rFonts w:hint="eastAsia" w:ascii="宋体" w:hAnsi="宋体" w:eastAsia="宋体" w:cs="宋体"/>
                <w:b/>
                <w:color w:val="000000"/>
                <w:sz w:val="21"/>
                <w:szCs w:val="21"/>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3650B">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资产管理</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7C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人均资产变化率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CEF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C566">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部门人均资产变化情况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ED41">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927">
            <w:pPr>
              <w:widowControl/>
              <w:spacing w:line="240" w:lineRule="exact"/>
              <w:jc w:val="left"/>
              <w:textAlignment w:val="center"/>
              <w:rPr>
                <w:rFonts w:hint="eastAsia" w:ascii="宋体" w:hAnsi="宋体" w:eastAsia="宋体" w:cs="宋体"/>
                <w:color w:val="000000"/>
                <w:kern w:val="0"/>
                <w:sz w:val="21"/>
                <w:szCs w:val="21"/>
              </w:rPr>
            </w:pPr>
          </w:p>
        </w:tc>
      </w:tr>
      <w:tr w14:paraId="7B6C4369">
        <w:tblPrEx>
          <w:tblCellMar>
            <w:top w:w="0" w:type="dxa"/>
            <w:left w:w="108" w:type="dxa"/>
            <w:bottom w:w="0" w:type="dxa"/>
            <w:right w:w="108" w:type="dxa"/>
          </w:tblCellMar>
        </w:tblPrEx>
        <w:trPr>
          <w:trHeight w:val="310" w:hRule="atLeast"/>
          <w:jc w:val="center"/>
        </w:trPr>
        <w:tc>
          <w:tcPr>
            <w:tcW w:w="1097" w:type="dxa"/>
            <w:vMerge w:val="continue"/>
            <w:tcBorders>
              <w:left w:val="single" w:color="000000" w:sz="4" w:space="0"/>
              <w:right w:val="single" w:color="000000" w:sz="4" w:space="0"/>
            </w:tcBorders>
            <w:shd w:val="clear" w:color="auto" w:fill="auto"/>
            <w:vAlign w:val="center"/>
          </w:tcPr>
          <w:p w14:paraId="0307E1F3">
            <w:pPr>
              <w:widowControl/>
              <w:spacing w:line="240" w:lineRule="exact"/>
              <w:jc w:val="center"/>
              <w:rPr>
                <w:rFonts w:hint="eastAsia" w:ascii="宋体" w:hAnsi="宋体" w:eastAsia="宋体" w:cs="宋体"/>
                <w:b/>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85DA">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CFE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资产利用率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87D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F90">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部门资产超最低使用年限情况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ACA3">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FBF4">
            <w:pPr>
              <w:widowControl/>
              <w:spacing w:line="240" w:lineRule="exact"/>
              <w:jc w:val="left"/>
              <w:textAlignment w:val="center"/>
              <w:rPr>
                <w:rFonts w:hint="eastAsia" w:ascii="宋体" w:hAnsi="宋体" w:eastAsia="宋体" w:cs="宋体"/>
                <w:color w:val="000000"/>
                <w:kern w:val="0"/>
                <w:sz w:val="21"/>
                <w:szCs w:val="21"/>
              </w:rPr>
            </w:pPr>
          </w:p>
        </w:tc>
      </w:tr>
      <w:tr w14:paraId="6B51C6F2">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9E4D68D">
            <w:pPr>
              <w:widowControl/>
              <w:spacing w:line="240" w:lineRule="exact"/>
              <w:jc w:val="center"/>
              <w:textAlignment w:val="center"/>
              <w:rPr>
                <w:rFonts w:hint="eastAsia" w:ascii="宋体" w:hAnsi="宋体" w:eastAsia="宋体" w:cs="宋体"/>
                <w:b/>
                <w:color w:val="000000"/>
                <w:sz w:val="21"/>
                <w:szCs w:val="21"/>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C50">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资产管理</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EA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资产盘活率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87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B3C">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部门闲置一年以上的资产盘活情况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9146">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D5DB">
            <w:pPr>
              <w:widowControl/>
              <w:spacing w:line="240" w:lineRule="exact"/>
              <w:jc w:val="left"/>
              <w:textAlignment w:val="center"/>
              <w:rPr>
                <w:rFonts w:hint="eastAsia" w:ascii="宋体" w:hAnsi="宋体" w:eastAsia="宋体" w:cs="宋体"/>
                <w:color w:val="000000"/>
                <w:kern w:val="0"/>
                <w:sz w:val="21"/>
                <w:szCs w:val="21"/>
              </w:rPr>
            </w:pPr>
          </w:p>
        </w:tc>
      </w:tr>
      <w:tr w14:paraId="43981207">
        <w:tblPrEx>
          <w:tblCellMar>
            <w:top w:w="0" w:type="dxa"/>
            <w:left w:w="108" w:type="dxa"/>
            <w:bottom w:w="0" w:type="dxa"/>
            <w:right w:w="108" w:type="dxa"/>
          </w:tblCellMar>
        </w:tblPrEx>
        <w:trPr>
          <w:trHeight w:val="595" w:hRule="atLeast"/>
          <w:jc w:val="center"/>
        </w:trPr>
        <w:tc>
          <w:tcPr>
            <w:tcW w:w="1097" w:type="dxa"/>
            <w:vMerge w:val="continue"/>
            <w:tcBorders>
              <w:left w:val="single" w:color="000000" w:sz="4" w:space="0"/>
              <w:right w:val="single" w:color="000000" w:sz="4" w:space="0"/>
            </w:tcBorders>
            <w:shd w:val="clear" w:color="auto" w:fill="auto"/>
            <w:vAlign w:val="center"/>
          </w:tcPr>
          <w:p w14:paraId="383E83B2">
            <w:pPr>
              <w:widowControl/>
              <w:spacing w:line="240" w:lineRule="exact"/>
              <w:jc w:val="center"/>
              <w:rPr>
                <w:rFonts w:hint="eastAsia" w:ascii="宋体" w:hAnsi="宋体" w:eastAsia="宋体" w:cs="宋体"/>
                <w:b/>
                <w:color w:val="000000"/>
                <w:sz w:val="21"/>
                <w:szCs w:val="21"/>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39168">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采购管理</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（6分）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BB2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支持中小企业发展</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200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834B">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部门是否严格执行政府采购促进中小企业发展相关管理办法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A484">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0A9">
            <w:pPr>
              <w:widowControl/>
              <w:spacing w:line="240" w:lineRule="exact"/>
              <w:jc w:val="left"/>
              <w:textAlignment w:val="center"/>
              <w:rPr>
                <w:rFonts w:hint="eastAsia" w:ascii="宋体" w:hAnsi="宋体" w:eastAsia="宋体" w:cs="宋体"/>
                <w:color w:val="000000"/>
                <w:kern w:val="0"/>
                <w:sz w:val="21"/>
                <w:szCs w:val="21"/>
              </w:rPr>
            </w:pPr>
          </w:p>
        </w:tc>
      </w:tr>
      <w:tr w14:paraId="647C924D">
        <w:tblPrEx>
          <w:tblCellMar>
            <w:top w:w="0" w:type="dxa"/>
            <w:left w:w="108" w:type="dxa"/>
            <w:bottom w:w="0" w:type="dxa"/>
            <w:right w:w="108" w:type="dxa"/>
          </w:tblCellMar>
        </w:tblPrEx>
        <w:trPr>
          <w:trHeight w:val="405" w:hRule="atLeast"/>
          <w:jc w:val="center"/>
        </w:trPr>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33B983F9">
            <w:pPr>
              <w:widowControl/>
              <w:spacing w:line="240" w:lineRule="exact"/>
              <w:jc w:val="center"/>
              <w:rPr>
                <w:rFonts w:hint="eastAsia" w:ascii="宋体" w:hAnsi="宋体" w:eastAsia="宋体" w:cs="宋体"/>
                <w:b/>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BB3D">
            <w:pPr>
              <w:widowControl/>
              <w:spacing w:line="240" w:lineRule="exact"/>
              <w:jc w:val="center"/>
              <w:rPr>
                <w:rFonts w:hint="eastAsia" w:ascii="宋体" w:hAnsi="宋体" w:eastAsia="宋体" w:cs="宋体"/>
                <w:b/>
                <w:color w:val="000000"/>
                <w:sz w:val="21"/>
                <w:szCs w:val="21"/>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D17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采购执行率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E1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77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部门政府采购项目资金支付比例情况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8F43">
            <w:pPr>
              <w:widowControl/>
              <w:spacing w:line="240" w:lineRule="exact"/>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590C">
            <w:pPr>
              <w:widowControl/>
              <w:spacing w:line="240" w:lineRule="exact"/>
              <w:jc w:val="left"/>
              <w:textAlignment w:val="center"/>
              <w:rPr>
                <w:rFonts w:hint="eastAsia" w:ascii="宋体" w:hAnsi="宋体" w:eastAsia="宋体" w:cs="宋体"/>
                <w:color w:val="000000"/>
                <w:kern w:val="0"/>
                <w:sz w:val="21"/>
                <w:szCs w:val="21"/>
              </w:rPr>
            </w:pPr>
          </w:p>
        </w:tc>
      </w:tr>
      <w:tr w14:paraId="35FB58F6">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31BF9">
            <w:pPr>
              <w:widowControl/>
              <w:spacing w:line="24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项目绩效（35分）</w:t>
            </w: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2B5549CA">
            <w:pPr>
              <w:widowControl/>
              <w:spacing w:line="24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项目决策</w:t>
            </w:r>
            <w:r>
              <w:rPr>
                <w:rFonts w:hint="eastAsia" w:ascii="宋体" w:hAnsi="宋体" w:eastAsia="宋体" w:cs="宋体"/>
                <w:b/>
                <w:color w:val="000000"/>
                <w:kern w:val="0"/>
                <w:sz w:val="21"/>
                <w:szCs w:val="21"/>
                <w:highlight w:val="none"/>
              </w:rPr>
              <w:br w:type="textWrapping"/>
            </w:r>
            <w:r>
              <w:rPr>
                <w:rFonts w:hint="eastAsia" w:ascii="宋体" w:hAnsi="宋体" w:eastAsia="宋体" w:cs="宋体"/>
                <w:b/>
                <w:color w:val="000000"/>
                <w:kern w:val="0"/>
                <w:sz w:val="21"/>
                <w:szCs w:val="21"/>
                <w:highlight w:val="none"/>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361">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决策程序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7D5B">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1551">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部门预算项目设立是否按规定履行评估论证、申报程序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C7C8">
            <w:pPr>
              <w:widowControl/>
              <w:spacing w:line="240" w:lineRule="exact"/>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32E8">
            <w:pPr>
              <w:widowControl/>
              <w:spacing w:line="240" w:lineRule="exact"/>
              <w:jc w:val="left"/>
              <w:textAlignment w:val="center"/>
              <w:rPr>
                <w:rFonts w:hint="eastAsia" w:ascii="宋体" w:hAnsi="宋体" w:eastAsia="宋体" w:cs="宋体"/>
                <w:color w:val="000000"/>
                <w:kern w:val="0"/>
                <w:sz w:val="21"/>
                <w:szCs w:val="21"/>
                <w:highlight w:val="none"/>
              </w:rPr>
            </w:pPr>
          </w:p>
        </w:tc>
      </w:tr>
      <w:tr w14:paraId="55BEAF22">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420D">
            <w:pPr>
              <w:widowControl/>
              <w:spacing w:line="240" w:lineRule="exact"/>
              <w:jc w:val="center"/>
              <w:rPr>
                <w:rFonts w:hint="eastAsia" w:ascii="宋体" w:hAnsi="宋体" w:eastAsia="宋体" w:cs="宋体"/>
                <w:b/>
                <w:color w:val="000000"/>
                <w:sz w:val="21"/>
                <w:szCs w:val="21"/>
                <w:highlight w:val="none"/>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6057625B">
            <w:pPr>
              <w:widowControl/>
              <w:spacing w:line="240" w:lineRule="exact"/>
              <w:jc w:val="center"/>
              <w:rPr>
                <w:rFonts w:hint="eastAsia" w:ascii="宋体" w:hAnsi="宋体" w:eastAsia="宋体" w:cs="宋体"/>
                <w:b/>
                <w:color w:val="000000"/>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9128">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目标设置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B3A4">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2F62">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部门预算项目绩效目标与计划期内的任务量、预算安排的资金量匹配情况，绩效目标设置是否科学合理、规范完整、量化细化、预算匹配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BC98">
            <w:pPr>
              <w:widowControl/>
              <w:spacing w:line="24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16D">
            <w:pPr>
              <w:widowControl/>
              <w:spacing w:line="240" w:lineRule="exact"/>
              <w:jc w:val="left"/>
              <w:textAlignment w:val="center"/>
              <w:rPr>
                <w:rFonts w:hint="eastAsia" w:ascii="宋体" w:hAnsi="宋体" w:eastAsia="宋体" w:cs="宋体"/>
                <w:color w:val="000000"/>
                <w:kern w:val="0"/>
                <w:sz w:val="21"/>
                <w:szCs w:val="21"/>
                <w:highlight w:val="none"/>
              </w:rPr>
            </w:pPr>
          </w:p>
        </w:tc>
      </w:tr>
      <w:tr w14:paraId="04BDE309">
        <w:tblPrEx>
          <w:tblCellMar>
            <w:top w:w="0" w:type="dxa"/>
            <w:left w:w="108" w:type="dxa"/>
            <w:bottom w:w="0" w:type="dxa"/>
            <w:right w:w="108" w:type="dxa"/>
          </w:tblCellMar>
        </w:tblPrEx>
        <w:trPr>
          <w:trHeight w:val="33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68BC">
            <w:pPr>
              <w:widowControl/>
              <w:spacing w:line="240" w:lineRule="exact"/>
              <w:jc w:val="center"/>
              <w:rPr>
                <w:rFonts w:hint="eastAsia" w:ascii="宋体" w:hAnsi="宋体" w:eastAsia="宋体" w:cs="宋体"/>
                <w:b/>
                <w:color w:val="000000"/>
                <w:sz w:val="21"/>
                <w:szCs w:val="21"/>
                <w:highlight w:val="none"/>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4249E42D">
            <w:pPr>
              <w:widowControl/>
              <w:spacing w:line="240" w:lineRule="exact"/>
              <w:jc w:val="center"/>
              <w:rPr>
                <w:rFonts w:hint="eastAsia" w:ascii="宋体" w:hAnsi="宋体" w:eastAsia="宋体" w:cs="宋体"/>
                <w:b/>
                <w:color w:val="000000"/>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E234">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项目入库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9EA8">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E105">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部门预算项目是否在规定时间完成项目入库</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781">
            <w:pPr>
              <w:widowControl/>
              <w:spacing w:line="24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B0E">
            <w:pPr>
              <w:widowControl/>
              <w:spacing w:line="240" w:lineRule="exact"/>
              <w:jc w:val="left"/>
              <w:textAlignment w:val="center"/>
              <w:rPr>
                <w:rFonts w:hint="eastAsia" w:ascii="宋体" w:hAnsi="宋体" w:eastAsia="宋体" w:cs="宋体"/>
                <w:color w:val="000000"/>
                <w:kern w:val="0"/>
                <w:sz w:val="21"/>
                <w:szCs w:val="21"/>
                <w:highlight w:val="none"/>
              </w:rPr>
            </w:pPr>
          </w:p>
        </w:tc>
      </w:tr>
      <w:tr w14:paraId="123F4F00">
        <w:tblPrEx>
          <w:tblCellMar>
            <w:top w:w="0" w:type="dxa"/>
            <w:left w:w="108" w:type="dxa"/>
            <w:bottom w:w="0" w:type="dxa"/>
            <w:right w:w="108" w:type="dxa"/>
          </w:tblCellMar>
        </w:tblPrEx>
        <w:trPr>
          <w:trHeight w:val="615"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C4DC">
            <w:pPr>
              <w:widowControl/>
              <w:spacing w:line="240" w:lineRule="exact"/>
              <w:jc w:val="center"/>
              <w:rPr>
                <w:rFonts w:hint="eastAsia" w:ascii="宋体" w:hAnsi="宋体" w:eastAsia="宋体" w:cs="宋体"/>
                <w:b/>
                <w:color w:val="000000"/>
                <w:sz w:val="21"/>
                <w:szCs w:val="21"/>
                <w:highlight w:val="none"/>
              </w:rPr>
            </w:pP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0A893258">
            <w:pPr>
              <w:widowControl/>
              <w:spacing w:line="24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项目执行</w:t>
            </w:r>
            <w:r>
              <w:rPr>
                <w:rFonts w:hint="eastAsia" w:ascii="宋体" w:hAnsi="宋体" w:eastAsia="宋体" w:cs="宋体"/>
                <w:b/>
                <w:color w:val="000000"/>
                <w:kern w:val="0"/>
                <w:sz w:val="21"/>
                <w:szCs w:val="21"/>
                <w:highlight w:val="none"/>
              </w:rPr>
              <w:br w:type="textWrapping"/>
            </w:r>
            <w:r>
              <w:rPr>
                <w:rFonts w:hint="eastAsia" w:ascii="宋体" w:hAnsi="宋体" w:eastAsia="宋体" w:cs="宋体"/>
                <w:b/>
                <w:color w:val="000000"/>
                <w:kern w:val="0"/>
                <w:sz w:val="21"/>
                <w:szCs w:val="21"/>
                <w:highlight w:val="none"/>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92B">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执行同向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1191">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F000">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部门预算项目实际列支内容是否与绩效目标设置方向相符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4364">
            <w:pPr>
              <w:widowControl/>
              <w:spacing w:line="24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243B">
            <w:pPr>
              <w:widowControl/>
              <w:spacing w:line="240" w:lineRule="exact"/>
              <w:jc w:val="left"/>
              <w:textAlignment w:val="center"/>
              <w:rPr>
                <w:rFonts w:hint="eastAsia" w:ascii="宋体" w:hAnsi="宋体" w:eastAsia="宋体" w:cs="宋体"/>
                <w:color w:val="000000"/>
                <w:kern w:val="0"/>
                <w:sz w:val="21"/>
                <w:szCs w:val="21"/>
                <w:highlight w:val="none"/>
              </w:rPr>
            </w:pPr>
          </w:p>
        </w:tc>
      </w:tr>
      <w:tr w14:paraId="742902E5">
        <w:tblPrEx>
          <w:tblCellMar>
            <w:top w:w="0" w:type="dxa"/>
            <w:left w:w="108" w:type="dxa"/>
            <w:bottom w:w="0" w:type="dxa"/>
            <w:right w:w="108" w:type="dxa"/>
          </w:tblCellMar>
        </w:tblPrEx>
        <w:trPr>
          <w:trHeight w:val="54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F396">
            <w:pPr>
              <w:widowControl/>
              <w:spacing w:line="240" w:lineRule="exact"/>
              <w:jc w:val="center"/>
              <w:rPr>
                <w:rFonts w:hint="eastAsia" w:ascii="宋体" w:hAnsi="宋体" w:eastAsia="宋体" w:cs="宋体"/>
                <w:b/>
                <w:color w:val="000000"/>
                <w:sz w:val="21"/>
                <w:szCs w:val="21"/>
                <w:highlight w:val="none"/>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0098D8A3">
            <w:pPr>
              <w:widowControl/>
              <w:spacing w:line="240" w:lineRule="exact"/>
              <w:jc w:val="center"/>
              <w:rPr>
                <w:rFonts w:hint="eastAsia" w:ascii="宋体" w:hAnsi="宋体" w:eastAsia="宋体" w:cs="宋体"/>
                <w:b/>
                <w:color w:val="000000"/>
                <w:sz w:val="21"/>
                <w:szCs w:val="21"/>
                <w:highlight w:val="none"/>
              </w:rPr>
            </w:pPr>
          </w:p>
        </w:tc>
        <w:tc>
          <w:tcPr>
            <w:tcW w:w="1929" w:type="dxa"/>
            <w:tcBorders>
              <w:top w:val="single" w:color="000000" w:sz="4" w:space="0"/>
              <w:left w:val="single" w:color="000000" w:sz="4" w:space="0"/>
              <w:bottom w:val="nil"/>
              <w:right w:val="single" w:color="000000" w:sz="4" w:space="0"/>
            </w:tcBorders>
            <w:shd w:val="clear" w:color="auto" w:fill="auto"/>
            <w:vAlign w:val="center"/>
          </w:tcPr>
          <w:p w14:paraId="14FA05D9">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项目调整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37EB">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9F2C">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部门预算项目是否采取对应调整措施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BB47">
            <w:pPr>
              <w:widowControl/>
              <w:spacing w:line="24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5610">
            <w:pPr>
              <w:widowControl/>
              <w:spacing w:line="240" w:lineRule="exact"/>
              <w:jc w:val="left"/>
              <w:textAlignment w:val="center"/>
              <w:rPr>
                <w:rFonts w:hint="eastAsia" w:ascii="宋体" w:hAnsi="宋体" w:eastAsia="宋体" w:cs="宋体"/>
                <w:color w:val="000000"/>
                <w:kern w:val="0"/>
                <w:sz w:val="21"/>
                <w:szCs w:val="21"/>
                <w:highlight w:val="none"/>
              </w:rPr>
            </w:pPr>
          </w:p>
        </w:tc>
      </w:tr>
      <w:tr w14:paraId="5846E326">
        <w:tblPrEx>
          <w:tblCellMar>
            <w:top w:w="0" w:type="dxa"/>
            <w:left w:w="108" w:type="dxa"/>
            <w:bottom w:w="0" w:type="dxa"/>
            <w:right w:w="108" w:type="dxa"/>
          </w:tblCellMar>
        </w:tblPrEx>
        <w:trPr>
          <w:trHeight w:val="555"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C6D3">
            <w:pPr>
              <w:widowControl/>
              <w:spacing w:line="240" w:lineRule="exact"/>
              <w:jc w:val="center"/>
              <w:rPr>
                <w:rFonts w:hint="eastAsia" w:ascii="宋体" w:hAnsi="宋体" w:eastAsia="宋体" w:cs="宋体"/>
                <w:b/>
                <w:color w:val="000000"/>
                <w:sz w:val="21"/>
                <w:szCs w:val="21"/>
                <w:highlight w:val="none"/>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0A410520">
            <w:pPr>
              <w:widowControl/>
              <w:spacing w:line="240" w:lineRule="exact"/>
              <w:jc w:val="center"/>
              <w:rPr>
                <w:rFonts w:hint="eastAsia" w:ascii="宋体" w:hAnsi="宋体" w:eastAsia="宋体" w:cs="宋体"/>
                <w:b/>
                <w:color w:val="000000"/>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FCD">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执行结果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EE96">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FC9">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部门预算项目预算执行情况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D74">
            <w:pPr>
              <w:widowControl/>
              <w:spacing w:line="24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B096">
            <w:pPr>
              <w:widowControl/>
              <w:spacing w:line="240" w:lineRule="exact"/>
              <w:jc w:val="left"/>
              <w:textAlignment w:val="center"/>
              <w:rPr>
                <w:rFonts w:hint="eastAsia" w:ascii="宋体" w:hAnsi="宋体" w:eastAsia="宋体" w:cs="宋体"/>
                <w:color w:val="000000"/>
                <w:kern w:val="0"/>
                <w:sz w:val="21"/>
                <w:szCs w:val="21"/>
                <w:highlight w:val="none"/>
              </w:rPr>
            </w:pPr>
          </w:p>
        </w:tc>
      </w:tr>
      <w:tr w14:paraId="5FF6DB41">
        <w:tblPrEx>
          <w:tblCellMar>
            <w:top w:w="0" w:type="dxa"/>
            <w:left w:w="108" w:type="dxa"/>
            <w:bottom w:w="0" w:type="dxa"/>
            <w:right w:w="108" w:type="dxa"/>
          </w:tblCellMar>
        </w:tblPrEx>
        <w:trPr>
          <w:trHeight w:val="49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E18C">
            <w:pPr>
              <w:widowControl/>
              <w:spacing w:line="240" w:lineRule="exact"/>
              <w:jc w:val="center"/>
              <w:rPr>
                <w:rFonts w:hint="eastAsia" w:ascii="宋体" w:hAnsi="宋体" w:eastAsia="宋体" w:cs="宋体"/>
                <w:b/>
                <w:color w:val="000000"/>
                <w:sz w:val="21"/>
                <w:szCs w:val="21"/>
                <w:highlight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834B2">
            <w:pPr>
              <w:widowControl/>
              <w:spacing w:line="24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目标实现</w:t>
            </w:r>
            <w:r>
              <w:rPr>
                <w:rFonts w:hint="eastAsia" w:ascii="宋体" w:hAnsi="宋体" w:eastAsia="宋体" w:cs="宋体"/>
                <w:b/>
                <w:color w:val="000000"/>
                <w:kern w:val="0"/>
                <w:sz w:val="21"/>
                <w:szCs w:val="21"/>
                <w:highlight w:val="none"/>
              </w:rPr>
              <w:br w:type="textWrapping"/>
            </w:r>
            <w:r>
              <w:rPr>
                <w:rFonts w:hint="eastAsia" w:ascii="宋体" w:hAnsi="宋体" w:eastAsia="宋体" w:cs="宋体"/>
                <w:b/>
                <w:color w:val="000000"/>
                <w:kern w:val="0"/>
                <w:sz w:val="21"/>
                <w:szCs w:val="21"/>
                <w:highlight w:val="none"/>
              </w:rPr>
              <w:t>（11分）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6ED">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目标完成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50F">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CB82">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部门预算项目绩效目标数量指标完成情况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F8D">
            <w:pPr>
              <w:widowControl/>
              <w:spacing w:line="24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6104">
            <w:pPr>
              <w:widowControl/>
              <w:spacing w:line="240" w:lineRule="exact"/>
              <w:jc w:val="left"/>
              <w:textAlignment w:val="center"/>
              <w:rPr>
                <w:rFonts w:hint="eastAsia" w:ascii="宋体" w:hAnsi="宋体" w:eastAsia="宋体" w:cs="宋体"/>
                <w:color w:val="000000"/>
                <w:kern w:val="0"/>
                <w:sz w:val="21"/>
                <w:szCs w:val="21"/>
                <w:highlight w:val="none"/>
              </w:rPr>
            </w:pPr>
          </w:p>
        </w:tc>
      </w:tr>
      <w:tr w14:paraId="7B374126">
        <w:tblPrEx>
          <w:tblCellMar>
            <w:top w:w="0" w:type="dxa"/>
            <w:left w:w="108" w:type="dxa"/>
            <w:bottom w:w="0" w:type="dxa"/>
            <w:right w:w="108" w:type="dxa"/>
          </w:tblCellMar>
        </w:tblPrEx>
        <w:trPr>
          <w:trHeight w:val="26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0BBE">
            <w:pPr>
              <w:widowControl/>
              <w:spacing w:line="240" w:lineRule="exact"/>
              <w:jc w:val="center"/>
              <w:rPr>
                <w:rFonts w:hint="eastAsia" w:ascii="宋体" w:hAnsi="宋体" w:eastAsia="宋体" w:cs="宋体"/>
                <w:b/>
                <w:color w:val="000000"/>
                <w:sz w:val="21"/>
                <w:szCs w:val="21"/>
                <w:highlight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67E1">
            <w:pPr>
              <w:widowControl/>
              <w:spacing w:line="240" w:lineRule="exact"/>
              <w:jc w:val="center"/>
              <w:rPr>
                <w:rFonts w:hint="eastAsia" w:ascii="宋体" w:hAnsi="宋体" w:eastAsia="宋体" w:cs="宋体"/>
                <w:b/>
                <w:color w:val="000000"/>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FBCF">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目标偏离</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67D4">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84F3">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部门预算项目绩效目标数量指标实现程度与预期目标的偏离情况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884C">
            <w:pPr>
              <w:widowControl/>
              <w:tabs>
                <w:tab w:val="left" w:pos="276"/>
              </w:tabs>
              <w:spacing w:line="240" w:lineRule="exact"/>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2BC">
            <w:pPr>
              <w:widowControl/>
              <w:spacing w:line="240" w:lineRule="exact"/>
              <w:jc w:val="left"/>
              <w:textAlignment w:val="center"/>
              <w:rPr>
                <w:rFonts w:hint="eastAsia" w:ascii="宋体" w:hAnsi="宋体" w:eastAsia="宋体" w:cs="宋体"/>
                <w:color w:val="000000"/>
                <w:kern w:val="0"/>
                <w:sz w:val="21"/>
                <w:szCs w:val="21"/>
                <w:highlight w:val="none"/>
              </w:rPr>
            </w:pPr>
          </w:p>
        </w:tc>
      </w:tr>
      <w:tr w14:paraId="69DD6ECF">
        <w:tblPrEx>
          <w:tblCellMar>
            <w:top w:w="0" w:type="dxa"/>
            <w:left w:w="108" w:type="dxa"/>
            <w:bottom w:w="0" w:type="dxa"/>
            <w:right w:w="108" w:type="dxa"/>
          </w:tblCellMar>
        </w:tblPrEx>
        <w:trPr>
          <w:trHeight w:val="440"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A874">
            <w:pPr>
              <w:widowControl/>
              <w:spacing w:line="240" w:lineRule="exact"/>
              <w:jc w:val="center"/>
              <w:rPr>
                <w:rFonts w:hint="eastAsia" w:ascii="宋体" w:hAnsi="宋体" w:eastAsia="宋体" w:cs="宋体"/>
                <w:b/>
                <w:color w:val="000000"/>
                <w:sz w:val="21"/>
                <w:szCs w:val="21"/>
                <w:highlight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2EC0">
            <w:pPr>
              <w:widowControl/>
              <w:spacing w:line="240" w:lineRule="exact"/>
              <w:jc w:val="center"/>
              <w:rPr>
                <w:rFonts w:hint="eastAsia" w:ascii="宋体" w:hAnsi="宋体" w:eastAsia="宋体" w:cs="宋体"/>
                <w:b/>
                <w:color w:val="000000"/>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BF78">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实现效果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1483">
            <w:pPr>
              <w:widowControl/>
              <w:spacing w:line="2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F03E">
            <w:pPr>
              <w:widowControl/>
              <w:spacing w:line="24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部门预算项目绩效目标效益指标实施效果</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54CA">
            <w:pPr>
              <w:widowControl/>
              <w:spacing w:line="240" w:lineRule="exact"/>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4396">
            <w:pPr>
              <w:widowControl/>
              <w:spacing w:line="240" w:lineRule="exact"/>
              <w:jc w:val="left"/>
              <w:textAlignment w:val="center"/>
              <w:rPr>
                <w:rFonts w:hint="eastAsia" w:ascii="宋体" w:hAnsi="宋体" w:eastAsia="宋体" w:cs="宋体"/>
                <w:color w:val="000000"/>
                <w:kern w:val="0"/>
                <w:sz w:val="21"/>
                <w:szCs w:val="21"/>
                <w:highlight w:val="none"/>
              </w:rPr>
            </w:pPr>
          </w:p>
        </w:tc>
      </w:tr>
      <w:tr w14:paraId="5478EEF6">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DFFD">
            <w:pPr>
              <w:widowControl/>
              <w:spacing w:line="24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扣分项</w:t>
            </w:r>
            <w:r>
              <w:rPr>
                <w:rFonts w:hint="eastAsia" w:ascii="宋体" w:hAnsi="宋体" w:eastAsia="宋体" w:cs="宋体"/>
                <w:b/>
                <w:color w:val="000000"/>
                <w:kern w:val="0"/>
                <w:sz w:val="21"/>
                <w:szCs w:val="21"/>
              </w:rPr>
              <w:br w:type="textWrapping"/>
            </w:r>
            <w:r>
              <w:rPr>
                <w:rFonts w:hint="eastAsia" w:ascii="宋体" w:hAnsi="宋体" w:eastAsia="宋体" w:cs="宋体"/>
                <w:b/>
                <w:color w:val="000000"/>
                <w:kern w:val="0"/>
                <w:sz w:val="21"/>
                <w:szCs w:val="21"/>
              </w:rPr>
              <w:t>（10分）</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3DBE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被评价部门配合度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980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49C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被评价对象工作配合情况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CD6">
            <w:pPr>
              <w:widowControl/>
              <w:spacing w:line="240" w:lineRule="exact"/>
              <w:jc w:val="left"/>
              <w:textAlignment w:val="center"/>
              <w:rPr>
                <w:rFonts w:hint="eastAsia" w:ascii="宋体" w:hAnsi="宋体" w:eastAsia="宋体" w:cs="宋体"/>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745">
            <w:pPr>
              <w:widowControl/>
              <w:spacing w:line="240" w:lineRule="exact"/>
              <w:jc w:val="left"/>
              <w:textAlignment w:val="center"/>
              <w:rPr>
                <w:rFonts w:hint="eastAsia" w:ascii="宋体" w:hAnsi="宋体" w:eastAsia="宋体" w:cs="宋体"/>
                <w:color w:val="000000"/>
                <w:kern w:val="0"/>
                <w:sz w:val="21"/>
                <w:szCs w:val="21"/>
              </w:rPr>
            </w:pPr>
          </w:p>
        </w:tc>
      </w:tr>
    </w:tbl>
    <w:p w14:paraId="3FA96436">
      <w:pPr>
        <w:pStyle w:val="18"/>
        <w:spacing w:line="20" w:lineRule="exact"/>
      </w:pPr>
    </w:p>
    <w:p w14:paraId="2F9F155C">
      <w:pPr>
        <w:spacing w:line="578" w:lineRule="exact"/>
        <w:jc w:val="left"/>
        <w:rPr>
          <w:rFonts w:eastAsia="黑体"/>
        </w:rPr>
      </w:pPr>
    </w:p>
    <w:p w14:paraId="06B4FD0C">
      <w:pPr>
        <w:spacing w:line="578" w:lineRule="exact"/>
        <w:jc w:val="left"/>
        <w:rPr>
          <w:rFonts w:eastAsia="黑体"/>
        </w:rPr>
      </w:pPr>
      <w:r>
        <w:rPr>
          <w:rFonts w:eastAsia="黑体"/>
        </w:rPr>
        <w:t>附表</w:t>
      </w:r>
      <w:r>
        <w:rPr>
          <w:rFonts w:hint="eastAsia" w:eastAsia="黑体"/>
        </w:rPr>
        <w:t>2</w:t>
      </w:r>
    </w:p>
    <w:p w14:paraId="14D69576">
      <w:pPr>
        <w:widowControl/>
        <w:spacing w:line="578" w:lineRule="exact"/>
        <w:jc w:val="center"/>
        <w:textAlignment w:val="center"/>
        <w:rPr>
          <w:rFonts w:eastAsia="方正小标宋简体"/>
          <w:color w:val="000000"/>
          <w:kern w:val="0"/>
          <w:sz w:val="44"/>
          <w:szCs w:val="44"/>
        </w:rPr>
      </w:pPr>
      <w:r>
        <w:rPr>
          <w:rFonts w:eastAsia="方正小标宋简体"/>
          <w:color w:val="000000"/>
          <w:kern w:val="0"/>
          <w:sz w:val="44"/>
          <w:szCs w:val="44"/>
        </w:rPr>
        <w:t>部门整体</w:t>
      </w:r>
      <w:r>
        <w:rPr>
          <w:rFonts w:hint="eastAsia" w:eastAsia="方正小标宋简体"/>
          <w:color w:val="000000"/>
          <w:kern w:val="0"/>
          <w:sz w:val="44"/>
          <w:szCs w:val="44"/>
        </w:rPr>
        <w:t>支出</w:t>
      </w:r>
      <w:r>
        <w:rPr>
          <w:rFonts w:eastAsia="方正小标宋简体"/>
          <w:color w:val="000000"/>
          <w:kern w:val="0"/>
          <w:sz w:val="44"/>
          <w:szCs w:val="44"/>
        </w:rPr>
        <w:t>绩效目标完成情况自评表</w:t>
      </w:r>
    </w:p>
    <w:tbl>
      <w:tblPr>
        <w:tblStyle w:val="13"/>
        <w:tblW w:w="9658" w:type="dxa"/>
        <w:jc w:val="center"/>
        <w:tblLayout w:type="fixed"/>
        <w:tblCellMar>
          <w:top w:w="0" w:type="dxa"/>
          <w:left w:w="108" w:type="dxa"/>
          <w:bottom w:w="0" w:type="dxa"/>
          <w:right w:w="108" w:type="dxa"/>
        </w:tblCellMar>
      </w:tblPr>
      <w:tblGrid>
        <w:gridCol w:w="331"/>
        <w:gridCol w:w="593"/>
        <w:gridCol w:w="803"/>
        <w:gridCol w:w="1246"/>
        <w:gridCol w:w="878"/>
        <w:gridCol w:w="825"/>
        <w:gridCol w:w="1051"/>
        <w:gridCol w:w="1079"/>
        <w:gridCol w:w="1080"/>
        <w:gridCol w:w="1772"/>
      </w:tblGrid>
      <w:tr w14:paraId="70C7FC7C">
        <w:tblPrEx>
          <w:tblCellMar>
            <w:top w:w="0" w:type="dxa"/>
            <w:left w:w="108" w:type="dxa"/>
            <w:bottom w:w="0" w:type="dxa"/>
            <w:right w:w="108" w:type="dxa"/>
          </w:tblCellMar>
        </w:tblPrEx>
        <w:trPr>
          <w:trHeight w:val="465" w:hRule="atLeast"/>
          <w:jc w:val="center"/>
        </w:trPr>
        <w:tc>
          <w:tcPr>
            <w:tcW w:w="1727" w:type="dxa"/>
            <w:gridSpan w:val="3"/>
            <w:tcBorders>
              <w:top w:val="single" w:color="000000" w:sz="4" w:space="0"/>
              <w:left w:val="single" w:color="000000" w:sz="4" w:space="0"/>
              <w:bottom w:val="single" w:color="auto" w:sz="4" w:space="0"/>
              <w:right w:val="single" w:color="000000" w:sz="4" w:space="0"/>
            </w:tcBorders>
            <w:noWrap/>
            <w:vAlign w:val="center"/>
          </w:tcPr>
          <w:p w14:paraId="5F1434DB">
            <w:pPr>
              <w:rPr>
                <w:rFonts w:hint="eastAsia" w:ascii="宋体" w:hAnsi="宋体" w:eastAsia="宋体" w:cs="宋体"/>
                <w:color w:val="000000"/>
                <w:kern w:val="0"/>
                <w:sz w:val="21"/>
                <w:szCs w:val="21"/>
              </w:rPr>
            </w:pPr>
            <w:r>
              <w:rPr>
                <w:rFonts w:hint="eastAsia" w:ascii="宋体" w:hAnsi="宋体" w:eastAsia="宋体" w:cs="宋体"/>
                <w:sz w:val="21"/>
                <w:szCs w:val="21"/>
              </w:rPr>
              <w:br w:type="page"/>
            </w:r>
            <w:r>
              <w:rPr>
                <w:rFonts w:hint="eastAsia" w:ascii="宋体" w:hAnsi="宋体" w:eastAsia="宋体" w:cs="宋体"/>
                <w:color w:val="000000"/>
                <w:kern w:val="0"/>
                <w:sz w:val="21"/>
                <w:szCs w:val="21"/>
              </w:rPr>
              <w:t>部门名称</w:t>
            </w:r>
          </w:p>
        </w:tc>
        <w:tc>
          <w:tcPr>
            <w:tcW w:w="7931" w:type="dxa"/>
            <w:gridSpan w:val="7"/>
            <w:tcBorders>
              <w:top w:val="single" w:color="000000" w:sz="4" w:space="0"/>
              <w:left w:val="single" w:color="000000" w:sz="4" w:space="0"/>
              <w:bottom w:val="single" w:color="000000" w:sz="4" w:space="0"/>
              <w:right w:val="single" w:color="000000" w:sz="4" w:space="0"/>
            </w:tcBorders>
            <w:noWrap/>
            <w:vAlign w:val="center"/>
          </w:tcPr>
          <w:p w14:paraId="3D105DFE">
            <w:pPr>
              <w:widowControl/>
              <w:spacing w:line="24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阿坝州</w:t>
            </w:r>
            <w:r>
              <w:rPr>
                <w:rFonts w:hint="eastAsia" w:ascii="宋体" w:hAnsi="宋体" w:eastAsia="宋体" w:cs="宋体"/>
                <w:color w:val="000000"/>
                <w:kern w:val="0"/>
                <w:sz w:val="21"/>
                <w:szCs w:val="21"/>
                <w:lang w:eastAsia="zh-CN"/>
              </w:rPr>
              <w:t>壤塘县人民医院</w:t>
            </w:r>
          </w:p>
        </w:tc>
      </w:tr>
      <w:tr w14:paraId="123994CE">
        <w:tblPrEx>
          <w:tblCellMar>
            <w:top w:w="0" w:type="dxa"/>
            <w:left w:w="108" w:type="dxa"/>
            <w:bottom w:w="0" w:type="dxa"/>
            <w:right w:w="108" w:type="dxa"/>
          </w:tblCellMar>
        </w:tblPrEx>
        <w:trPr>
          <w:trHeight w:val="239"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480E17B1">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年度部门整体预算</w:t>
            </w:r>
          </w:p>
        </w:tc>
        <w:tc>
          <w:tcPr>
            <w:tcW w:w="2124" w:type="dxa"/>
            <w:gridSpan w:val="2"/>
            <w:tcBorders>
              <w:top w:val="single" w:color="000000" w:sz="4" w:space="0"/>
              <w:left w:val="single" w:color="auto" w:sz="4" w:space="0"/>
              <w:bottom w:val="single" w:color="000000" w:sz="4" w:space="0"/>
              <w:right w:val="single" w:color="auto" w:sz="4" w:space="0"/>
            </w:tcBorders>
            <w:noWrap/>
            <w:vAlign w:val="center"/>
          </w:tcPr>
          <w:p w14:paraId="0058C946">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资金总额</w:t>
            </w:r>
          </w:p>
        </w:tc>
        <w:tc>
          <w:tcPr>
            <w:tcW w:w="1876" w:type="dxa"/>
            <w:gridSpan w:val="2"/>
            <w:tcBorders>
              <w:top w:val="single" w:color="auto" w:sz="4" w:space="0"/>
              <w:left w:val="single" w:color="auto" w:sz="4" w:space="0"/>
              <w:bottom w:val="single" w:color="auto" w:sz="4" w:space="0"/>
              <w:right w:val="single" w:color="auto" w:sz="4" w:space="0"/>
            </w:tcBorders>
            <w:noWrap/>
            <w:vAlign w:val="center"/>
          </w:tcPr>
          <w:p w14:paraId="3866D93A">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财政拨款</w:t>
            </w:r>
          </w:p>
        </w:tc>
        <w:tc>
          <w:tcPr>
            <w:tcW w:w="3931" w:type="dxa"/>
            <w:gridSpan w:val="3"/>
            <w:tcBorders>
              <w:top w:val="single" w:color="auto" w:sz="4" w:space="0"/>
              <w:left w:val="single" w:color="auto" w:sz="4" w:space="0"/>
              <w:bottom w:val="single" w:color="auto" w:sz="4" w:space="0"/>
              <w:right w:val="single" w:color="auto" w:sz="4" w:space="0"/>
            </w:tcBorders>
            <w:noWrap/>
            <w:vAlign w:val="center"/>
          </w:tcPr>
          <w:p w14:paraId="7683CD77">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其他资金</w:t>
            </w:r>
          </w:p>
        </w:tc>
      </w:tr>
      <w:tr w14:paraId="4AADAA65">
        <w:tblPrEx>
          <w:tblCellMar>
            <w:top w:w="0" w:type="dxa"/>
            <w:left w:w="108" w:type="dxa"/>
            <w:bottom w:w="0" w:type="dxa"/>
            <w:right w:w="108" w:type="dxa"/>
          </w:tblCellMar>
        </w:tblPrEx>
        <w:trPr>
          <w:trHeight w:val="405"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6AB4CC61">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收入预算</w:t>
            </w:r>
          </w:p>
        </w:tc>
        <w:tc>
          <w:tcPr>
            <w:tcW w:w="2124" w:type="dxa"/>
            <w:gridSpan w:val="2"/>
            <w:tcBorders>
              <w:top w:val="single" w:color="000000" w:sz="4" w:space="0"/>
              <w:left w:val="single" w:color="auto" w:sz="4" w:space="0"/>
              <w:bottom w:val="single" w:color="000000" w:sz="4" w:space="0"/>
              <w:right w:val="single" w:color="auto" w:sz="4" w:space="0"/>
            </w:tcBorders>
            <w:noWrap/>
            <w:vAlign w:val="center"/>
          </w:tcPr>
          <w:p w14:paraId="4A986B28">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8124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45</w:t>
            </w:r>
          </w:p>
        </w:tc>
        <w:tc>
          <w:tcPr>
            <w:tcW w:w="1876" w:type="dxa"/>
            <w:gridSpan w:val="2"/>
            <w:tcBorders>
              <w:top w:val="single" w:color="auto" w:sz="4" w:space="0"/>
              <w:left w:val="single" w:color="auto" w:sz="4" w:space="0"/>
              <w:bottom w:val="single" w:color="auto" w:sz="4" w:space="0"/>
              <w:right w:val="single" w:color="auto" w:sz="4" w:space="0"/>
            </w:tcBorders>
            <w:noWrap/>
            <w:vAlign w:val="center"/>
          </w:tcPr>
          <w:p w14:paraId="5560614A">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6223</w:t>
            </w:r>
            <w:r>
              <w:rPr>
                <w:rFonts w:hint="eastAsia" w:ascii="宋体" w:hAnsi="宋体" w:eastAsia="宋体" w:cs="宋体"/>
                <w:color w:val="000000"/>
                <w:kern w:val="0"/>
                <w:sz w:val="21"/>
                <w:szCs w:val="21"/>
                <w:lang w:val="en-US" w:eastAsia="zh-CN"/>
              </w:rPr>
              <w:t>.10</w:t>
            </w:r>
          </w:p>
        </w:tc>
        <w:tc>
          <w:tcPr>
            <w:tcW w:w="3931" w:type="dxa"/>
            <w:gridSpan w:val="3"/>
            <w:tcBorders>
              <w:top w:val="single" w:color="auto" w:sz="4" w:space="0"/>
              <w:left w:val="single" w:color="auto" w:sz="4" w:space="0"/>
              <w:bottom w:val="single" w:color="auto" w:sz="4" w:space="0"/>
              <w:right w:val="single" w:color="auto" w:sz="4" w:space="0"/>
            </w:tcBorders>
            <w:noWrap/>
            <w:vAlign w:val="center"/>
          </w:tcPr>
          <w:p w14:paraId="69F14FFC">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1901.36</w:t>
            </w:r>
          </w:p>
        </w:tc>
      </w:tr>
      <w:tr w14:paraId="3549204D">
        <w:tblPrEx>
          <w:tblCellMar>
            <w:top w:w="0" w:type="dxa"/>
            <w:left w:w="108" w:type="dxa"/>
            <w:bottom w:w="0" w:type="dxa"/>
            <w:right w:w="108" w:type="dxa"/>
          </w:tblCellMar>
        </w:tblPrEx>
        <w:trPr>
          <w:trHeight w:val="431"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77A75732">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支出预算</w:t>
            </w:r>
          </w:p>
        </w:tc>
        <w:tc>
          <w:tcPr>
            <w:tcW w:w="2124"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1B1E5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7588.23</w:t>
            </w:r>
          </w:p>
        </w:tc>
        <w:tc>
          <w:tcPr>
            <w:tcW w:w="1876" w:type="dxa"/>
            <w:gridSpan w:val="2"/>
            <w:tcBorders>
              <w:top w:val="single" w:color="auto" w:sz="4" w:space="0"/>
              <w:left w:val="single" w:color="000000" w:sz="4" w:space="0"/>
              <w:bottom w:val="single" w:color="000000" w:sz="4" w:space="0"/>
              <w:right w:val="single" w:color="000000" w:sz="4" w:space="0"/>
            </w:tcBorders>
            <w:noWrap/>
            <w:vAlign w:val="center"/>
          </w:tcPr>
          <w:p w14:paraId="7B16BBBA">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6223.10</w:t>
            </w:r>
          </w:p>
        </w:tc>
        <w:tc>
          <w:tcPr>
            <w:tcW w:w="3931" w:type="dxa"/>
            <w:gridSpan w:val="3"/>
            <w:tcBorders>
              <w:top w:val="single" w:color="auto" w:sz="4" w:space="0"/>
              <w:left w:val="single" w:color="000000" w:sz="4" w:space="0"/>
              <w:bottom w:val="single" w:color="000000" w:sz="4" w:space="0"/>
              <w:right w:val="single" w:color="000000" w:sz="4" w:space="0"/>
            </w:tcBorders>
            <w:noWrap/>
            <w:vAlign w:val="center"/>
          </w:tcPr>
          <w:p w14:paraId="2EF0F325">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1365.13</w:t>
            </w:r>
          </w:p>
        </w:tc>
      </w:tr>
      <w:tr w14:paraId="5492EC86">
        <w:tblPrEx>
          <w:tblCellMar>
            <w:top w:w="0" w:type="dxa"/>
            <w:left w:w="108" w:type="dxa"/>
            <w:bottom w:w="0" w:type="dxa"/>
            <w:right w:w="108" w:type="dxa"/>
          </w:tblCellMar>
        </w:tblPrEx>
        <w:trPr>
          <w:trHeight w:val="751" w:hRule="atLeast"/>
          <w:jc w:val="center"/>
        </w:trPr>
        <w:tc>
          <w:tcPr>
            <w:tcW w:w="1727" w:type="dxa"/>
            <w:gridSpan w:val="3"/>
            <w:tcBorders>
              <w:top w:val="single" w:color="auto" w:sz="4" w:space="0"/>
              <w:left w:val="single" w:color="000000" w:sz="4" w:space="0"/>
              <w:bottom w:val="single" w:color="000000" w:sz="4" w:space="0"/>
              <w:right w:val="single" w:color="000000" w:sz="4" w:space="0"/>
            </w:tcBorders>
            <w:noWrap/>
            <w:vAlign w:val="center"/>
          </w:tcPr>
          <w:p w14:paraId="09884B6A">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年度总体目标</w:t>
            </w:r>
          </w:p>
        </w:tc>
        <w:tc>
          <w:tcPr>
            <w:tcW w:w="7931" w:type="dxa"/>
            <w:gridSpan w:val="7"/>
            <w:tcBorders>
              <w:top w:val="single" w:color="000000" w:sz="4" w:space="0"/>
              <w:left w:val="single" w:color="000000" w:sz="4" w:space="0"/>
              <w:bottom w:val="single" w:color="000000" w:sz="4" w:space="0"/>
              <w:right w:val="single" w:color="000000" w:sz="4" w:space="0"/>
            </w:tcBorders>
            <w:noWrap/>
            <w:vAlign w:val="center"/>
          </w:tcPr>
          <w:p w14:paraId="78C02A83">
            <w:pPr>
              <w:widowControl/>
              <w:tabs>
                <w:tab w:val="left" w:pos="471"/>
              </w:tabs>
              <w:spacing w:line="240" w:lineRule="exact"/>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ab/>
            </w:r>
            <w:r>
              <w:rPr>
                <w:rFonts w:hint="eastAsia" w:ascii="宋体" w:hAnsi="宋体" w:eastAsia="宋体" w:cs="宋体"/>
                <w:color w:val="000000"/>
                <w:kern w:val="0"/>
                <w:sz w:val="21"/>
                <w:szCs w:val="21"/>
                <w:lang w:eastAsia="zh-CN"/>
              </w:rPr>
              <w:t>保障医疗服务，提高医疗服务水平，降低群众看病成本，确保地区医疗水平保持较高质量发展。严格执行相关政策，保障工资及时、足额发放或社保及时、足额缴纳，预算编制科学合理，减少结余资金</w:t>
            </w:r>
          </w:p>
        </w:tc>
      </w:tr>
      <w:tr w14:paraId="1822AECB">
        <w:tblPrEx>
          <w:tblCellMar>
            <w:top w:w="0" w:type="dxa"/>
            <w:left w:w="108" w:type="dxa"/>
            <w:bottom w:w="0" w:type="dxa"/>
            <w:right w:w="108" w:type="dxa"/>
          </w:tblCellMar>
        </w:tblPrEx>
        <w:trPr>
          <w:trHeight w:val="296" w:hRule="atLeast"/>
          <w:jc w:val="center"/>
        </w:trPr>
        <w:tc>
          <w:tcPr>
            <w:tcW w:w="331" w:type="dxa"/>
            <w:vMerge w:val="restart"/>
            <w:tcBorders>
              <w:top w:val="single" w:color="000000" w:sz="4" w:space="0"/>
              <w:left w:val="single" w:color="000000" w:sz="4" w:space="0"/>
              <w:bottom w:val="single" w:color="000000" w:sz="4" w:space="0"/>
              <w:right w:val="single" w:color="000000" w:sz="4" w:space="0"/>
            </w:tcBorders>
            <w:noWrap/>
            <w:vAlign w:val="center"/>
          </w:tcPr>
          <w:p w14:paraId="0EA0D87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管理效率</w:t>
            </w: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28CF4777">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45E50656">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二级指标</w:t>
            </w:r>
          </w:p>
        </w:tc>
        <w:tc>
          <w:tcPr>
            <w:tcW w:w="1246" w:type="dxa"/>
            <w:vMerge w:val="restart"/>
            <w:tcBorders>
              <w:top w:val="single" w:color="000000" w:sz="4" w:space="0"/>
              <w:left w:val="single" w:color="000000" w:sz="4" w:space="0"/>
              <w:bottom w:val="single" w:color="000000" w:sz="4" w:space="0"/>
              <w:right w:val="single" w:color="000000" w:sz="4" w:space="0"/>
            </w:tcBorders>
            <w:noWrap/>
            <w:vAlign w:val="center"/>
          </w:tcPr>
          <w:p w14:paraId="5CDB961E">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三级指标</w:t>
            </w:r>
          </w:p>
        </w:tc>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08DED367">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指标值</w:t>
            </w:r>
          </w:p>
        </w:tc>
        <w:tc>
          <w:tcPr>
            <w:tcW w:w="4035" w:type="dxa"/>
            <w:gridSpan w:val="4"/>
            <w:tcBorders>
              <w:top w:val="single" w:color="000000" w:sz="4" w:space="0"/>
              <w:left w:val="single" w:color="000000" w:sz="4" w:space="0"/>
              <w:bottom w:val="single" w:color="000000" w:sz="4" w:space="0"/>
              <w:right w:val="single" w:color="000000" w:sz="4" w:space="0"/>
            </w:tcBorders>
            <w:noWrap/>
            <w:vAlign w:val="center"/>
          </w:tcPr>
          <w:p w14:paraId="0CCD7EBD">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指标设置参考值</w:t>
            </w:r>
          </w:p>
        </w:tc>
        <w:tc>
          <w:tcPr>
            <w:tcW w:w="1772" w:type="dxa"/>
            <w:vMerge w:val="restart"/>
            <w:tcBorders>
              <w:top w:val="single" w:color="000000" w:sz="4" w:space="0"/>
              <w:left w:val="single" w:color="000000" w:sz="4" w:space="0"/>
              <w:right w:val="single" w:color="000000" w:sz="4" w:space="0"/>
            </w:tcBorders>
            <w:noWrap/>
            <w:vAlign w:val="center"/>
          </w:tcPr>
          <w:p w14:paraId="0F045DC1">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指标实际完成值</w:t>
            </w:r>
          </w:p>
        </w:tc>
      </w:tr>
      <w:tr w14:paraId="66198834">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34DB1051">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77827503">
            <w:pPr>
              <w:widowControl/>
              <w:spacing w:line="240" w:lineRule="exact"/>
              <w:jc w:val="center"/>
              <w:textAlignment w:val="center"/>
              <w:rPr>
                <w:rFonts w:hint="eastAsia" w:ascii="宋体" w:hAnsi="宋体" w:eastAsia="宋体" w:cs="宋体"/>
                <w:color w:val="000000"/>
                <w:kern w:val="0"/>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5F221556">
            <w:pPr>
              <w:widowControl/>
              <w:spacing w:line="240" w:lineRule="exact"/>
              <w:jc w:val="center"/>
              <w:textAlignment w:val="center"/>
              <w:rPr>
                <w:rFonts w:hint="eastAsia" w:ascii="宋体" w:hAnsi="宋体" w:eastAsia="宋体" w:cs="宋体"/>
                <w:color w:val="000000"/>
                <w:kern w:val="0"/>
                <w:sz w:val="21"/>
                <w:szCs w:val="21"/>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42424385">
            <w:pPr>
              <w:widowControl/>
              <w:spacing w:line="240" w:lineRule="exact"/>
              <w:jc w:val="center"/>
              <w:textAlignment w:val="center"/>
              <w:rPr>
                <w:rFonts w:hint="eastAsia" w:ascii="宋体" w:hAnsi="宋体" w:eastAsia="宋体" w:cs="宋体"/>
                <w:color w:val="000000"/>
                <w:kern w:val="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1D914FF">
            <w:pPr>
              <w:widowControl/>
              <w:spacing w:line="240" w:lineRule="exact"/>
              <w:jc w:val="center"/>
              <w:textAlignment w:val="center"/>
              <w:rPr>
                <w:rFonts w:hint="eastAsia" w:ascii="宋体" w:hAnsi="宋体" w:eastAsia="宋体" w:cs="宋体"/>
                <w:color w:val="000000"/>
                <w:kern w:val="0"/>
                <w:sz w:val="21"/>
                <w:szCs w:val="21"/>
              </w:rPr>
            </w:pPr>
          </w:p>
        </w:tc>
        <w:tc>
          <w:tcPr>
            <w:tcW w:w="825" w:type="dxa"/>
            <w:tcBorders>
              <w:top w:val="single" w:color="000000" w:sz="4" w:space="0"/>
              <w:left w:val="single" w:color="000000" w:sz="4" w:space="0"/>
              <w:right w:val="single" w:color="000000" w:sz="4" w:space="0"/>
            </w:tcBorders>
            <w:noWrap/>
            <w:vAlign w:val="center"/>
          </w:tcPr>
          <w:p w14:paraId="164FCB46">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三年</w:t>
            </w:r>
          </w:p>
          <w:p w14:paraId="089A0805">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均值</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B19C031">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2023年</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97298FB">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2024年</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238AF5">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2025年</w:t>
            </w:r>
          </w:p>
        </w:tc>
        <w:tc>
          <w:tcPr>
            <w:tcW w:w="1772" w:type="dxa"/>
            <w:vMerge w:val="continue"/>
            <w:tcBorders>
              <w:left w:val="single" w:color="000000" w:sz="4" w:space="0"/>
              <w:right w:val="single" w:color="000000" w:sz="4" w:space="0"/>
            </w:tcBorders>
            <w:noWrap/>
            <w:vAlign w:val="center"/>
          </w:tcPr>
          <w:p w14:paraId="2457CD27">
            <w:pPr>
              <w:widowControl/>
              <w:spacing w:line="240" w:lineRule="exact"/>
              <w:jc w:val="center"/>
              <w:textAlignment w:val="center"/>
              <w:rPr>
                <w:rFonts w:hint="eastAsia" w:ascii="宋体" w:hAnsi="宋体" w:eastAsia="宋体" w:cs="宋体"/>
                <w:color w:val="000000"/>
                <w:kern w:val="0"/>
                <w:sz w:val="21"/>
                <w:szCs w:val="21"/>
              </w:rPr>
            </w:pPr>
          </w:p>
        </w:tc>
      </w:tr>
      <w:tr w14:paraId="5BD820D4">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4CE7FFD8">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16F73A5C">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成本指标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633F9AB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6D7C3A82">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财政拨款预算编制偏离度</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A7F0B26">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120</w:t>
            </w:r>
            <w:r>
              <w:rPr>
                <w:rFonts w:hint="eastAsia" w:ascii="宋体" w:hAnsi="宋体" w:eastAsia="宋体" w:cs="宋体"/>
                <w:color w:val="000000"/>
                <w:kern w:val="0"/>
                <w:sz w:val="21"/>
                <w:szCs w:val="21"/>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FBAC142">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218.05%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1BC13E2">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157.22</w:t>
            </w:r>
            <w:r>
              <w:rPr>
                <w:rFonts w:hint="eastAsia" w:ascii="宋体" w:hAnsi="宋体" w:eastAsia="宋体" w:cs="宋体"/>
                <w:color w:val="000000"/>
                <w:kern w:val="0"/>
                <w:sz w:val="21"/>
                <w:szCs w:val="21"/>
              </w:rPr>
              <w:t>%</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0FD2339">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343.68</w:t>
            </w:r>
            <w:r>
              <w:rPr>
                <w:rFonts w:hint="eastAsia" w:ascii="宋体" w:hAnsi="宋体" w:eastAsia="宋体" w:cs="宋体"/>
                <w:color w:val="000000"/>
                <w:kern w:val="0"/>
                <w:sz w:val="21"/>
                <w:szCs w:val="21"/>
              </w:rPr>
              <w:t>%</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FBF598">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153.25</w:t>
            </w:r>
            <w:r>
              <w:rPr>
                <w:rFonts w:hint="eastAsia" w:ascii="宋体" w:hAnsi="宋体" w:eastAsia="宋体" w:cs="宋体"/>
                <w:color w:val="000000"/>
                <w:kern w:val="0"/>
                <w:sz w:val="21"/>
                <w:szCs w:val="21"/>
              </w:rPr>
              <w:t>%</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4E17EC9">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153.25</w:t>
            </w:r>
            <w:r>
              <w:rPr>
                <w:rFonts w:hint="eastAsia" w:ascii="宋体" w:hAnsi="宋体" w:eastAsia="宋体" w:cs="宋体"/>
                <w:color w:val="000000"/>
                <w:kern w:val="0"/>
                <w:sz w:val="21"/>
                <w:szCs w:val="21"/>
              </w:rPr>
              <w:t>%</w:t>
            </w:r>
          </w:p>
        </w:tc>
      </w:tr>
      <w:tr w14:paraId="0A45202B">
        <w:tblPrEx>
          <w:tblCellMar>
            <w:top w:w="0" w:type="dxa"/>
            <w:left w:w="108" w:type="dxa"/>
            <w:bottom w:w="0" w:type="dxa"/>
            <w:right w:w="108" w:type="dxa"/>
          </w:tblCellMar>
        </w:tblPrEx>
        <w:trPr>
          <w:trHeight w:val="575"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3B5B3B63">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10A28FD5">
            <w:pPr>
              <w:widowControl/>
              <w:spacing w:line="240" w:lineRule="exact"/>
              <w:jc w:val="center"/>
              <w:textAlignment w:val="center"/>
              <w:rPr>
                <w:rFonts w:hint="eastAsia" w:ascii="宋体" w:hAnsi="宋体" w:eastAsia="宋体" w:cs="宋体"/>
                <w:color w:val="000000"/>
                <w:kern w:val="0"/>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403749D8">
            <w:pPr>
              <w:widowControl/>
              <w:spacing w:line="240" w:lineRule="exact"/>
              <w:jc w:val="center"/>
              <w:textAlignment w:val="center"/>
              <w:rPr>
                <w:rFonts w:hint="eastAsia" w:ascii="宋体" w:hAnsi="宋体" w:eastAsia="宋体" w:cs="宋体"/>
                <w:color w:val="000000"/>
                <w:kern w:val="0"/>
                <w:sz w:val="21"/>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48DB233">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单位收入统筹度</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F722DB7">
            <w:pPr>
              <w:widowControl/>
              <w:spacing w:line="240" w:lineRule="exact"/>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6FA4075">
            <w:pPr>
              <w:widowControl/>
              <w:spacing w:line="240" w:lineRule="exact"/>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B74525E">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91E005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7E6099">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EA1051B">
            <w:pPr>
              <w:widowControl/>
              <w:spacing w:line="24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100%</w:t>
            </w:r>
          </w:p>
        </w:tc>
      </w:tr>
      <w:tr w14:paraId="2C9CAD65">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1FBED817">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0C2361B">
            <w:pPr>
              <w:widowControl/>
              <w:spacing w:line="240" w:lineRule="exact"/>
              <w:jc w:val="center"/>
              <w:textAlignment w:val="center"/>
              <w:rPr>
                <w:rFonts w:hint="eastAsia" w:ascii="宋体" w:hAnsi="宋体" w:eastAsia="宋体" w:cs="宋体"/>
                <w:color w:val="000000"/>
                <w:kern w:val="0"/>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41347C20">
            <w:pPr>
              <w:widowControl/>
              <w:spacing w:line="240" w:lineRule="exact"/>
              <w:jc w:val="center"/>
              <w:textAlignment w:val="center"/>
              <w:rPr>
                <w:rFonts w:hint="eastAsia" w:ascii="宋体" w:hAnsi="宋体" w:eastAsia="宋体" w:cs="宋体"/>
                <w:color w:val="000000"/>
                <w:kern w:val="0"/>
                <w:sz w:val="21"/>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4D97692">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预算年终结余率</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423359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highlight w:val="none"/>
                <w:lang w:val="en-US" w:eastAsia="zh-CN"/>
              </w:rPr>
              <w:t>1.5</w:t>
            </w:r>
            <w:r>
              <w:rPr>
                <w:rFonts w:hint="eastAsia" w:ascii="宋体" w:hAnsi="宋体" w:eastAsia="宋体" w:cs="宋体"/>
                <w:color w:val="000000"/>
                <w:kern w:val="0"/>
                <w:sz w:val="21"/>
                <w:szCs w:val="21"/>
                <w:highlight w:val="none"/>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148FACC">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14.89</w:t>
            </w:r>
            <w:r>
              <w:rPr>
                <w:rFonts w:hint="eastAsia" w:ascii="宋体" w:hAnsi="宋体" w:eastAsia="宋体" w:cs="宋体"/>
                <w:color w:val="000000"/>
                <w:kern w:val="0"/>
                <w:sz w:val="21"/>
                <w:szCs w:val="21"/>
              </w:rPr>
              <w:t>%</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1AE547B">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9.04</w:t>
            </w:r>
            <w:r>
              <w:rPr>
                <w:rFonts w:hint="eastAsia" w:ascii="宋体" w:hAnsi="宋体" w:eastAsia="宋体" w:cs="宋体"/>
                <w:color w:val="000000"/>
                <w:kern w:val="0"/>
                <w:sz w:val="21"/>
                <w:szCs w:val="21"/>
              </w:rPr>
              <w:t>%</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E130C41">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7.45</w:t>
            </w:r>
            <w:r>
              <w:rPr>
                <w:rFonts w:hint="eastAsia" w:ascii="宋体" w:hAnsi="宋体" w:eastAsia="宋体" w:cs="宋体"/>
                <w:color w:val="000000"/>
                <w:kern w:val="0"/>
                <w:sz w:val="21"/>
                <w:szCs w:val="21"/>
              </w:rPr>
              <w:t>%</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D64E1A6">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28.20</w:t>
            </w:r>
            <w:r>
              <w:rPr>
                <w:rFonts w:hint="eastAsia" w:ascii="宋体" w:hAnsi="宋体" w:eastAsia="宋体" w:cs="宋体"/>
                <w:color w:val="000000"/>
                <w:kern w:val="0"/>
                <w:sz w:val="21"/>
                <w:szCs w:val="21"/>
              </w:rPr>
              <w:t>%</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A7D6C2C">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28.20</w:t>
            </w:r>
            <w:r>
              <w:rPr>
                <w:rFonts w:hint="eastAsia" w:ascii="宋体" w:hAnsi="宋体" w:eastAsia="宋体" w:cs="宋体"/>
                <w:color w:val="000000"/>
                <w:kern w:val="0"/>
                <w:sz w:val="21"/>
                <w:szCs w:val="21"/>
              </w:rPr>
              <w:t>%</w:t>
            </w:r>
          </w:p>
        </w:tc>
      </w:tr>
      <w:tr w14:paraId="73F449FA">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DD99E5F">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185EB90F">
            <w:pPr>
              <w:widowControl/>
              <w:spacing w:line="240" w:lineRule="exact"/>
              <w:jc w:val="center"/>
              <w:textAlignment w:val="center"/>
              <w:rPr>
                <w:rFonts w:hint="eastAsia" w:ascii="宋体" w:hAnsi="宋体" w:eastAsia="宋体" w:cs="宋体"/>
                <w:color w:val="000000"/>
                <w:kern w:val="0"/>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7B57D888">
            <w:pPr>
              <w:widowControl/>
              <w:spacing w:line="240" w:lineRule="exact"/>
              <w:jc w:val="center"/>
              <w:textAlignment w:val="center"/>
              <w:rPr>
                <w:rFonts w:hint="eastAsia" w:ascii="宋体" w:hAnsi="宋体" w:eastAsia="宋体" w:cs="宋体"/>
                <w:color w:val="000000"/>
                <w:kern w:val="0"/>
                <w:sz w:val="21"/>
                <w:szCs w:val="21"/>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3A8FA0A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一般性支出金额</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2FBBA92">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万元</w:t>
            </w:r>
          </w:p>
        </w:tc>
        <w:tc>
          <w:tcPr>
            <w:tcW w:w="4035" w:type="dxa"/>
            <w:gridSpan w:val="4"/>
            <w:tcBorders>
              <w:top w:val="single" w:color="000000" w:sz="4" w:space="0"/>
              <w:left w:val="single" w:color="000000" w:sz="4" w:space="0"/>
              <w:bottom w:val="single" w:color="000000" w:sz="4" w:space="0"/>
              <w:right w:val="single" w:color="000000" w:sz="4" w:space="0"/>
            </w:tcBorders>
            <w:noWrap/>
            <w:vAlign w:val="center"/>
          </w:tcPr>
          <w:p w14:paraId="31E604EC">
            <w:pPr>
              <w:widowControl/>
              <w:spacing w:line="240" w:lineRule="exact"/>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4"/>
              </w:rPr>
              <w:t>x</w:t>
            </w:r>
            <w:r>
              <w:rPr>
                <w:rFonts w:ascii="宋体" w:hAnsi="宋体" w:eastAsia="宋体" w:cs="宋体"/>
                <w:color w:val="000000"/>
                <w:kern w:val="0"/>
                <w:sz w:val="24"/>
              </w:rPr>
              <w:t>为上年一般性支出金额</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3599D10">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18"/>
                <w:szCs w:val="18"/>
                <w:lang w:val="en-US" w:eastAsia="zh-CN"/>
              </w:rPr>
              <w:t>2025年</w:t>
            </w:r>
            <w:r>
              <w:rPr>
                <w:rFonts w:hint="eastAsia" w:ascii="宋体" w:hAnsi="宋体" w:eastAsia="宋体" w:cs="宋体"/>
                <w:color w:val="000000"/>
                <w:kern w:val="0"/>
                <w:sz w:val="18"/>
                <w:szCs w:val="18"/>
              </w:rPr>
              <w:t>一般性支出金额</w:t>
            </w:r>
            <w:r>
              <w:rPr>
                <w:rFonts w:hint="eastAsia" w:ascii="宋体" w:hAnsi="宋体" w:eastAsia="宋体" w:cs="宋体"/>
                <w:color w:val="000000"/>
                <w:kern w:val="0"/>
                <w:sz w:val="18"/>
                <w:szCs w:val="18"/>
                <w:lang w:eastAsia="zh-CN"/>
              </w:rPr>
              <w:t>为</w:t>
            </w:r>
            <w:r>
              <w:rPr>
                <w:rFonts w:hint="eastAsia" w:ascii="宋体" w:hAnsi="宋体" w:eastAsia="宋体" w:cs="宋体"/>
                <w:color w:val="000000"/>
                <w:kern w:val="0"/>
                <w:sz w:val="21"/>
                <w:szCs w:val="21"/>
                <w:lang w:val="en-US" w:eastAsia="zh-CN"/>
              </w:rPr>
              <w:t>8.90万元</w:t>
            </w:r>
          </w:p>
        </w:tc>
      </w:tr>
      <w:tr w14:paraId="680CBA5C">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29BFBC0F">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4C989937">
            <w:pPr>
              <w:widowControl/>
              <w:spacing w:line="240" w:lineRule="exact"/>
              <w:jc w:val="center"/>
              <w:textAlignment w:val="center"/>
              <w:rPr>
                <w:rFonts w:hint="eastAsia" w:ascii="宋体" w:hAnsi="宋体" w:eastAsia="宋体" w:cs="宋体"/>
                <w:color w:val="000000"/>
                <w:kern w:val="0"/>
                <w:sz w:val="21"/>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B93D091">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财务管理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E93E53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财务管理规范</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B59D33B">
            <w:pPr>
              <w:widowControl/>
              <w:spacing w:line="24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中</w:t>
            </w:r>
          </w:p>
        </w:tc>
        <w:tc>
          <w:tcPr>
            <w:tcW w:w="4035" w:type="dxa"/>
            <w:gridSpan w:val="4"/>
            <w:tcBorders>
              <w:top w:val="single" w:color="000000" w:sz="4" w:space="0"/>
              <w:left w:val="single" w:color="000000" w:sz="4" w:space="0"/>
              <w:bottom w:val="single" w:color="000000" w:sz="4" w:space="0"/>
              <w:right w:val="single" w:color="000000" w:sz="4" w:space="0"/>
            </w:tcBorders>
            <w:noWrap/>
            <w:vAlign w:val="center"/>
          </w:tcPr>
          <w:p w14:paraId="63175388">
            <w:pPr>
              <w:widowControl/>
              <w:spacing w:line="240" w:lineRule="exact"/>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18"/>
                <w:szCs w:val="18"/>
              </w:rPr>
              <w:t>x为“优”“良”“中”或“差”</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174702C">
            <w:pPr>
              <w:widowControl/>
              <w:spacing w:line="24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良</w:t>
            </w:r>
          </w:p>
        </w:tc>
      </w:tr>
      <w:tr w14:paraId="76DB89FA">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0BDC59A">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378F4CA3">
            <w:pPr>
              <w:widowControl/>
              <w:spacing w:line="240" w:lineRule="exact"/>
              <w:jc w:val="center"/>
              <w:textAlignment w:val="center"/>
              <w:rPr>
                <w:rFonts w:hint="eastAsia" w:ascii="宋体" w:hAnsi="宋体" w:eastAsia="宋体" w:cs="宋体"/>
                <w:color w:val="000000"/>
                <w:kern w:val="0"/>
                <w:sz w:val="21"/>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7488263">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1A8B3B8C">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资产配置预算偏离度</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6F4F0B5">
            <w:pPr>
              <w:widowControl/>
              <w:spacing w:line="240" w:lineRule="exact"/>
              <w:jc w:val="center"/>
              <w:textAlignment w:val="center"/>
              <w:rPr>
                <w:rFonts w:hint="eastAsia" w:ascii="宋体" w:hAnsi="宋体" w:eastAsia="宋体" w:cs="宋体"/>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A59713C">
            <w:pPr>
              <w:widowControl/>
              <w:spacing w:line="240" w:lineRule="exact"/>
              <w:jc w:val="center"/>
              <w:textAlignment w:val="center"/>
              <w:rPr>
                <w:rFonts w:hint="eastAsia" w:ascii="宋体" w:hAnsi="宋体" w:eastAsia="宋体" w:cs="宋体"/>
                <w:color w:val="000000"/>
                <w:kern w:val="0"/>
                <w:sz w:val="21"/>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53C41CF">
            <w:pPr>
              <w:widowControl/>
              <w:spacing w:line="240" w:lineRule="exact"/>
              <w:jc w:val="center"/>
              <w:textAlignment w:val="center"/>
              <w:rPr>
                <w:rFonts w:hint="eastAsia" w:ascii="宋体" w:hAnsi="宋体" w:eastAsia="宋体" w:cs="宋体"/>
                <w:color w:val="000000"/>
                <w:kern w:val="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B87DDF3">
            <w:pPr>
              <w:widowControl/>
              <w:spacing w:line="240" w:lineRule="exact"/>
              <w:jc w:val="center"/>
              <w:textAlignment w:val="center"/>
              <w:rPr>
                <w:rFonts w:hint="eastAsia" w:ascii="宋体" w:hAnsi="宋体" w:eastAsia="宋体" w:cs="宋体"/>
                <w:color w:val="000000"/>
                <w:kern w:val="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633172">
            <w:pPr>
              <w:widowControl/>
              <w:spacing w:line="240" w:lineRule="exact"/>
              <w:jc w:val="center"/>
              <w:textAlignment w:val="center"/>
              <w:rPr>
                <w:rFonts w:hint="eastAsia" w:ascii="宋体" w:hAnsi="宋体" w:eastAsia="宋体" w:cs="宋体"/>
                <w:color w:val="000000"/>
                <w:kern w:val="0"/>
                <w:sz w:val="21"/>
                <w:szCs w:val="21"/>
              </w:rPr>
            </w:pP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5E9775D">
            <w:pPr>
              <w:widowControl/>
              <w:spacing w:line="240" w:lineRule="exact"/>
              <w:jc w:val="center"/>
              <w:textAlignment w:val="center"/>
              <w:rPr>
                <w:rFonts w:hint="eastAsia" w:ascii="宋体" w:hAnsi="宋体" w:eastAsia="宋体" w:cs="宋体"/>
                <w:color w:val="000000"/>
                <w:kern w:val="0"/>
                <w:sz w:val="21"/>
                <w:szCs w:val="21"/>
              </w:rPr>
            </w:pPr>
          </w:p>
        </w:tc>
      </w:tr>
      <w:tr w14:paraId="32F9F9CD">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52129A67">
            <w:pPr>
              <w:widowControl/>
              <w:spacing w:line="240" w:lineRule="exact"/>
              <w:jc w:val="center"/>
              <w:textAlignment w:val="center"/>
              <w:rPr>
                <w:rFonts w:hint="eastAsia" w:ascii="宋体" w:hAnsi="宋体" w:eastAsia="宋体" w:cs="宋体"/>
                <w:color w:val="000000"/>
                <w:kern w:val="0"/>
                <w:sz w:val="21"/>
                <w:szCs w:val="21"/>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466EBABC">
            <w:pPr>
              <w:widowControl/>
              <w:spacing w:line="240" w:lineRule="exact"/>
              <w:jc w:val="center"/>
              <w:textAlignment w:val="center"/>
              <w:rPr>
                <w:rFonts w:hint="eastAsia" w:ascii="宋体" w:hAnsi="宋体" w:eastAsia="宋体" w:cs="宋体"/>
                <w:color w:val="000000"/>
                <w:kern w:val="0"/>
                <w:sz w:val="21"/>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11A94DD">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26F4D44B">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采购执行率</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40631F">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97</w:t>
            </w:r>
            <w:r>
              <w:rPr>
                <w:rFonts w:hint="eastAsia" w:ascii="宋体" w:hAnsi="宋体" w:eastAsia="宋体" w:cs="宋体"/>
                <w:color w:val="000000"/>
                <w:kern w:val="0"/>
                <w:sz w:val="21"/>
                <w:szCs w:val="21"/>
              </w:rPr>
              <w:t>%</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87CFF93">
            <w:pPr>
              <w:widowControl/>
              <w:spacing w:line="24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86.47</w:t>
            </w:r>
            <w:r>
              <w:rPr>
                <w:rFonts w:hint="eastAsia" w:ascii="宋体" w:hAnsi="宋体" w:eastAsia="宋体" w:cs="宋体"/>
                <w:color w:val="000000"/>
                <w:kern w:val="0"/>
                <w:sz w:val="21"/>
                <w:szCs w:val="21"/>
              </w:rPr>
              <w:t>%</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125F629">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68.67%</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AADAF40">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93.43%</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A4C310">
            <w:pPr>
              <w:widowControl/>
              <w:spacing w:line="24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97.32%</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B5BB1A1">
            <w:pPr>
              <w:widowControl/>
              <w:spacing w:line="240" w:lineRule="exact"/>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97.32%</w:t>
            </w:r>
          </w:p>
        </w:tc>
      </w:tr>
      <w:tr w14:paraId="1E996DF6">
        <w:tblPrEx>
          <w:tblCellMar>
            <w:top w:w="0" w:type="dxa"/>
            <w:left w:w="108" w:type="dxa"/>
            <w:bottom w:w="0" w:type="dxa"/>
            <w:right w:w="108" w:type="dxa"/>
          </w:tblCellMar>
        </w:tblPrEx>
        <w:trPr>
          <w:trHeight w:val="468" w:hRule="atLeast"/>
          <w:jc w:val="center"/>
        </w:trPr>
        <w:tc>
          <w:tcPr>
            <w:tcW w:w="331" w:type="dxa"/>
            <w:vMerge w:val="restart"/>
            <w:tcBorders>
              <w:top w:val="single" w:color="000000" w:sz="4" w:space="0"/>
              <w:left w:val="single" w:color="000000" w:sz="4" w:space="0"/>
              <w:right w:val="single" w:color="000000" w:sz="4" w:space="0"/>
            </w:tcBorders>
            <w:noWrap/>
            <w:vAlign w:val="center"/>
          </w:tcPr>
          <w:p w14:paraId="42DF6B03">
            <w:pPr>
              <w:widowControl/>
              <w:spacing w:line="240" w:lineRule="exact"/>
              <w:jc w:val="center"/>
              <w:textAlignment w:val="center"/>
              <w:rPr>
                <w:rFonts w:hint="eastAsia" w:ascii="宋体" w:hAnsi="宋体" w:eastAsia="宋体" w:cs="宋体"/>
                <w:color w:val="000000"/>
                <w:kern w:val="0"/>
                <w:sz w:val="21"/>
                <w:szCs w:val="21"/>
                <w:highlight w:val="none"/>
              </w:rPr>
            </w:pPr>
          </w:p>
          <w:p w14:paraId="4D7F0675">
            <w:pPr>
              <w:widowControl/>
              <w:spacing w:line="240" w:lineRule="exact"/>
              <w:jc w:val="center"/>
              <w:textAlignment w:val="center"/>
              <w:rPr>
                <w:rFonts w:hint="eastAsia" w:ascii="宋体" w:hAnsi="宋体" w:eastAsia="宋体" w:cs="宋体"/>
                <w:color w:val="000000"/>
                <w:kern w:val="0"/>
                <w:sz w:val="21"/>
                <w:szCs w:val="21"/>
                <w:highlight w:val="none"/>
              </w:rPr>
            </w:pPr>
          </w:p>
          <w:p w14:paraId="0C5F634E">
            <w:pPr>
              <w:widowControl/>
              <w:spacing w:line="240" w:lineRule="exact"/>
              <w:jc w:val="center"/>
              <w:textAlignment w:val="center"/>
              <w:rPr>
                <w:rFonts w:hint="eastAsia" w:ascii="宋体" w:hAnsi="宋体" w:eastAsia="宋体" w:cs="宋体"/>
                <w:color w:val="000000"/>
                <w:kern w:val="0"/>
                <w:sz w:val="21"/>
                <w:szCs w:val="21"/>
                <w:highlight w:val="none"/>
              </w:rPr>
            </w:pPr>
          </w:p>
          <w:p w14:paraId="50157E2E">
            <w:pPr>
              <w:widowControl/>
              <w:spacing w:line="240" w:lineRule="exact"/>
              <w:jc w:val="center"/>
              <w:textAlignment w:val="center"/>
              <w:rPr>
                <w:rFonts w:hint="eastAsia" w:ascii="宋体" w:hAnsi="宋体" w:eastAsia="宋体" w:cs="宋体"/>
                <w:color w:val="000000"/>
                <w:kern w:val="0"/>
                <w:sz w:val="21"/>
                <w:szCs w:val="21"/>
                <w:highlight w:val="none"/>
              </w:rPr>
            </w:pPr>
          </w:p>
          <w:p w14:paraId="38DFFA23">
            <w:pPr>
              <w:widowControl/>
              <w:spacing w:line="240" w:lineRule="exact"/>
              <w:jc w:val="center"/>
              <w:textAlignment w:val="center"/>
              <w:rPr>
                <w:rFonts w:hint="eastAsia" w:ascii="宋体" w:hAnsi="宋体" w:eastAsia="宋体" w:cs="宋体"/>
                <w:color w:val="000000"/>
                <w:kern w:val="0"/>
                <w:sz w:val="21"/>
                <w:szCs w:val="21"/>
                <w:highlight w:val="none"/>
              </w:rPr>
            </w:pPr>
          </w:p>
          <w:p w14:paraId="30980D13">
            <w:pPr>
              <w:widowControl/>
              <w:spacing w:line="240" w:lineRule="exact"/>
              <w:jc w:val="center"/>
              <w:textAlignment w:val="center"/>
              <w:rPr>
                <w:rFonts w:hint="eastAsia" w:ascii="宋体" w:hAnsi="宋体" w:eastAsia="宋体" w:cs="宋体"/>
                <w:color w:val="000000"/>
                <w:kern w:val="0"/>
                <w:sz w:val="21"/>
                <w:szCs w:val="21"/>
                <w:highlight w:val="none"/>
              </w:rPr>
            </w:pPr>
          </w:p>
          <w:p w14:paraId="11F1290B">
            <w:pPr>
              <w:widowControl/>
              <w:spacing w:line="240" w:lineRule="exact"/>
              <w:jc w:val="center"/>
              <w:textAlignment w:val="center"/>
              <w:rPr>
                <w:rFonts w:hint="eastAsia" w:ascii="宋体" w:hAnsi="宋体" w:eastAsia="宋体" w:cs="宋体"/>
                <w:color w:val="000000"/>
                <w:kern w:val="0"/>
                <w:sz w:val="21"/>
                <w:szCs w:val="21"/>
                <w:highlight w:val="none"/>
              </w:rPr>
            </w:pPr>
          </w:p>
          <w:p w14:paraId="281CD5A4">
            <w:pPr>
              <w:widowControl/>
              <w:spacing w:line="240" w:lineRule="exact"/>
              <w:jc w:val="center"/>
              <w:textAlignment w:val="center"/>
              <w:rPr>
                <w:rFonts w:hint="eastAsia" w:ascii="宋体" w:hAnsi="宋体" w:eastAsia="宋体" w:cs="宋体"/>
                <w:color w:val="000000"/>
                <w:kern w:val="0"/>
                <w:sz w:val="21"/>
                <w:szCs w:val="21"/>
                <w:highlight w:val="none"/>
              </w:rPr>
            </w:pPr>
          </w:p>
          <w:p w14:paraId="6D2C5787">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履职效能</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2132D4F1">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一级指标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C0F4F5C">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二级指标</w:t>
            </w:r>
          </w:p>
        </w:tc>
        <w:tc>
          <w:tcPr>
            <w:tcW w:w="4000" w:type="dxa"/>
            <w:gridSpan w:val="4"/>
            <w:tcBorders>
              <w:top w:val="single" w:color="000000" w:sz="4" w:space="0"/>
              <w:left w:val="single" w:color="000000" w:sz="4" w:space="0"/>
              <w:bottom w:val="single" w:color="000000" w:sz="4" w:space="0"/>
              <w:right w:val="single" w:color="000000" w:sz="4" w:space="0"/>
            </w:tcBorders>
            <w:noWrap/>
            <w:vAlign w:val="center"/>
          </w:tcPr>
          <w:p w14:paraId="33511EDA">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三级指标</w:t>
            </w:r>
          </w:p>
        </w:tc>
        <w:tc>
          <w:tcPr>
            <w:tcW w:w="2159" w:type="dxa"/>
            <w:gridSpan w:val="2"/>
            <w:tcBorders>
              <w:top w:val="single" w:color="000000" w:sz="4" w:space="0"/>
              <w:left w:val="single" w:color="000000" w:sz="4" w:space="0"/>
              <w:bottom w:val="single" w:color="000000" w:sz="4" w:space="0"/>
              <w:right w:val="single" w:color="000000" w:sz="4" w:space="0"/>
            </w:tcBorders>
            <w:noWrap/>
            <w:vAlign w:val="center"/>
          </w:tcPr>
          <w:p w14:paraId="75B5A076">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指标值</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A78ACD4">
            <w:pPr>
              <w:widowControl/>
              <w:spacing w:line="240" w:lineRule="exact"/>
              <w:jc w:val="center"/>
              <w:textAlignment w:val="center"/>
              <w:rPr>
                <w:rFonts w:hint="eastAsia" w:ascii="宋体" w:hAnsi="宋体" w:eastAsia="宋体" w:cs="宋体"/>
                <w:color w:val="000000"/>
                <w:kern w:val="0"/>
                <w:sz w:val="21"/>
                <w:szCs w:val="21"/>
                <w:highlight w:val="none"/>
              </w:rPr>
            </w:pPr>
          </w:p>
        </w:tc>
      </w:tr>
      <w:tr w14:paraId="4F29DDE7">
        <w:tblPrEx>
          <w:tblCellMar>
            <w:top w:w="0" w:type="dxa"/>
            <w:left w:w="108" w:type="dxa"/>
            <w:bottom w:w="0" w:type="dxa"/>
            <w:right w:w="108" w:type="dxa"/>
          </w:tblCellMar>
        </w:tblPrEx>
        <w:trPr>
          <w:trHeight w:val="505" w:hRule="atLeast"/>
          <w:jc w:val="center"/>
        </w:trPr>
        <w:tc>
          <w:tcPr>
            <w:tcW w:w="331" w:type="dxa"/>
            <w:vMerge w:val="continue"/>
            <w:tcBorders>
              <w:left w:val="single" w:color="000000" w:sz="4" w:space="0"/>
              <w:right w:val="single" w:color="000000" w:sz="4" w:space="0"/>
            </w:tcBorders>
            <w:noWrap/>
            <w:vAlign w:val="center"/>
          </w:tcPr>
          <w:p w14:paraId="57319FD1">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593" w:type="dxa"/>
            <w:vMerge w:val="restart"/>
            <w:tcBorders>
              <w:top w:val="single" w:color="000000" w:sz="4" w:space="0"/>
              <w:left w:val="single" w:color="000000" w:sz="4" w:space="0"/>
              <w:right w:val="single" w:color="000000" w:sz="4" w:space="0"/>
            </w:tcBorders>
            <w:noWrap/>
            <w:vAlign w:val="center"/>
          </w:tcPr>
          <w:p w14:paraId="715E2E0B">
            <w:pPr>
              <w:widowControl/>
              <w:spacing w:line="240" w:lineRule="exact"/>
              <w:jc w:val="center"/>
              <w:textAlignment w:val="center"/>
              <w:rPr>
                <w:rFonts w:hint="eastAsia" w:ascii="宋体" w:hAnsi="宋体" w:eastAsia="宋体" w:cs="宋体"/>
                <w:color w:val="000000"/>
                <w:kern w:val="0"/>
                <w:sz w:val="21"/>
                <w:szCs w:val="21"/>
                <w:highlight w:val="none"/>
              </w:rPr>
            </w:pPr>
          </w:p>
          <w:p w14:paraId="23D0B29C">
            <w:pPr>
              <w:widowControl/>
              <w:spacing w:line="240" w:lineRule="exact"/>
              <w:jc w:val="center"/>
              <w:textAlignment w:val="center"/>
              <w:rPr>
                <w:rFonts w:hint="eastAsia" w:ascii="宋体" w:hAnsi="宋体" w:eastAsia="宋体" w:cs="宋体"/>
                <w:color w:val="000000"/>
                <w:kern w:val="0"/>
                <w:sz w:val="21"/>
                <w:szCs w:val="21"/>
                <w:highlight w:val="none"/>
              </w:rPr>
            </w:pPr>
          </w:p>
          <w:p w14:paraId="321EC8B9">
            <w:pPr>
              <w:widowControl/>
              <w:spacing w:line="240" w:lineRule="exact"/>
              <w:jc w:val="both"/>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26ECF98">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数量指标</w:t>
            </w:r>
          </w:p>
        </w:tc>
        <w:tc>
          <w:tcPr>
            <w:tcW w:w="4000" w:type="dxa"/>
            <w:gridSpan w:val="4"/>
            <w:tcBorders>
              <w:top w:val="single" w:color="000000" w:sz="4" w:space="0"/>
              <w:left w:val="single" w:color="000000" w:sz="4" w:space="0"/>
              <w:bottom w:val="single" w:color="000000" w:sz="4" w:space="0"/>
              <w:right w:val="single" w:color="000000" w:sz="4" w:space="0"/>
            </w:tcBorders>
            <w:noWrap/>
            <w:vAlign w:val="center"/>
          </w:tcPr>
          <w:p w14:paraId="2862F933">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default" w:ascii="宋体" w:hAnsi="宋体" w:eastAsia="宋体" w:cs="宋体"/>
                <w:color w:val="000000"/>
                <w:kern w:val="0"/>
                <w:sz w:val="21"/>
                <w:szCs w:val="21"/>
                <w:highlight w:val="none"/>
                <w:lang w:val="en-US" w:eastAsia="zh-CN"/>
              </w:rPr>
              <w:t>门诊就诊患者</w:t>
            </w:r>
          </w:p>
        </w:tc>
        <w:tc>
          <w:tcPr>
            <w:tcW w:w="2159" w:type="dxa"/>
            <w:gridSpan w:val="2"/>
            <w:tcBorders>
              <w:top w:val="single" w:color="000000" w:sz="4" w:space="0"/>
              <w:left w:val="single" w:color="000000" w:sz="4" w:space="0"/>
              <w:bottom w:val="single" w:color="000000" w:sz="4" w:space="0"/>
              <w:right w:val="single" w:color="000000" w:sz="4" w:space="0"/>
            </w:tcBorders>
            <w:noWrap/>
            <w:vAlign w:val="center"/>
          </w:tcPr>
          <w:p w14:paraId="2309E086">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≥27218人次</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035B789">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33523</w:t>
            </w:r>
            <w:r>
              <w:rPr>
                <w:rFonts w:hint="default" w:ascii="宋体" w:hAnsi="宋体" w:eastAsia="宋体" w:cs="宋体"/>
                <w:color w:val="000000"/>
                <w:kern w:val="0"/>
                <w:sz w:val="21"/>
                <w:szCs w:val="21"/>
                <w:highlight w:val="none"/>
                <w:lang w:val="en-US" w:eastAsia="zh-CN"/>
              </w:rPr>
              <w:t>人次</w:t>
            </w:r>
          </w:p>
        </w:tc>
      </w:tr>
      <w:tr w14:paraId="7865BA22">
        <w:tblPrEx>
          <w:tblCellMar>
            <w:top w:w="0" w:type="dxa"/>
            <w:left w:w="108" w:type="dxa"/>
            <w:bottom w:w="0" w:type="dxa"/>
            <w:right w:w="108" w:type="dxa"/>
          </w:tblCellMar>
        </w:tblPrEx>
        <w:trPr>
          <w:trHeight w:val="421" w:hRule="atLeast"/>
          <w:jc w:val="center"/>
        </w:trPr>
        <w:tc>
          <w:tcPr>
            <w:tcW w:w="331" w:type="dxa"/>
            <w:vMerge w:val="continue"/>
            <w:tcBorders>
              <w:left w:val="single" w:color="000000" w:sz="4" w:space="0"/>
              <w:right w:val="single" w:color="000000" w:sz="4" w:space="0"/>
            </w:tcBorders>
            <w:noWrap/>
            <w:vAlign w:val="center"/>
          </w:tcPr>
          <w:p w14:paraId="3B225BFD">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593" w:type="dxa"/>
            <w:vMerge w:val="continue"/>
            <w:tcBorders>
              <w:left w:val="single" w:color="000000" w:sz="4" w:space="0"/>
              <w:right w:val="single" w:color="000000" w:sz="4" w:space="0"/>
            </w:tcBorders>
            <w:noWrap/>
            <w:vAlign w:val="center"/>
          </w:tcPr>
          <w:p w14:paraId="1D6AD0A7">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A8CB407">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数量指标</w:t>
            </w:r>
          </w:p>
        </w:tc>
        <w:tc>
          <w:tcPr>
            <w:tcW w:w="4000" w:type="dxa"/>
            <w:gridSpan w:val="4"/>
            <w:tcBorders>
              <w:top w:val="single" w:color="000000" w:sz="4" w:space="0"/>
              <w:left w:val="single" w:color="000000" w:sz="4" w:space="0"/>
              <w:bottom w:val="single" w:color="000000" w:sz="4" w:space="0"/>
              <w:right w:val="single" w:color="000000" w:sz="4" w:space="0"/>
            </w:tcBorders>
            <w:noWrap/>
            <w:vAlign w:val="center"/>
          </w:tcPr>
          <w:p w14:paraId="66F2354D">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default" w:ascii="宋体" w:hAnsi="宋体" w:eastAsia="宋体" w:cs="宋体"/>
                <w:color w:val="000000"/>
                <w:kern w:val="0"/>
                <w:sz w:val="21"/>
                <w:szCs w:val="21"/>
                <w:highlight w:val="none"/>
                <w:lang w:val="en-US" w:eastAsia="zh-CN"/>
              </w:rPr>
              <w:t>住院患者</w:t>
            </w:r>
          </w:p>
        </w:tc>
        <w:tc>
          <w:tcPr>
            <w:tcW w:w="2159" w:type="dxa"/>
            <w:gridSpan w:val="2"/>
            <w:tcBorders>
              <w:top w:val="single" w:color="000000" w:sz="4" w:space="0"/>
              <w:left w:val="single" w:color="000000" w:sz="4" w:space="0"/>
              <w:bottom w:val="single" w:color="000000" w:sz="4" w:space="0"/>
              <w:right w:val="single" w:color="000000" w:sz="4" w:space="0"/>
            </w:tcBorders>
            <w:noWrap/>
            <w:vAlign w:val="center"/>
          </w:tcPr>
          <w:p w14:paraId="064BADBA">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≥2292</w:t>
            </w:r>
            <w:r>
              <w:rPr>
                <w:rFonts w:hint="default" w:ascii="宋体" w:hAnsi="宋体" w:eastAsia="宋体" w:cs="宋体"/>
                <w:color w:val="000000"/>
                <w:kern w:val="0"/>
                <w:sz w:val="21"/>
                <w:szCs w:val="21"/>
                <w:highlight w:val="none"/>
                <w:lang w:val="en-US" w:eastAsia="zh-CN"/>
              </w:rPr>
              <w:t>人次</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0380167">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2521</w:t>
            </w:r>
            <w:r>
              <w:rPr>
                <w:rFonts w:hint="default" w:ascii="宋体" w:hAnsi="宋体" w:eastAsia="宋体" w:cs="宋体"/>
                <w:color w:val="000000"/>
                <w:kern w:val="0"/>
                <w:sz w:val="21"/>
                <w:szCs w:val="21"/>
                <w:highlight w:val="none"/>
                <w:lang w:val="en-US" w:eastAsia="zh-CN"/>
              </w:rPr>
              <w:t>人次</w:t>
            </w:r>
          </w:p>
        </w:tc>
      </w:tr>
      <w:tr w14:paraId="05F374D4">
        <w:tblPrEx>
          <w:tblCellMar>
            <w:top w:w="0" w:type="dxa"/>
            <w:left w:w="108" w:type="dxa"/>
            <w:bottom w:w="0" w:type="dxa"/>
            <w:right w:w="108" w:type="dxa"/>
          </w:tblCellMar>
        </w:tblPrEx>
        <w:trPr>
          <w:trHeight w:val="406" w:hRule="atLeast"/>
          <w:jc w:val="center"/>
        </w:trPr>
        <w:tc>
          <w:tcPr>
            <w:tcW w:w="331" w:type="dxa"/>
            <w:vMerge w:val="continue"/>
            <w:tcBorders>
              <w:left w:val="single" w:color="000000" w:sz="4" w:space="0"/>
              <w:right w:val="single" w:color="000000" w:sz="4" w:space="0"/>
            </w:tcBorders>
            <w:noWrap/>
            <w:vAlign w:val="center"/>
          </w:tcPr>
          <w:p w14:paraId="71163E8E">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593" w:type="dxa"/>
            <w:vMerge w:val="continue"/>
            <w:tcBorders>
              <w:left w:val="single" w:color="000000" w:sz="4" w:space="0"/>
              <w:right w:val="single" w:color="000000" w:sz="4" w:space="0"/>
            </w:tcBorders>
            <w:noWrap/>
            <w:vAlign w:val="center"/>
          </w:tcPr>
          <w:p w14:paraId="091D92B0">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B2C65BA">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数量指标</w:t>
            </w:r>
          </w:p>
        </w:tc>
        <w:tc>
          <w:tcPr>
            <w:tcW w:w="4000" w:type="dxa"/>
            <w:gridSpan w:val="4"/>
            <w:tcBorders>
              <w:top w:val="single" w:color="000000" w:sz="4" w:space="0"/>
              <w:left w:val="single" w:color="000000" w:sz="4" w:space="0"/>
              <w:bottom w:val="single" w:color="000000" w:sz="4" w:space="0"/>
              <w:right w:val="single" w:color="000000" w:sz="4" w:space="0"/>
            </w:tcBorders>
            <w:noWrap/>
            <w:vAlign w:val="center"/>
          </w:tcPr>
          <w:p w14:paraId="2637166D">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default" w:ascii="宋体" w:hAnsi="宋体" w:eastAsia="宋体" w:cs="宋体"/>
                <w:color w:val="000000"/>
                <w:kern w:val="0"/>
                <w:sz w:val="21"/>
                <w:szCs w:val="21"/>
                <w:highlight w:val="none"/>
                <w:lang w:val="en-US" w:eastAsia="zh-CN"/>
              </w:rPr>
              <w:t>手术台次</w:t>
            </w:r>
          </w:p>
        </w:tc>
        <w:tc>
          <w:tcPr>
            <w:tcW w:w="2159" w:type="dxa"/>
            <w:gridSpan w:val="2"/>
            <w:tcBorders>
              <w:top w:val="single" w:color="000000" w:sz="4" w:space="0"/>
              <w:left w:val="single" w:color="000000" w:sz="4" w:space="0"/>
              <w:bottom w:val="single" w:color="000000" w:sz="4" w:space="0"/>
              <w:right w:val="single" w:color="000000" w:sz="4" w:space="0"/>
            </w:tcBorders>
            <w:noWrap/>
            <w:vAlign w:val="center"/>
          </w:tcPr>
          <w:p w14:paraId="586E36C5">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≥395</w:t>
            </w:r>
            <w:r>
              <w:rPr>
                <w:rFonts w:hint="default" w:ascii="宋体" w:hAnsi="宋体" w:eastAsia="宋体" w:cs="宋体"/>
                <w:color w:val="000000"/>
                <w:kern w:val="0"/>
                <w:sz w:val="21"/>
                <w:szCs w:val="21"/>
                <w:highlight w:val="none"/>
                <w:lang w:eastAsia="zh-CN"/>
              </w:rPr>
              <w:t>台</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C1E9DE5">
            <w:pPr>
              <w:widowControl/>
              <w:spacing w:line="240" w:lineRule="exact"/>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542人次</w:t>
            </w:r>
          </w:p>
        </w:tc>
      </w:tr>
      <w:tr w14:paraId="649E6205">
        <w:tblPrEx>
          <w:tblCellMar>
            <w:top w:w="0" w:type="dxa"/>
            <w:left w:w="108" w:type="dxa"/>
            <w:bottom w:w="0" w:type="dxa"/>
            <w:right w:w="108" w:type="dxa"/>
          </w:tblCellMar>
        </w:tblPrEx>
        <w:trPr>
          <w:trHeight w:val="436" w:hRule="atLeast"/>
          <w:jc w:val="center"/>
        </w:trPr>
        <w:tc>
          <w:tcPr>
            <w:tcW w:w="331" w:type="dxa"/>
            <w:vMerge w:val="continue"/>
            <w:tcBorders>
              <w:left w:val="single" w:color="000000" w:sz="4" w:space="0"/>
              <w:right w:val="single" w:color="000000" w:sz="4" w:space="0"/>
            </w:tcBorders>
            <w:noWrap/>
            <w:vAlign w:val="center"/>
          </w:tcPr>
          <w:p w14:paraId="351CB6E5">
            <w:pPr>
              <w:widowControl/>
              <w:spacing w:line="240" w:lineRule="exact"/>
              <w:jc w:val="center"/>
              <w:textAlignment w:val="center"/>
              <w:rPr>
                <w:rFonts w:hint="eastAsia" w:ascii="宋体" w:hAnsi="宋体" w:eastAsia="宋体" w:cs="宋体"/>
                <w:color w:val="000000"/>
                <w:kern w:val="0"/>
                <w:sz w:val="21"/>
                <w:szCs w:val="21"/>
                <w:highlight w:val="lightGray"/>
              </w:rPr>
            </w:pPr>
          </w:p>
        </w:tc>
        <w:tc>
          <w:tcPr>
            <w:tcW w:w="593" w:type="dxa"/>
            <w:vMerge w:val="continue"/>
            <w:tcBorders>
              <w:left w:val="single" w:color="000000" w:sz="4" w:space="0"/>
              <w:right w:val="single" w:color="000000" w:sz="4" w:space="0"/>
            </w:tcBorders>
            <w:noWrap/>
            <w:vAlign w:val="center"/>
          </w:tcPr>
          <w:p w14:paraId="26780A01">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E46F776">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数量指标</w:t>
            </w:r>
          </w:p>
        </w:tc>
        <w:tc>
          <w:tcPr>
            <w:tcW w:w="4000" w:type="dxa"/>
            <w:gridSpan w:val="4"/>
            <w:tcBorders>
              <w:top w:val="single" w:color="000000" w:sz="4" w:space="0"/>
              <w:left w:val="single" w:color="000000" w:sz="4" w:space="0"/>
              <w:bottom w:val="single" w:color="000000" w:sz="4" w:space="0"/>
              <w:right w:val="single" w:color="000000" w:sz="4" w:space="0"/>
            </w:tcBorders>
            <w:noWrap/>
            <w:vAlign w:val="center"/>
          </w:tcPr>
          <w:p w14:paraId="650F7B7F">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信息化建设（医保智能审核和业务系统软硬件更新升级）</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C4AE">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2项</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C810">
            <w:pPr>
              <w:widowControl/>
              <w:spacing w:line="240" w:lineRule="exact"/>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2项</w:t>
            </w:r>
          </w:p>
        </w:tc>
      </w:tr>
      <w:tr w14:paraId="62FEECBE">
        <w:tblPrEx>
          <w:tblCellMar>
            <w:top w:w="0" w:type="dxa"/>
            <w:left w:w="108" w:type="dxa"/>
            <w:bottom w:w="0" w:type="dxa"/>
            <w:right w:w="108" w:type="dxa"/>
          </w:tblCellMar>
        </w:tblPrEx>
        <w:trPr>
          <w:trHeight w:val="511" w:hRule="atLeast"/>
          <w:jc w:val="center"/>
        </w:trPr>
        <w:tc>
          <w:tcPr>
            <w:tcW w:w="331" w:type="dxa"/>
            <w:vMerge w:val="continue"/>
            <w:tcBorders>
              <w:left w:val="single" w:color="000000" w:sz="4" w:space="0"/>
              <w:right w:val="single" w:color="000000" w:sz="4" w:space="0"/>
            </w:tcBorders>
            <w:noWrap/>
            <w:vAlign w:val="center"/>
          </w:tcPr>
          <w:p w14:paraId="17E2652B">
            <w:pPr>
              <w:widowControl/>
              <w:spacing w:line="240" w:lineRule="exact"/>
              <w:jc w:val="center"/>
              <w:textAlignment w:val="center"/>
              <w:rPr>
                <w:rFonts w:hint="eastAsia" w:ascii="宋体" w:hAnsi="宋体" w:eastAsia="宋体" w:cs="宋体"/>
                <w:color w:val="000000"/>
                <w:kern w:val="0"/>
                <w:sz w:val="21"/>
                <w:szCs w:val="21"/>
                <w:highlight w:val="lightGray"/>
              </w:rPr>
            </w:pPr>
          </w:p>
        </w:tc>
        <w:tc>
          <w:tcPr>
            <w:tcW w:w="593" w:type="dxa"/>
            <w:vMerge w:val="continue"/>
            <w:tcBorders>
              <w:left w:val="single" w:color="000000" w:sz="4" w:space="0"/>
              <w:right w:val="single" w:color="000000" w:sz="4" w:space="0"/>
            </w:tcBorders>
            <w:noWrap/>
            <w:vAlign w:val="center"/>
          </w:tcPr>
          <w:p w14:paraId="6C39AAE7">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ED5BCB9">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质量指标</w:t>
            </w:r>
          </w:p>
        </w:tc>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7A74">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设备产品合格率</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1597">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B8E">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100%</w:t>
            </w:r>
          </w:p>
        </w:tc>
      </w:tr>
      <w:tr w14:paraId="5D675D36">
        <w:tblPrEx>
          <w:tblCellMar>
            <w:top w:w="0" w:type="dxa"/>
            <w:left w:w="108" w:type="dxa"/>
            <w:bottom w:w="0" w:type="dxa"/>
            <w:right w:w="108" w:type="dxa"/>
          </w:tblCellMar>
        </w:tblPrEx>
        <w:trPr>
          <w:trHeight w:val="511" w:hRule="atLeast"/>
          <w:jc w:val="center"/>
        </w:trPr>
        <w:tc>
          <w:tcPr>
            <w:tcW w:w="331" w:type="dxa"/>
            <w:vMerge w:val="continue"/>
            <w:tcBorders>
              <w:left w:val="single" w:color="000000" w:sz="4" w:space="0"/>
              <w:right w:val="single" w:color="000000" w:sz="4" w:space="0"/>
            </w:tcBorders>
            <w:noWrap/>
            <w:vAlign w:val="center"/>
          </w:tcPr>
          <w:p w14:paraId="094DDA6E">
            <w:pPr>
              <w:widowControl/>
              <w:spacing w:line="240" w:lineRule="exact"/>
              <w:jc w:val="center"/>
              <w:textAlignment w:val="center"/>
              <w:rPr>
                <w:rFonts w:hint="eastAsia" w:ascii="宋体" w:hAnsi="宋体" w:eastAsia="宋体" w:cs="宋体"/>
                <w:color w:val="000000"/>
                <w:kern w:val="0"/>
                <w:sz w:val="21"/>
                <w:szCs w:val="21"/>
                <w:highlight w:val="lightGray"/>
              </w:rPr>
            </w:pPr>
          </w:p>
        </w:tc>
        <w:tc>
          <w:tcPr>
            <w:tcW w:w="593" w:type="dxa"/>
            <w:vMerge w:val="continue"/>
            <w:tcBorders>
              <w:left w:val="single" w:color="000000" w:sz="4" w:space="0"/>
              <w:bottom w:val="single" w:color="000000" w:sz="4" w:space="0"/>
              <w:right w:val="single" w:color="000000" w:sz="4" w:space="0"/>
            </w:tcBorders>
            <w:noWrap/>
            <w:vAlign w:val="center"/>
          </w:tcPr>
          <w:p w14:paraId="0E6AF00D">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3CE3E45">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时效指标</w:t>
            </w:r>
          </w:p>
        </w:tc>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D1E9">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完成各绩效目标时间</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5D20">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2025年12月28日前完成</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C189">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2025年11月20日内完成</w:t>
            </w:r>
          </w:p>
        </w:tc>
      </w:tr>
      <w:tr w14:paraId="4A95588A">
        <w:tblPrEx>
          <w:tblCellMar>
            <w:top w:w="0" w:type="dxa"/>
            <w:left w:w="108" w:type="dxa"/>
            <w:bottom w:w="0" w:type="dxa"/>
            <w:right w:w="108" w:type="dxa"/>
          </w:tblCellMar>
        </w:tblPrEx>
        <w:trPr>
          <w:trHeight w:val="535" w:hRule="atLeast"/>
          <w:jc w:val="center"/>
        </w:trPr>
        <w:tc>
          <w:tcPr>
            <w:tcW w:w="331" w:type="dxa"/>
            <w:vMerge w:val="continue"/>
            <w:tcBorders>
              <w:left w:val="single" w:color="000000" w:sz="4" w:space="0"/>
              <w:right w:val="single" w:color="000000" w:sz="4" w:space="0"/>
            </w:tcBorders>
            <w:noWrap/>
            <w:vAlign w:val="center"/>
          </w:tcPr>
          <w:p w14:paraId="1396F9CD">
            <w:pPr>
              <w:widowControl/>
              <w:spacing w:line="240" w:lineRule="exact"/>
              <w:jc w:val="center"/>
              <w:textAlignment w:val="center"/>
              <w:rPr>
                <w:rFonts w:hint="eastAsia" w:ascii="宋体" w:hAnsi="宋体" w:eastAsia="宋体" w:cs="宋体"/>
                <w:color w:val="000000"/>
                <w:kern w:val="0"/>
                <w:sz w:val="21"/>
                <w:szCs w:val="21"/>
                <w:highlight w:val="lightGray"/>
              </w:rPr>
            </w:pPr>
          </w:p>
        </w:tc>
        <w:tc>
          <w:tcPr>
            <w:tcW w:w="593" w:type="dxa"/>
            <w:vMerge w:val="restart"/>
            <w:tcBorders>
              <w:top w:val="single" w:color="000000" w:sz="4" w:space="0"/>
              <w:left w:val="single" w:color="000000" w:sz="4" w:space="0"/>
              <w:right w:val="single" w:color="000000" w:sz="4" w:space="0"/>
            </w:tcBorders>
            <w:noWrap/>
            <w:vAlign w:val="center"/>
          </w:tcPr>
          <w:p w14:paraId="4ED1D8EA">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效益指标</w:t>
            </w:r>
          </w:p>
          <w:p w14:paraId="1F2AF20E">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86B6">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经济效益</w:t>
            </w:r>
          </w:p>
          <w:p w14:paraId="7BF8EDC9">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BDB1">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医院诊疗运营效率提升率</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2EED">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F271">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10%</w:t>
            </w:r>
          </w:p>
        </w:tc>
      </w:tr>
      <w:tr w14:paraId="0DA4F0A6">
        <w:tblPrEx>
          <w:tblCellMar>
            <w:top w:w="0" w:type="dxa"/>
            <w:left w:w="108" w:type="dxa"/>
            <w:bottom w:w="0" w:type="dxa"/>
            <w:right w:w="108" w:type="dxa"/>
          </w:tblCellMar>
        </w:tblPrEx>
        <w:trPr>
          <w:trHeight w:val="511" w:hRule="atLeast"/>
          <w:jc w:val="center"/>
        </w:trPr>
        <w:tc>
          <w:tcPr>
            <w:tcW w:w="331" w:type="dxa"/>
            <w:vMerge w:val="continue"/>
            <w:tcBorders>
              <w:left w:val="single" w:color="000000" w:sz="4" w:space="0"/>
              <w:right w:val="single" w:color="000000" w:sz="4" w:space="0"/>
            </w:tcBorders>
            <w:noWrap/>
            <w:vAlign w:val="center"/>
          </w:tcPr>
          <w:p w14:paraId="742897D2">
            <w:pPr>
              <w:widowControl/>
              <w:spacing w:line="240" w:lineRule="exact"/>
              <w:jc w:val="center"/>
              <w:textAlignment w:val="center"/>
              <w:rPr>
                <w:rFonts w:hint="eastAsia" w:ascii="宋体" w:hAnsi="宋体" w:eastAsia="宋体" w:cs="宋体"/>
                <w:color w:val="000000"/>
                <w:kern w:val="0"/>
                <w:sz w:val="21"/>
                <w:szCs w:val="21"/>
                <w:highlight w:val="lightGray"/>
              </w:rPr>
            </w:pPr>
          </w:p>
        </w:tc>
        <w:tc>
          <w:tcPr>
            <w:tcW w:w="593" w:type="dxa"/>
            <w:vMerge w:val="continue"/>
            <w:tcBorders>
              <w:left w:val="single" w:color="000000" w:sz="4" w:space="0"/>
              <w:right w:val="single" w:color="000000" w:sz="4" w:space="0"/>
            </w:tcBorders>
            <w:noWrap/>
            <w:vAlign w:val="center"/>
          </w:tcPr>
          <w:p w14:paraId="75E619AF">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48B8">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经济效益</w:t>
            </w:r>
          </w:p>
        </w:tc>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1791">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医院医疗收入增长</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CD8F">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是</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FD43">
            <w:pPr>
              <w:widowControl/>
              <w:spacing w:line="240" w:lineRule="exact"/>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是</w:t>
            </w:r>
          </w:p>
        </w:tc>
      </w:tr>
      <w:tr w14:paraId="18B58182">
        <w:tblPrEx>
          <w:tblCellMar>
            <w:top w:w="0" w:type="dxa"/>
            <w:left w:w="108" w:type="dxa"/>
            <w:bottom w:w="0" w:type="dxa"/>
            <w:right w:w="108" w:type="dxa"/>
          </w:tblCellMar>
        </w:tblPrEx>
        <w:trPr>
          <w:trHeight w:val="511" w:hRule="atLeast"/>
          <w:jc w:val="center"/>
        </w:trPr>
        <w:tc>
          <w:tcPr>
            <w:tcW w:w="331" w:type="dxa"/>
            <w:vMerge w:val="continue"/>
            <w:tcBorders>
              <w:left w:val="single" w:color="000000" w:sz="4" w:space="0"/>
              <w:bottom w:val="single" w:color="000000" w:sz="4" w:space="0"/>
              <w:right w:val="single" w:color="000000" w:sz="4" w:space="0"/>
            </w:tcBorders>
            <w:noWrap/>
            <w:vAlign w:val="center"/>
          </w:tcPr>
          <w:p w14:paraId="751A5F26">
            <w:pPr>
              <w:widowControl/>
              <w:spacing w:line="240" w:lineRule="exact"/>
              <w:jc w:val="center"/>
              <w:textAlignment w:val="center"/>
              <w:rPr>
                <w:rFonts w:hint="eastAsia" w:ascii="宋体" w:hAnsi="宋体" w:eastAsia="宋体" w:cs="宋体"/>
                <w:color w:val="000000"/>
                <w:kern w:val="0"/>
                <w:sz w:val="21"/>
                <w:szCs w:val="21"/>
                <w:highlight w:val="lightGray"/>
              </w:rPr>
            </w:pPr>
          </w:p>
        </w:tc>
        <w:tc>
          <w:tcPr>
            <w:tcW w:w="593" w:type="dxa"/>
            <w:vMerge w:val="continue"/>
            <w:tcBorders>
              <w:left w:val="single" w:color="000000" w:sz="4" w:space="0"/>
              <w:bottom w:val="single" w:color="000000" w:sz="4" w:space="0"/>
              <w:right w:val="single" w:color="000000" w:sz="4" w:space="0"/>
            </w:tcBorders>
            <w:noWrap/>
            <w:vAlign w:val="center"/>
          </w:tcPr>
          <w:p w14:paraId="10557066">
            <w:pPr>
              <w:widowControl/>
              <w:spacing w:line="240" w:lineRule="exact"/>
              <w:jc w:val="center"/>
              <w:textAlignment w:val="center"/>
              <w:rPr>
                <w:rFonts w:hint="eastAsia" w:ascii="宋体" w:hAnsi="宋体" w:eastAsia="宋体" w:cs="宋体"/>
                <w:color w:val="000000"/>
                <w:kern w:val="0"/>
                <w:sz w:val="21"/>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321C4C9">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社会效益</w:t>
            </w:r>
          </w:p>
          <w:p w14:paraId="1DF2173C">
            <w:pPr>
              <w:widowControl/>
              <w:spacing w:line="24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指标</w:t>
            </w:r>
          </w:p>
        </w:tc>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4846">
            <w:pPr>
              <w:widowControl/>
              <w:spacing w:line="24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提升医院综合能力为重点，提高县域疾病综合诊疗和服务能力</w:t>
            </w:r>
          </w:p>
          <w:p w14:paraId="38FACA02">
            <w:pPr>
              <w:widowControl/>
              <w:spacing w:line="240" w:lineRule="exact"/>
              <w:jc w:val="center"/>
              <w:textAlignment w:val="center"/>
              <w:rPr>
                <w:rFonts w:hint="default" w:ascii="宋体" w:hAnsi="宋体" w:eastAsia="宋体" w:cs="宋体"/>
                <w:color w:val="000000"/>
                <w:kern w:val="0"/>
                <w:sz w:val="21"/>
                <w:szCs w:val="21"/>
                <w:highlight w:val="none"/>
                <w:lang w:val="en-US" w:eastAsia="zh-CN"/>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64A7">
            <w:pPr>
              <w:widowControl/>
              <w:spacing w:line="240" w:lineRule="exact"/>
              <w:jc w:val="center"/>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是</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E0ED">
            <w:pPr>
              <w:widowControl/>
              <w:spacing w:line="240" w:lineRule="exact"/>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是</w:t>
            </w:r>
          </w:p>
        </w:tc>
      </w:tr>
    </w:tbl>
    <w:p w14:paraId="3491C4CF">
      <w:pPr>
        <w:rPr>
          <w:rFonts w:hint="eastAsia" w:ascii="宋体" w:hAnsi="宋体" w:eastAsia="宋体" w:cs="宋体"/>
          <w:sz w:val="21"/>
          <w:szCs w:val="21"/>
          <w:highlight w:val="lightGray"/>
        </w:rPr>
      </w:pPr>
    </w:p>
    <w:p w14:paraId="774F2533">
      <w:pPr>
        <w:pStyle w:val="18"/>
        <w:spacing w:before="0" w:after="0" w:line="578" w:lineRule="exact"/>
        <w:rPr>
          <w:highlight w:val="lightGray"/>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54B1">
    <w:pPr>
      <w:pStyle w:val="7"/>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path/>
          <v:fill on="f" focussize="0,0"/>
          <v:stroke on="f" weight="0.5pt" joinstyle="miter"/>
          <v:imagedata o:title=""/>
          <o:lock v:ext="edit"/>
          <v:textbox inset="0mm,0mm,0mm,0mm" style="mso-fit-shape-to-text:t;">
            <w:txbxContent>
              <w:p w14:paraId="10D6B85C">
                <w:pPr>
                  <w:pStyle w:val="7"/>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41DA1B8D"/>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DE0F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1FF9"/>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2968"/>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4700"/>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C28DE"/>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206"/>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2345"/>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D1F80"/>
    <w:rsid w:val="006E51AE"/>
    <w:rsid w:val="0070081F"/>
    <w:rsid w:val="007018F5"/>
    <w:rsid w:val="00710897"/>
    <w:rsid w:val="00712F45"/>
    <w:rsid w:val="00734305"/>
    <w:rsid w:val="007370E1"/>
    <w:rsid w:val="007732A1"/>
    <w:rsid w:val="00774C4A"/>
    <w:rsid w:val="00782BBB"/>
    <w:rsid w:val="007A0690"/>
    <w:rsid w:val="007A078F"/>
    <w:rsid w:val="007A0985"/>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9631F"/>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C512B"/>
    <w:rsid w:val="009F1AF3"/>
    <w:rsid w:val="009F233E"/>
    <w:rsid w:val="00A024AB"/>
    <w:rsid w:val="00A050A5"/>
    <w:rsid w:val="00A05B8B"/>
    <w:rsid w:val="00A1372F"/>
    <w:rsid w:val="00A170EC"/>
    <w:rsid w:val="00A217B3"/>
    <w:rsid w:val="00A23D04"/>
    <w:rsid w:val="00A277D9"/>
    <w:rsid w:val="00A30CEB"/>
    <w:rsid w:val="00A31318"/>
    <w:rsid w:val="00A34C56"/>
    <w:rsid w:val="00A5432A"/>
    <w:rsid w:val="00A55F8A"/>
    <w:rsid w:val="00A83AD0"/>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432B"/>
    <w:rsid w:val="00F95982"/>
    <w:rsid w:val="00FA006C"/>
    <w:rsid w:val="00FA190E"/>
    <w:rsid w:val="00FA288B"/>
    <w:rsid w:val="00FA2997"/>
    <w:rsid w:val="00FA2C71"/>
    <w:rsid w:val="00FB3345"/>
    <w:rsid w:val="00FB4EB4"/>
    <w:rsid w:val="00FD0228"/>
    <w:rsid w:val="00FD3BB7"/>
    <w:rsid w:val="00FE0D93"/>
    <w:rsid w:val="00FF2572"/>
    <w:rsid w:val="00FF32AD"/>
    <w:rsid w:val="011A24F4"/>
    <w:rsid w:val="014130B9"/>
    <w:rsid w:val="01415CD2"/>
    <w:rsid w:val="01955D51"/>
    <w:rsid w:val="02182ED7"/>
    <w:rsid w:val="02405F8A"/>
    <w:rsid w:val="02493090"/>
    <w:rsid w:val="02C00F21"/>
    <w:rsid w:val="038D2B62"/>
    <w:rsid w:val="03A762C0"/>
    <w:rsid w:val="03AA5DB1"/>
    <w:rsid w:val="04131BA8"/>
    <w:rsid w:val="043655CC"/>
    <w:rsid w:val="04384E3D"/>
    <w:rsid w:val="046917C8"/>
    <w:rsid w:val="04BA2023"/>
    <w:rsid w:val="04BD7D66"/>
    <w:rsid w:val="04CB4231"/>
    <w:rsid w:val="04D74871"/>
    <w:rsid w:val="05123C00"/>
    <w:rsid w:val="052027CE"/>
    <w:rsid w:val="052F0997"/>
    <w:rsid w:val="05373674"/>
    <w:rsid w:val="05533A2C"/>
    <w:rsid w:val="055406CA"/>
    <w:rsid w:val="05882122"/>
    <w:rsid w:val="06436049"/>
    <w:rsid w:val="06532730"/>
    <w:rsid w:val="06640499"/>
    <w:rsid w:val="06AC1E40"/>
    <w:rsid w:val="06B17456"/>
    <w:rsid w:val="06C947A0"/>
    <w:rsid w:val="06E96BF0"/>
    <w:rsid w:val="079B20D2"/>
    <w:rsid w:val="081A2969"/>
    <w:rsid w:val="083B791F"/>
    <w:rsid w:val="08757D47"/>
    <w:rsid w:val="096864F2"/>
    <w:rsid w:val="098470A4"/>
    <w:rsid w:val="09943F1E"/>
    <w:rsid w:val="09976DD7"/>
    <w:rsid w:val="09C77194"/>
    <w:rsid w:val="0A4E557E"/>
    <w:rsid w:val="0A5C592B"/>
    <w:rsid w:val="0B0A5387"/>
    <w:rsid w:val="0B800C0A"/>
    <w:rsid w:val="0BF40511"/>
    <w:rsid w:val="0C2C4FD3"/>
    <w:rsid w:val="0C825B1D"/>
    <w:rsid w:val="0CAA5073"/>
    <w:rsid w:val="0CBB7C19"/>
    <w:rsid w:val="0CBE28CD"/>
    <w:rsid w:val="0CF4009D"/>
    <w:rsid w:val="0D166265"/>
    <w:rsid w:val="0D474670"/>
    <w:rsid w:val="0D865199"/>
    <w:rsid w:val="0D926FFB"/>
    <w:rsid w:val="0DC31556"/>
    <w:rsid w:val="0DD26630"/>
    <w:rsid w:val="0DD82A3E"/>
    <w:rsid w:val="0E121584"/>
    <w:rsid w:val="0E72571D"/>
    <w:rsid w:val="0E794CFD"/>
    <w:rsid w:val="0EA004DC"/>
    <w:rsid w:val="0EFD76DC"/>
    <w:rsid w:val="0F9C5147"/>
    <w:rsid w:val="0FB12275"/>
    <w:rsid w:val="0FB75ADD"/>
    <w:rsid w:val="0FE268D2"/>
    <w:rsid w:val="10294501"/>
    <w:rsid w:val="10833C11"/>
    <w:rsid w:val="108C51BC"/>
    <w:rsid w:val="10B636A9"/>
    <w:rsid w:val="11875983"/>
    <w:rsid w:val="119A7465"/>
    <w:rsid w:val="11E22BBA"/>
    <w:rsid w:val="11E93F48"/>
    <w:rsid w:val="121F796A"/>
    <w:rsid w:val="12A14823"/>
    <w:rsid w:val="12B74046"/>
    <w:rsid w:val="12D02241"/>
    <w:rsid w:val="12F901BB"/>
    <w:rsid w:val="12FC7CAB"/>
    <w:rsid w:val="13205543"/>
    <w:rsid w:val="13855EF2"/>
    <w:rsid w:val="139D323C"/>
    <w:rsid w:val="14972381"/>
    <w:rsid w:val="14AD74AF"/>
    <w:rsid w:val="154C316C"/>
    <w:rsid w:val="154C4F1A"/>
    <w:rsid w:val="156A1844"/>
    <w:rsid w:val="158A56AC"/>
    <w:rsid w:val="15A05265"/>
    <w:rsid w:val="15A37C15"/>
    <w:rsid w:val="16001A5B"/>
    <w:rsid w:val="16BD25A1"/>
    <w:rsid w:val="16BE59A3"/>
    <w:rsid w:val="16CB00C0"/>
    <w:rsid w:val="16E82A20"/>
    <w:rsid w:val="173619DD"/>
    <w:rsid w:val="174D6D27"/>
    <w:rsid w:val="178C5AA1"/>
    <w:rsid w:val="179130B8"/>
    <w:rsid w:val="17C57205"/>
    <w:rsid w:val="17CE7E68"/>
    <w:rsid w:val="17D17958"/>
    <w:rsid w:val="17F43647"/>
    <w:rsid w:val="18980476"/>
    <w:rsid w:val="18A4506D"/>
    <w:rsid w:val="18BA03EC"/>
    <w:rsid w:val="193A32DB"/>
    <w:rsid w:val="19600F94"/>
    <w:rsid w:val="19CB28A1"/>
    <w:rsid w:val="1A3D6143"/>
    <w:rsid w:val="1A402B73"/>
    <w:rsid w:val="1A501008"/>
    <w:rsid w:val="1A55661F"/>
    <w:rsid w:val="1A6C3968"/>
    <w:rsid w:val="1A992E30"/>
    <w:rsid w:val="1AA4253B"/>
    <w:rsid w:val="1ADA6B24"/>
    <w:rsid w:val="1AFD0A64"/>
    <w:rsid w:val="1B3E5305"/>
    <w:rsid w:val="1B682381"/>
    <w:rsid w:val="1B937848"/>
    <w:rsid w:val="1BAF3C42"/>
    <w:rsid w:val="1C013801"/>
    <w:rsid w:val="1C252021"/>
    <w:rsid w:val="1C752FA8"/>
    <w:rsid w:val="1C7F9B9E"/>
    <w:rsid w:val="1C8036FB"/>
    <w:rsid w:val="1CB35AB1"/>
    <w:rsid w:val="1CBD494F"/>
    <w:rsid w:val="1CC25AC1"/>
    <w:rsid w:val="1D3D339A"/>
    <w:rsid w:val="1D4B1F5B"/>
    <w:rsid w:val="1DE67B5E"/>
    <w:rsid w:val="1DEA52D0"/>
    <w:rsid w:val="1DEF0B38"/>
    <w:rsid w:val="1DFD8D3B"/>
    <w:rsid w:val="1EA23DFC"/>
    <w:rsid w:val="1F0625DD"/>
    <w:rsid w:val="1FB79DC9"/>
    <w:rsid w:val="1FBFC3F2"/>
    <w:rsid w:val="1FFFE033"/>
    <w:rsid w:val="21246D0C"/>
    <w:rsid w:val="214B42D7"/>
    <w:rsid w:val="21617F9F"/>
    <w:rsid w:val="21997739"/>
    <w:rsid w:val="21C2549B"/>
    <w:rsid w:val="22145011"/>
    <w:rsid w:val="223B4C15"/>
    <w:rsid w:val="22D327D6"/>
    <w:rsid w:val="238734D8"/>
    <w:rsid w:val="2388798B"/>
    <w:rsid w:val="23953F30"/>
    <w:rsid w:val="239C5E9E"/>
    <w:rsid w:val="23DC56BB"/>
    <w:rsid w:val="23E17175"/>
    <w:rsid w:val="23FB5BF5"/>
    <w:rsid w:val="245E2574"/>
    <w:rsid w:val="245E6FEC"/>
    <w:rsid w:val="24853FA4"/>
    <w:rsid w:val="25565941"/>
    <w:rsid w:val="25973550"/>
    <w:rsid w:val="26013AFE"/>
    <w:rsid w:val="26250EA4"/>
    <w:rsid w:val="26321F0A"/>
    <w:rsid w:val="26437C73"/>
    <w:rsid w:val="265348CF"/>
    <w:rsid w:val="26597496"/>
    <w:rsid w:val="267A11BB"/>
    <w:rsid w:val="26B40B71"/>
    <w:rsid w:val="26BB1EFF"/>
    <w:rsid w:val="274A5031"/>
    <w:rsid w:val="27C52C0F"/>
    <w:rsid w:val="27F352A6"/>
    <w:rsid w:val="28043432"/>
    <w:rsid w:val="284D4DD9"/>
    <w:rsid w:val="286914E7"/>
    <w:rsid w:val="2890085C"/>
    <w:rsid w:val="289F49F4"/>
    <w:rsid w:val="28A365DE"/>
    <w:rsid w:val="28FB65E3"/>
    <w:rsid w:val="29363ABF"/>
    <w:rsid w:val="29673C78"/>
    <w:rsid w:val="29AA4B3E"/>
    <w:rsid w:val="29FD638B"/>
    <w:rsid w:val="2A500BB0"/>
    <w:rsid w:val="2A636B36"/>
    <w:rsid w:val="2A810D6A"/>
    <w:rsid w:val="2AC05D36"/>
    <w:rsid w:val="2AE13EFE"/>
    <w:rsid w:val="2B2362C5"/>
    <w:rsid w:val="2BE07D12"/>
    <w:rsid w:val="2C506C46"/>
    <w:rsid w:val="2C8D7E9A"/>
    <w:rsid w:val="2D527252"/>
    <w:rsid w:val="2D7E77E3"/>
    <w:rsid w:val="2D847999"/>
    <w:rsid w:val="2DA82AB1"/>
    <w:rsid w:val="2DDC1740"/>
    <w:rsid w:val="2DE55AB4"/>
    <w:rsid w:val="2DEA4E78"/>
    <w:rsid w:val="2DF857E7"/>
    <w:rsid w:val="2E1877A0"/>
    <w:rsid w:val="2E831576"/>
    <w:rsid w:val="2EAE55F2"/>
    <w:rsid w:val="2EC4391B"/>
    <w:rsid w:val="2EDF4302"/>
    <w:rsid w:val="2EEE0998"/>
    <w:rsid w:val="2EFE1A04"/>
    <w:rsid w:val="2F3A3BDD"/>
    <w:rsid w:val="2F536BF5"/>
    <w:rsid w:val="2F837332"/>
    <w:rsid w:val="2FCE2CA3"/>
    <w:rsid w:val="2FE37DD1"/>
    <w:rsid w:val="2FFD70E5"/>
    <w:rsid w:val="2FFF3854"/>
    <w:rsid w:val="30041485"/>
    <w:rsid w:val="300A35B0"/>
    <w:rsid w:val="30281C88"/>
    <w:rsid w:val="309A09B6"/>
    <w:rsid w:val="30A17E2C"/>
    <w:rsid w:val="30CD2F5B"/>
    <w:rsid w:val="314E571E"/>
    <w:rsid w:val="31554CFE"/>
    <w:rsid w:val="31815AF3"/>
    <w:rsid w:val="318D26EA"/>
    <w:rsid w:val="31A57A34"/>
    <w:rsid w:val="31C61758"/>
    <w:rsid w:val="31DD5420"/>
    <w:rsid w:val="322223AF"/>
    <w:rsid w:val="32586854"/>
    <w:rsid w:val="326571C3"/>
    <w:rsid w:val="328A21DD"/>
    <w:rsid w:val="328E04C8"/>
    <w:rsid w:val="32B01391"/>
    <w:rsid w:val="32D560F7"/>
    <w:rsid w:val="32EB591A"/>
    <w:rsid w:val="330469DC"/>
    <w:rsid w:val="33072028"/>
    <w:rsid w:val="3333770A"/>
    <w:rsid w:val="335353F7"/>
    <w:rsid w:val="33E660E2"/>
    <w:rsid w:val="34452E08"/>
    <w:rsid w:val="34536BD1"/>
    <w:rsid w:val="3488696F"/>
    <w:rsid w:val="34936269"/>
    <w:rsid w:val="34956194"/>
    <w:rsid w:val="35441312"/>
    <w:rsid w:val="355F7EFA"/>
    <w:rsid w:val="358D4A67"/>
    <w:rsid w:val="35BBF80F"/>
    <w:rsid w:val="35DA1C76"/>
    <w:rsid w:val="35E14DB3"/>
    <w:rsid w:val="35E812DB"/>
    <w:rsid w:val="367F3A5E"/>
    <w:rsid w:val="369467D6"/>
    <w:rsid w:val="36B5701E"/>
    <w:rsid w:val="36E7464B"/>
    <w:rsid w:val="37076A9B"/>
    <w:rsid w:val="37144D14"/>
    <w:rsid w:val="371A057C"/>
    <w:rsid w:val="37F94635"/>
    <w:rsid w:val="3870241E"/>
    <w:rsid w:val="389C3213"/>
    <w:rsid w:val="38A10829"/>
    <w:rsid w:val="38F82B3F"/>
    <w:rsid w:val="390C65EA"/>
    <w:rsid w:val="39243934"/>
    <w:rsid w:val="39882115"/>
    <w:rsid w:val="3AE35129"/>
    <w:rsid w:val="3B0B3937"/>
    <w:rsid w:val="3B385475"/>
    <w:rsid w:val="3B4402BD"/>
    <w:rsid w:val="3B736F08"/>
    <w:rsid w:val="3B7BA6C9"/>
    <w:rsid w:val="3BBB7E54"/>
    <w:rsid w:val="3BD74C8E"/>
    <w:rsid w:val="3BE3D531"/>
    <w:rsid w:val="3CC80A7A"/>
    <w:rsid w:val="3CD33D9A"/>
    <w:rsid w:val="3D431A40"/>
    <w:rsid w:val="3E3B1126"/>
    <w:rsid w:val="3EFF42CA"/>
    <w:rsid w:val="3F447226"/>
    <w:rsid w:val="3F6FCA38"/>
    <w:rsid w:val="3F786788"/>
    <w:rsid w:val="3F9F3E33"/>
    <w:rsid w:val="3FD5AF3D"/>
    <w:rsid w:val="3FFED8BE"/>
    <w:rsid w:val="3FFF43BB"/>
    <w:rsid w:val="3FFF8C20"/>
    <w:rsid w:val="3FFFFC14"/>
    <w:rsid w:val="40687A9E"/>
    <w:rsid w:val="40A86BF9"/>
    <w:rsid w:val="40AD67D4"/>
    <w:rsid w:val="40FC0CF2"/>
    <w:rsid w:val="40FC3AA0"/>
    <w:rsid w:val="40FC5196"/>
    <w:rsid w:val="41BB6559"/>
    <w:rsid w:val="41BF4080"/>
    <w:rsid w:val="41FF6CEC"/>
    <w:rsid w:val="42016538"/>
    <w:rsid w:val="42167D7D"/>
    <w:rsid w:val="428216CB"/>
    <w:rsid w:val="429531AD"/>
    <w:rsid w:val="43056584"/>
    <w:rsid w:val="430C30C1"/>
    <w:rsid w:val="433DCF8E"/>
    <w:rsid w:val="43A23DD3"/>
    <w:rsid w:val="43B753A5"/>
    <w:rsid w:val="43D1290A"/>
    <w:rsid w:val="446A2417"/>
    <w:rsid w:val="44753296"/>
    <w:rsid w:val="44DE52DF"/>
    <w:rsid w:val="44E126D9"/>
    <w:rsid w:val="45230F44"/>
    <w:rsid w:val="45FF973D"/>
    <w:rsid w:val="462C3E28"/>
    <w:rsid w:val="462C421B"/>
    <w:rsid w:val="463E3B5B"/>
    <w:rsid w:val="4698770F"/>
    <w:rsid w:val="46BF3D1A"/>
    <w:rsid w:val="46BF4C9C"/>
    <w:rsid w:val="46C202E8"/>
    <w:rsid w:val="46CE1383"/>
    <w:rsid w:val="46DF533E"/>
    <w:rsid w:val="46EE1BDD"/>
    <w:rsid w:val="47097DAF"/>
    <w:rsid w:val="471274C2"/>
    <w:rsid w:val="47550EBA"/>
    <w:rsid w:val="475F022D"/>
    <w:rsid w:val="479B74B7"/>
    <w:rsid w:val="47B440D5"/>
    <w:rsid w:val="47C3256A"/>
    <w:rsid w:val="47D93B3C"/>
    <w:rsid w:val="47E66258"/>
    <w:rsid w:val="47EB7481"/>
    <w:rsid w:val="47F72214"/>
    <w:rsid w:val="48096A92"/>
    <w:rsid w:val="480F3A01"/>
    <w:rsid w:val="484511D1"/>
    <w:rsid w:val="48474F49"/>
    <w:rsid w:val="486A0C38"/>
    <w:rsid w:val="487A531F"/>
    <w:rsid w:val="48DB38E3"/>
    <w:rsid w:val="48F055E1"/>
    <w:rsid w:val="48FD1AAC"/>
    <w:rsid w:val="496658A3"/>
    <w:rsid w:val="4A534079"/>
    <w:rsid w:val="4A62250E"/>
    <w:rsid w:val="4A742B5F"/>
    <w:rsid w:val="4ABD7744"/>
    <w:rsid w:val="4AC00FE3"/>
    <w:rsid w:val="4B4439C2"/>
    <w:rsid w:val="4BF7E09D"/>
    <w:rsid w:val="4C5E4F57"/>
    <w:rsid w:val="4C806C7C"/>
    <w:rsid w:val="4C9E35A6"/>
    <w:rsid w:val="4CAA1F4A"/>
    <w:rsid w:val="4D6420F9"/>
    <w:rsid w:val="4D866514"/>
    <w:rsid w:val="4D970721"/>
    <w:rsid w:val="4E1C0C26"/>
    <w:rsid w:val="4E3221F7"/>
    <w:rsid w:val="4E650971"/>
    <w:rsid w:val="4EB8094F"/>
    <w:rsid w:val="4EE40832"/>
    <w:rsid w:val="4EEA4880"/>
    <w:rsid w:val="4F3B332E"/>
    <w:rsid w:val="4F552641"/>
    <w:rsid w:val="4F5543EF"/>
    <w:rsid w:val="4F8E7901"/>
    <w:rsid w:val="4FEB08B0"/>
    <w:rsid w:val="5012408F"/>
    <w:rsid w:val="50342257"/>
    <w:rsid w:val="506A5C79"/>
    <w:rsid w:val="50F1639A"/>
    <w:rsid w:val="52075749"/>
    <w:rsid w:val="524D46CF"/>
    <w:rsid w:val="52C202F7"/>
    <w:rsid w:val="52CA50F4"/>
    <w:rsid w:val="53123703"/>
    <w:rsid w:val="538A54BD"/>
    <w:rsid w:val="538F59F6"/>
    <w:rsid w:val="53B86CFB"/>
    <w:rsid w:val="53BB74FC"/>
    <w:rsid w:val="54057D5B"/>
    <w:rsid w:val="548D462B"/>
    <w:rsid w:val="54B716A8"/>
    <w:rsid w:val="54D97871"/>
    <w:rsid w:val="54F226E1"/>
    <w:rsid w:val="55121A8A"/>
    <w:rsid w:val="55C53951"/>
    <w:rsid w:val="55FDDF92"/>
    <w:rsid w:val="55FFBC03"/>
    <w:rsid w:val="56020701"/>
    <w:rsid w:val="564B20A8"/>
    <w:rsid w:val="566E5D97"/>
    <w:rsid w:val="56717635"/>
    <w:rsid w:val="56B440F1"/>
    <w:rsid w:val="56CDA72E"/>
    <w:rsid w:val="576F5916"/>
    <w:rsid w:val="57790489"/>
    <w:rsid w:val="577FDAE2"/>
    <w:rsid w:val="57FBE2C7"/>
    <w:rsid w:val="584E7C2E"/>
    <w:rsid w:val="586456A3"/>
    <w:rsid w:val="58A27F7A"/>
    <w:rsid w:val="58A957AC"/>
    <w:rsid w:val="58AB5080"/>
    <w:rsid w:val="58DE5456"/>
    <w:rsid w:val="59172716"/>
    <w:rsid w:val="596C0CB3"/>
    <w:rsid w:val="5979517E"/>
    <w:rsid w:val="598A2EE8"/>
    <w:rsid w:val="59902C51"/>
    <w:rsid w:val="59BB7545"/>
    <w:rsid w:val="59D625D1"/>
    <w:rsid w:val="59EF3692"/>
    <w:rsid w:val="5A2729F7"/>
    <w:rsid w:val="5A446DF9"/>
    <w:rsid w:val="5A8E6A07"/>
    <w:rsid w:val="5ABD109B"/>
    <w:rsid w:val="5B335734"/>
    <w:rsid w:val="5B377EB4"/>
    <w:rsid w:val="5B7E4CCE"/>
    <w:rsid w:val="5B7F322F"/>
    <w:rsid w:val="5BCA7F13"/>
    <w:rsid w:val="5BCAB023"/>
    <w:rsid w:val="5BEACB58"/>
    <w:rsid w:val="5BF1724E"/>
    <w:rsid w:val="5C1B251D"/>
    <w:rsid w:val="5C433822"/>
    <w:rsid w:val="5C841FC5"/>
    <w:rsid w:val="5CA46E35"/>
    <w:rsid w:val="5CAE3C46"/>
    <w:rsid w:val="5CFBB71D"/>
    <w:rsid w:val="5CFE7C29"/>
    <w:rsid w:val="5D1A27D4"/>
    <w:rsid w:val="5D375134"/>
    <w:rsid w:val="5D520569"/>
    <w:rsid w:val="5D8649C7"/>
    <w:rsid w:val="5DDA9B94"/>
    <w:rsid w:val="5EAB810D"/>
    <w:rsid w:val="5EC944B2"/>
    <w:rsid w:val="5ECB647C"/>
    <w:rsid w:val="5EFA9846"/>
    <w:rsid w:val="5EFF9DA6"/>
    <w:rsid w:val="5F7751B9"/>
    <w:rsid w:val="5F9F7232"/>
    <w:rsid w:val="5F9F9588"/>
    <w:rsid w:val="5FBD32D2"/>
    <w:rsid w:val="5FD450B0"/>
    <w:rsid w:val="5FEF60CD"/>
    <w:rsid w:val="5FFB203D"/>
    <w:rsid w:val="5FFB8CF9"/>
    <w:rsid w:val="6008100A"/>
    <w:rsid w:val="60390031"/>
    <w:rsid w:val="60397415"/>
    <w:rsid w:val="60483AFC"/>
    <w:rsid w:val="60622B7E"/>
    <w:rsid w:val="615838CB"/>
    <w:rsid w:val="61A134C4"/>
    <w:rsid w:val="61C64CD9"/>
    <w:rsid w:val="61E810F3"/>
    <w:rsid w:val="62287742"/>
    <w:rsid w:val="6311467A"/>
    <w:rsid w:val="635D341B"/>
    <w:rsid w:val="63BE3C4F"/>
    <w:rsid w:val="63DBAF21"/>
    <w:rsid w:val="64D92F75"/>
    <w:rsid w:val="64F47DAF"/>
    <w:rsid w:val="651D7306"/>
    <w:rsid w:val="65387C9C"/>
    <w:rsid w:val="655917B1"/>
    <w:rsid w:val="657A02B4"/>
    <w:rsid w:val="658904F7"/>
    <w:rsid w:val="65C23A09"/>
    <w:rsid w:val="6636451A"/>
    <w:rsid w:val="664F7993"/>
    <w:rsid w:val="6661508B"/>
    <w:rsid w:val="6663343E"/>
    <w:rsid w:val="668F1B3D"/>
    <w:rsid w:val="66A17AC3"/>
    <w:rsid w:val="66E04A8F"/>
    <w:rsid w:val="674F5770"/>
    <w:rsid w:val="676A6106"/>
    <w:rsid w:val="67CB3049"/>
    <w:rsid w:val="67D45738"/>
    <w:rsid w:val="67DE80AA"/>
    <w:rsid w:val="68024591"/>
    <w:rsid w:val="68190258"/>
    <w:rsid w:val="685C0145"/>
    <w:rsid w:val="68993147"/>
    <w:rsid w:val="68C26D33"/>
    <w:rsid w:val="68E1064A"/>
    <w:rsid w:val="69230C63"/>
    <w:rsid w:val="6942733B"/>
    <w:rsid w:val="697E3B47"/>
    <w:rsid w:val="699B2EEF"/>
    <w:rsid w:val="69BF132E"/>
    <w:rsid w:val="69C66915"/>
    <w:rsid w:val="69F820EF"/>
    <w:rsid w:val="69FD7706"/>
    <w:rsid w:val="6A274783"/>
    <w:rsid w:val="6A681023"/>
    <w:rsid w:val="6A845731"/>
    <w:rsid w:val="6A95793E"/>
    <w:rsid w:val="6AAB7162"/>
    <w:rsid w:val="6AB53B3C"/>
    <w:rsid w:val="6B005DD9"/>
    <w:rsid w:val="6B4F5D3F"/>
    <w:rsid w:val="6B5D66AE"/>
    <w:rsid w:val="6B7F84D8"/>
    <w:rsid w:val="6B9D7FCE"/>
    <w:rsid w:val="6BFEE5F3"/>
    <w:rsid w:val="6C225202"/>
    <w:rsid w:val="6C2748D0"/>
    <w:rsid w:val="6C3F5DB4"/>
    <w:rsid w:val="6CAFF34E"/>
    <w:rsid w:val="6CE32BE3"/>
    <w:rsid w:val="6CFFCF4F"/>
    <w:rsid w:val="6D2775A1"/>
    <w:rsid w:val="6DB138E3"/>
    <w:rsid w:val="6DB30807"/>
    <w:rsid w:val="6DB620A5"/>
    <w:rsid w:val="6DF1132F"/>
    <w:rsid w:val="6DFFF8B6"/>
    <w:rsid w:val="6E1D7857"/>
    <w:rsid w:val="6E277B0B"/>
    <w:rsid w:val="6E453429"/>
    <w:rsid w:val="6E515B6A"/>
    <w:rsid w:val="6E7F693B"/>
    <w:rsid w:val="6E9FE641"/>
    <w:rsid w:val="6EEDE807"/>
    <w:rsid w:val="6EEE4BE4"/>
    <w:rsid w:val="6EF65E9C"/>
    <w:rsid w:val="6F112763"/>
    <w:rsid w:val="6F2C04B1"/>
    <w:rsid w:val="6F3D33C4"/>
    <w:rsid w:val="6F3D9197"/>
    <w:rsid w:val="6F614293"/>
    <w:rsid w:val="6F6F75B6"/>
    <w:rsid w:val="6F83245B"/>
    <w:rsid w:val="6FAB3EC4"/>
    <w:rsid w:val="6FB6AF41"/>
    <w:rsid w:val="6FD52DA7"/>
    <w:rsid w:val="6FD894C8"/>
    <w:rsid w:val="6FE03BE8"/>
    <w:rsid w:val="6FE36A9E"/>
    <w:rsid w:val="6FEC1DAE"/>
    <w:rsid w:val="6FEFB2D1"/>
    <w:rsid w:val="6FFF97E6"/>
    <w:rsid w:val="70280EC2"/>
    <w:rsid w:val="70626515"/>
    <w:rsid w:val="70763D6E"/>
    <w:rsid w:val="70CB5E68"/>
    <w:rsid w:val="70D56CE6"/>
    <w:rsid w:val="71397E03"/>
    <w:rsid w:val="717E112C"/>
    <w:rsid w:val="717E2EDA"/>
    <w:rsid w:val="71834994"/>
    <w:rsid w:val="71D451F0"/>
    <w:rsid w:val="71FB5B08"/>
    <w:rsid w:val="7229553C"/>
    <w:rsid w:val="72B648F6"/>
    <w:rsid w:val="72F01BB6"/>
    <w:rsid w:val="730D3F19"/>
    <w:rsid w:val="73223D39"/>
    <w:rsid w:val="73275F9C"/>
    <w:rsid w:val="737427E7"/>
    <w:rsid w:val="737E18B7"/>
    <w:rsid w:val="73A8286A"/>
    <w:rsid w:val="73FB87D9"/>
    <w:rsid w:val="7499002B"/>
    <w:rsid w:val="74D13C69"/>
    <w:rsid w:val="74D56CA4"/>
    <w:rsid w:val="74E4574A"/>
    <w:rsid w:val="74E76FE8"/>
    <w:rsid w:val="75EF0FBA"/>
    <w:rsid w:val="76004806"/>
    <w:rsid w:val="7607C293"/>
    <w:rsid w:val="760A5684"/>
    <w:rsid w:val="76722F6C"/>
    <w:rsid w:val="76793C4E"/>
    <w:rsid w:val="767B0EE7"/>
    <w:rsid w:val="76DA2029"/>
    <w:rsid w:val="76DF08BF"/>
    <w:rsid w:val="76DF783A"/>
    <w:rsid w:val="76DFA4E8"/>
    <w:rsid w:val="76E44B45"/>
    <w:rsid w:val="77057BFA"/>
    <w:rsid w:val="771F844E"/>
    <w:rsid w:val="778720BD"/>
    <w:rsid w:val="77A7D615"/>
    <w:rsid w:val="77B92EBE"/>
    <w:rsid w:val="77FF366A"/>
    <w:rsid w:val="77FF8C96"/>
    <w:rsid w:val="77FFA8F9"/>
    <w:rsid w:val="78100D89"/>
    <w:rsid w:val="7840538D"/>
    <w:rsid w:val="78A53442"/>
    <w:rsid w:val="78AD0549"/>
    <w:rsid w:val="79621333"/>
    <w:rsid w:val="7976604B"/>
    <w:rsid w:val="79B871A5"/>
    <w:rsid w:val="79DC2E94"/>
    <w:rsid w:val="79F3BC78"/>
    <w:rsid w:val="7A1563A6"/>
    <w:rsid w:val="7A37456E"/>
    <w:rsid w:val="7A3F3423"/>
    <w:rsid w:val="7A5B6CAA"/>
    <w:rsid w:val="7A815907"/>
    <w:rsid w:val="7A9314AC"/>
    <w:rsid w:val="7ACA3634"/>
    <w:rsid w:val="7B4F6850"/>
    <w:rsid w:val="7B6C6499"/>
    <w:rsid w:val="7BABD5C4"/>
    <w:rsid w:val="7BB12055"/>
    <w:rsid w:val="7BBFADBA"/>
    <w:rsid w:val="7BD227A0"/>
    <w:rsid w:val="7BD81D81"/>
    <w:rsid w:val="7BF7F9C6"/>
    <w:rsid w:val="7BFF492D"/>
    <w:rsid w:val="7C631402"/>
    <w:rsid w:val="7C6B49A3"/>
    <w:rsid w:val="7C978C63"/>
    <w:rsid w:val="7CA35AD0"/>
    <w:rsid w:val="7CDF8BC3"/>
    <w:rsid w:val="7CEB72A5"/>
    <w:rsid w:val="7CFE75C5"/>
    <w:rsid w:val="7D18750B"/>
    <w:rsid w:val="7D24527D"/>
    <w:rsid w:val="7D341239"/>
    <w:rsid w:val="7D425704"/>
    <w:rsid w:val="7D7D673C"/>
    <w:rsid w:val="7DDFDC39"/>
    <w:rsid w:val="7DFDEECD"/>
    <w:rsid w:val="7E140770"/>
    <w:rsid w:val="7E5D92FB"/>
    <w:rsid w:val="7E635AE7"/>
    <w:rsid w:val="7EBB44F8"/>
    <w:rsid w:val="7EF51D64"/>
    <w:rsid w:val="7EFFF488"/>
    <w:rsid w:val="7F17671C"/>
    <w:rsid w:val="7F574612"/>
    <w:rsid w:val="7F71407E"/>
    <w:rsid w:val="7F7F4920"/>
    <w:rsid w:val="7F9D05A9"/>
    <w:rsid w:val="7FAE0E2E"/>
    <w:rsid w:val="7FB7C299"/>
    <w:rsid w:val="7FBFFB92"/>
    <w:rsid w:val="7FD13DE3"/>
    <w:rsid w:val="7FD76ACB"/>
    <w:rsid w:val="7FD89DA2"/>
    <w:rsid w:val="7FDBD805"/>
    <w:rsid w:val="7FDEC14D"/>
    <w:rsid w:val="7FDF8B76"/>
    <w:rsid w:val="7FDFE693"/>
    <w:rsid w:val="7FEFB5DD"/>
    <w:rsid w:val="7FEFBBD9"/>
    <w:rsid w:val="7FFD6A57"/>
    <w:rsid w:val="7FFDA7EC"/>
    <w:rsid w:val="7FFDEA1E"/>
    <w:rsid w:val="7FFEC1F6"/>
    <w:rsid w:val="7FFF0917"/>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79A608"/>
    <w:rsid w:val="B5F66F24"/>
    <w:rsid w:val="B7F5200A"/>
    <w:rsid w:val="BABDA1AA"/>
    <w:rsid w:val="BB1B4BF1"/>
    <w:rsid w:val="BBE5FE68"/>
    <w:rsid w:val="BBFEB9C1"/>
    <w:rsid w:val="BDF7406A"/>
    <w:rsid w:val="BE6FD8DB"/>
    <w:rsid w:val="BEEF57C2"/>
    <w:rsid w:val="BF6CD6FF"/>
    <w:rsid w:val="BF6D5596"/>
    <w:rsid w:val="BFBEBB2C"/>
    <w:rsid w:val="BFC68935"/>
    <w:rsid w:val="BFDD0F1D"/>
    <w:rsid w:val="BFDDD096"/>
    <w:rsid w:val="C5B3F496"/>
    <w:rsid w:val="C96F3E49"/>
    <w:rsid w:val="CBBF14F3"/>
    <w:rsid w:val="CBE5DCF2"/>
    <w:rsid w:val="CCFCC735"/>
    <w:rsid w:val="CEEB8A74"/>
    <w:rsid w:val="D37FB642"/>
    <w:rsid w:val="D7F99798"/>
    <w:rsid w:val="D7FF400C"/>
    <w:rsid w:val="D9DB2628"/>
    <w:rsid w:val="DBED1CD4"/>
    <w:rsid w:val="DBFBB328"/>
    <w:rsid w:val="DDD7453A"/>
    <w:rsid w:val="DE3E1FD7"/>
    <w:rsid w:val="DEBFCF8E"/>
    <w:rsid w:val="DFBE1B79"/>
    <w:rsid w:val="DFCF1FEC"/>
    <w:rsid w:val="DFE75A3D"/>
    <w:rsid w:val="DFED2117"/>
    <w:rsid w:val="DFEF594B"/>
    <w:rsid w:val="DFF3F960"/>
    <w:rsid w:val="DFFE0D61"/>
    <w:rsid w:val="E35C4B3C"/>
    <w:rsid w:val="E3A781CA"/>
    <w:rsid w:val="E5DFAB50"/>
    <w:rsid w:val="E6FC647F"/>
    <w:rsid w:val="EAE6D6D4"/>
    <w:rsid w:val="EBFBC8F1"/>
    <w:rsid w:val="EBFDF757"/>
    <w:rsid w:val="ED758B5D"/>
    <w:rsid w:val="ED76A08D"/>
    <w:rsid w:val="EDBDD81F"/>
    <w:rsid w:val="EDFDB542"/>
    <w:rsid w:val="EF0FCF96"/>
    <w:rsid w:val="EF7F3FF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6BEF9AB"/>
    <w:rsid w:val="F7E7F921"/>
    <w:rsid w:val="F7F7AC6A"/>
    <w:rsid w:val="F7FD93B9"/>
    <w:rsid w:val="F8D9A400"/>
    <w:rsid w:val="FABF64A5"/>
    <w:rsid w:val="FABF7411"/>
    <w:rsid w:val="FBA53981"/>
    <w:rsid w:val="FBE4457E"/>
    <w:rsid w:val="FBFC558A"/>
    <w:rsid w:val="FBFF71AC"/>
    <w:rsid w:val="FBFFEA2B"/>
    <w:rsid w:val="FCCB27AA"/>
    <w:rsid w:val="FCFF8F4B"/>
    <w:rsid w:val="FD9595AD"/>
    <w:rsid w:val="FDDF4F05"/>
    <w:rsid w:val="FDF9DD9A"/>
    <w:rsid w:val="FDFD5427"/>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AF540A"/>
    <w:rsid w:val="FFB75E44"/>
    <w:rsid w:val="FFBB1E09"/>
    <w:rsid w:val="FFBB6A0C"/>
    <w:rsid w:val="FFBD894B"/>
    <w:rsid w:val="FFBF33B3"/>
    <w:rsid w:val="FFD09362"/>
    <w:rsid w:val="FFD1DA08"/>
    <w:rsid w:val="FFD54B8A"/>
    <w:rsid w:val="FFD7DEDD"/>
    <w:rsid w:val="FFDE369F"/>
    <w:rsid w:val="FFEF98C9"/>
    <w:rsid w:val="FFEFCE62"/>
    <w:rsid w:val="FFF973B0"/>
    <w:rsid w:val="FFFB4F05"/>
    <w:rsid w:val="FFFEC8F5"/>
    <w:rsid w:val="FFFEF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beforeLines="50" w:line="360" w:lineRule="auto"/>
      <w:ind w:firstLine="480" w:firstLineChars="200"/>
    </w:pPr>
    <w:rPr>
      <w:rFonts w:eastAsia="仿宋"/>
      <w:sz w:val="24"/>
      <w:szCs w:val="23"/>
      <w:lang w:eastAsia="ar-SA"/>
    </w:rPr>
  </w:style>
  <w:style w:type="paragraph" w:styleId="4">
    <w:name w:val="Document Map"/>
    <w:basedOn w:val="1"/>
    <w:link w:val="21"/>
    <w:qFormat/>
    <w:uiPriority w:val="0"/>
    <w:rPr>
      <w:rFonts w:ascii="宋体" w:eastAsia="宋体"/>
      <w:sz w:val="18"/>
      <w:szCs w:val="18"/>
    </w:rPr>
  </w:style>
  <w:style w:type="paragraph" w:styleId="5">
    <w:name w:val="Body Text Indent"/>
    <w:basedOn w:val="1"/>
    <w:qFormat/>
    <w:uiPriority w:val="0"/>
    <w:pPr>
      <w:spacing w:after="120"/>
      <w:ind w:left="200" w:leftChars="200"/>
    </w:pPr>
    <w:rPr>
      <w:rFonts w:ascii="仿宋_GB2312"/>
      <w:szCs w:val="32"/>
    </w:rPr>
  </w:style>
  <w:style w:type="paragraph" w:styleId="6">
    <w:name w:val="Balloon Text"/>
    <w:basedOn w:val="1"/>
    <w:semiHidden/>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1"/>
    <w:unhideWhenUsed/>
    <w:qFormat/>
    <w:uiPriority w:val="99"/>
    <w:pPr>
      <w:spacing w:before="0"/>
      <w:ind w:firstLine="420" w:firstLineChars="100"/>
    </w:pPr>
    <w:rPr>
      <w:rFonts w:eastAsia="仿宋"/>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9">
    <w:name w:val="四号正文"/>
    <w:basedOn w:val="1"/>
    <w:link w:val="20"/>
    <w:qFormat/>
    <w:uiPriority w:val="0"/>
    <w:pPr>
      <w:spacing w:line="360" w:lineRule="auto"/>
    </w:pPr>
    <w:rPr>
      <w:rFonts w:ascii="??" w:hAnsi="??" w:eastAsia="宋体" w:cs="宋体"/>
      <w:color w:val="000000"/>
      <w:kern w:val="0"/>
      <w:sz w:val="28"/>
      <w:szCs w:val="21"/>
    </w:rPr>
  </w:style>
  <w:style w:type="character" w:customStyle="1" w:styleId="20">
    <w:name w:val="四号正文 Char"/>
    <w:basedOn w:val="15"/>
    <w:link w:val="19"/>
    <w:qFormat/>
    <w:uiPriority w:val="0"/>
    <w:rPr>
      <w:rFonts w:ascii="??" w:hAnsi="??" w:eastAsia="宋体" w:cs="宋体"/>
      <w:color w:val="000000"/>
      <w:sz w:val="28"/>
      <w:szCs w:val="21"/>
      <w:lang w:val="en-US" w:eastAsia="zh-CN" w:bidi="ar-SA"/>
    </w:rPr>
  </w:style>
  <w:style w:type="character" w:customStyle="1" w:styleId="21">
    <w:name w:val="文档结构图 Char"/>
    <w:basedOn w:val="15"/>
    <w:link w:val="4"/>
    <w:qFormat/>
    <w:uiPriority w:val="0"/>
    <w:rPr>
      <w:rFonts w:ascii="宋体"/>
      <w:kern w:val="2"/>
      <w:sz w:val="18"/>
      <w:szCs w:val="18"/>
    </w:rPr>
  </w:style>
  <w:style w:type="paragraph" w:customStyle="1" w:styleId="22">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页脚 Char"/>
    <w:basedOn w:val="15"/>
    <w:link w:val="7"/>
    <w:qFormat/>
    <w:uiPriority w:val="99"/>
    <w:rPr>
      <w:kern w:val="2"/>
      <w:sz w:val="18"/>
      <w:szCs w:val="18"/>
    </w:rPr>
  </w:style>
  <w:style w:type="character" w:customStyle="1" w:styleId="24">
    <w:name w:val="font31"/>
    <w:basedOn w:val="15"/>
    <w:qFormat/>
    <w:uiPriority w:val="0"/>
    <w:rPr>
      <w:rFonts w:hint="eastAsia" w:ascii="宋体" w:hAnsi="宋体" w:eastAsia="宋体" w:cs="宋体"/>
      <w:color w:val="000000"/>
      <w:sz w:val="24"/>
      <w:szCs w:val="24"/>
      <w:u w:val="none"/>
    </w:rPr>
  </w:style>
  <w:style w:type="character" w:customStyle="1" w:styleId="25">
    <w:name w:val="font51"/>
    <w:basedOn w:val="15"/>
    <w:qFormat/>
    <w:uiPriority w:val="0"/>
    <w:rPr>
      <w:rFonts w:hint="default" w:ascii="Wingdings 2" w:hAnsi="Wingdings 2" w:eastAsia="Wingdings 2" w:cs="Wingdings 2"/>
      <w:color w:val="000000"/>
      <w:sz w:val="18"/>
      <w:szCs w:val="18"/>
      <w:u w:val="none"/>
    </w:rPr>
  </w:style>
  <w:style w:type="character" w:customStyle="1" w:styleId="26">
    <w:name w:val="font01"/>
    <w:basedOn w:val="15"/>
    <w:qFormat/>
    <w:uiPriority w:val="0"/>
    <w:rPr>
      <w:rFonts w:ascii="宋体" w:hAnsi="宋体" w:eastAsia="宋体" w:cs="宋体"/>
      <w:color w:val="000000"/>
      <w:sz w:val="18"/>
      <w:szCs w:val="18"/>
      <w:u w:val="none"/>
    </w:rPr>
  </w:style>
  <w:style w:type="character" w:customStyle="1" w:styleId="27">
    <w:name w:val="font41"/>
    <w:basedOn w:val="15"/>
    <w:qFormat/>
    <w:uiPriority w:val="0"/>
    <w:rPr>
      <w:rFonts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b/>
      <w:bCs/>
      <w:color w:val="000000"/>
      <w:sz w:val="21"/>
      <w:szCs w:val="21"/>
      <w:u w:val="none"/>
    </w:rPr>
  </w:style>
  <w:style w:type="character" w:customStyle="1" w:styleId="29">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11</Pages>
  <Words>5119</Words>
  <Characters>5759</Characters>
  <Lines>20</Lines>
  <Paragraphs>5</Paragraphs>
  <TotalTime>21</TotalTime>
  <ScaleCrop>false</ScaleCrop>
  <LinksUpToDate>false</LinksUpToDate>
  <CharactersWithSpaces>5766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2019-06-02T11:06:00Z</dcterms:created>
  <dc:creator>陈萍</dc:creator>
  <cp:lastModifiedBy>bjy</cp:lastModifiedBy>
  <cp:lastPrinted>2026-06-12T08:39:49Z</cp:lastPrinted>
  <dcterms:modified xsi:type="dcterms:W3CDTF">2026-06-12T08:49:45Z</dcterms:modified>
  <dc:title>区域性就业培训基地建设项目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EA0448A1106B0901B2EE4969E222A9A1</vt:lpwstr>
  </property>
  <property fmtid="{D5CDD505-2E9C-101B-9397-08002B2CF9AE}" pid="4" name="KSOTemplateDocerSaveRecord">
    <vt:lpwstr>eyJoZGlkIjoiNmViMjY4YTg0Mjg1OWM4ZTI0ZWI2MDMyZDI4NThjNzMifQ==</vt:lpwstr>
  </property>
</Properties>
</file>