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eastAsia="黑体"/>
          <w:sz w:val="32"/>
          <w:szCs w:val="32"/>
        </w:rPr>
      </w:pPr>
      <w:bookmarkStart w:id="0" w:name="_Toc6715"/>
      <w:r>
        <w:rPr>
          <w:rFonts w:ascii="黑体" w:eastAsia="黑体"/>
          <w:sz w:val="32"/>
          <w:szCs w:val="32"/>
        </w:rPr>
        <w:t>附件</w:t>
      </w:r>
      <w:r>
        <w:rPr>
          <w:rFonts w:hint="eastAsia" w:ascii="黑体" w:eastAsia="黑体"/>
          <w:sz w:val="32"/>
          <w:szCs w:val="32"/>
        </w:rPr>
        <w:t>2</w:t>
      </w:r>
      <w:bookmarkEnd w:id="0"/>
    </w:p>
    <w:p/>
    <w:p/>
    <w:p/>
    <w:p>
      <w:pPr>
        <w:ind w:firstLine="1050" w:firstLineChars="500"/>
      </w:pPr>
    </w:p>
    <w:p>
      <w:pPr>
        <w:ind w:firstLine="1050" w:firstLineChars="500"/>
      </w:pPr>
    </w:p>
    <w:p>
      <w:pPr>
        <w:ind w:firstLine="1760" w:firstLineChars="400"/>
        <w:rPr>
          <w:rFonts w:ascii="黑体" w:eastAsia="黑体"/>
          <w:sz w:val="44"/>
          <w:szCs w:val="44"/>
        </w:rPr>
      </w:pPr>
    </w:p>
    <w:p>
      <w:pPr>
        <w:jc w:val="center"/>
        <w:outlineLvl w:val="0"/>
        <w:rPr>
          <w:rFonts w:hint="eastAsia" w:ascii="黑体" w:eastAsia="黑体" w:cs="黑体"/>
          <w:sz w:val="72"/>
          <w:szCs w:val="72"/>
          <w:lang w:val="en-US" w:eastAsia="zh-CN" w:bidi="ar-SA"/>
        </w:rPr>
      </w:pPr>
      <w:bookmarkStart w:id="1" w:name="_Toc15869"/>
      <w:bookmarkStart w:id="2" w:name="_Toc32392"/>
      <w:bookmarkStart w:id="3" w:name="_Toc23418"/>
      <w:bookmarkStart w:id="4" w:name="_Toc6014"/>
      <w:r>
        <w:rPr>
          <w:rFonts w:hint="eastAsia" w:ascii="黑体" w:eastAsia="黑体" w:cs="黑体"/>
          <w:sz w:val="72"/>
          <w:szCs w:val="72"/>
          <w:lang w:val="en-US" w:eastAsia="zh-CN" w:bidi="ar-SA"/>
        </w:rPr>
        <w:t>壤塘县中壤塘镇人民政府</w:t>
      </w:r>
      <w:bookmarkEnd w:id="1"/>
      <w:bookmarkEnd w:id="2"/>
      <w:bookmarkEnd w:id="3"/>
      <w:bookmarkEnd w:id="4"/>
    </w:p>
    <w:p>
      <w:pPr>
        <w:jc w:val="center"/>
        <w:rPr>
          <w:rFonts w:hint="eastAsia" w:ascii="黑体" w:eastAsia="黑体" w:cs="Times New Roman"/>
          <w:sz w:val="72"/>
          <w:szCs w:val="72"/>
          <w:lang w:bidi="ar-SA"/>
        </w:rPr>
      </w:pPr>
      <w:r>
        <w:rPr>
          <w:rFonts w:hint="eastAsia" w:ascii="黑体" w:eastAsia="黑体" w:cs="黑体"/>
          <w:sz w:val="72"/>
          <w:szCs w:val="72"/>
          <w:lang w:eastAsia="zh-CN" w:bidi="ar-SA"/>
        </w:rPr>
        <w:t>202</w:t>
      </w:r>
      <w:r>
        <w:rPr>
          <w:rFonts w:hint="eastAsia" w:ascii="黑体" w:eastAsia="黑体" w:cs="黑体"/>
          <w:sz w:val="72"/>
          <w:szCs w:val="72"/>
          <w:lang w:val="en-US" w:eastAsia="zh-CN" w:bidi="ar-SA"/>
        </w:rPr>
        <w:t>6</w:t>
      </w:r>
      <w:r>
        <w:rPr>
          <w:rFonts w:hint="eastAsia" w:ascii="黑体" w:eastAsia="黑体" w:cs="黑体"/>
          <w:sz w:val="72"/>
          <w:szCs w:val="72"/>
          <w:lang w:eastAsia="zh-CN" w:bidi="ar-SA"/>
        </w:rPr>
        <w:t>年</w:t>
      </w:r>
      <w:r>
        <w:rPr>
          <w:rFonts w:hint="eastAsia" w:ascii="黑体" w:eastAsia="黑体" w:cs="黑体"/>
          <w:sz w:val="72"/>
          <w:szCs w:val="72"/>
          <w:lang w:bidi="ar-SA"/>
        </w:rPr>
        <w:t>部门预算</w:t>
      </w:r>
    </w:p>
    <w:p>
      <w:pPr>
        <w:jc w:val="cente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6"/>
        <w:ind w:left="0" w:leftChars="0" w:firstLine="0" w:firstLineChars="0"/>
      </w:pPr>
    </w:p>
    <w:p>
      <w:pPr>
        <w:ind w:firstLine="2080" w:firstLineChars="400"/>
        <w:jc w:val="both"/>
        <w:rPr>
          <w:rFonts w:hint="eastAsia" w:ascii="黑体" w:eastAsia="黑体" w:cs="Times New Roman"/>
          <w:sz w:val="52"/>
          <w:szCs w:val="52"/>
          <w:highlight w:val="none"/>
          <w:lang w:bidi="ar-SA"/>
        </w:rPr>
      </w:pPr>
      <w:r>
        <w:rPr>
          <w:rFonts w:hint="eastAsia" w:ascii="黑体" w:eastAsia="黑体" w:cs="黑体"/>
          <w:sz w:val="52"/>
          <w:szCs w:val="52"/>
          <w:highlight w:val="none"/>
          <w:lang w:val="en-US" w:eastAsia="zh-CN" w:bidi="ar-SA"/>
        </w:rPr>
        <w:t>2026</w:t>
      </w:r>
      <w:r>
        <w:rPr>
          <w:rFonts w:hint="eastAsia" w:ascii="黑体" w:eastAsia="黑体" w:cs="黑体"/>
          <w:sz w:val="52"/>
          <w:szCs w:val="52"/>
          <w:highlight w:val="none"/>
          <w:lang w:bidi="ar-SA"/>
        </w:rPr>
        <w:t>年</w:t>
      </w:r>
      <w:r>
        <w:rPr>
          <w:rFonts w:hint="eastAsia" w:ascii="黑体" w:eastAsia="黑体" w:cs="黑体"/>
          <w:sz w:val="52"/>
          <w:szCs w:val="52"/>
          <w:highlight w:val="none"/>
          <w:lang w:val="en-US" w:eastAsia="zh-CN" w:bidi="ar-SA"/>
        </w:rPr>
        <w:t>1</w:t>
      </w:r>
      <w:r>
        <w:rPr>
          <w:rFonts w:hint="eastAsia" w:ascii="黑体" w:eastAsia="黑体" w:cs="黑体"/>
          <w:sz w:val="52"/>
          <w:szCs w:val="52"/>
          <w:highlight w:val="none"/>
          <w:lang w:bidi="ar-SA"/>
        </w:rPr>
        <w:t>月</w:t>
      </w:r>
      <w:r>
        <w:rPr>
          <w:rFonts w:hint="eastAsia" w:ascii="黑体" w:eastAsia="黑体" w:cs="黑体"/>
          <w:sz w:val="52"/>
          <w:szCs w:val="52"/>
          <w:highlight w:val="none"/>
          <w:lang w:val="en-US" w:eastAsia="zh-CN" w:bidi="ar-SA"/>
        </w:rPr>
        <w:t>29</w:t>
      </w:r>
      <w:r>
        <w:rPr>
          <w:rFonts w:hint="eastAsia" w:ascii="黑体" w:eastAsia="黑体" w:cs="黑体"/>
          <w:sz w:val="52"/>
          <w:szCs w:val="52"/>
          <w:highlight w:val="none"/>
          <w:lang w:bidi="ar-SA"/>
        </w:rPr>
        <w:t>日</w:t>
      </w:r>
    </w:p>
    <w:sdt>
      <w:sdtPr>
        <w:rPr>
          <w:rFonts w:ascii="宋体" w:hAnsi="宋体" w:eastAsia="宋体" w:cs="Times New Roman"/>
          <w:b/>
          <w:bCs/>
          <w:kern w:val="2"/>
          <w:sz w:val="36"/>
          <w:szCs w:val="40"/>
          <w:lang w:val="en-US" w:eastAsia="zh-CN" w:bidi="ar-SA"/>
        </w:rPr>
        <w:id w:val="147465274"/>
        <w15:color w:val="DBDBDB"/>
        <w:docPartObj>
          <w:docPartGallery w:val="Table of Contents"/>
          <w:docPartUnique/>
        </w:docPartObj>
      </w:sdtPr>
      <w:sdtEndPr>
        <w:rPr>
          <w:rFonts w:ascii="黑体" w:hAnsi="Calibri" w:eastAsia="黑体" w:cs="Times New Roman"/>
          <w:b/>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b/>
              <w:bCs/>
              <w:sz w:val="48"/>
              <w:szCs w:val="52"/>
            </w:rPr>
          </w:pPr>
          <w:r>
            <w:rPr>
              <w:rFonts w:ascii="宋体" w:hAnsi="宋体" w:eastAsia="宋体"/>
              <w:b/>
              <w:bCs/>
              <w:sz w:val="48"/>
              <w:szCs w:val="52"/>
            </w:rPr>
            <w:t>目</w:t>
          </w:r>
          <w:r>
            <w:rPr>
              <w:rFonts w:hint="eastAsia" w:ascii="宋体" w:hAnsi="宋体" w:eastAsia="宋体"/>
              <w:b/>
              <w:bCs/>
              <w:sz w:val="48"/>
              <w:szCs w:val="52"/>
              <w:lang w:val="en-US" w:eastAsia="zh-CN"/>
            </w:rPr>
            <w:t xml:space="preserve">  </w:t>
          </w:r>
          <w:r>
            <w:rPr>
              <w:rFonts w:ascii="宋体" w:hAnsi="宋体" w:eastAsia="宋体"/>
              <w:b/>
              <w:bCs/>
              <w:sz w:val="48"/>
              <w:szCs w:val="52"/>
            </w:rPr>
            <w:t>录</w:t>
          </w:r>
        </w:p>
        <w:p>
          <w:pPr>
            <w:pStyle w:val="16"/>
            <w:tabs>
              <w:tab w:val="right" w:leader="dot" w:pos="8306"/>
            </w:tabs>
            <w:rPr>
              <w:sz w:val="24"/>
              <w:szCs w:val="24"/>
            </w:rPr>
          </w:pPr>
          <w:r>
            <w:rPr>
              <w:rFonts w:ascii="黑体" w:eastAsia="黑体"/>
              <w:sz w:val="56"/>
              <w:szCs w:val="56"/>
            </w:rPr>
            <w:fldChar w:fldCharType="begin"/>
          </w:r>
          <w:r>
            <w:rPr>
              <w:rFonts w:ascii="黑体" w:eastAsia="黑体"/>
              <w:sz w:val="56"/>
              <w:szCs w:val="56"/>
            </w:rPr>
            <w:instrText xml:space="preserve">TOC \o "1-3" \h \u </w:instrText>
          </w:r>
          <w:r>
            <w:rPr>
              <w:rFonts w:ascii="黑体" w:eastAsia="黑体"/>
              <w:sz w:val="56"/>
              <w:szCs w:val="56"/>
            </w:rPr>
            <w:fldChar w:fldCharType="separate"/>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_Toc21826 </w:instrText>
          </w:r>
          <w:r>
            <w:rPr>
              <w:rFonts w:ascii="黑体" w:eastAsia="黑体"/>
              <w:sz w:val="28"/>
              <w:szCs w:val="60"/>
            </w:rPr>
            <w:fldChar w:fldCharType="separate"/>
          </w:r>
          <w:r>
            <w:rPr>
              <w:rFonts w:hint="eastAsia" w:ascii="黑体" w:hAnsi="黑体" w:eastAsia="黑体" w:cs="黑体"/>
              <w:sz w:val="28"/>
              <w:szCs w:val="48"/>
            </w:rPr>
            <w:t>一、基本职能及主要工作</w:t>
          </w:r>
          <w:r>
            <w:rPr>
              <w:sz w:val="28"/>
              <w:szCs w:val="28"/>
            </w:rPr>
            <w:tab/>
          </w:r>
          <w:r>
            <w:rPr>
              <w:sz w:val="28"/>
              <w:szCs w:val="28"/>
            </w:rPr>
            <w:fldChar w:fldCharType="begin"/>
          </w:r>
          <w:r>
            <w:rPr>
              <w:sz w:val="28"/>
              <w:szCs w:val="28"/>
            </w:rPr>
            <w:instrText xml:space="preserve"> PAGEREF _Toc21826 \h </w:instrText>
          </w:r>
          <w:r>
            <w:rPr>
              <w:sz w:val="28"/>
              <w:szCs w:val="28"/>
            </w:rPr>
            <w:fldChar w:fldCharType="separate"/>
          </w:r>
          <w:r>
            <w:rPr>
              <w:sz w:val="28"/>
              <w:szCs w:val="28"/>
            </w:rPr>
            <w:t>1</w:t>
          </w:r>
          <w:r>
            <w:rPr>
              <w:sz w:val="28"/>
              <w:szCs w:val="28"/>
            </w:rPr>
            <w:fldChar w:fldCharType="end"/>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_Toc15565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（一）壤塘县中壤塘镇人民政府职能简介</w:t>
          </w:r>
          <w:r>
            <w:rPr>
              <w:sz w:val="28"/>
              <w:szCs w:val="28"/>
            </w:rPr>
            <w:tab/>
          </w:r>
          <w:r>
            <w:rPr>
              <w:sz w:val="28"/>
              <w:szCs w:val="28"/>
            </w:rPr>
            <w:fldChar w:fldCharType="begin"/>
          </w:r>
          <w:r>
            <w:rPr>
              <w:sz w:val="28"/>
              <w:szCs w:val="28"/>
            </w:rPr>
            <w:instrText xml:space="preserve"> PAGEREF _Toc15565 \h </w:instrText>
          </w:r>
          <w:r>
            <w:rPr>
              <w:sz w:val="28"/>
              <w:szCs w:val="28"/>
            </w:rPr>
            <w:fldChar w:fldCharType="separate"/>
          </w:r>
          <w:r>
            <w:rPr>
              <w:sz w:val="28"/>
              <w:szCs w:val="28"/>
            </w:rPr>
            <w:t>1</w:t>
          </w:r>
          <w:r>
            <w:rPr>
              <w:sz w:val="28"/>
              <w:szCs w:val="28"/>
            </w:rPr>
            <w:fldChar w:fldCharType="end"/>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_Toc9682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（二）中壤塘镇人民政府2026年重点工作</w:t>
          </w:r>
          <w:r>
            <w:rPr>
              <w:sz w:val="28"/>
              <w:szCs w:val="28"/>
            </w:rPr>
            <w:tab/>
          </w:r>
          <w:r>
            <w:rPr>
              <w:sz w:val="28"/>
              <w:szCs w:val="28"/>
            </w:rPr>
            <w:fldChar w:fldCharType="begin"/>
          </w:r>
          <w:r>
            <w:rPr>
              <w:sz w:val="28"/>
              <w:szCs w:val="28"/>
            </w:rPr>
            <w:instrText xml:space="preserve"> PAGEREF _Toc9682 \h </w:instrText>
          </w:r>
          <w:r>
            <w:rPr>
              <w:sz w:val="28"/>
              <w:szCs w:val="28"/>
            </w:rPr>
            <w:fldChar w:fldCharType="separate"/>
          </w:r>
          <w:r>
            <w:rPr>
              <w:sz w:val="28"/>
              <w:szCs w:val="28"/>
            </w:rPr>
            <w:t>2</w:t>
          </w:r>
          <w:r>
            <w:rPr>
              <w:sz w:val="28"/>
              <w:szCs w:val="28"/>
            </w:rPr>
            <w:fldChar w:fldCharType="end"/>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_Toc23983 </w:instrText>
          </w:r>
          <w:r>
            <w:rPr>
              <w:rFonts w:ascii="黑体" w:eastAsia="黑体"/>
              <w:sz w:val="28"/>
              <w:szCs w:val="60"/>
            </w:rPr>
            <w:fldChar w:fldCharType="separate"/>
          </w:r>
          <w:r>
            <w:rPr>
              <w:rFonts w:hint="eastAsia" w:ascii="黑体" w:hAnsi="黑体" w:eastAsia="黑体" w:cs="黑体"/>
              <w:sz w:val="28"/>
              <w:szCs w:val="48"/>
              <w:lang w:val="en-US" w:eastAsia="zh-CN"/>
            </w:rPr>
            <w:t>二</w:t>
          </w:r>
          <w:r>
            <w:rPr>
              <w:rFonts w:hint="eastAsia" w:ascii="黑体" w:hAnsi="黑体" w:eastAsia="黑体" w:cs="黑体"/>
              <w:sz w:val="28"/>
              <w:szCs w:val="48"/>
            </w:rPr>
            <w:t>、部门预算单位构成</w:t>
          </w:r>
          <w:r>
            <w:rPr>
              <w:sz w:val="28"/>
              <w:szCs w:val="28"/>
            </w:rPr>
            <w:tab/>
          </w:r>
          <w:r>
            <w:rPr>
              <w:rFonts w:hint="eastAsia"/>
              <w:sz w:val="28"/>
              <w:szCs w:val="28"/>
              <w:lang w:val="en-US" w:eastAsia="zh-CN"/>
            </w:rPr>
            <w:t>3</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_Toc4967 </w:instrText>
          </w:r>
          <w:r>
            <w:rPr>
              <w:rFonts w:ascii="黑体" w:eastAsia="黑体"/>
              <w:sz w:val="28"/>
              <w:szCs w:val="60"/>
            </w:rPr>
            <w:fldChar w:fldCharType="separate"/>
          </w:r>
          <w:r>
            <w:rPr>
              <w:rFonts w:hint="eastAsia" w:ascii="黑体" w:hAnsi="黑体" w:eastAsia="黑体" w:cs="黑体"/>
              <w:sz w:val="28"/>
              <w:szCs w:val="48"/>
              <w:lang w:val="en-US" w:eastAsia="zh-CN"/>
            </w:rPr>
            <w:t>三、收支预算情况说明</w:t>
          </w:r>
          <w:r>
            <w:rPr>
              <w:sz w:val="28"/>
              <w:szCs w:val="28"/>
            </w:rPr>
            <w:tab/>
          </w:r>
          <w:r>
            <w:rPr>
              <w:rFonts w:hint="eastAsia"/>
              <w:sz w:val="28"/>
              <w:szCs w:val="28"/>
              <w:lang w:val="en-US" w:eastAsia="zh-CN"/>
            </w:rPr>
            <w:t>3</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_Toc22784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（一）收入预算情况</w:t>
          </w:r>
          <w:r>
            <w:rPr>
              <w:sz w:val="28"/>
              <w:szCs w:val="28"/>
            </w:rPr>
            <w:tab/>
          </w:r>
          <w:r>
            <w:rPr>
              <w:rFonts w:hint="eastAsia"/>
              <w:sz w:val="28"/>
              <w:szCs w:val="28"/>
              <w:lang w:val="en-US" w:eastAsia="zh-CN"/>
            </w:rPr>
            <w:t>3</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_Toc6117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（二）支出预算情况</w:t>
          </w:r>
          <w:r>
            <w:rPr>
              <w:sz w:val="28"/>
              <w:szCs w:val="28"/>
            </w:rPr>
            <w:tab/>
          </w:r>
          <w:r>
            <w:rPr>
              <w:rFonts w:hint="eastAsia"/>
              <w:sz w:val="28"/>
              <w:szCs w:val="28"/>
              <w:lang w:val="en-US" w:eastAsia="zh-CN"/>
            </w:rPr>
            <w:t>3</w:t>
          </w:r>
          <w:r>
            <w:rPr>
              <w:rFonts w:ascii="黑体" w:eastAsia="黑体"/>
              <w:sz w:val="28"/>
              <w:szCs w:val="60"/>
            </w:rPr>
            <w:fldChar w:fldCharType="end"/>
          </w:r>
        </w:p>
        <w:p>
          <w:pPr>
            <w:pStyle w:val="16"/>
            <w:tabs>
              <w:tab w:val="right" w:leader="dot" w:pos="8306"/>
            </w:tabs>
            <w:rPr>
              <w:sz w:val="16"/>
              <w:szCs w:val="36"/>
            </w:rPr>
          </w:pPr>
          <w:r>
            <w:rPr>
              <w:rFonts w:ascii="黑体" w:eastAsia="黑体"/>
              <w:sz w:val="28"/>
              <w:szCs w:val="60"/>
            </w:rPr>
            <w:fldChar w:fldCharType="begin"/>
          </w:r>
          <w:r>
            <w:rPr>
              <w:rFonts w:ascii="黑体" w:eastAsia="黑体"/>
              <w:sz w:val="28"/>
              <w:szCs w:val="60"/>
            </w:rPr>
            <w:instrText xml:space="preserve"> HYPERLINK \l _Toc8280 </w:instrText>
          </w:r>
          <w:r>
            <w:rPr>
              <w:rFonts w:ascii="黑体" w:eastAsia="黑体"/>
              <w:sz w:val="28"/>
              <w:szCs w:val="60"/>
            </w:rPr>
            <w:fldChar w:fldCharType="separate"/>
          </w:r>
          <w:r>
            <w:rPr>
              <w:rFonts w:hint="eastAsia" w:ascii="黑体" w:hAnsi="黑体" w:eastAsia="黑体" w:cs="黑体"/>
              <w:sz w:val="28"/>
              <w:szCs w:val="48"/>
              <w:lang w:val="en-US" w:eastAsia="zh-CN"/>
            </w:rPr>
            <w:t>四、财政拨款收支预算情况说明</w:t>
          </w:r>
          <w:r>
            <w:rPr>
              <w:sz w:val="28"/>
              <w:szCs w:val="28"/>
            </w:rPr>
            <w:tab/>
          </w:r>
          <w:r>
            <w:rPr>
              <w:rFonts w:hint="eastAsia"/>
              <w:sz w:val="28"/>
              <w:szCs w:val="28"/>
              <w:lang w:val="en-US" w:eastAsia="zh-CN"/>
            </w:rPr>
            <w:t>3</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_Toc6922 </w:instrText>
          </w:r>
          <w:r>
            <w:rPr>
              <w:rFonts w:ascii="黑体" w:eastAsia="黑体"/>
              <w:sz w:val="28"/>
              <w:szCs w:val="60"/>
            </w:rPr>
            <w:fldChar w:fldCharType="separate"/>
          </w:r>
          <w:r>
            <w:rPr>
              <w:rFonts w:hint="eastAsia" w:ascii="黑体" w:hAnsi="黑体" w:eastAsia="黑体" w:cs="黑体"/>
              <w:sz w:val="28"/>
              <w:szCs w:val="48"/>
              <w:lang w:val="en-US" w:eastAsia="zh-CN"/>
            </w:rPr>
            <w:t>五、一般公共预算当年拨款情况说明</w:t>
          </w:r>
          <w:r>
            <w:rPr>
              <w:sz w:val="28"/>
              <w:szCs w:val="28"/>
            </w:rPr>
            <w:tab/>
          </w:r>
          <w:r>
            <w:rPr>
              <w:rFonts w:hint="eastAsia"/>
              <w:sz w:val="28"/>
              <w:szCs w:val="28"/>
              <w:lang w:val="en-US" w:eastAsia="zh-CN"/>
            </w:rPr>
            <w:t>4</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_Toc1157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（一）一般公共预算当年拨款规模变化情况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_Toc14925 </w:instrText>
          </w:r>
          <w:r>
            <w:rPr>
              <w:rFonts w:ascii="黑体" w:eastAsia="黑体"/>
              <w:sz w:val="28"/>
              <w:szCs w:val="60"/>
            </w:rPr>
            <w:fldChar w:fldCharType="separate"/>
          </w:r>
          <w:r>
            <w:rPr>
              <w:rFonts w:hint="eastAsia" w:ascii="楷体" w:hAnsi="楷体" w:eastAsia="楷体" w:cs="楷体"/>
              <w:sz w:val="28"/>
              <w:szCs w:val="28"/>
              <w:lang w:val="en-US" w:eastAsia="zh-CN"/>
            </w:rPr>
            <w:t>（二）一般公共预算当年拨款结构情况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_Toc1406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（三）一般公共预算当年拨款具体使用情况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_Toc26312 </w:instrText>
          </w:r>
          <w:r>
            <w:rPr>
              <w:rFonts w:ascii="黑体" w:eastAsia="黑体"/>
              <w:sz w:val="28"/>
              <w:szCs w:val="60"/>
            </w:rPr>
            <w:fldChar w:fldCharType="separate"/>
          </w:r>
          <w:r>
            <w:rPr>
              <w:rFonts w:hint="eastAsia" w:ascii="黑体" w:hAnsi="黑体" w:eastAsia="黑体" w:cs="黑体"/>
              <w:sz w:val="28"/>
              <w:szCs w:val="48"/>
              <w:lang w:val="en-US" w:eastAsia="zh-CN"/>
            </w:rPr>
            <w:t>六、一般公共预算基本支出情况说明</w:t>
          </w:r>
          <w:r>
            <w:rPr>
              <w:sz w:val="28"/>
              <w:szCs w:val="28"/>
            </w:rPr>
            <w:tab/>
          </w:r>
          <w:r>
            <w:rPr>
              <w:rFonts w:hint="eastAsia"/>
              <w:sz w:val="28"/>
              <w:szCs w:val="28"/>
              <w:lang w:val="en-US" w:eastAsia="zh-CN"/>
            </w:rPr>
            <w:t>7</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_Toc9977 </w:instrText>
          </w:r>
          <w:r>
            <w:rPr>
              <w:rFonts w:ascii="黑体" w:eastAsia="黑体"/>
              <w:sz w:val="28"/>
              <w:szCs w:val="60"/>
            </w:rPr>
            <w:fldChar w:fldCharType="separate"/>
          </w:r>
          <w:r>
            <w:rPr>
              <w:rFonts w:hint="eastAsia" w:ascii="黑体" w:hAnsi="黑体" w:eastAsia="黑体" w:cs="黑体"/>
              <w:sz w:val="28"/>
              <w:szCs w:val="48"/>
              <w:lang w:val="en-US" w:eastAsia="zh-CN"/>
            </w:rPr>
            <w:t>七、“三公”经费财政拨款预算安排情况说明</w:t>
          </w:r>
          <w:r>
            <w:rPr>
              <w:sz w:val="28"/>
              <w:szCs w:val="28"/>
            </w:rPr>
            <w:tab/>
          </w:r>
          <w:r>
            <w:rPr>
              <w:rFonts w:hint="eastAsia"/>
              <w:sz w:val="28"/>
              <w:szCs w:val="28"/>
              <w:lang w:val="en-US" w:eastAsia="zh-CN"/>
            </w:rPr>
            <w:t>7</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_Toc15817 </w:instrText>
          </w:r>
          <w:r>
            <w:rPr>
              <w:rFonts w:ascii="黑体" w:eastAsia="黑体"/>
              <w:sz w:val="28"/>
              <w:szCs w:val="60"/>
            </w:rPr>
            <w:fldChar w:fldCharType="separate"/>
          </w:r>
          <w:r>
            <w:rPr>
              <w:rFonts w:hint="eastAsia" w:ascii="黑体" w:hAnsi="黑体" w:eastAsia="黑体" w:cs="黑体"/>
              <w:sz w:val="28"/>
              <w:szCs w:val="48"/>
              <w:lang w:val="en-US" w:eastAsia="zh-CN"/>
            </w:rPr>
            <w:t>八、政府性基金预算支出情况说明</w:t>
          </w:r>
          <w:r>
            <w:rPr>
              <w:sz w:val="28"/>
              <w:szCs w:val="28"/>
            </w:rPr>
            <w:tab/>
          </w:r>
          <w:r>
            <w:rPr>
              <w:rFonts w:hint="eastAsia"/>
              <w:sz w:val="28"/>
              <w:szCs w:val="28"/>
              <w:lang w:val="en-US" w:eastAsia="zh-CN"/>
            </w:rPr>
            <w:t>8</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_Toc18148 </w:instrText>
          </w:r>
          <w:r>
            <w:rPr>
              <w:rFonts w:ascii="黑体" w:eastAsia="黑体"/>
              <w:sz w:val="28"/>
              <w:szCs w:val="60"/>
            </w:rPr>
            <w:fldChar w:fldCharType="separate"/>
          </w:r>
          <w:r>
            <w:rPr>
              <w:rFonts w:hint="eastAsia" w:ascii="黑体" w:hAnsi="黑体" w:eastAsia="黑体" w:cs="黑体"/>
              <w:sz w:val="28"/>
              <w:szCs w:val="48"/>
              <w:lang w:val="en-US" w:eastAsia="zh-CN"/>
            </w:rPr>
            <w:t>九、其他重要事项的情况说明</w:t>
          </w:r>
          <w:r>
            <w:rPr>
              <w:sz w:val="28"/>
              <w:szCs w:val="28"/>
            </w:rPr>
            <w:tab/>
          </w:r>
          <w:r>
            <w:rPr>
              <w:rFonts w:hint="eastAsia"/>
              <w:sz w:val="28"/>
              <w:szCs w:val="28"/>
              <w:lang w:val="en-US" w:eastAsia="zh-CN"/>
            </w:rPr>
            <w:t>8</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_Toc2014 </w:instrText>
          </w:r>
          <w:r>
            <w:rPr>
              <w:rFonts w:ascii="黑体" w:eastAsia="黑体"/>
              <w:sz w:val="28"/>
              <w:szCs w:val="60"/>
            </w:rPr>
            <w:fldChar w:fldCharType="separate"/>
          </w:r>
          <w:r>
            <w:rPr>
              <w:rFonts w:hint="eastAsia" w:ascii="楷体" w:hAnsi="楷体" w:eastAsia="楷体" w:cs="楷体"/>
              <w:sz w:val="28"/>
              <w:szCs w:val="28"/>
              <w:lang w:val="en-US" w:eastAsia="zh-CN"/>
            </w:rPr>
            <w:t>（一）机关运行经费</w:t>
          </w:r>
          <w:r>
            <w:rPr>
              <w:sz w:val="28"/>
              <w:szCs w:val="28"/>
            </w:rPr>
            <w:tab/>
          </w:r>
          <w:r>
            <w:rPr>
              <w:rFonts w:hint="eastAsia"/>
              <w:sz w:val="28"/>
              <w:szCs w:val="28"/>
              <w:lang w:val="en-US" w:eastAsia="zh-CN"/>
            </w:rPr>
            <w:t>8</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_Toc8511 </w:instrText>
          </w:r>
          <w:r>
            <w:rPr>
              <w:rFonts w:ascii="黑体" w:eastAsia="黑体"/>
              <w:sz w:val="28"/>
              <w:szCs w:val="60"/>
            </w:rPr>
            <w:fldChar w:fldCharType="separate"/>
          </w:r>
          <w:r>
            <w:rPr>
              <w:rFonts w:hint="eastAsia" w:ascii="楷体" w:hAnsi="楷体" w:eastAsia="楷体" w:cs="楷体"/>
              <w:sz w:val="28"/>
              <w:szCs w:val="28"/>
            </w:rPr>
            <w:t>（二）政府采购情况</w:t>
          </w:r>
          <w:r>
            <w:rPr>
              <w:sz w:val="28"/>
              <w:szCs w:val="28"/>
            </w:rPr>
            <w:tab/>
          </w:r>
          <w:r>
            <w:rPr>
              <w:rFonts w:hint="eastAsia"/>
              <w:sz w:val="28"/>
              <w:szCs w:val="28"/>
              <w:lang w:val="en-US" w:eastAsia="zh-CN"/>
            </w:rPr>
            <w:t>8</w:t>
          </w:r>
          <w:r>
            <w:rPr>
              <w:rFonts w:ascii="黑体" w:eastAsia="黑体"/>
              <w:sz w:val="28"/>
              <w:szCs w:val="60"/>
            </w:rPr>
            <w:fldChar w:fldCharType="end"/>
          </w:r>
        </w:p>
        <w:p>
          <w:pPr>
            <w:pStyle w:val="17"/>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_Toc11421 </w:instrText>
          </w:r>
          <w:r>
            <w:rPr>
              <w:rFonts w:ascii="黑体" w:eastAsia="黑体"/>
              <w:sz w:val="28"/>
              <w:szCs w:val="60"/>
            </w:rPr>
            <w:fldChar w:fldCharType="separate"/>
          </w:r>
          <w:r>
            <w:rPr>
              <w:rFonts w:hint="eastAsia" w:ascii="楷体" w:hAnsi="楷体" w:eastAsia="楷体" w:cs="楷体"/>
              <w:sz w:val="28"/>
              <w:szCs w:val="28"/>
            </w:rPr>
            <w:t>（三）国有资产占有使用情况</w:t>
          </w:r>
          <w:r>
            <w:rPr>
              <w:sz w:val="28"/>
              <w:szCs w:val="28"/>
            </w:rPr>
            <w:tab/>
          </w:r>
          <w:r>
            <w:rPr>
              <w:rFonts w:hint="eastAsia"/>
              <w:sz w:val="28"/>
              <w:szCs w:val="28"/>
              <w:lang w:val="en-US" w:eastAsia="zh-CN"/>
            </w:rPr>
            <w:t>8</w:t>
          </w:r>
          <w:r>
            <w:rPr>
              <w:rFonts w:ascii="黑体" w:eastAsia="黑体"/>
              <w:sz w:val="28"/>
              <w:szCs w:val="60"/>
            </w:rPr>
            <w:fldChar w:fldCharType="end"/>
          </w:r>
          <w:bookmarkStart w:id="31" w:name="_GoBack"/>
          <w:bookmarkEnd w:id="31"/>
        </w:p>
        <w:p>
          <w:pPr>
            <w:pStyle w:val="17"/>
            <w:tabs>
              <w:tab w:val="right" w:leader="dot" w:pos="8306"/>
            </w:tabs>
            <w:rPr>
              <w:rFonts w:hint="eastAsia" w:eastAsia="黑体"/>
              <w:sz w:val="28"/>
              <w:szCs w:val="28"/>
              <w:lang w:val="en-US" w:eastAsia="zh-CN"/>
            </w:rPr>
          </w:pPr>
          <w:r>
            <w:rPr>
              <w:rFonts w:ascii="黑体" w:eastAsia="黑体"/>
              <w:sz w:val="28"/>
              <w:szCs w:val="60"/>
            </w:rPr>
            <w:fldChar w:fldCharType="begin"/>
          </w:r>
          <w:r>
            <w:rPr>
              <w:rFonts w:ascii="黑体" w:eastAsia="黑体"/>
              <w:sz w:val="28"/>
              <w:szCs w:val="60"/>
            </w:rPr>
            <w:instrText xml:space="preserve"> HYPERLINK \l _Toc32437 </w:instrText>
          </w:r>
          <w:r>
            <w:rPr>
              <w:rFonts w:ascii="黑体" w:eastAsia="黑体"/>
              <w:sz w:val="28"/>
              <w:szCs w:val="60"/>
            </w:rPr>
            <w:fldChar w:fldCharType="separate"/>
          </w:r>
          <w:r>
            <w:rPr>
              <w:rFonts w:hint="eastAsia" w:ascii="楷体" w:hAnsi="楷体" w:eastAsia="楷体" w:cs="楷体"/>
              <w:sz w:val="28"/>
              <w:szCs w:val="28"/>
            </w:rPr>
            <w:t>（四）绩效目标设置情况</w:t>
          </w:r>
          <w:r>
            <w:rPr>
              <w:sz w:val="28"/>
              <w:szCs w:val="28"/>
            </w:rPr>
            <w:tab/>
          </w:r>
          <w:r>
            <w:rPr>
              <w:rFonts w:hint="eastAsia"/>
              <w:sz w:val="28"/>
              <w:szCs w:val="28"/>
              <w:lang w:val="en-US" w:eastAsia="zh-CN"/>
            </w:rPr>
            <w:t>8</w:t>
          </w:r>
          <w:r>
            <w:rPr>
              <w:rFonts w:ascii="黑体" w:eastAsia="黑体"/>
              <w:sz w:val="28"/>
              <w:szCs w:val="60"/>
            </w:rPr>
            <w:fldChar w:fldCharType="end"/>
          </w:r>
        </w:p>
        <w:p>
          <w:pPr>
            <w:pStyle w:val="16"/>
            <w:tabs>
              <w:tab w:val="right" w:leader="dot" w:pos="8306"/>
            </w:tabs>
            <w:rPr>
              <w:rFonts w:hint="eastAsia" w:eastAsia="黑体"/>
              <w:sz w:val="28"/>
              <w:szCs w:val="28"/>
              <w:lang w:val="en-US" w:eastAsia="zh-CN"/>
            </w:rPr>
          </w:pPr>
          <w:r>
            <w:rPr>
              <w:rFonts w:ascii="黑体" w:eastAsia="黑体"/>
              <w:sz w:val="28"/>
              <w:szCs w:val="60"/>
            </w:rPr>
            <w:fldChar w:fldCharType="begin"/>
          </w:r>
          <w:r>
            <w:rPr>
              <w:rFonts w:ascii="黑体" w:eastAsia="黑体"/>
              <w:sz w:val="28"/>
              <w:szCs w:val="60"/>
            </w:rPr>
            <w:instrText xml:space="preserve"> HYPERLINK \l _Toc31685 </w:instrText>
          </w:r>
          <w:r>
            <w:rPr>
              <w:rFonts w:ascii="黑体" w:eastAsia="黑体"/>
              <w:sz w:val="28"/>
              <w:szCs w:val="60"/>
            </w:rPr>
            <w:fldChar w:fldCharType="separate"/>
          </w:r>
          <w:r>
            <w:rPr>
              <w:rFonts w:hint="eastAsia" w:ascii="黑体" w:hAnsi="黑体" w:eastAsia="黑体" w:cs="黑体"/>
              <w:sz w:val="28"/>
              <w:szCs w:val="48"/>
              <w:lang w:val="en-US" w:eastAsia="zh-CN"/>
            </w:rPr>
            <w:t xml:space="preserve">十、名称解释 </w:t>
          </w:r>
          <w:r>
            <w:rPr>
              <w:sz w:val="28"/>
              <w:szCs w:val="28"/>
            </w:rPr>
            <w:tab/>
          </w:r>
          <w:r>
            <w:rPr>
              <w:rFonts w:hint="eastAsia"/>
              <w:sz w:val="28"/>
              <w:szCs w:val="28"/>
              <w:lang w:val="en-US" w:eastAsia="zh-CN"/>
            </w:rPr>
            <w:t>9</w:t>
          </w:r>
          <w:r>
            <w:rPr>
              <w:rFonts w:ascii="黑体" w:eastAsia="黑体"/>
              <w:sz w:val="28"/>
              <w:szCs w:val="60"/>
            </w:rPr>
            <w:fldChar w:fldCharType="end"/>
          </w:r>
        </w:p>
        <w:p>
          <w:pPr>
            <w:rPr>
              <w:rFonts w:ascii="黑体" w:eastAsia="黑体"/>
              <w:sz w:val="28"/>
              <w:szCs w:val="56"/>
            </w:rPr>
            <w:sectPr>
              <w:headerReference r:id="rId3" w:type="default"/>
              <w:pgSz w:w="11906" w:h="16838"/>
              <w:pgMar w:top="1440" w:right="1800" w:bottom="1440" w:left="1800" w:header="851" w:footer="992" w:gutter="0"/>
              <w:pgNumType w:fmt="decimal" w:start="1"/>
              <w:cols w:space="720" w:num="1"/>
              <w:docGrid w:type="lines" w:linePitch="312" w:charSpace="0"/>
            </w:sectPr>
          </w:pPr>
        </w:p>
        <w:p>
          <w:r>
            <w:rPr>
              <w:rFonts w:ascii="黑体" w:eastAsia="黑体"/>
              <w:sz w:val="28"/>
              <w:szCs w:val="56"/>
            </w:rPr>
            <w:fldChar w:fldCharType="end"/>
          </w:r>
        </w:p>
      </w:sdtContent>
    </w:sdt>
    <w:p>
      <w:pPr>
        <w:pStyle w:val="13"/>
        <w:spacing w:before="0" w:line="360" w:lineRule="auto"/>
        <w:ind w:firstLine="640" w:firstLineChars="200"/>
        <w:outlineLvl w:val="0"/>
        <w:rPr>
          <w:rFonts w:hint="eastAsia" w:ascii="黑体" w:hAnsi="Times New Roman" w:eastAsia="黑体" w:cs="黑体"/>
          <w:kern w:val="2"/>
          <w:sz w:val="32"/>
          <w:szCs w:val="32"/>
          <w:highlight w:val="none"/>
          <w:lang w:val="en-US" w:eastAsia="zh-CN" w:bidi="ar-SA"/>
        </w:rPr>
      </w:pPr>
      <w:bookmarkStart w:id="5" w:name="_Toc21826"/>
      <w:r>
        <w:rPr>
          <w:rFonts w:hint="eastAsia" w:ascii="黑体" w:hAnsi="Times New Roman" w:eastAsia="黑体" w:cs="黑体"/>
          <w:kern w:val="2"/>
          <w:sz w:val="32"/>
          <w:szCs w:val="32"/>
          <w:highlight w:val="none"/>
          <w:lang w:val="en-US" w:eastAsia="zh-CN" w:bidi="ar-SA"/>
        </w:rPr>
        <w:t>一、基本职能及主要工作</w:t>
      </w:r>
      <w:bookmarkEnd w:id="5"/>
    </w:p>
    <w:p>
      <w:pPr>
        <w:pStyle w:val="13"/>
        <w:spacing w:before="0" w:line="360" w:lineRule="auto"/>
        <w:ind w:firstLine="640" w:firstLineChars="200"/>
        <w:outlineLvl w:val="0"/>
        <w:rPr>
          <w:rFonts w:hint="eastAsia" w:ascii="黑体" w:hAnsi="Times New Roman" w:eastAsia="黑体" w:cs="黑体"/>
          <w:kern w:val="2"/>
          <w:sz w:val="32"/>
          <w:szCs w:val="32"/>
          <w:highlight w:val="none"/>
          <w:lang w:val="en-US" w:eastAsia="zh-CN" w:bidi="ar-SA"/>
        </w:rPr>
      </w:pPr>
      <w:bookmarkStart w:id="6" w:name="_Toc20180"/>
      <w:bookmarkStart w:id="7" w:name="_Toc15565"/>
      <w:bookmarkStart w:id="8" w:name="_Toc5968"/>
      <w:bookmarkStart w:id="9" w:name="_Toc29515"/>
      <w:r>
        <w:rPr>
          <w:rFonts w:hint="eastAsia" w:ascii="黑体" w:hAnsi="Times New Roman" w:eastAsia="黑体" w:cs="黑体"/>
          <w:kern w:val="2"/>
          <w:sz w:val="32"/>
          <w:szCs w:val="32"/>
          <w:highlight w:val="none"/>
          <w:lang w:val="en-US" w:eastAsia="zh-CN" w:bidi="ar-SA"/>
        </w:rPr>
        <w:t>（一）壤塘县中壤塘镇人民政府职能简介</w:t>
      </w:r>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eastAsia="仿宋_GB2312"/>
          <w:sz w:val="32"/>
          <w:szCs w:val="32"/>
          <w:highlight w:val="none"/>
        </w:rPr>
      </w:pPr>
      <w:bookmarkStart w:id="10" w:name="_Toc9682"/>
      <w:r>
        <w:rPr>
          <w:rFonts w:hint="eastAsia" w:ascii="仿宋_GB2312" w:eastAsia="仿宋_GB2312" w:cs="仿宋_GB2312"/>
          <w:sz w:val="32"/>
          <w:szCs w:val="32"/>
          <w:highlight w:val="none"/>
          <w:lang w:val="en-US" w:eastAsia="zh-CN" w:bidi="ar-SA"/>
        </w:rPr>
        <w:t>1.</w:t>
      </w:r>
      <w:r>
        <w:rPr>
          <w:rFonts w:hint="eastAsia" w:ascii="仿宋_GB2312" w:eastAsia="仿宋_GB2312" w:cs="仿宋_GB2312"/>
          <w:sz w:val="32"/>
          <w:szCs w:val="32"/>
          <w:highlight w:val="none"/>
          <w:lang w:bidi="ar-SA"/>
        </w:rPr>
        <w:t>执行本级人民代表大会的决议和上级国家行政机关的决定和命令，在辖区内发布决定和命令</w:t>
      </w:r>
      <w:r>
        <w:rPr>
          <w:rFonts w:hint="eastAsia" w:ascii="仿宋_GB2312" w:eastAsia="仿宋_GB2312" w:cs="仿宋_GB2312"/>
          <w:sz w:val="32"/>
          <w:szCs w:val="32"/>
          <w:highlight w:val="none"/>
          <w:lang w:eastAsia="zh-CN" w:bidi="ar-SA"/>
        </w:rPr>
        <w:t>；</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2</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按照国家宪法和法律，行使对本辖区内的行政及民政事务的管理；</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3</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制定</w:t>
      </w:r>
      <w:r>
        <w:rPr>
          <w:rFonts w:hint="eastAsia" w:ascii="仿宋_GB2312" w:eastAsia="仿宋_GB2312" w:cs="仿宋_GB2312"/>
          <w:sz w:val="32"/>
          <w:szCs w:val="32"/>
          <w:highlight w:val="none"/>
          <w:lang w:eastAsia="zh-CN" w:bidi="ar-SA"/>
        </w:rPr>
        <w:t>本单位</w:t>
      </w:r>
      <w:r>
        <w:rPr>
          <w:rFonts w:hint="eastAsia" w:ascii="仿宋_GB2312" w:eastAsia="仿宋_GB2312" w:cs="仿宋_GB2312"/>
          <w:sz w:val="32"/>
          <w:szCs w:val="32"/>
          <w:highlight w:val="none"/>
          <w:lang w:bidi="ar-SA"/>
        </w:rPr>
        <w:t>的经济和社会发展规划，并组织实施；组织和领导行政经济体制改革，协调本行政区域村民委员会与各经济组织之间的关系；</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4</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组织规划财政管理的各项收入，管理范围内的各项财政支出和行政筹集、分配和使用的资金；</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5</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负责管理对外经济技术交流与合作，开展经济信息预测工作，推广科学技术成果；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6</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对</w:t>
      </w:r>
      <w:r>
        <w:rPr>
          <w:rFonts w:hint="eastAsia" w:ascii="仿宋_GB2312" w:eastAsia="仿宋_GB2312" w:cs="仿宋_GB2312"/>
          <w:sz w:val="32"/>
          <w:szCs w:val="32"/>
          <w:highlight w:val="none"/>
          <w:lang w:eastAsia="zh-CN" w:bidi="ar-SA"/>
        </w:rPr>
        <w:t>本单位</w:t>
      </w:r>
      <w:r>
        <w:rPr>
          <w:rFonts w:hint="eastAsia" w:ascii="仿宋_GB2312" w:eastAsia="仿宋_GB2312" w:cs="仿宋_GB2312"/>
          <w:sz w:val="32"/>
          <w:szCs w:val="32"/>
          <w:highlight w:val="none"/>
          <w:lang w:bidi="ar-SA"/>
        </w:rPr>
        <w:t>各项社会建设进行宏观管理，抓好环境卫生整治工作；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7</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加强基本农田水利建设和道路、桥梁等的建设，加强土地的统一管理、统筹规划，协助有关部门做好地质灾害的防治工作;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8</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负责农村土地承包管理、农民负担监督管理、农村集体资产财务管理；</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9</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组织和开展社会主义精神文明活动，正确调解和处理人民内部矛盾，认真调解民事纠纷；</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cs="Calibri"/>
          <w:kern w:val="2"/>
          <w:sz w:val="21"/>
          <w:szCs w:val="21"/>
          <w:highlight w:val="none"/>
          <w:lang w:val="en-US" w:eastAsia="zh-CN" w:bidi="ar-SA"/>
        </w:rPr>
      </w:pPr>
      <w:r>
        <w:rPr>
          <w:rFonts w:hint="eastAsia" w:ascii="仿宋_GB2312" w:eastAsia="仿宋_GB2312" w:cs="仿宋_GB2312"/>
          <w:sz w:val="32"/>
          <w:szCs w:val="32"/>
          <w:highlight w:val="none"/>
          <w:lang w:bidi="ar-SA"/>
        </w:rPr>
        <w:t>　　10</w:t>
      </w:r>
      <w:r>
        <w:rPr>
          <w:rFonts w:hint="eastAsia" w:ascii="仿宋_GB2312" w:eastAsia="仿宋_GB2312" w:cs="仿宋_GB2312"/>
          <w:sz w:val="32"/>
          <w:szCs w:val="32"/>
          <w:highlight w:val="none"/>
          <w:lang w:val="en-US" w:eastAsia="zh-CN" w:bidi="ar-SA"/>
        </w:rPr>
        <w:t>.</w:t>
      </w:r>
      <w:r>
        <w:rPr>
          <w:rFonts w:hint="eastAsia" w:ascii="仿宋_GB2312" w:eastAsia="仿宋_GB2312" w:cs="仿宋_GB2312"/>
          <w:sz w:val="32"/>
          <w:szCs w:val="32"/>
          <w:highlight w:val="none"/>
          <w:lang w:bidi="ar-SA"/>
        </w:rPr>
        <w:t>充分发挥行政职能，组织和开展</w:t>
      </w:r>
      <w:r>
        <w:rPr>
          <w:rFonts w:hint="eastAsia" w:ascii="仿宋_GB2312" w:eastAsia="仿宋_GB2312" w:cs="仿宋_GB2312"/>
          <w:sz w:val="32"/>
          <w:szCs w:val="32"/>
          <w:highlight w:val="none"/>
          <w:lang w:eastAsia="zh-CN" w:bidi="ar-SA"/>
        </w:rPr>
        <w:t>本地</w:t>
      </w:r>
      <w:r>
        <w:rPr>
          <w:rFonts w:hint="eastAsia" w:ascii="仿宋_GB2312" w:eastAsia="仿宋_GB2312" w:cs="仿宋_GB2312"/>
          <w:sz w:val="32"/>
          <w:szCs w:val="32"/>
          <w:highlight w:val="none"/>
          <w:lang w:bidi="ar-SA"/>
        </w:rPr>
        <w:t>的文化、教育、卫生、民政和科技等工作；</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highlight w:val="none"/>
          <w:lang w:bidi="ar-SA"/>
        </w:rPr>
      </w:pPr>
      <w:r>
        <w:rPr>
          <w:rFonts w:hint="eastAsia" w:ascii="仿宋_GB2312" w:eastAsia="仿宋_GB2312" w:cs="仿宋_GB2312"/>
          <w:sz w:val="32"/>
          <w:szCs w:val="32"/>
          <w:highlight w:val="none"/>
          <w:lang w:val="en-US" w:eastAsia="zh-CN" w:bidi="ar-SA"/>
        </w:rPr>
        <w:t>11.</w:t>
      </w:r>
      <w:r>
        <w:rPr>
          <w:rFonts w:hint="eastAsia" w:ascii="仿宋_GB2312" w:eastAsia="仿宋_GB2312" w:cs="仿宋_GB2312"/>
          <w:sz w:val="32"/>
          <w:szCs w:val="32"/>
          <w:highlight w:val="none"/>
          <w:lang w:bidi="ar-SA"/>
        </w:rPr>
        <w:t>根据经济发展需要，建立经济、技术咨询服务机构，向经济组织和农牧民提供全面服务。</w:t>
      </w:r>
      <w:r>
        <w:rPr>
          <w:rFonts w:eastAsia="仿宋_GB2312"/>
          <w:sz w:val="32"/>
          <w:szCs w:val="32"/>
          <w:highlight w:val="none"/>
        </w:rPr>
        <w:t> </w:t>
      </w:r>
      <w:r>
        <w:rPr>
          <w:rFonts w:hint="default" w:ascii="Times New Roman" w:hAnsi="Times New Roman" w:eastAsia="仿宋_GB2312" w:cs="Times New Roman"/>
          <w:sz w:val="32"/>
          <w:szCs w:val="32"/>
          <w:highlight w:val="none"/>
          <w:lang w:bidi="ar-SA"/>
        </w:rPr>
        <w:t> </w:t>
      </w:r>
    </w:p>
    <w:p>
      <w:pPr>
        <w:pStyle w:val="13"/>
        <w:spacing w:before="0" w:line="360" w:lineRule="auto"/>
        <w:ind w:firstLine="643" w:firstLineChars="200"/>
        <w:outlineLvl w:val="1"/>
        <w:rPr>
          <w:rFonts w:hint="eastAsia" w:ascii="楷体_GB2312" w:hAnsi="Times New Roman" w:eastAsia="楷体_GB2312" w:cs="楷体_GB2312"/>
          <w:b/>
          <w:bCs/>
          <w:kern w:val="2"/>
          <w:sz w:val="32"/>
          <w:szCs w:val="32"/>
          <w:highlight w:val="none"/>
          <w:lang w:val="en-US" w:eastAsia="zh-CN" w:bidi="ar-SA"/>
        </w:rPr>
      </w:pPr>
      <w:r>
        <w:rPr>
          <w:rFonts w:hint="eastAsia" w:ascii="楷体_GB2312" w:hAnsi="Times New Roman" w:eastAsia="楷体_GB2312" w:cs="楷体_GB2312"/>
          <w:b/>
          <w:bCs/>
          <w:kern w:val="2"/>
          <w:sz w:val="32"/>
          <w:szCs w:val="32"/>
          <w:highlight w:val="none"/>
          <w:lang w:val="en-US" w:eastAsia="zh-CN" w:bidi="ar-SA"/>
        </w:rPr>
        <w:t>（二）中壤塘镇人民政府2026年重点工作</w:t>
      </w:r>
      <w:bookmarkEnd w:id="10"/>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cs="仿宋_GB2312"/>
          <w:sz w:val="32"/>
          <w:szCs w:val="32"/>
          <w:highlight w:val="none"/>
          <w:lang w:val="en-US" w:eastAsia="zh-CN" w:bidi="ar-SA"/>
        </w:rPr>
      </w:pPr>
      <w:bookmarkStart w:id="11" w:name="_Toc23983"/>
      <w:r>
        <w:rPr>
          <w:rFonts w:hint="eastAsia" w:ascii="仿宋_GB2312" w:eastAsia="仿宋_GB2312" w:cs="仿宋_GB2312"/>
          <w:sz w:val="32"/>
          <w:szCs w:val="32"/>
          <w:highlight w:val="none"/>
          <w:lang w:val="en-US" w:eastAsia="zh-CN" w:bidi="ar-SA"/>
        </w:rPr>
        <w:t>2026年重点推进以下工作：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highlight w:val="none"/>
          <w:lang w:val="en-US" w:eastAsia="zh-CN" w:bidi="ar-SA"/>
        </w:rPr>
      </w:pPr>
      <w:r>
        <w:rPr>
          <w:rFonts w:hint="eastAsia" w:ascii="仿宋_GB2312" w:eastAsia="仿宋_GB2312" w:cs="仿宋_GB2312"/>
          <w:b/>
          <w:bCs/>
          <w:sz w:val="32"/>
          <w:szCs w:val="32"/>
          <w:highlight w:val="none"/>
          <w:lang w:val="en-US" w:eastAsia="zh-CN" w:bidi="ar-SA"/>
        </w:rPr>
        <w:t>一是持续扩大文化传承与品牌影响力。</w:t>
      </w:r>
      <w:r>
        <w:rPr>
          <w:rFonts w:hint="eastAsia" w:ascii="仿宋_GB2312" w:eastAsia="仿宋_GB2312" w:cs="仿宋_GB2312"/>
          <w:sz w:val="32"/>
          <w:szCs w:val="32"/>
          <w:highlight w:val="none"/>
          <w:lang w:val="en-US" w:eastAsia="zh-CN" w:bidi="ar-SA"/>
        </w:rPr>
        <w:t>通过非遗展览、非遗研学、文化交流活动，持续提升“非遗传承地，魅力中壤塘”的知名度和影响力。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highlight w:val="none"/>
          <w:lang w:val="en-US" w:eastAsia="zh-CN" w:bidi="ar-SA"/>
        </w:rPr>
      </w:pPr>
      <w:r>
        <w:rPr>
          <w:rFonts w:hint="eastAsia" w:ascii="仿宋_GB2312" w:eastAsia="仿宋_GB2312" w:cs="仿宋_GB2312"/>
          <w:b/>
          <w:bCs/>
          <w:sz w:val="32"/>
          <w:szCs w:val="32"/>
          <w:highlight w:val="none"/>
          <w:lang w:val="en-US" w:eastAsia="zh-CN" w:bidi="ar-SA"/>
        </w:rPr>
        <w:t>二是深化文旅融合，打造特色体验目的地。</w:t>
      </w:r>
      <w:r>
        <w:rPr>
          <w:rFonts w:hint="eastAsia" w:ascii="仿宋_GB2312" w:eastAsia="仿宋_GB2312" w:cs="仿宋_GB2312"/>
          <w:sz w:val="32"/>
          <w:szCs w:val="32"/>
          <w:highlight w:val="none"/>
          <w:lang w:val="en-US" w:eastAsia="zh-CN" w:bidi="ar-SA"/>
        </w:rPr>
        <w:t>构建“生态+文化”产品体系：依托南莫且湿地、海子山，推出沉浸式活动；开设牦牛绒编织、藏式刺绣等体验课，邀请非遗传承人驻场教学。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highlight w:val="none"/>
          <w:lang w:val="en-US" w:eastAsia="zh-CN" w:bidi="ar-SA"/>
        </w:rPr>
      </w:pPr>
      <w:r>
        <w:rPr>
          <w:rFonts w:hint="eastAsia" w:ascii="仿宋_GB2312" w:eastAsia="仿宋_GB2312" w:cs="仿宋_GB2312"/>
          <w:b/>
          <w:bCs/>
          <w:sz w:val="32"/>
          <w:szCs w:val="32"/>
          <w:highlight w:val="none"/>
          <w:lang w:val="en-US" w:eastAsia="zh-CN" w:bidi="ar-SA"/>
        </w:rPr>
        <w:t>三是夯实产业支撑，推动文旅与农牧深度融合。</w:t>
      </w:r>
      <w:r>
        <w:rPr>
          <w:rFonts w:hint="eastAsia" w:ascii="仿宋_GB2312" w:eastAsia="仿宋_GB2312" w:cs="仿宋_GB2312"/>
          <w:sz w:val="32"/>
          <w:szCs w:val="32"/>
          <w:highlight w:val="none"/>
          <w:lang w:val="en-US" w:eastAsia="zh-CN" w:bidi="ar-SA"/>
        </w:rPr>
        <w:t>做强特色农牧产业：推广“生态养殖+文旅销售”模式，开发“牧场直供”牦牛肉礼盒、酸奶等产品，在民宿、景区设销售点；扩大“嘉红100”番茄种植规模，配套建设采摘体验园，打造“农旅融合”示范点。壮大缝纫加工产业：稳定现有缝纫加工订单，开发藏式文创服饰、帐篷等产品，形成“生产+体验+销售”产业链。</w:t>
      </w: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r>
        <w:rPr>
          <w:rFonts w:hint="eastAsia" w:ascii="黑体" w:hAnsi="Times New Roman" w:eastAsia="黑体" w:cs="黑体"/>
          <w:kern w:val="2"/>
          <w:sz w:val="32"/>
          <w:szCs w:val="32"/>
          <w:lang w:val="en-US" w:eastAsia="zh-CN" w:bidi="ar-SA"/>
        </w:rPr>
        <w:t>二、部门预算单位构成</w:t>
      </w:r>
      <w:bookmarkEnd w:id="11"/>
    </w:p>
    <w:p>
      <w:pPr>
        <w:keepNext w:val="0"/>
        <w:keepLines w:val="0"/>
        <w:pageBreakBefore w:val="0"/>
        <w:kinsoku/>
        <w:wordWrap w:val="0"/>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壤塘县中壤塘镇人民政府为一级预算单位。无参照公务员法管理的事业单位。</w:t>
      </w:r>
    </w:p>
    <w:p>
      <w:pPr>
        <w:pStyle w:val="13"/>
        <w:numPr>
          <w:ilvl w:val="0"/>
          <w:numId w:val="1"/>
        </w:numPr>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2" w:name="_Toc4967"/>
      <w:r>
        <w:rPr>
          <w:rFonts w:hint="eastAsia" w:ascii="黑体" w:hAnsi="Times New Roman" w:eastAsia="黑体" w:cs="黑体"/>
          <w:kern w:val="2"/>
          <w:sz w:val="32"/>
          <w:szCs w:val="32"/>
          <w:lang w:val="en-US" w:eastAsia="zh-CN" w:bidi="ar-SA"/>
        </w:rPr>
        <w:t>收支预算情况说明</w:t>
      </w:r>
      <w:bookmarkEnd w:id="12"/>
    </w:p>
    <w:p>
      <w:pPr>
        <w:pStyle w:val="13"/>
        <w:numPr>
          <w:ilvl w:val="0"/>
          <w:numId w:val="0"/>
        </w:numPr>
        <w:spacing w:before="0" w:line="360" w:lineRule="auto"/>
        <w:ind w:firstLine="640" w:firstLineChars="200"/>
        <w:outlineLvl w:val="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按照综合预算</w:t>
      </w:r>
      <w:r>
        <w:rPr>
          <w:rFonts w:hint="eastAsia" w:hAnsi="仿宋_GB2312" w:cs="仿宋_GB2312"/>
          <w:color w:val="auto"/>
          <w:kern w:val="2"/>
          <w:sz w:val="32"/>
          <w:szCs w:val="32"/>
          <w:lang w:val="en-US" w:eastAsia="zh-CN" w:bidi="ar-SA"/>
        </w:rPr>
        <w:t>管理</w:t>
      </w:r>
      <w:r>
        <w:rPr>
          <w:rFonts w:hint="eastAsia" w:ascii="仿宋_GB2312" w:hAnsi="仿宋_GB2312" w:eastAsia="仿宋_GB2312" w:cs="仿宋_GB2312"/>
          <w:color w:val="auto"/>
          <w:kern w:val="2"/>
          <w:sz w:val="32"/>
          <w:szCs w:val="32"/>
          <w:lang w:val="en-US" w:eastAsia="zh-CN" w:bidi="ar-SA"/>
        </w:rPr>
        <w:t>原则，中壤塘镇人民政府所有收入</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支出均</w:t>
      </w:r>
      <w:r>
        <w:rPr>
          <w:rFonts w:hint="eastAsia" w:hAnsi="仿宋_GB2312" w:cs="仿宋_GB2312"/>
          <w:color w:val="auto"/>
          <w:kern w:val="2"/>
          <w:sz w:val="32"/>
          <w:szCs w:val="32"/>
          <w:lang w:val="en-US" w:eastAsia="zh-CN" w:bidi="ar-SA"/>
        </w:rPr>
        <w:t>全额</w:t>
      </w:r>
      <w:r>
        <w:rPr>
          <w:rFonts w:hint="eastAsia" w:ascii="仿宋_GB2312" w:hAnsi="仿宋_GB2312" w:eastAsia="仿宋_GB2312" w:cs="仿宋_GB2312"/>
          <w:color w:val="auto"/>
          <w:kern w:val="2"/>
          <w:sz w:val="32"/>
          <w:szCs w:val="32"/>
          <w:lang w:val="en-US" w:eastAsia="zh-CN" w:bidi="ar-SA"/>
        </w:rPr>
        <w:t>纳入部门预算</w:t>
      </w:r>
      <w:r>
        <w:rPr>
          <w:rFonts w:hint="eastAsia" w:hAnsi="仿宋_GB2312" w:cs="仿宋_GB2312"/>
          <w:color w:val="auto"/>
          <w:kern w:val="2"/>
          <w:sz w:val="32"/>
          <w:szCs w:val="32"/>
          <w:lang w:val="en-US" w:eastAsia="zh-CN" w:bidi="ar-SA"/>
        </w:rPr>
        <w:t>统一</w:t>
      </w:r>
      <w:r>
        <w:rPr>
          <w:rFonts w:hint="eastAsia" w:ascii="仿宋_GB2312" w:hAnsi="仿宋_GB2312" w:eastAsia="仿宋_GB2312" w:cs="仿宋_GB2312"/>
          <w:color w:val="auto"/>
          <w:kern w:val="2"/>
          <w:sz w:val="32"/>
          <w:szCs w:val="32"/>
          <w:lang w:val="en-US" w:eastAsia="zh-CN" w:bidi="ar-SA"/>
        </w:rPr>
        <w:t>管理。</w:t>
      </w:r>
      <w:r>
        <w:rPr>
          <w:rFonts w:hint="eastAsia" w:hAnsi="仿宋_GB2312" w:cs="仿宋_GB2312"/>
          <w:color w:val="auto"/>
          <w:kern w:val="2"/>
          <w:sz w:val="32"/>
          <w:szCs w:val="32"/>
          <w:lang w:val="en-US" w:eastAsia="zh-CN" w:bidi="ar-SA"/>
        </w:rPr>
        <w:t>2026年单位收入仅为</w:t>
      </w:r>
      <w:r>
        <w:rPr>
          <w:rFonts w:hint="eastAsia" w:ascii="仿宋_GB2312" w:hAnsi="仿宋_GB2312" w:eastAsia="仿宋_GB2312" w:cs="仿宋_GB2312"/>
          <w:color w:val="auto"/>
          <w:kern w:val="2"/>
          <w:sz w:val="32"/>
          <w:szCs w:val="32"/>
          <w:lang w:val="en-US" w:eastAsia="zh-CN" w:bidi="ar-SA"/>
        </w:rPr>
        <w:t>一般公共预算拨款收入</w:t>
      </w:r>
      <w:r>
        <w:rPr>
          <w:rFonts w:hint="eastAsia" w:hAnsi="仿宋_GB2312" w:cs="仿宋_GB2312"/>
          <w:color w:val="auto"/>
          <w:kern w:val="2"/>
          <w:sz w:val="32"/>
          <w:szCs w:val="32"/>
          <w:lang w:val="en-US" w:eastAsia="zh-CN" w:bidi="ar-SA"/>
        </w:rPr>
        <w:t>1513.69</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无</w:t>
      </w:r>
      <w:r>
        <w:rPr>
          <w:rFonts w:hint="eastAsia" w:ascii="仿宋_GB2312" w:hAnsi="仿宋_GB2312" w:eastAsia="仿宋_GB2312" w:cs="仿宋_GB2312"/>
          <w:color w:val="auto"/>
          <w:kern w:val="2"/>
          <w:sz w:val="32"/>
          <w:szCs w:val="32"/>
          <w:lang w:val="en-US" w:eastAsia="zh-CN" w:bidi="ar-SA"/>
        </w:rPr>
        <w:t>事业收入</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其他收入</w:t>
      </w:r>
      <w:r>
        <w:rPr>
          <w:rFonts w:hint="eastAsia" w:hAnsi="仿宋_GB2312" w:cs="仿宋_GB2312"/>
          <w:color w:val="auto"/>
          <w:kern w:val="2"/>
          <w:sz w:val="32"/>
          <w:szCs w:val="32"/>
          <w:lang w:val="en-US" w:eastAsia="zh-CN" w:bidi="ar-SA"/>
        </w:rPr>
        <w:t>及</w:t>
      </w:r>
      <w:r>
        <w:rPr>
          <w:rFonts w:hint="eastAsia" w:ascii="仿宋_GB2312" w:hAnsi="仿宋_GB2312" w:eastAsia="仿宋_GB2312" w:cs="仿宋_GB2312"/>
          <w:color w:val="auto"/>
          <w:kern w:val="2"/>
          <w:sz w:val="32"/>
          <w:szCs w:val="32"/>
          <w:lang w:val="en-US" w:eastAsia="zh-CN" w:bidi="ar-SA"/>
        </w:rPr>
        <w:t>上年结转</w:t>
      </w:r>
      <w:r>
        <w:rPr>
          <w:rFonts w:hint="eastAsia" w:hAnsi="仿宋_GB2312" w:cs="仿宋_GB2312"/>
          <w:color w:val="auto"/>
          <w:kern w:val="2"/>
          <w:sz w:val="32"/>
          <w:szCs w:val="32"/>
          <w:lang w:val="en-US" w:eastAsia="zh-CN" w:bidi="ar-SA"/>
        </w:rPr>
        <w:t>资金</w:t>
      </w:r>
      <w:r>
        <w:rPr>
          <w:rFonts w:hint="eastAsia" w:ascii="仿宋_GB2312" w:hAnsi="仿宋_GB2312" w:eastAsia="仿宋_GB2312" w:cs="仿宋_GB2312"/>
          <w:color w:val="auto"/>
          <w:kern w:val="2"/>
          <w:sz w:val="32"/>
          <w:szCs w:val="32"/>
          <w:lang w:val="en-US" w:eastAsia="zh-CN" w:bidi="ar-SA"/>
        </w:rPr>
        <w:t>；支出</w:t>
      </w:r>
      <w:r>
        <w:rPr>
          <w:rFonts w:hint="eastAsia" w:hAnsi="仿宋_GB2312" w:cs="仿宋_GB2312"/>
          <w:color w:val="auto"/>
          <w:kern w:val="2"/>
          <w:sz w:val="32"/>
          <w:szCs w:val="32"/>
          <w:lang w:val="en-US" w:eastAsia="zh-CN" w:bidi="ar-SA"/>
        </w:rPr>
        <w:t>涵盖</w:t>
      </w:r>
      <w:r>
        <w:rPr>
          <w:rFonts w:hint="eastAsia" w:ascii="仿宋_GB2312" w:hAnsi="仿宋_GB2312" w:eastAsia="仿宋_GB2312" w:cs="仿宋_GB2312"/>
          <w:color w:val="auto"/>
          <w:kern w:val="2"/>
          <w:sz w:val="32"/>
          <w:szCs w:val="32"/>
          <w:lang w:val="en-US" w:eastAsia="zh-CN" w:bidi="ar-SA"/>
        </w:rPr>
        <w:t>一般公共服务支出</w:t>
      </w:r>
      <w:r>
        <w:rPr>
          <w:rFonts w:hint="eastAsia" w:hAnsi="仿宋_GB2312" w:cs="仿宋_GB2312"/>
          <w:color w:val="auto"/>
          <w:kern w:val="2"/>
          <w:sz w:val="32"/>
          <w:szCs w:val="32"/>
          <w:lang w:val="en-US" w:eastAsia="zh-CN" w:bidi="ar-SA"/>
        </w:rPr>
        <w:t>435.8</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社会保障和就业支出</w:t>
      </w:r>
      <w:r>
        <w:rPr>
          <w:rFonts w:hint="eastAsia" w:hAnsi="仿宋_GB2312" w:cs="仿宋_GB2312"/>
          <w:color w:val="auto"/>
          <w:kern w:val="2"/>
          <w:sz w:val="32"/>
          <w:szCs w:val="32"/>
          <w:lang w:val="en-US" w:eastAsia="zh-CN" w:bidi="ar-SA"/>
        </w:rPr>
        <w:t>150.98</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卫生健康支出</w:t>
      </w:r>
      <w:r>
        <w:rPr>
          <w:rFonts w:hint="eastAsia" w:hAnsi="仿宋_GB2312" w:cs="仿宋_GB2312"/>
          <w:color w:val="auto"/>
          <w:kern w:val="2"/>
          <w:sz w:val="32"/>
          <w:szCs w:val="32"/>
          <w:lang w:val="en-US" w:eastAsia="zh-CN" w:bidi="ar-SA"/>
        </w:rPr>
        <w:t>53.56</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农林水支出</w:t>
      </w:r>
      <w:r>
        <w:rPr>
          <w:rFonts w:hint="eastAsia" w:hAnsi="仿宋_GB2312" w:cs="仿宋_GB2312"/>
          <w:color w:val="auto"/>
          <w:kern w:val="2"/>
          <w:sz w:val="32"/>
          <w:szCs w:val="32"/>
          <w:lang w:val="en-US" w:eastAsia="zh-CN" w:bidi="ar-SA"/>
        </w:rPr>
        <w:t>790.33</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住房保障支出</w:t>
      </w:r>
      <w:r>
        <w:rPr>
          <w:rFonts w:hint="eastAsia" w:hAnsi="仿宋_GB2312" w:cs="仿宋_GB2312"/>
          <w:color w:val="auto"/>
          <w:kern w:val="2"/>
          <w:sz w:val="32"/>
          <w:szCs w:val="32"/>
          <w:lang w:val="en-US" w:eastAsia="zh-CN" w:bidi="ar-SA"/>
        </w:rPr>
        <w:t>83.02</w:t>
      </w:r>
      <w:r>
        <w:rPr>
          <w:rFonts w:hint="eastAsia" w:ascii="仿宋_GB2312" w:hAnsi="仿宋_GB2312" w:eastAsia="仿宋_GB2312" w:cs="仿宋_GB2312"/>
          <w:color w:val="auto"/>
          <w:kern w:val="2"/>
          <w:sz w:val="32"/>
          <w:szCs w:val="32"/>
          <w:lang w:val="en-US" w:eastAsia="zh-CN" w:bidi="ar-SA"/>
        </w:rPr>
        <w:t>万元。202</w:t>
      </w:r>
      <w:r>
        <w:rPr>
          <w:rFonts w:hint="eastAsia" w:hAnsi="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年收支总预算</w:t>
      </w:r>
      <w:r>
        <w:rPr>
          <w:rFonts w:hint="eastAsia" w:hAnsi="仿宋_GB2312" w:cs="仿宋_GB2312"/>
          <w:color w:val="auto"/>
          <w:kern w:val="2"/>
          <w:sz w:val="32"/>
          <w:szCs w:val="32"/>
          <w:lang w:val="en-US" w:eastAsia="zh-CN" w:bidi="ar-SA"/>
        </w:rPr>
        <w:t>1513.69</w:t>
      </w:r>
      <w:r>
        <w:rPr>
          <w:rFonts w:hint="eastAsia" w:ascii="仿宋_GB2312" w:hAnsi="仿宋_GB2312" w:eastAsia="仿宋_GB2312" w:cs="仿宋_GB2312"/>
          <w:color w:val="auto"/>
          <w:kern w:val="2"/>
          <w:sz w:val="32"/>
          <w:szCs w:val="32"/>
          <w:lang w:val="en-US" w:eastAsia="zh-CN" w:bidi="ar-SA"/>
        </w:rPr>
        <w:t>万元,</w:t>
      </w:r>
      <w:r>
        <w:rPr>
          <w:rFonts w:hint="eastAsia" w:hAnsi="仿宋_GB2312" w:cs="仿宋_GB2312"/>
          <w:color w:val="auto"/>
          <w:kern w:val="2"/>
          <w:sz w:val="32"/>
          <w:szCs w:val="32"/>
          <w:lang w:val="en-US" w:eastAsia="zh-CN" w:bidi="ar-SA"/>
        </w:rPr>
        <w:t>较</w:t>
      </w:r>
      <w:r>
        <w:rPr>
          <w:rFonts w:hint="eastAsia" w:ascii="仿宋_GB2312" w:hAnsi="仿宋_GB2312" w:eastAsia="仿宋_GB2312" w:cs="仿宋_GB2312"/>
          <w:color w:val="auto"/>
          <w:kern w:val="2"/>
          <w:sz w:val="32"/>
          <w:szCs w:val="32"/>
          <w:lang w:val="en-US" w:eastAsia="zh-CN" w:bidi="ar-SA"/>
        </w:rPr>
        <w:t>202</w:t>
      </w:r>
      <w:r>
        <w:rPr>
          <w:rFonts w:hint="eastAsia" w:hAnsi="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年收支预算总数增加</w:t>
      </w:r>
      <w:r>
        <w:rPr>
          <w:rFonts w:hint="eastAsia" w:hAnsi="仿宋_GB2312" w:cs="仿宋_GB2312"/>
          <w:color w:val="auto"/>
          <w:kern w:val="2"/>
          <w:sz w:val="32"/>
          <w:szCs w:val="32"/>
          <w:lang w:val="en-US" w:eastAsia="zh-CN" w:bidi="ar-SA"/>
        </w:rPr>
        <w:t>37.16</w:t>
      </w:r>
      <w:r>
        <w:rPr>
          <w:rFonts w:hint="eastAsia" w:ascii="仿宋_GB2312" w:hAnsi="仿宋_GB2312" w:eastAsia="仿宋_GB2312" w:cs="仿宋_GB2312"/>
          <w:color w:val="auto"/>
          <w:kern w:val="2"/>
          <w:sz w:val="32"/>
          <w:szCs w:val="32"/>
          <w:lang w:val="en-US" w:eastAsia="zh-CN" w:bidi="ar-SA"/>
        </w:rPr>
        <w:t>万元，主要原因:202</w:t>
      </w:r>
      <w:r>
        <w:rPr>
          <w:rFonts w:hint="eastAsia" w:hAnsi="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年在职职工工资福利</w:t>
      </w:r>
      <w:r>
        <w:rPr>
          <w:rFonts w:hint="eastAsia" w:hAnsi="仿宋_GB2312" w:cs="仿宋_GB2312"/>
          <w:color w:val="auto"/>
          <w:kern w:val="2"/>
          <w:sz w:val="32"/>
          <w:szCs w:val="32"/>
          <w:lang w:val="en-US" w:eastAsia="zh-CN" w:bidi="ar-SA"/>
        </w:rPr>
        <w:t>变动</w:t>
      </w:r>
      <w:r>
        <w:rPr>
          <w:rFonts w:hint="eastAsia" w:ascii="仿宋_GB2312" w:hAnsi="仿宋_GB2312" w:eastAsia="仿宋_GB2312" w:cs="仿宋_GB2312"/>
          <w:color w:val="auto"/>
          <w:kern w:val="2"/>
          <w:sz w:val="32"/>
          <w:szCs w:val="32"/>
          <w:lang w:val="en-US" w:eastAsia="zh-CN" w:bidi="ar-SA"/>
        </w:rPr>
        <w:t>；带动工资福利及相关社保缴费预算金额相应上涨。</w:t>
      </w:r>
    </w:p>
    <w:p>
      <w:pPr>
        <w:pStyle w:val="13"/>
        <w:spacing w:before="0" w:line="360" w:lineRule="auto"/>
        <w:ind w:firstLine="643" w:firstLineChars="200"/>
        <w:outlineLvl w:val="1"/>
        <w:rPr>
          <w:rFonts w:hint="eastAsia" w:ascii="楷体_GB2312" w:hAnsi="Times New Roman" w:eastAsia="楷体_GB2312" w:cs="楷体_GB2312"/>
          <w:b/>
          <w:bCs/>
          <w:kern w:val="2"/>
          <w:sz w:val="32"/>
          <w:szCs w:val="32"/>
          <w:lang w:val="en-US" w:eastAsia="zh-CN" w:bidi="ar-SA"/>
        </w:rPr>
      </w:pPr>
      <w:bookmarkStart w:id="13" w:name="_Toc22784"/>
      <w:r>
        <w:rPr>
          <w:rFonts w:hint="eastAsia" w:ascii="楷体_GB2312" w:hAnsi="Times New Roman" w:eastAsia="楷体_GB2312" w:cs="楷体_GB2312"/>
          <w:b/>
          <w:bCs/>
          <w:kern w:val="2"/>
          <w:sz w:val="32"/>
          <w:szCs w:val="32"/>
          <w:lang w:val="en-US" w:eastAsia="zh-CN" w:bidi="ar-SA"/>
        </w:rPr>
        <w:t>（一）收入预算情况</w:t>
      </w:r>
      <w:bookmarkEnd w:id="13"/>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 年中壤塘镇人民政府收入预算总计1513.69万元，其中：上年结转0万元，占0%；一般公共预算拨款收入1513.69万元，占100%；事业收入0万元，占0%；其他收入0万元，占0%。</w:t>
      </w:r>
    </w:p>
    <w:p>
      <w:pPr>
        <w:pStyle w:val="13"/>
        <w:spacing w:before="0" w:line="360" w:lineRule="auto"/>
        <w:ind w:firstLine="643" w:firstLineChars="200"/>
        <w:outlineLvl w:val="1"/>
        <w:rPr>
          <w:rFonts w:hint="eastAsia" w:ascii="楷体_GB2312" w:hAnsi="Times New Roman" w:eastAsia="楷体_GB2312" w:cs="楷体_GB2312"/>
          <w:b/>
          <w:bCs/>
          <w:kern w:val="2"/>
          <w:sz w:val="32"/>
          <w:szCs w:val="32"/>
          <w:lang w:val="en-US" w:eastAsia="zh-CN" w:bidi="ar-SA"/>
        </w:rPr>
      </w:pPr>
      <w:bookmarkStart w:id="14" w:name="_Toc6117"/>
      <w:r>
        <w:rPr>
          <w:rFonts w:hint="eastAsia" w:ascii="楷体_GB2312" w:hAnsi="Times New Roman" w:eastAsia="楷体_GB2312" w:cs="楷体_GB2312"/>
          <w:b/>
          <w:bCs/>
          <w:kern w:val="2"/>
          <w:sz w:val="32"/>
          <w:szCs w:val="32"/>
          <w:lang w:val="en-US" w:eastAsia="zh-CN" w:bidi="ar-SA"/>
        </w:rPr>
        <w:t>（二）支出预算情况</w:t>
      </w:r>
      <w:bookmarkEnd w:id="14"/>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 年中壤塘镇人民政府支出预算总计1513.69 万元，其中：基本支出1215.21万元，占80.28%；项目支出298.48万元，占19.72%。</w:t>
      </w: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5" w:name="_Toc8280"/>
      <w:r>
        <w:rPr>
          <w:rFonts w:hint="eastAsia" w:ascii="黑体" w:hAnsi="Times New Roman" w:eastAsia="黑体" w:cs="黑体"/>
          <w:kern w:val="2"/>
          <w:sz w:val="32"/>
          <w:szCs w:val="32"/>
          <w:lang w:val="en-US" w:eastAsia="zh-CN" w:bidi="ar-SA"/>
        </w:rPr>
        <w:t>四、财政拨款收支预算情况说明</w:t>
      </w:r>
      <w:bookmarkEnd w:id="15"/>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 年中壤塘镇人民政府财政拨款收支总预算 1513.69 万元,较2025年财政拨款收支总预算增加37.16万元，主要原因:202</w:t>
      </w:r>
      <w:r>
        <w:rPr>
          <w:rFonts w:hint="eastAsia" w:hAnsi="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年在职职工工资福利</w:t>
      </w:r>
      <w:r>
        <w:rPr>
          <w:rFonts w:hint="eastAsia" w:hAnsi="仿宋_GB2312" w:cs="仿宋_GB2312"/>
          <w:color w:val="auto"/>
          <w:kern w:val="2"/>
          <w:sz w:val="32"/>
          <w:szCs w:val="32"/>
          <w:lang w:val="en-US" w:eastAsia="zh-CN" w:bidi="ar-SA"/>
        </w:rPr>
        <w:t>变动</w:t>
      </w:r>
      <w:r>
        <w:rPr>
          <w:rFonts w:hint="eastAsia" w:ascii="仿宋_GB2312" w:hAnsi="仿宋_GB2312" w:eastAsia="仿宋_GB2312" w:cs="仿宋_GB2312"/>
          <w:color w:val="auto"/>
          <w:kern w:val="2"/>
          <w:sz w:val="32"/>
          <w:szCs w:val="32"/>
          <w:lang w:val="en-US" w:eastAsia="zh-CN" w:bidi="ar-SA"/>
        </w:rPr>
        <w:t>；带动工资福利及相关社保缴费预算金额相应上涨。</w:t>
      </w:r>
    </w:p>
    <w:p>
      <w:pPr>
        <w:keepNext w:val="0"/>
        <w:keepLines w:val="0"/>
        <w:pageBreakBefore w:val="0"/>
        <w:widowControl w:val="0"/>
        <w:kinsoku/>
        <w:wordWrap/>
        <w:overflowPunct/>
        <w:topLinePunct w:val="0"/>
        <w:autoSpaceDE/>
        <w:autoSpaceDN/>
        <w:bidi w:val="0"/>
        <w:adjustRightInd/>
        <w:snapToGrid/>
        <w:spacing w:line="456" w:lineRule="exact"/>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1.收入构成：</w:t>
      </w:r>
      <w:r>
        <w:rPr>
          <w:rFonts w:hint="eastAsia" w:ascii="仿宋_GB2312" w:hAnsi="仿宋_GB2312" w:eastAsia="仿宋_GB2312" w:cs="仿宋_GB2312"/>
          <w:color w:val="auto"/>
          <w:kern w:val="2"/>
          <w:sz w:val="32"/>
          <w:szCs w:val="32"/>
          <w:lang w:val="en-US" w:eastAsia="zh-CN" w:bidi="ar-SA"/>
        </w:rPr>
        <w:t>本年一般公共预算拨款收入1513.69万元，上年结转一般公共预算收入0万元，上年结转财政拨款资金0万元。</w:t>
      </w:r>
    </w:p>
    <w:p>
      <w:pPr>
        <w:keepNext w:val="0"/>
        <w:keepLines w:val="0"/>
        <w:pageBreakBefore w:val="0"/>
        <w:widowControl w:val="0"/>
        <w:kinsoku/>
        <w:wordWrap/>
        <w:overflowPunct/>
        <w:topLinePunct w:val="0"/>
        <w:autoSpaceDE/>
        <w:autoSpaceDN/>
        <w:bidi w:val="0"/>
        <w:adjustRightInd/>
        <w:snapToGrid/>
        <w:spacing w:line="456" w:lineRule="exact"/>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2.支出构成：</w:t>
      </w:r>
      <w:r>
        <w:rPr>
          <w:rFonts w:hint="eastAsia" w:ascii="仿宋_GB2312" w:hAnsi="仿宋_GB2312" w:eastAsia="仿宋_GB2312" w:cs="仿宋_GB2312"/>
          <w:color w:val="auto"/>
          <w:kern w:val="2"/>
          <w:sz w:val="32"/>
          <w:szCs w:val="32"/>
          <w:lang w:val="en-US" w:eastAsia="zh-CN" w:bidi="ar-SA"/>
        </w:rPr>
        <w:t>一般公共服务支出435.8万元，社会保障和就业支出150.98万元，卫生健康支出53.56万元，</w:t>
      </w:r>
      <w:r>
        <w:rPr>
          <w:rFonts w:hint="default" w:ascii="仿宋_GB2312" w:hAnsi="仿宋_GB2312" w:eastAsia="仿宋_GB2312" w:cs="仿宋_GB2312"/>
          <w:color w:val="auto"/>
          <w:kern w:val="2"/>
          <w:sz w:val="32"/>
          <w:szCs w:val="32"/>
          <w:lang w:val="en-US" w:eastAsia="zh-CN" w:bidi="ar-SA"/>
        </w:rPr>
        <w:t>农林水支出</w:t>
      </w:r>
      <w:r>
        <w:rPr>
          <w:rFonts w:hint="eastAsia" w:ascii="仿宋_GB2312" w:hAnsi="仿宋_GB2312" w:eastAsia="仿宋_GB2312" w:cs="仿宋_GB2312"/>
          <w:color w:val="auto"/>
          <w:kern w:val="2"/>
          <w:sz w:val="32"/>
          <w:szCs w:val="32"/>
          <w:lang w:val="en-US" w:eastAsia="zh-CN" w:bidi="ar-SA"/>
        </w:rPr>
        <w:t>790.33</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，住房保障支出83.02万元。</w:t>
      </w:r>
    </w:p>
    <w:p>
      <w:pPr>
        <w:pStyle w:val="13"/>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6" w:name="_Toc6922"/>
      <w:r>
        <w:rPr>
          <w:rFonts w:hint="eastAsia" w:ascii="黑体" w:hAnsi="Times New Roman" w:eastAsia="黑体" w:cs="黑体"/>
          <w:kern w:val="2"/>
          <w:sz w:val="32"/>
          <w:szCs w:val="32"/>
          <w:lang w:val="en-US" w:eastAsia="zh-CN" w:bidi="ar-SA"/>
        </w:rPr>
        <w:t>五、一般公共预算当年拨款情况说明</w:t>
      </w:r>
      <w:bookmarkEnd w:id="16"/>
    </w:p>
    <w:p>
      <w:pPr>
        <w:pStyle w:val="13"/>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Times New Roman" w:eastAsia="楷体_GB2312" w:cs="楷体_GB2312"/>
          <w:b/>
          <w:bCs/>
          <w:kern w:val="2"/>
          <w:sz w:val="32"/>
          <w:szCs w:val="32"/>
          <w:lang w:val="en-US" w:eastAsia="zh-CN" w:bidi="ar-SA"/>
        </w:rPr>
      </w:pPr>
      <w:bookmarkStart w:id="17" w:name="_Toc1157"/>
      <w:r>
        <w:rPr>
          <w:rFonts w:hint="eastAsia" w:ascii="楷体_GB2312" w:hAnsi="Times New Roman" w:eastAsia="楷体_GB2312" w:cs="楷体_GB2312"/>
          <w:b/>
          <w:bCs/>
          <w:kern w:val="2"/>
          <w:sz w:val="32"/>
          <w:szCs w:val="32"/>
          <w:lang w:val="en-US" w:eastAsia="zh-CN" w:bidi="ar-SA"/>
        </w:rPr>
        <w:t>（一）一般公共预算当年拨款规模变化情况</w:t>
      </w:r>
      <w:bookmarkEnd w:id="17"/>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asci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2026 年中壤塘镇人民政府一般公共预算当年拨款 1513.69 万元，</w:t>
      </w:r>
      <w:r>
        <w:rPr>
          <w:rFonts w:hint="eastAsia" w:hAnsi="仿宋_GB2312" w:cs="仿宋_GB2312"/>
          <w:color w:val="auto"/>
          <w:kern w:val="2"/>
          <w:sz w:val="32"/>
          <w:szCs w:val="32"/>
          <w:lang w:val="en-US" w:eastAsia="zh-CN" w:bidi="ar-SA"/>
        </w:rPr>
        <w:t>较</w:t>
      </w:r>
      <w:r>
        <w:rPr>
          <w:rFonts w:hint="eastAsia" w:ascii="仿宋_GB2312" w:hAnsi="仿宋_GB2312" w:eastAsia="仿宋_GB2312" w:cs="仿宋_GB2312"/>
          <w:color w:val="auto"/>
          <w:kern w:val="2"/>
          <w:sz w:val="32"/>
          <w:szCs w:val="32"/>
          <w:lang w:val="en-US" w:eastAsia="zh-CN" w:bidi="ar-SA"/>
        </w:rPr>
        <w:t>202</w:t>
      </w:r>
      <w:r>
        <w:rPr>
          <w:rFonts w:hint="eastAsia" w:hAnsi="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年预算数增加</w:t>
      </w:r>
      <w:r>
        <w:rPr>
          <w:rFonts w:hint="eastAsia" w:hAnsi="仿宋_GB2312" w:cs="仿宋_GB2312"/>
          <w:color w:val="auto"/>
          <w:kern w:val="2"/>
          <w:sz w:val="32"/>
          <w:szCs w:val="32"/>
          <w:lang w:val="en-US" w:eastAsia="zh-CN" w:bidi="ar-SA"/>
        </w:rPr>
        <w:t>37.16</w:t>
      </w:r>
      <w:r>
        <w:rPr>
          <w:rFonts w:hint="eastAsia" w:ascii="仿宋_GB2312" w:hAnsi="仿宋_GB2312" w:eastAsia="仿宋_GB2312" w:cs="仿宋_GB2312"/>
          <w:color w:val="auto"/>
          <w:kern w:val="2"/>
          <w:sz w:val="32"/>
          <w:szCs w:val="32"/>
          <w:lang w:val="en-US" w:eastAsia="zh-CN" w:bidi="ar-SA"/>
        </w:rPr>
        <w:t>万元，主要原因:202</w:t>
      </w:r>
      <w:r>
        <w:rPr>
          <w:rFonts w:hint="eastAsia" w:hAnsi="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t>年在职职工工资福利</w:t>
      </w:r>
      <w:r>
        <w:rPr>
          <w:rFonts w:hint="eastAsia" w:hAnsi="仿宋_GB2312" w:cs="仿宋_GB2312"/>
          <w:color w:val="auto"/>
          <w:kern w:val="2"/>
          <w:sz w:val="32"/>
          <w:szCs w:val="32"/>
          <w:lang w:val="en-US" w:eastAsia="zh-CN" w:bidi="ar-SA"/>
        </w:rPr>
        <w:t>变动</w:t>
      </w:r>
      <w:r>
        <w:rPr>
          <w:rFonts w:hint="eastAsia" w:ascii="仿宋_GB2312" w:hAnsi="仿宋_GB2312" w:eastAsia="仿宋_GB2312" w:cs="仿宋_GB2312"/>
          <w:color w:val="auto"/>
          <w:kern w:val="2"/>
          <w:sz w:val="32"/>
          <w:szCs w:val="32"/>
          <w:lang w:val="en-US" w:eastAsia="zh-CN" w:bidi="ar-SA"/>
        </w:rPr>
        <w:t>；带动工资福利及相关社保缴费预算金额相应上涨。　　</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left"/>
        <w:textAlignment w:val="auto"/>
        <w:rPr>
          <w:rFonts w:hint="eastAsia" w:ascii="仿宋_GB2312" w:hAnsi="仿宋_GB2312" w:eastAsia="仿宋_GB2312" w:cs="仿宋_GB2312"/>
          <w:color w:val="auto"/>
          <w:kern w:val="2"/>
          <w:sz w:val="32"/>
          <w:szCs w:val="32"/>
          <w:lang w:val="en-US" w:eastAsia="zh-CN" w:bidi="ar-SA"/>
        </w:rPr>
      </w:pPr>
      <w:bookmarkStart w:id="18" w:name="_Toc14925"/>
      <w:r>
        <w:rPr>
          <w:rFonts w:hint="eastAsia" w:ascii="楷体_GB2312" w:hAnsi="Times New Roman" w:eastAsia="楷体_GB2312" w:cs="楷体_GB2312"/>
          <w:b/>
          <w:bCs/>
          <w:kern w:val="2"/>
          <w:sz w:val="32"/>
          <w:szCs w:val="32"/>
          <w:lang w:val="en-US" w:eastAsia="zh-CN" w:bidi="ar-SA"/>
        </w:rPr>
        <w:t>（二）一般公共预算当年拨款结构情况</w:t>
      </w:r>
      <w:bookmarkEnd w:id="18"/>
      <w:r>
        <w:rPr>
          <w:rFonts w:hint="eastAsia" w:cs="宋体"/>
          <w:sz w:val="32"/>
          <w:szCs w:val="32"/>
        </w:rPr>
        <w:br w:type="textWrapping"/>
      </w:r>
      <w:r>
        <w:rPr>
          <w:rFonts w:hint="eastAsia" w:cs="仿宋_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 xml:space="preserve"> 2026 年一般公共预算当年拨款按支出功能分类，具体占比为：一般公共服务支出</w:t>
      </w:r>
      <w:r>
        <w:rPr>
          <w:rFonts w:hint="eastAsia" w:hAnsi="仿宋_GB2312" w:cs="仿宋_GB2312"/>
          <w:color w:val="auto"/>
          <w:kern w:val="2"/>
          <w:sz w:val="32"/>
          <w:szCs w:val="32"/>
          <w:lang w:val="en-US" w:eastAsia="zh-CN" w:bidi="ar-SA"/>
        </w:rPr>
        <w:t>435.8</w:t>
      </w:r>
      <w:r>
        <w:rPr>
          <w:rFonts w:hint="eastAsia" w:ascii="仿宋_GB2312" w:hAnsi="仿宋_GB2312" w:eastAsia="仿宋_GB2312" w:cs="仿宋_GB2312"/>
          <w:color w:val="auto"/>
          <w:kern w:val="2"/>
          <w:sz w:val="32"/>
          <w:szCs w:val="32"/>
          <w:lang w:val="en-US" w:eastAsia="zh-CN" w:bidi="ar-SA"/>
        </w:rPr>
        <w:t>万元，占</w:t>
      </w:r>
      <w:r>
        <w:rPr>
          <w:rFonts w:hint="eastAsia" w:hAnsi="仿宋_GB2312" w:cs="仿宋_GB2312"/>
          <w:color w:val="auto"/>
          <w:kern w:val="2"/>
          <w:sz w:val="32"/>
          <w:szCs w:val="32"/>
          <w:lang w:val="en-US" w:eastAsia="zh-CN" w:bidi="ar-SA"/>
        </w:rPr>
        <w:t>28.79</w:t>
      </w:r>
      <w:r>
        <w:rPr>
          <w:rFonts w:hint="eastAsia" w:ascii="仿宋_GB2312" w:hAnsi="仿宋_GB2312" w:eastAsia="仿宋_GB2312" w:cs="仿宋_GB2312"/>
          <w:color w:val="auto"/>
          <w:kern w:val="2"/>
          <w:sz w:val="32"/>
          <w:szCs w:val="32"/>
          <w:lang w:val="en-US" w:eastAsia="zh-CN" w:bidi="ar-SA"/>
        </w:rPr>
        <w:t>%；社会保障和就业支出</w:t>
      </w:r>
      <w:r>
        <w:rPr>
          <w:rFonts w:hint="eastAsia" w:hAnsi="仿宋_GB2312" w:cs="仿宋_GB2312"/>
          <w:color w:val="auto"/>
          <w:kern w:val="2"/>
          <w:sz w:val="32"/>
          <w:szCs w:val="32"/>
          <w:lang w:val="en-US" w:eastAsia="zh-CN" w:bidi="ar-SA"/>
        </w:rPr>
        <w:t>150.98</w:t>
      </w:r>
      <w:r>
        <w:rPr>
          <w:rFonts w:hint="eastAsia" w:ascii="仿宋_GB2312" w:hAnsi="仿宋_GB2312" w:eastAsia="仿宋_GB2312" w:cs="仿宋_GB2312"/>
          <w:color w:val="auto"/>
          <w:kern w:val="2"/>
          <w:sz w:val="32"/>
          <w:szCs w:val="32"/>
          <w:lang w:val="en-US" w:eastAsia="zh-CN" w:bidi="ar-SA"/>
        </w:rPr>
        <w:t>万元，占9.</w:t>
      </w:r>
      <w:r>
        <w:rPr>
          <w:rFonts w:hint="eastAsia" w:hAnsi="仿宋_GB2312" w:cs="仿宋_GB2312"/>
          <w:color w:val="auto"/>
          <w:kern w:val="2"/>
          <w:sz w:val="32"/>
          <w:szCs w:val="32"/>
          <w:lang w:val="en-US" w:eastAsia="zh-CN" w:bidi="ar-SA"/>
        </w:rPr>
        <w:t>97</w:t>
      </w:r>
      <w:r>
        <w:rPr>
          <w:rFonts w:hint="eastAsia" w:ascii="仿宋_GB2312" w:hAnsi="仿宋_GB2312" w:eastAsia="仿宋_GB2312" w:cs="仿宋_GB2312"/>
          <w:color w:val="auto"/>
          <w:kern w:val="2"/>
          <w:sz w:val="32"/>
          <w:szCs w:val="32"/>
          <w:lang w:val="en-US" w:eastAsia="zh-CN" w:bidi="ar-SA"/>
        </w:rPr>
        <w:t>%；卫生健康支出</w:t>
      </w:r>
      <w:r>
        <w:rPr>
          <w:rFonts w:hint="eastAsia" w:hAnsi="仿宋_GB2312" w:cs="仿宋_GB2312"/>
          <w:color w:val="auto"/>
          <w:kern w:val="2"/>
          <w:sz w:val="32"/>
          <w:szCs w:val="32"/>
          <w:lang w:val="en-US" w:eastAsia="zh-CN" w:bidi="ar-SA"/>
        </w:rPr>
        <w:t>53.56</w:t>
      </w:r>
      <w:r>
        <w:rPr>
          <w:rFonts w:hint="eastAsia" w:ascii="仿宋_GB2312" w:hAnsi="仿宋_GB2312" w:eastAsia="仿宋_GB2312" w:cs="仿宋_GB2312"/>
          <w:color w:val="auto"/>
          <w:kern w:val="2"/>
          <w:sz w:val="32"/>
          <w:szCs w:val="32"/>
          <w:lang w:val="en-US" w:eastAsia="zh-CN" w:bidi="ar-SA"/>
        </w:rPr>
        <w:t>万元，占</w:t>
      </w:r>
      <w:r>
        <w:rPr>
          <w:rFonts w:hint="eastAsia" w:hAnsi="仿宋_GB2312" w:cs="仿宋_GB2312"/>
          <w:color w:val="auto"/>
          <w:kern w:val="2"/>
          <w:sz w:val="32"/>
          <w:szCs w:val="32"/>
          <w:lang w:val="en-US" w:eastAsia="zh-CN" w:bidi="ar-SA"/>
        </w:rPr>
        <w:t>3.54</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农林水支出</w:t>
      </w:r>
      <w:r>
        <w:rPr>
          <w:rFonts w:hint="eastAsia" w:hAnsi="仿宋_GB2312" w:cs="仿宋_GB2312"/>
          <w:color w:val="auto"/>
          <w:kern w:val="2"/>
          <w:sz w:val="32"/>
          <w:szCs w:val="32"/>
          <w:lang w:val="en-US" w:eastAsia="zh-CN" w:bidi="ar-SA"/>
        </w:rPr>
        <w:t>790.33</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占</w:t>
      </w:r>
      <w:r>
        <w:rPr>
          <w:rFonts w:hint="eastAsia" w:hAnsi="仿宋_GB2312" w:cs="仿宋_GB2312"/>
          <w:color w:val="auto"/>
          <w:kern w:val="2"/>
          <w:sz w:val="32"/>
          <w:szCs w:val="32"/>
          <w:lang w:val="en-US" w:eastAsia="zh-CN" w:bidi="ar-SA"/>
        </w:rPr>
        <w:t>52.22</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住房保障支出</w:t>
      </w:r>
      <w:r>
        <w:rPr>
          <w:rFonts w:hint="eastAsia" w:hAnsi="仿宋_GB2312" w:cs="仿宋_GB2312"/>
          <w:color w:val="auto"/>
          <w:kern w:val="2"/>
          <w:sz w:val="32"/>
          <w:szCs w:val="32"/>
          <w:lang w:val="en-US" w:eastAsia="zh-CN" w:bidi="ar-SA"/>
        </w:rPr>
        <w:t>83.02</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，占</w:t>
      </w:r>
      <w:r>
        <w:rPr>
          <w:rFonts w:hint="eastAsia" w:hAnsi="仿宋_GB2312" w:cs="仿宋_GB2312"/>
          <w:color w:val="auto"/>
          <w:kern w:val="2"/>
          <w:sz w:val="32"/>
          <w:szCs w:val="32"/>
          <w:lang w:val="en-US" w:eastAsia="zh-CN" w:bidi="ar-SA"/>
        </w:rPr>
        <w:t>5.48</w:t>
      </w:r>
      <w:r>
        <w:rPr>
          <w:rFonts w:hint="eastAsia" w:ascii="仿宋_GB2312" w:hAnsi="仿宋_GB2312" w:eastAsia="仿宋_GB2312" w:cs="仿宋_GB2312"/>
          <w:color w:val="auto"/>
          <w:kern w:val="2"/>
          <w:sz w:val="32"/>
          <w:szCs w:val="32"/>
          <w:lang w:val="en-US" w:eastAsia="zh-CN" w:bidi="ar-SA"/>
        </w:rPr>
        <w:t>%。</w:t>
      </w:r>
    </w:p>
    <w:p>
      <w:pPr>
        <w:bidi w:val="0"/>
        <w:ind w:firstLine="643" w:firstLineChars="200"/>
        <w:rPr>
          <w:rFonts w:hint="eastAsia" w:ascii="楷体_GB2312" w:hAnsi="Times New Roman" w:eastAsia="楷体_GB2312" w:cs="楷体_GB2312"/>
          <w:b/>
          <w:bCs/>
          <w:kern w:val="2"/>
          <w:sz w:val="32"/>
          <w:szCs w:val="32"/>
          <w:lang w:val="en-US" w:eastAsia="zh-CN" w:bidi="ar-SA"/>
        </w:rPr>
      </w:pPr>
      <w:bookmarkStart w:id="19" w:name="_Toc1406"/>
      <w:r>
        <w:rPr>
          <w:rFonts w:hint="eastAsia" w:ascii="楷体_GB2312" w:hAnsi="Times New Roman" w:eastAsia="楷体_GB2312" w:cs="楷体_GB2312"/>
          <w:b/>
          <w:bCs/>
          <w:kern w:val="2"/>
          <w:sz w:val="32"/>
          <w:szCs w:val="32"/>
          <w:lang w:val="en-US" w:eastAsia="zh-CN" w:bidi="ar-SA"/>
        </w:rPr>
        <w:t>（三）一般公共预算当年拨款具体使用情况</w:t>
      </w:r>
      <w:bookmarkEnd w:id="19"/>
    </w:p>
    <w:p>
      <w:pPr>
        <w:pStyle w:val="13"/>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default" w:hAnsi="Times New Roman" w:cs="仿宋_GB2312"/>
          <w:b/>
          <w:bCs/>
          <w:color w:val="000000"/>
          <w:kern w:val="2"/>
          <w:sz w:val="32"/>
          <w:szCs w:val="32"/>
          <w:highlight w:val="none"/>
          <w:lang w:val="en-US" w:eastAsia="zh-CN"/>
        </w:rPr>
      </w:pPr>
      <w:bookmarkStart w:id="20" w:name="_Toc21690"/>
      <w:r>
        <w:rPr>
          <w:rFonts w:hint="eastAsia" w:hAnsi="Times New Roman" w:cs="仿宋_GB2312"/>
          <w:b/>
          <w:bCs/>
          <w:color w:val="000000"/>
          <w:kern w:val="2"/>
          <w:sz w:val="32"/>
          <w:szCs w:val="32"/>
          <w:highlight w:val="none"/>
          <w:lang w:val="en-US" w:eastAsia="zh-CN"/>
        </w:rPr>
        <w:t>1.壤塘县中壤塘镇人民政府</w:t>
      </w:r>
      <w:bookmarkEnd w:id="2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(1).一般公共公共服务支出201（类）政府办公厅（室）及相关机构事务03（款）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行政运行01（项）202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417.75</w:t>
      </w:r>
      <w:r>
        <w:rPr>
          <w:rFonts w:hint="eastAsia" w:ascii="仿宋_GB2312" w:hAnsi="Calibri" w:eastAsia="仿宋_GB2312" w:cs="Times New Roman"/>
          <w:kern w:val="2"/>
          <w:sz w:val="32"/>
          <w:szCs w:val="32"/>
          <w:lang w:val="en-US" w:eastAsia="zh-CN" w:bidi="ar-SA"/>
        </w:rPr>
        <w:t>万元，主要用于保障本单位行政人员工资福利、各项社会保险缴费等支出；一般行政管理事务02（项）202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年预算数为8万元，主要用于伙食团厨师薪酬、伙食团燃料及设备日常维修维护支出。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(2)卫生健康支出210（类）行政事业单位医疗11（款）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行政单位医疗01（项）202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24.56</w:t>
      </w:r>
      <w:r>
        <w:rPr>
          <w:rFonts w:hint="eastAsia" w:ascii="仿宋_GB2312" w:hAnsi="Calibri" w:eastAsia="仿宋_GB2312" w:cs="Times New Roman"/>
          <w:kern w:val="2"/>
          <w:sz w:val="32"/>
          <w:szCs w:val="32"/>
          <w:lang w:val="en-US" w:eastAsia="zh-CN" w:bidi="ar-SA"/>
        </w:rPr>
        <w:t>万元、公务员医疗部补助03（项）202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年预算数为5.41万元，主要用于</w:t>
      </w:r>
      <w:r>
        <w:rPr>
          <w:rFonts w:hint="eastAsia" w:ascii="仿宋_GB2312" w:eastAsia="仿宋_GB2312" w:cs="Times New Roman"/>
          <w:kern w:val="2"/>
          <w:sz w:val="32"/>
          <w:szCs w:val="32"/>
          <w:lang w:val="en-US" w:eastAsia="zh-CN" w:bidi="ar-SA"/>
        </w:rPr>
        <w:t>行政</w:t>
      </w:r>
      <w:r>
        <w:rPr>
          <w:rFonts w:hint="eastAsia" w:ascii="仿宋_GB2312" w:hAnsi="Calibri" w:eastAsia="仿宋_GB2312" w:cs="Times New Roman"/>
          <w:kern w:val="2"/>
          <w:sz w:val="32"/>
          <w:szCs w:val="32"/>
          <w:lang w:val="en-US" w:eastAsia="zh-CN" w:bidi="ar-SA"/>
        </w:rPr>
        <w:t>人员的行政单位医疗和公务员医疗补助</w:t>
      </w:r>
      <w:r>
        <w:rPr>
          <w:rFonts w:hint="eastAsia" w:ascii="仿宋_GB2312" w:eastAsia="仿宋_GB2312" w:cs="Times New Roman"/>
          <w:kern w:val="2"/>
          <w:sz w:val="32"/>
          <w:szCs w:val="32"/>
          <w:lang w:val="en-US" w:eastAsia="zh-CN" w:bidi="ar-SA"/>
        </w:rPr>
        <w:t>相关支出</w:t>
      </w:r>
      <w:r>
        <w:rPr>
          <w:rFonts w:hint="eastAsia" w:ascii="仿宋_GB2312" w:hAnsi="Calibri"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(3)农林水支出213（类）农村综合改革07（款）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对村民委员会和村党支部的补助05（项）202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172.81</w:t>
      </w:r>
      <w:r>
        <w:rPr>
          <w:rFonts w:hint="eastAsia" w:ascii="仿宋_GB2312" w:hAnsi="Calibri" w:eastAsia="仿宋_GB2312" w:cs="Times New Roman"/>
          <w:kern w:val="2"/>
          <w:sz w:val="32"/>
          <w:szCs w:val="32"/>
          <w:lang w:val="en-US" w:eastAsia="zh-CN" w:bidi="ar-SA"/>
        </w:rPr>
        <w:t>万元，主要用于各村村干部医疗补助、村级组织运转经费及农村综合改革示范点补助支出。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(4).社会保障和就业支出208（类）行政事业单位离退休05（款）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机关事业单位基本养老保险缴费支出05（项）202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56.13</w:t>
      </w:r>
      <w:r>
        <w:rPr>
          <w:rFonts w:hint="eastAsia" w:ascii="仿宋_GB2312" w:hAnsi="Calibri" w:eastAsia="仿宋_GB2312" w:cs="Times New Roman"/>
          <w:kern w:val="2"/>
          <w:sz w:val="32"/>
          <w:szCs w:val="32"/>
          <w:lang w:val="en-US" w:eastAsia="zh-CN" w:bidi="ar-SA"/>
        </w:rPr>
        <w:t>万元，主要用于缴纳行政人员基本养老保险。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(5).社会保障和就业支出208（类）行政事业单位养老支出05（款）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机关事业单位职业年金缴费支出06（项）202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28.07</w:t>
      </w:r>
      <w:r>
        <w:rPr>
          <w:rFonts w:hint="eastAsia" w:ascii="仿宋_GB2312" w:hAnsi="Calibri" w:eastAsia="仿宋_GB2312" w:cs="Times New Roman"/>
          <w:kern w:val="2"/>
          <w:sz w:val="32"/>
          <w:szCs w:val="32"/>
          <w:lang w:val="en-US" w:eastAsia="zh-CN" w:bidi="ar-SA"/>
        </w:rPr>
        <w:t>万元，主要用于缴纳行政人员职业年金。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(6).住房保障支出221（类）住房改革支出02（款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住房公积金01（项）202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45.98</w:t>
      </w:r>
      <w:r>
        <w:rPr>
          <w:rFonts w:hint="eastAsia" w:ascii="仿宋_GB2312" w:hAnsi="Calibri" w:eastAsia="仿宋_GB2312" w:cs="Times New Roman"/>
          <w:kern w:val="2"/>
          <w:sz w:val="32"/>
          <w:szCs w:val="32"/>
          <w:lang w:val="en-US" w:eastAsia="zh-CN" w:bidi="ar-SA"/>
        </w:rPr>
        <w:t>万元，主要用于缴纳行政人员住房公积金。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(7).农林水支出213（类）农业农村01（款）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病虫害控制08（项）202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年预算数为0.77万元，主要用于村级动物防疫员监测病虫鼠害及疫情监测的劳务补助</w:t>
      </w:r>
      <w:r>
        <w:rPr>
          <w:rFonts w:hint="eastAsia" w:ascii="仿宋_GB2312" w:eastAsia="仿宋_GB2312" w:cs="Times New Roman"/>
          <w:kern w:val="2"/>
          <w:sz w:val="32"/>
          <w:szCs w:val="32"/>
          <w:lang w:val="en-US" w:eastAsia="zh-CN" w:bidi="ar-SA"/>
        </w:rPr>
        <w:t>支出</w:t>
      </w:r>
      <w:r>
        <w:rPr>
          <w:rFonts w:hint="eastAsia" w:ascii="仿宋_GB2312" w:hAnsi="Calibri" w:eastAsia="仿宋_GB2312" w:cs="Times New Roman"/>
          <w:kern w:val="2"/>
          <w:sz w:val="32"/>
          <w:szCs w:val="32"/>
          <w:lang w:val="en-US" w:eastAsia="zh-CN" w:bidi="ar-SA"/>
        </w:rPr>
        <w:t>；其他农业农村支出99（项）202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w:t>
      </w:r>
      <w:r>
        <w:rPr>
          <w:rFonts w:hint="eastAsia" w:ascii="仿宋_GB2312" w:eastAsia="仿宋_GB2312" w:cs="Times New Roman"/>
          <w:kern w:val="2"/>
          <w:sz w:val="32"/>
          <w:szCs w:val="32"/>
          <w:lang w:val="en-US" w:eastAsia="zh-CN" w:bidi="ar-SA"/>
        </w:rPr>
        <w:t>289.36</w:t>
      </w:r>
      <w:r>
        <w:rPr>
          <w:rFonts w:hint="eastAsia" w:ascii="仿宋_GB2312" w:hAnsi="Calibri" w:eastAsia="仿宋_GB2312" w:cs="Times New Roman"/>
          <w:kern w:val="2"/>
          <w:sz w:val="32"/>
          <w:szCs w:val="32"/>
          <w:lang w:val="en-US" w:eastAsia="zh-CN" w:bidi="ar-SA"/>
        </w:rPr>
        <w:t>万元，主要用于：主要用于支付中壤塘镇征地拆迁补助。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(8).一般公共公共服务支出201（类）人大事务01（款）</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人大会议04（项）202</w:t>
      </w: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年预算数为10.05万元，主要用于保障人民代表大会等会议的相关经费支出。</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eastAsia"/>
          <w:b/>
          <w:bCs/>
          <w:kern w:val="2"/>
          <w:sz w:val="32"/>
          <w:szCs w:val="32"/>
          <w:lang w:val="en-US" w:eastAsia="zh-CN"/>
        </w:rPr>
      </w:pPr>
      <w:bookmarkStart w:id="21" w:name="_Toc12617"/>
      <w:r>
        <w:rPr>
          <w:rFonts w:hint="eastAsia"/>
          <w:b/>
          <w:bCs/>
          <w:kern w:val="2"/>
          <w:sz w:val="32"/>
          <w:szCs w:val="32"/>
          <w:lang w:val="en-US" w:eastAsia="zh-CN"/>
        </w:rPr>
        <w:t>2.壤塘县中壤塘镇便民服务中心</w:t>
      </w:r>
      <w:bookmarkEnd w:id="21"/>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(1).农林水支出213（类）农业农村01（款）：事业运行04（项）2026年预算数为327.4万元，主要用于保障事业人员工资福利、各项社会保险缴费等支出。</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(2).社会保障和就业支出208（类）行政事业单位离退休05（款）：机关事业单位基本养老保险缴费支出05（项）2026年预算数为44.52万元，主要用于缴纳事业人员基本养老保险。</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(3).社会保障和就业支出208（类）行政事业单位养老支出05（款）：机关事业单位职业年金缴费支出06（项）2026年预算数为22.26万元，主要用于缴纳事业人员职业年金。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Times New Roman" w:eastAsia="仿宋_GB2312" w:cs="仿宋_GB2312"/>
          <w:kern w:val="2"/>
          <w:sz w:val="32"/>
          <w:szCs w:val="32"/>
          <w:lang w:val="en-US" w:eastAsia="zh-CN" w:bidi="ar-SA"/>
        </w:rPr>
      </w:pPr>
      <w:r>
        <w:rPr>
          <w:rFonts w:hint="eastAsia" w:ascii="仿宋_GB2312" w:hAnsi="Times New Roman" w:eastAsia="仿宋_GB2312" w:cs="仿宋_GB2312"/>
          <w:kern w:val="2"/>
          <w:sz w:val="32"/>
          <w:szCs w:val="32"/>
          <w:lang w:val="en-US" w:eastAsia="zh-CN" w:bidi="ar-SA"/>
        </w:rPr>
        <w:t>(4).卫生健康支出210（类）行政事业单位医疗11（款）：事业单位医疗02（项）2026年预算数为19.48万元、其他行政事业单位医疗部支出99（项）2026年预算数为4.11万元，主要用于保障事业人员的医疗补助和公务员医疗补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Times New Roman" w:eastAsia="仿宋_GB2312" w:cs="仿宋_GB2312"/>
          <w:kern w:val="2"/>
          <w:sz w:val="32"/>
          <w:szCs w:val="32"/>
          <w:lang w:val="en-US" w:eastAsia="zh-CN" w:bidi="ar-SA"/>
        </w:rPr>
      </w:pPr>
      <w:r>
        <w:rPr>
          <w:rFonts w:hint="eastAsia" w:ascii="仿宋_GB2312" w:hAnsi="Times New Roman" w:eastAsia="仿宋_GB2312" w:cs="仿宋_GB2312"/>
          <w:kern w:val="2"/>
          <w:sz w:val="32"/>
          <w:szCs w:val="32"/>
          <w:lang w:val="en-US" w:eastAsia="zh-CN" w:bidi="ar-SA"/>
        </w:rPr>
        <w:t>(5).住房保障支出221（类）住房改革支出02（款）：住房公积金01（项）2026年预算数为37.04万元，主要用于：主要用于缴纳事业人员住房公积金。</w:t>
      </w:r>
    </w:p>
    <w:p>
      <w:pPr>
        <w:pStyle w:val="13"/>
        <w:spacing w:before="0" w:line="360" w:lineRule="auto"/>
        <w:ind w:firstLine="660"/>
        <w:rPr>
          <w:rFonts w:hint="eastAsia" w:ascii="黑体" w:eastAsia="黑体"/>
          <w:sz w:val="32"/>
          <w:szCs w:val="32"/>
          <w:lang w:val="en-US" w:eastAsia="zh-CN"/>
        </w:rPr>
      </w:pPr>
      <w:bookmarkStart w:id="22" w:name="_Toc26312"/>
      <w:r>
        <w:rPr>
          <w:rFonts w:hint="eastAsia" w:ascii="黑体" w:eastAsia="黑体"/>
          <w:sz w:val="32"/>
          <w:szCs w:val="32"/>
          <w:lang w:val="en-US" w:eastAsia="zh-CN"/>
        </w:rPr>
        <w:t>六、一般公共预算基本支出情况说明</w:t>
      </w:r>
      <w:bookmarkEnd w:id="22"/>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 年中壤塘镇人民政府一般公共预算基本支出 1215.21 万元，按支出类别分为人员经费和公用经费两部分：</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1.人员经费1054.16万元：</w:t>
      </w:r>
      <w:r>
        <w:rPr>
          <w:rFonts w:hint="eastAsia" w:ascii="仿宋_GB2312" w:hAnsi="仿宋_GB2312" w:eastAsia="仿宋_GB2312" w:cs="仿宋_GB2312"/>
          <w:b w:val="0"/>
          <w:bCs w:val="0"/>
          <w:color w:val="auto"/>
          <w:kern w:val="2"/>
          <w:sz w:val="32"/>
          <w:szCs w:val="32"/>
          <w:lang w:val="en-US" w:eastAsia="zh-CN" w:bidi="ar-SA"/>
        </w:rPr>
        <w:t>主要包括</w:t>
      </w:r>
      <w:r>
        <w:rPr>
          <w:rFonts w:hint="eastAsia" w:ascii="仿宋_GB2312" w:hAnsi="仿宋_GB2312" w:eastAsia="仿宋_GB2312" w:cs="仿宋_GB2312"/>
          <w:color w:val="auto"/>
          <w:kern w:val="2"/>
          <w:sz w:val="32"/>
          <w:szCs w:val="32"/>
          <w:lang w:val="en-US" w:eastAsia="zh-CN" w:bidi="ar-SA"/>
        </w:rPr>
        <w:t>基本工资、津贴补贴、奖金、其他社会保障缴费、绩效工资、机关事业单位基本养老保险缴费、职业年金缴费、基本医疗保险、公务员医疗补助、工伤保险、失业保险、残保金、其他工资福利支出、奖励金、住房公积金、其他对个人和家庭的补助支出。</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2.公用经费161.05万元：</w:t>
      </w:r>
      <w:r>
        <w:rPr>
          <w:rFonts w:hint="eastAsia" w:ascii="仿宋_GB2312" w:hAnsi="仿宋_GB2312" w:eastAsia="仿宋_GB2312" w:cs="仿宋_GB2312"/>
          <w:color w:val="auto"/>
          <w:kern w:val="2"/>
          <w:sz w:val="32"/>
          <w:szCs w:val="32"/>
          <w:lang w:val="en-US" w:eastAsia="zh-CN" w:bidi="ar-SA"/>
        </w:rPr>
        <w:t>主要包括办公费、印刷费、手续费、电费、邮电费、差旅费、维修（护）费、租赁费、培训费、劳务费、其他交通工具运行维护费、其他商品和服务支出。</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ascii="黑体" w:eastAsia="黑体"/>
          <w:sz w:val="32"/>
          <w:szCs w:val="32"/>
          <w:lang w:val="en-US" w:eastAsia="zh-CN"/>
        </w:rPr>
      </w:pPr>
      <w:bookmarkStart w:id="23" w:name="_Toc9977"/>
      <w:r>
        <w:rPr>
          <w:rFonts w:hint="eastAsia" w:ascii="黑体" w:eastAsia="黑体"/>
          <w:sz w:val="32"/>
          <w:szCs w:val="32"/>
          <w:lang w:val="en-US" w:eastAsia="zh-CN"/>
        </w:rPr>
        <w:t>七、“三公”经费财政拨款预算安排情况说明</w:t>
      </w:r>
      <w:bookmarkEnd w:id="2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2026 年中壤塘镇人民政府 “三公” 经费财政拨款预算总计 12 万元，其中：因公出国（境）经费0万元，公务接待费0万元，公务用车购置及运行维护费12万元。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1.因公出国（境）经费：2026 年预算数 0 万元，与 2025 年预算数持平，同比增长 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_GB2312"/>
          <w:kern w:val="2"/>
          <w:sz w:val="32"/>
          <w:szCs w:val="32"/>
          <w:lang w:val="en-US" w:eastAsia="zh-CN" w:bidi="ar-SA"/>
        </w:rPr>
      </w:pPr>
      <w:bookmarkStart w:id="24" w:name="_Toc15817"/>
      <w:r>
        <w:rPr>
          <w:rFonts w:hint="eastAsia" w:ascii="仿宋_GB2312" w:eastAsia="仿宋_GB2312" w:cs="仿宋_GB2312"/>
          <w:kern w:val="2"/>
          <w:sz w:val="32"/>
          <w:szCs w:val="32"/>
          <w:lang w:val="en-US" w:eastAsia="zh-CN" w:bidi="ar-SA"/>
        </w:rPr>
        <w:t>2.公务接待费：2026 年预算数 0 万元，与 2025 年预算数持平，同比增长 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3.公务用车购置及运行维护费：2026 年预算数 12 万元，与 2025 年预算数持平，同比增长 0%。</w:t>
      </w:r>
    </w:p>
    <w:p>
      <w:pPr>
        <w:pStyle w:val="13"/>
        <w:spacing w:before="0" w:line="360" w:lineRule="auto"/>
        <w:ind w:firstLine="640" w:firstLineChars="200"/>
        <w:rPr>
          <w:rFonts w:hint="eastAsia" w:ascii="黑体" w:eastAsia="黑体"/>
          <w:sz w:val="32"/>
          <w:szCs w:val="32"/>
          <w:lang w:val="en-US" w:eastAsia="zh-CN"/>
        </w:rPr>
      </w:pPr>
      <w:r>
        <w:rPr>
          <w:rFonts w:hint="eastAsia" w:ascii="黑体" w:eastAsia="黑体"/>
          <w:sz w:val="32"/>
          <w:szCs w:val="32"/>
          <w:lang w:val="en-US" w:eastAsia="zh-CN"/>
        </w:rPr>
        <w:t>八、政府性基金预算支出情况说明</w:t>
      </w:r>
      <w:bookmarkEnd w:id="24"/>
    </w:p>
    <w:p>
      <w:pPr>
        <w:pStyle w:val="13"/>
        <w:spacing w:before="0" w:line="360" w:lineRule="auto"/>
        <w:ind w:firstLine="640" w:firstLineChars="200"/>
        <w:rPr>
          <w:rFonts w:hint="eastAsia" w:ascii="仿宋_GB2312" w:hAnsi="Calibri" w:eastAsia="仿宋_GB2312" w:cs="仿宋_GB2312"/>
          <w:kern w:val="2"/>
          <w:sz w:val="32"/>
          <w:szCs w:val="32"/>
          <w:lang w:val="en-US" w:eastAsia="zh-CN" w:bidi="ar-SA"/>
        </w:rPr>
      </w:pPr>
      <w:bookmarkStart w:id="25" w:name="_Toc18148"/>
      <w:r>
        <w:rPr>
          <w:rFonts w:hint="eastAsia" w:ascii="仿宋_GB2312" w:hAnsi="Calibri" w:eastAsia="仿宋_GB2312" w:cs="仿宋_GB2312"/>
          <w:kern w:val="2"/>
          <w:sz w:val="32"/>
          <w:szCs w:val="32"/>
          <w:lang w:val="en-US" w:eastAsia="zh-CN" w:bidi="ar-SA"/>
        </w:rPr>
        <w:t>2026 年中壤塘镇人民政府无政府性基金预算拨款安排支出，预算数 0 万元，与 2025 年预算数持平，同比增长 0%。</w:t>
      </w:r>
    </w:p>
    <w:p>
      <w:pPr>
        <w:pStyle w:val="13"/>
        <w:spacing w:before="0" w:line="360" w:lineRule="auto"/>
        <w:ind w:firstLine="640" w:firstLineChars="200"/>
        <w:rPr>
          <w:rFonts w:hint="eastAsia" w:ascii="黑体" w:eastAsia="黑体"/>
          <w:sz w:val="32"/>
          <w:szCs w:val="32"/>
          <w:lang w:val="en-US" w:eastAsia="zh-CN"/>
        </w:rPr>
      </w:pPr>
      <w:r>
        <w:rPr>
          <w:rFonts w:hint="eastAsia" w:ascii="黑体" w:eastAsia="黑体"/>
          <w:sz w:val="32"/>
          <w:szCs w:val="32"/>
          <w:lang w:val="en-US" w:eastAsia="zh-CN"/>
        </w:rPr>
        <w:t>九、其他重要事项的情况说明</w:t>
      </w:r>
      <w:bookmarkEnd w:id="25"/>
    </w:p>
    <w:p>
      <w:pPr>
        <w:pStyle w:val="13"/>
        <w:keepNext w:val="0"/>
        <w:keepLines w:val="0"/>
        <w:pageBreakBefore w:val="0"/>
        <w:widowControl w:val="0"/>
        <w:kinsoku/>
        <w:wordWrap/>
        <w:overflowPunct/>
        <w:topLinePunct w:val="0"/>
        <w:autoSpaceDE/>
        <w:autoSpaceDN/>
        <w:bidi w:val="0"/>
        <w:adjustRightInd/>
        <w:snapToGrid/>
        <w:spacing w:before="0" w:line="240" w:lineRule="auto"/>
        <w:ind w:firstLine="643" w:firstLineChars="200"/>
        <w:textAlignment w:val="auto"/>
        <w:rPr>
          <w:rFonts w:hint="eastAsia" w:cs="仿宋_GB2312"/>
          <w:color w:val="auto"/>
          <w:kern w:val="2"/>
          <w:sz w:val="32"/>
          <w:szCs w:val="32"/>
          <w:lang w:val="en-US" w:eastAsia="zh-CN"/>
        </w:rPr>
      </w:pPr>
      <w:bookmarkStart w:id="26" w:name="_Toc2014"/>
      <w:r>
        <w:rPr>
          <w:rStyle w:val="14"/>
          <w:rFonts w:hint="eastAsia" w:ascii="楷体" w:hAnsi="楷体" w:eastAsia="楷体" w:cs="楷体"/>
          <w:lang w:val="en-US" w:eastAsia="zh-CN"/>
        </w:rPr>
        <w:t>（一）机关运行经费</w:t>
      </w:r>
      <w:bookmarkEnd w:id="26"/>
      <w:r>
        <w:rPr>
          <w:rFonts w:hint="eastAsia" w:cs="仿宋_GB2312"/>
          <w:kern w:val="2"/>
          <w:sz w:val="32"/>
          <w:szCs w:val="32"/>
        </w:rPr>
        <w:br w:type="textWrapping"/>
      </w:r>
      <w:r>
        <w:rPr>
          <w:rFonts w:hint="eastAsia" w:cs="仿宋_GB2312"/>
          <w:kern w:val="2"/>
          <w:sz w:val="32"/>
          <w:szCs w:val="32"/>
        </w:rPr>
        <w:t>　</w:t>
      </w:r>
      <w:r>
        <w:rPr>
          <w:rFonts w:hint="eastAsia" w:cs="仿宋_GB2312"/>
          <w:color w:val="auto"/>
          <w:kern w:val="2"/>
          <w:sz w:val="32"/>
          <w:szCs w:val="32"/>
          <w:lang w:val="en-US" w:eastAsia="zh-CN"/>
        </w:rPr>
        <w:t xml:space="preserve"> </w:t>
      </w:r>
      <w:r>
        <w:rPr>
          <w:rFonts w:hint="eastAsia" w:cs="仿宋_GB2312"/>
          <w:b w:val="0"/>
          <w:bCs w:val="0"/>
          <w:color w:val="auto"/>
          <w:kern w:val="2"/>
          <w:sz w:val="32"/>
          <w:szCs w:val="32"/>
          <w:lang w:val="en-US" w:eastAsia="zh-CN"/>
        </w:rPr>
        <w:t xml:space="preserve"> 壤塘县中壤塘镇人民政府2026年机关运行经费财政拨款预算为161.05万元，较2025年预算减少6万元，同比下降3.59%。</w:t>
      </w:r>
      <w:r>
        <w:rPr>
          <w:rFonts w:hint="eastAsia" w:cs="仿宋_GB2312"/>
          <w:color w:val="auto"/>
          <w:kern w:val="2"/>
          <w:sz w:val="32"/>
          <w:szCs w:val="32"/>
          <w:lang w:val="en-US" w:eastAsia="zh-CN"/>
        </w:rPr>
        <w:t xml:space="preserve"> </w:t>
      </w:r>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eastAsia" w:cs="仿宋_GB2312"/>
          <w:color w:val="000000"/>
          <w:kern w:val="2"/>
          <w:sz w:val="32"/>
          <w:szCs w:val="32"/>
          <w:lang w:val="en-US" w:eastAsia="zh-CN"/>
        </w:rPr>
      </w:pPr>
      <w:bookmarkStart w:id="27" w:name="_Toc8511"/>
      <w:r>
        <w:rPr>
          <w:rStyle w:val="14"/>
          <w:rFonts w:hint="eastAsia" w:ascii="楷体" w:hAnsi="楷体" w:eastAsia="楷体" w:cs="楷体"/>
        </w:rPr>
        <w:t>（二）政府采购情况</w:t>
      </w:r>
      <w:bookmarkEnd w:id="27"/>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val="en-US" w:eastAsia="zh-CN"/>
        </w:rPr>
        <w:t>2026年壤塘县中壤塘镇人民政府安排政府采购预算0万元。</w:t>
      </w:r>
      <w:bookmarkStart w:id="28" w:name="_Toc11421"/>
    </w:p>
    <w:p>
      <w:pPr>
        <w:pStyle w:val="13"/>
        <w:spacing w:before="0" w:line="360" w:lineRule="auto"/>
        <w:ind w:firstLine="643" w:firstLineChars="200"/>
        <w:rPr>
          <w:rFonts w:hint="eastAsia" w:ascii="楷体" w:eastAsia="楷体" w:cs="仿宋_GB2312"/>
          <w:b/>
          <w:bCs/>
          <w:color w:val="000000" w:themeColor="text1"/>
          <w:kern w:val="2"/>
          <w:sz w:val="32"/>
          <w:szCs w:val="32"/>
          <w14:textFill>
            <w14:solidFill>
              <w14:schemeClr w14:val="tx1"/>
            </w14:solidFill>
          </w14:textFill>
        </w:rPr>
      </w:pPr>
      <w:r>
        <w:rPr>
          <w:rFonts w:hint="eastAsia" w:ascii="楷体" w:eastAsia="楷体" w:cs="仿宋_GB2312"/>
          <w:b/>
          <w:bCs/>
          <w:color w:val="000000" w:themeColor="text1"/>
          <w:kern w:val="2"/>
          <w:sz w:val="32"/>
          <w:szCs w:val="32"/>
          <w14:textFill>
            <w14:solidFill>
              <w14:schemeClr w14:val="tx1"/>
            </w14:solidFill>
          </w14:textFill>
        </w:rPr>
        <w:t>（三）国有资产占有使用情况</w:t>
      </w:r>
      <w:bookmarkEnd w:id="28"/>
    </w:p>
    <w:p>
      <w:pPr>
        <w:pStyle w:val="13"/>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lang w:val="en-US" w:eastAsia="zh-CN"/>
        </w:rPr>
        <w:t>2025年12月31日，</w:t>
      </w:r>
      <w:r>
        <w:rPr>
          <w:rFonts w:hint="eastAsia" w:cs="仿宋_GB2312"/>
          <w:color w:val="auto"/>
          <w:kern w:val="2"/>
          <w:sz w:val="32"/>
          <w:szCs w:val="32"/>
          <w:lang w:val="en-US" w:eastAsia="zh-CN"/>
        </w:rPr>
        <w:t>固定资产为249.45万元</w:t>
      </w:r>
      <w:bookmarkStart w:id="29" w:name="_Toc32437"/>
      <w:r>
        <w:rPr>
          <w:rFonts w:hint="eastAsia" w:cs="仿宋_GB2312"/>
          <w:color w:val="auto"/>
          <w:kern w:val="2"/>
          <w:sz w:val="32"/>
          <w:szCs w:val="32"/>
          <w:lang w:val="en-US" w:eastAsia="zh-CN"/>
        </w:rPr>
        <w:t>，</w:t>
      </w:r>
      <w:r>
        <w:rPr>
          <w:rFonts w:hint="eastAsia" w:cs="仿宋_GB2312"/>
          <w:color w:val="000000"/>
          <w:kern w:val="2"/>
          <w:sz w:val="32"/>
          <w:szCs w:val="32"/>
          <w:lang w:val="en-US" w:eastAsia="zh-CN"/>
        </w:rPr>
        <w:t>无对外投资、无形资产及对外担保等相关资产事项。</w:t>
      </w:r>
    </w:p>
    <w:p>
      <w:pPr>
        <w:pStyle w:val="13"/>
        <w:spacing w:before="0" w:line="360" w:lineRule="auto"/>
        <w:ind w:firstLine="643" w:firstLineChars="200"/>
        <w:rPr>
          <w:rFonts w:hint="eastAsia" w:cs="仿宋_GB2312"/>
          <w:color w:val="auto"/>
          <w:kern w:val="2"/>
          <w:sz w:val="32"/>
          <w:szCs w:val="32"/>
        </w:rPr>
      </w:pPr>
      <w:r>
        <w:rPr>
          <w:rFonts w:hint="eastAsia" w:ascii="楷体" w:eastAsia="楷体" w:cs="仿宋_GB2312"/>
          <w:b/>
          <w:bCs/>
          <w:kern w:val="2"/>
          <w:sz w:val="32"/>
          <w:szCs w:val="32"/>
        </w:rPr>
        <w:t>（四）绩效目标设置情况</w:t>
      </w:r>
      <w:bookmarkEnd w:id="29"/>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中壤塘镇人民政府</w:t>
      </w:r>
      <w:r>
        <w:rPr>
          <w:rFonts w:hint="eastAsia" w:cs="仿宋_GB2312"/>
          <w:kern w:val="2"/>
          <w:sz w:val="32"/>
          <w:szCs w:val="32"/>
        </w:rPr>
        <w:t>通用项目和专用项目均按要求实行绩效目标管理，涉及一般公共预算当</w:t>
      </w:r>
      <w:r>
        <w:rPr>
          <w:rFonts w:hint="eastAsia" w:cs="仿宋_GB2312"/>
          <w:color w:val="auto"/>
          <w:kern w:val="2"/>
          <w:sz w:val="32"/>
          <w:szCs w:val="32"/>
        </w:rPr>
        <w:t>年拨款</w:t>
      </w:r>
      <w:r>
        <w:rPr>
          <w:rFonts w:hint="eastAsia" w:cs="仿宋_GB2312"/>
          <w:color w:val="auto"/>
          <w:kern w:val="2"/>
          <w:sz w:val="32"/>
          <w:szCs w:val="32"/>
          <w:lang w:val="en-US" w:eastAsia="zh-CN"/>
        </w:rPr>
        <w:t>298.48</w:t>
      </w:r>
      <w:r>
        <w:rPr>
          <w:rFonts w:hint="eastAsia" w:cs="仿宋_GB2312"/>
          <w:color w:val="auto"/>
          <w:kern w:val="2"/>
          <w:sz w:val="32"/>
          <w:szCs w:val="32"/>
        </w:rPr>
        <w:t>万元。</w:t>
      </w:r>
      <w:bookmarkStart w:id="30" w:name="_Toc31685"/>
    </w:p>
    <w:p>
      <w:pPr>
        <w:pStyle w:val="13"/>
        <w:spacing w:before="0" w:line="360" w:lineRule="auto"/>
        <w:ind w:firstLine="640" w:firstLineChars="200"/>
        <w:rPr>
          <w:rFonts w:cs="仿宋_GB2312"/>
          <w:kern w:val="2"/>
          <w:sz w:val="32"/>
          <w:szCs w:val="32"/>
        </w:rPr>
      </w:pPr>
      <w:r>
        <w:rPr>
          <w:rFonts w:hint="eastAsia" w:ascii="黑体" w:hAnsi="Calibri" w:eastAsia="黑体" w:cs="Times New Roman"/>
          <w:kern w:val="0"/>
          <w:sz w:val="32"/>
          <w:szCs w:val="32"/>
          <w:lang w:val="en-US" w:eastAsia="zh-CN" w:bidi="ar-SA"/>
        </w:rPr>
        <w:t xml:space="preserve">十、名称解释 </w:t>
      </w:r>
      <w:bookmarkEnd w:id="30"/>
      <w:r>
        <w:rPr>
          <w:rFonts w:hint="eastAsia" w:cs="仿宋_GB2312"/>
          <w:szCs w:val="32"/>
        </w:rPr>
        <w:br w:type="textWrapping"/>
      </w:r>
      <w:r>
        <w:rPr>
          <w:rFonts w:hint="eastAsia" w:ascii="??" w:hAnsi="??" w:eastAsia="宋体" w:cs="宋体"/>
        </w:rPr>
        <w:t>　</w:t>
      </w:r>
      <w:r>
        <w:rPr>
          <w:rFonts w:hint="eastAsia" w:ascii="??" w:hAnsi="??" w:eastAsia="宋体" w:cs="宋体"/>
          <w:kern w:val="0"/>
          <w:sz w:val="16"/>
          <w:szCs w:val="20"/>
          <w:lang w:val="en-US" w:eastAsia="zh-CN" w:bidi="ar-SA"/>
        </w:rPr>
        <w:t xml:space="preserve">　 </w:t>
      </w:r>
      <w:r>
        <w:rPr>
          <w:rFonts w:hint="eastAsia" w:ascii="??" w:hAnsi="??" w:eastAsia="宋体" w:cs="宋体"/>
          <w:sz w:val="16"/>
        </w:rPr>
        <w:t xml:space="preserve"> </w:t>
      </w:r>
      <w:r>
        <w:rPr>
          <w:rFonts w:hint="eastAsia" w:ascii="楷体" w:eastAsia="楷体" w:cs="仿宋_GB2312"/>
          <w:kern w:val="2"/>
          <w:sz w:val="32"/>
          <w:szCs w:val="32"/>
        </w:rPr>
        <w:t>（一）</w:t>
      </w:r>
      <w:r>
        <w:rPr>
          <w:rFonts w:hint="eastAsia" w:ascii="楷体" w:eastAsia="楷体" w:cs="仿宋_GB2312"/>
          <w:b w:val="0"/>
          <w:bCs w:val="0"/>
          <w:kern w:val="2"/>
          <w:sz w:val="32"/>
          <w:szCs w:val="32"/>
        </w:rPr>
        <w:t>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 w:hAnsi="??" w:eastAsia="宋体" w:cs="宋体"/>
          <w:kern w:val="0"/>
          <w:sz w:val="16"/>
          <w:szCs w:val="20"/>
          <w:lang w:val="en-US" w:eastAsia="zh-CN" w:bidi="ar-SA"/>
        </w:rPr>
      </w:pPr>
    </w:p>
    <w:p>
      <w:pPr>
        <w:keepNext w:val="0"/>
        <w:keepLines w:val="0"/>
        <w:pageBreakBefore w:val="0"/>
        <w:widowControl w:val="0"/>
        <w:kinsoku/>
        <w:wordWrap/>
        <w:overflowPunct/>
        <w:topLinePunct w:val="0"/>
        <w:autoSpaceDE/>
        <w:autoSpaceDN/>
        <w:bidi w:val="0"/>
        <w:adjustRightInd/>
        <w:snapToGrid/>
        <w:spacing w:line="456" w:lineRule="exact"/>
        <w:textAlignment w:val="auto"/>
        <w:rPr>
          <w:rFonts w:hint="eastAsia" w:ascii="??" w:hAnsi="??" w:eastAsia="宋体" w:cs="宋体"/>
          <w:kern w:val="0"/>
          <w:sz w:val="16"/>
          <w:szCs w:val="20"/>
          <w:lang w:val="en-US" w:eastAsia="zh-CN" w:bidi="ar-SA"/>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B4103D"/>
    <w:multiLevelType w:val="singleLevel"/>
    <w:tmpl w:val="EEB4103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2F058D"/>
    <w:rsid w:val="01AA1AC9"/>
    <w:rsid w:val="03773C2D"/>
    <w:rsid w:val="04BD1B14"/>
    <w:rsid w:val="0800048D"/>
    <w:rsid w:val="0858402D"/>
    <w:rsid w:val="098C2BBC"/>
    <w:rsid w:val="09FA64F4"/>
    <w:rsid w:val="0AD100C7"/>
    <w:rsid w:val="0B1F7084"/>
    <w:rsid w:val="0B534D24"/>
    <w:rsid w:val="0CE02843"/>
    <w:rsid w:val="0CF17B0D"/>
    <w:rsid w:val="0E1C5AFD"/>
    <w:rsid w:val="0E4D5CB6"/>
    <w:rsid w:val="0F40581B"/>
    <w:rsid w:val="0FCC140B"/>
    <w:rsid w:val="101D790A"/>
    <w:rsid w:val="11627CCB"/>
    <w:rsid w:val="12BB3674"/>
    <w:rsid w:val="156009C5"/>
    <w:rsid w:val="16D37B98"/>
    <w:rsid w:val="170D2487"/>
    <w:rsid w:val="17386CF9"/>
    <w:rsid w:val="1A200723"/>
    <w:rsid w:val="1A3B2F55"/>
    <w:rsid w:val="1A547A18"/>
    <w:rsid w:val="1A647D69"/>
    <w:rsid w:val="1AB21660"/>
    <w:rsid w:val="1B0D0CA7"/>
    <w:rsid w:val="1BBB3976"/>
    <w:rsid w:val="1BD96DDB"/>
    <w:rsid w:val="1DEB04D5"/>
    <w:rsid w:val="1F170346"/>
    <w:rsid w:val="1F4E7AE0"/>
    <w:rsid w:val="217E1DFE"/>
    <w:rsid w:val="21A734D8"/>
    <w:rsid w:val="22C205C9"/>
    <w:rsid w:val="231A04A0"/>
    <w:rsid w:val="253B4663"/>
    <w:rsid w:val="265D5D33"/>
    <w:rsid w:val="27AA5AD0"/>
    <w:rsid w:val="27EC357E"/>
    <w:rsid w:val="280E42B1"/>
    <w:rsid w:val="282A1905"/>
    <w:rsid w:val="29F605EA"/>
    <w:rsid w:val="2A816FBC"/>
    <w:rsid w:val="2C245E51"/>
    <w:rsid w:val="2C6914D2"/>
    <w:rsid w:val="2D8D5C78"/>
    <w:rsid w:val="2DCA60D3"/>
    <w:rsid w:val="2EBD42A2"/>
    <w:rsid w:val="2F743580"/>
    <w:rsid w:val="30D07A9D"/>
    <w:rsid w:val="31203C8A"/>
    <w:rsid w:val="31F14A27"/>
    <w:rsid w:val="33F64577"/>
    <w:rsid w:val="3BED15B2"/>
    <w:rsid w:val="3EF913BF"/>
    <w:rsid w:val="3FF35E0E"/>
    <w:rsid w:val="409F1662"/>
    <w:rsid w:val="4182569C"/>
    <w:rsid w:val="42F75C15"/>
    <w:rsid w:val="45B61DB8"/>
    <w:rsid w:val="460E39A2"/>
    <w:rsid w:val="472E597E"/>
    <w:rsid w:val="48031313"/>
    <w:rsid w:val="4A1B68B4"/>
    <w:rsid w:val="4CB038D8"/>
    <w:rsid w:val="4FD431E7"/>
    <w:rsid w:val="507C1589"/>
    <w:rsid w:val="50F27767"/>
    <w:rsid w:val="541B75F1"/>
    <w:rsid w:val="55766E6E"/>
    <w:rsid w:val="55934FCA"/>
    <w:rsid w:val="55F85854"/>
    <w:rsid w:val="56386846"/>
    <w:rsid w:val="56EF40DA"/>
    <w:rsid w:val="593F07AF"/>
    <w:rsid w:val="59E545C2"/>
    <w:rsid w:val="5A330FE7"/>
    <w:rsid w:val="5AB77F43"/>
    <w:rsid w:val="5B9C5154"/>
    <w:rsid w:val="5D4567E9"/>
    <w:rsid w:val="5F81302B"/>
    <w:rsid w:val="5F84662B"/>
    <w:rsid w:val="6094289E"/>
    <w:rsid w:val="61334ABE"/>
    <w:rsid w:val="616B378D"/>
    <w:rsid w:val="627B3D15"/>
    <w:rsid w:val="63400ABB"/>
    <w:rsid w:val="64354398"/>
    <w:rsid w:val="66F71169"/>
    <w:rsid w:val="67B0620F"/>
    <w:rsid w:val="680E1188"/>
    <w:rsid w:val="68E32B2A"/>
    <w:rsid w:val="691F50A2"/>
    <w:rsid w:val="69632FD3"/>
    <w:rsid w:val="6CF7668E"/>
    <w:rsid w:val="6DBE0563"/>
    <w:rsid w:val="6DF2572D"/>
    <w:rsid w:val="729C6976"/>
    <w:rsid w:val="731E0CCB"/>
    <w:rsid w:val="73BB14EB"/>
    <w:rsid w:val="73DA4614"/>
    <w:rsid w:val="75921031"/>
    <w:rsid w:val="761738FD"/>
    <w:rsid w:val="78970D25"/>
    <w:rsid w:val="79CD4958"/>
    <w:rsid w:val="7A066163"/>
    <w:rsid w:val="7A7646CA"/>
    <w:rsid w:val="7A861051"/>
    <w:rsid w:val="7BF85F7F"/>
    <w:rsid w:val="7CA81753"/>
    <w:rsid w:val="7D07647A"/>
    <w:rsid w:val="7F3E4EFC"/>
    <w:rsid w:val="7FED3F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widowControl w:val="0"/>
      <w:spacing w:before="340" w:after="330" w:line="578" w:lineRule="auto"/>
      <w:outlineLvl w:val="0"/>
    </w:pPr>
    <w:rPr>
      <w:b/>
      <w:bCs/>
      <w:kern w:val="44"/>
      <w:sz w:val="44"/>
    </w:rPr>
  </w:style>
  <w:style w:type="paragraph" w:styleId="3">
    <w:name w:val="heading 2"/>
    <w:basedOn w:val="1"/>
    <w:next w:val="1"/>
    <w:link w:val="14"/>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style>
  <w:style w:type="paragraph" w:styleId="6">
    <w:name w:val="Body Text First Indent 2"/>
    <w:basedOn w:val="5"/>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0"/>
    <w:rPr>
      <w:b/>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character" w:customStyle="1" w:styleId="14">
    <w:name w:val="标题 2 Char"/>
    <w:link w:val="3"/>
    <w:qFormat/>
    <w:uiPriority w:val="0"/>
    <w:rPr>
      <w:rFonts w:ascii="Arial" w:hAnsi="Arial" w:eastAsia="黑体"/>
      <w:b/>
      <w:sz w:val="32"/>
    </w:rPr>
  </w:style>
  <w:style w:type="character" w:customStyle="1" w:styleId="15">
    <w:name w:val="标题 1 Char"/>
    <w:link w:val="2"/>
    <w:qFormat/>
    <w:uiPriority w:val="0"/>
    <w:rPr>
      <w:b/>
      <w:bCs/>
      <w:kern w:val="44"/>
      <w:sz w:val="44"/>
    </w:rPr>
  </w:style>
  <w:style w:type="paragraph" w:customStyle="1" w:styleId="16">
    <w:name w:val="WPSOffice手动目录 1"/>
    <w:qFormat/>
    <w:uiPriority w:val="0"/>
    <w:pPr>
      <w:ind w:leftChars="0"/>
    </w:pPr>
    <w:rPr>
      <w:rFonts w:ascii="Times New Roman" w:hAnsi="Times New Roman" w:eastAsia="楷体_GB2312" w:cs="Times New Roman"/>
      <w:sz w:val="20"/>
      <w:szCs w:val="20"/>
    </w:rPr>
  </w:style>
  <w:style w:type="paragraph" w:customStyle="1" w:styleId="17">
    <w:name w:val="WPSOffice手动目录 2"/>
    <w:qFormat/>
    <w:uiPriority w:val="0"/>
    <w:pPr>
      <w:ind w:leftChars="200"/>
    </w:pPr>
    <w:rPr>
      <w:rFonts w:ascii="Times New Roman" w:hAnsi="Times New Roman" w:eastAsia="楷体_GB2312" w:cs="Times New Roman"/>
      <w:sz w:val="20"/>
      <w:szCs w:val="20"/>
    </w:rPr>
  </w:style>
  <w:style w:type="paragraph" w:customStyle="1" w:styleId="18">
    <w:name w:val="WPSOffice手动目录 3"/>
    <w:qFormat/>
    <w:uiPriority w:val="0"/>
    <w:pPr>
      <w:ind w:leftChars="400"/>
    </w:pPr>
    <w:rPr>
      <w:rFonts w:ascii="Times New Roman" w:hAnsi="Times New Roman" w:eastAsia="楷体_GB2312"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4818</Words>
  <Characters>5349</Characters>
  <Lines>124</Lines>
  <Paragraphs>51</Paragraphs>
  <TotalTime>49</TotalTime>
  <ScaleCrop>false</ScaleCrop>
  <LinksUpToDate>false</LinksUpToDate>
  <CharactersWithSpaces>5473</CharactersWithSpaces>
  <Application>WPS Office_10.1.0.7400_F1E327BC-269C-435d-A152-05C5408002CA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2026-07-27T10:01:30Z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TemplateDocerSaveRecord">
    <vt:lpwstr>eyJoZGlkIjoiNTdhMzQ2NmI5ZjEwMjBlMmM4YTI0ZjJhMTlmYjhjZDIiLCJ1c2VySWQiOiIyODU1ODk5OTYifQ==</vt:lpwstr>
  </property>
  <property fmtid="{D5CDD505-2E9C-101B-9397-08002B2CF9AE}" pid="4" name="ICV">
    <vt:lpwstr>08C32621ED7545BD8C232919501564A1_13</vt:lpwstr>
  </property>
</Properties>
</file>