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黑体" w:eastAsia="黑体"/>
          <w:sz w:val="32"/>
          <w:szCs w:val="32"/>
        </w:rPr>
      </w:pPr>
      <w:bookmarkStart w:id="0" w:name="_Toc6715"/>
      <w:r>
        <w:rPr>
          <w:rFonts w:ascii="黑体" w:eastAsia="黑体"/>
          <w:sz w:val="32"/>
          <w:szCs w:val="32"/>
        </w:rPr>
        <w:t>附件</w:t>
      </w:r>
      <w:r>
        <w:rPr>
          <w:rFonts w:hint="eastAsia" w:ascii="黑体" w:eastAsia="黑体"/>
          <w:sz w:val="32"/>
          <w:szCs w:val="32"/>
        </w:rPr>
        <w:t>2</w:t>
      </w:r>
      <w:bookmarkEnd w:id="0"/>
    </w:p>
    <w:p/>
    <w:p/>
    <w:p/>
    <w:p>
      <w:pPr>
        <w:ind w:firstLine="1050" w:firstLineChars="500"/>
      </w:pPr>
    </w:p>
    <w:p>
      <w:pPr>
        <w:ind w:firstLine="1050" w:firstLineChars="500"/>
      </w:pPr>
    </w:p>
    <w:p>
      <w:pPr>
        <w:ind w:firstLine="1760" w:firstLineChars="400"/>
        <w:rPr>
          <w:rFonts w:ascii="黑体" w:eastAsia="黑体"/>
          <w:sz w:val="44"/>
          <w:szCs w:val="44"/>
        </w:rPr>
      </w:pPr>
    </w:p>
    <w:p>
      <w:pPr>
        <w:jc w:val="center"/>
        <w:outlineLvl w:val="0"/>
        <w:rPr>
          <w:rFonts w:hint="eastAsia" w:ascii="黑体" w:eastAsia="黑体" w:cs="黑体"/>
          <w:sz w:val="72"/>
          <w:szCs w:val="72"/>
          <w:lang w:val="en-US" w:eastAsia="zh-CN" w:bidi="ar-SA"/>
        </w:rPr>
      </w:pPr>
      <w:bookmarkStart w:id="1" w:name="_Toc15869"/>
      <w:bookmarkStart w:id="2" w:name="_Toc6014"/>
      <w:bookmarkStart w:id="3" w:name="_Toc32392"/>
      <w:bookmarkStart w:id="4" w:name="_Toc23418"/>
      <w:r>
        <w:rPr>
          <w:rFonts w:hint="eastAsia" w:ascii="黑体" w:eastAsia="黑体" w:cs="黑体"/>
          <w:sz w:val="72"/>
          <w:szCs w:val="72"/>
          <w:lang w:val="en-US" w:eastAsia="zh-CN" w:bidi="ar-SA"/>
        </w:rPr>
        <w:t>壤塘县中壤塘镇人民政府</w:t>
      </w:r>
      <w:bookmarkEnd w:id="1"/>
      <w:bookmarkEnd w:id="2"/>
      <w:bookmarkEnd w:id="3"/>
      <w:bookmarkEnd w:id="4"/>
    </w:p>
    <w:p>
      <w:pPr>
        <w:jc w:val="center"/>
        <w:rPr>
          <w:rFonts w:hint="eastAsia" w:ascii="黑体" w:eastAsia="黑体" w:cs="Times New Roman"/>
          <w:sz w:val="72"/>
          <w:szCs w:val="72"/>
          <w:lang w:bidi="ar-SA"/>
        </w:rPr>
      </w:pPr>
      <w:r>
        <w:rPr>
          <w:rFonts w:hint="eastAsia" w:ascii="黑体" w:eastAsia="黑体" w:cs="黑体"/>
          <w:sz w:val="72"/>
          <w:szCs w:val="72"/>
          <w:lang w:eastAsia="zh-CN" w:bidi="ar-SA"/>
        </w:rPr>
        <w:t>202</w:t>
      </w:r>
      <w:r>
        <w:rPr>
          <w:rFonts w:hint="eastAsia" w:ascii="黑体" w:eastAsia="黑体" w:cs="黑体"/>
          <w:sz w:val="72"/>
          <w:szCs w:val="72"/>
          <w:lang w:val="en-US" w:eastAsia="zh-CN" w:bidi="ar-SA"/>
        </w:rPr>
        <w:t>5</w:t>
      </w:r>
      <w:r>
        <w:rPr>
          <w:rFonts w:hint="eastAsia" w:ascii="黑体" w:eastAsia="黑体" w:cs="黑体"/>
          <w:sz w:val="72"/>
          <w:szCs w:val="72"/>
          <w:lang w:eastAsia="zh-CN" w:bidi="ar-SA"/>
        </w:rPr>
        <w:t>年</w:t>
      </w:r>
      <w:r>
        <w:rPr>
          <w:rFonts w:hint="eastAsia" w:ascii="黑体" w:eastAsia="黑体" w:cs="黑体"/>
          <w:sz w:val="72"/>
          <w:szCs w:val="72"/>
          <w:lang w:bidi="ar-SA"/>
        </w:rPr>
        <w:t>部门预算</w:t>
      </w:r>
    </w:p>
    <w:p>
      <w:pPr>
        <w:jc w:val="cente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ind w:left="0" w:leftChars="0" w:firstLine="0" w:firstLineChars="0"/>
      </w:pPr>
    </w:p>
    <w:p>
      <w:pPr>
        <w:ind w:firstLine="2080" w:firstLineChars="400"/>
        <w:jc w:val="both"/>
        <w:rPr>
          <w:rFonts w:hint="eastAsia" w:ascii="黑体" w:eastAsia="黑体" w:cs="Times New Roman"/>
          <w:sz w:val="52"/>
          <w:szCs w:val="52"/>
          <w:highlight w:val="none"/>
          <w:lang w:bidi="ar-SA"/>
        </w:rPr>
      </w:pPr>
      <w:r>
        <w:rPr>
          <w:rFonts w:hint="eastAsia" w:ascii="黑体" w:eastAsia="黑体" w:cs="黑体"/>
          <w:sz w:val="52"/>
          <w:szCs w:val="52"/>
          <w:highlight w:val="none"/>
          <w:lang w:val="en-US" w:eastAsia="zh-CN" w:bidi="ar-SA"/>
        </w:rPr>
        <w:t>2025</w:t>
      </w:r>
      <w:r>
        <w:rPr>
          <w:rFonts w:hint="eastAsia" w:ascii="黑体" w:eastAsia="黑体" w:cs="黑体"/>
          <w:sz w:val="52"/>
          <w:szCs w:val="52"/>
          <w:highlight w:val="none"/>
          <w:lang w:bidi="ar-SA"/>
        </w:rPr>
        <w:t>年</w:t>
      </w:r>
      <w:r>
        <w:rPr>
          <w:rFonts w:hint="eastAsia" w:ascii="黑体" w:eastAsia="黑体" w:cs="黑体"/>
          <w:sz w:val="52"/>
          <w:szCs w:val="52"/>
          <w:highlight w:val="none"/>
          <w:lang w:val="en-US" w:eastAsia="zh-CN" w:bidi="ar-SA"/>
        </w:rPr>
        <w:t>2</w:t>
      </w:r>
      <w:r>
        <w:rPr>
          <w:rFonts w:hint="eastAsia" w:ascii="黑体" w:eastAsia="黑体" w:cs="黑体"/>
          <w:sz w:val="52"/>
          <w:szCs w:val="52"/>
          <w:highlight w:val="none"/>
          <w:lang w:bidi="ar-SA"/>
        </w:rPr>
        <w:t>月</w:t>
      </w:r>
      <w:r>
        <w:rPr>
          <w:rFonts w:hint="eastAsia" w:ascii="黑体" w:eastAsia="黑体" w:cs="黑体"/>
          <w:sz w:val="52"/>
          <w:szCs w:val="52"/>
          <w:highlight w:val="none"/>
          <w:lang w:val="en-US" w:eastAsia="zh-CN" w:bidi="ar-SA"/>
        </w:rPr>
        <w:t>27</w:t>
      </w:r>
      <w:r>
        <w:rPr>
          <w:rFonts w:hint="eastAsia" w:ascii="黑体" w:eastAsia="黑体" w:cs="黑体"/>
          <w:sz w:val="52"/>
          <w:szCs w:val="52"/>
          <w:highlight w:val="none"/>
          <w:lang w:bidi="ar-SA"/>
        </w:rPr>
        <w:t>日</w:t>
      </w:r>
    </w:p>
    <w:sdt>
      <w:sdtPr>
        <w:rPr>
          <w:rFonts w:ascii="宋体" w:hAnsi="宋体" w:eastAsia="宋体" w:cs="Times New Roman"/>
          <w:b/>
          <w:bCs/>
          <w:kern w:val="2"/>
          <w:sz w:val="36"/>
          <w:szCs w:val="40"/>
          <w:lang w:val="en-US" w:eastAsia="zh-CN" w:bidi="ar-SA"/>
        </w:rPr>
        <w:id w:val="147465274"/>
        <w15:color w:val="DBDBDB"/>
        <w:docPartObj>
          <w:docPartGallery w:val="Table of Contents"/>
          <w:docPartUnique/>
        </w:docPartObj>
      </w:sdtPr>
      <w:sdtEndPr>
        <w:rPr>
          <w:rFonts w:ascii="黑体" w:hAnsi="Calibri" w:eastAsia="黑体" w:cs="Times New Roman"/>
          <w:b/>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Times New Roman"/>
              <w:b/>
              <w:bCs/>
              <w:kern w:val="2"/>
              <w:sz w:val="36"/>
              <w:szCs w:val="40"/>
              <w:lang w:val="en-US" w:eastAsia="zh-CN" w:bidi="ar-SA"/>
            </w:rPr>
          </w:pPr>
        </w:p>
        <w:p>
          <w:pPr>
            <w:spacing w:before="0" w:beforeLines="0" w:after="0" w:afterLines="0" w:line="240" w:lineRule="auto"/>
            <w:ind w:left="0" w:leftChars="0" w:right="0" w:rightChars="0" w:firstLine="0" w:firstLineChars="0"/>
            <w:jc w:val="center"/>
            <w:rPr>
              <w:b/>
              <w:bCs/>
              <w:sz w:val="48"/>
              <w:szCs w:val="52"/>
            </w:rPr>
          </w:pPr>
          <w:r>
            <w:rPr>
              <w:rFonts w:ascii="宋体" w:hAnsi="宋体" w:eastAsia="宋体"/>
              <w:b/>
              <w:bCs/>
              <w:sz w:val="48"/>
              <w:szCs w:val="52"/>
            </w:rPr>
            <w:t>目</w:t>
          </w:r>
          <w:r>
            <w:rPr>
              <w:rFonts w:hint="eastAsia" w:ascii="宋体" w:hAnsi="宋体" w:eastAsia="宋体"/>
              <w:b/>
              <w:bCs/>
              <w:sz w:val="48"/>
              <w:szCs w:val="52"/>
              <w:lang w:val="en-US" w:eastAsia="zh-CN"/>
            </w:rPr>
            <w:t xml:space="preserve">  </w:t>
          </w:r>
          <w:r>
            <w:rPr>
              <w:rFonts w:ascii="宋体" w:hAnsi="宋体" w:eastAsia="宋体"/>
              <w:b/>
              <w:bCs/>
              <w:sz w:val="48"/>
              <w:szCs w:val="52"/>
            </w:rPr>
            <w:t>录</w:t>
          </w:r>
        </w:p>
        <w:p>
          <w:pPr>
            <w:pStyle w:val="15"/>
            <w:tabs>
              <w:tab w:val="right" w:leader="dot" w:pos="8306"/>
            </w:tabs>
            <w:rPr>
              <w:sz w:val="24"/>
              <w:szCs w:val="24"/>
            </w:rPr>
          </w:pPr>
          <w:r>
            <w:rPr>
              <w:rFonts w:ascii="黑体" w:eastAsia="黑体"/>
              <w:sz w:val="56"/>
              <w:szCs w:val="56"/>
            </w:rPr>
            <w:fldChar w:fldCharType="begin"/>
          </w:r>
          <w:r>
            <w:rPr>
              <w:rFonts w:ascii="黑体" w:eastAsia="黑体"/>
              <w:sz w:val="56"/>
              <w:szCs w:val="56"/>
            </w:rPr>
            <w:instrText xml:space="preserve">TOC \o "1-3" \h \u </w:instrText>
          </w:r>
          <w:r>
            <w:rPr>
              <w:rFonts w:ascii="黑体" w:eastAsia="黑体"/>
              <w:sz w:val="56"/>
              <w:szCs w:val="56"/>
            </w:rPr>
            <w:fldChar w:fldCharType="separate"/>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_Toc21826 </w:instrText>
          </w:r>
          <w:r>
            <w:rPr>
              <w:rFonts w:ascii="黑体" w:eastAsia="黑体"/>
              <w:sz w:val="28"/>
              <w:szCs w:val="60"/>
            </w:rPr>
            <w:fldChar w:fldCharType="separate"/>
          </w:r>
          <w:r>
            <w:rPr>
              <w:rFonts w:hint="eastAsia" w:ascii="黑体" w:hAnsi="黑体" w:eastAsia="黑体" w:cs="黑体"/>
              <w:sz w:val="28"/>
              <w:szCs w:val="48"/>
            </w:rPr>
            <w:t>一、基本职能及主要工作</w:t>
          </w:r>
          <w:r>
            <w:rPr>
              <w:sz w:val="28"/>
              <w:szCs w:val="28"/>
            </w:rPr>
            <w:tab/>
          </w:r>
          <w:r>
            <w:rPr>
              <w:sz w:val="28"/>
              <w:szCs w:val="28"/>
            </w:rPr>
            <w:fldChar w:fldCharType="begin"/>
          </w:r>
          <w:r>
            <w:rPr>
              <w:sz w:val="28"/>
              <w:szCs w:val="28"/>
            </w:rPr>
            <w:instrText xml:space="preserve"> PAGEREF _Toc21826 \h </w:instrText>
          </w:r>
          <w:r>
            <w:rPr>
              <w:sz w:val="28"/>
              <w:szCs w:val="28"/>
            </w:rPr>
            <w:fldChar w:fldCharType="separate"/>
          </w:r>
          <w:r>
            <w:rPr>
              <w:sz w:val="28"/>
              <w:szCs w:val="28"/>
            </w:rPr>
            <w:t>1</w:t>
          </w:r>
          <w:r>
            <w:rPr>
              <w:sz w:val="28"/>
              <w:szCs w:val="28"/>
            </w:rPr>
            <w:fldChar w:fldCharType="end"/>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_Toc15565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（一）壤塘县中壤塘镇人民政府职能简介</w:t>
          </w:r>
          <w:r>
            <w:rPr>
              <w:sz w:val="28"/>
              <w:szCs w:val="28"/>
            </w:rPr>
            <w:tab/>
          </w:r>
          <w:r>
            <w:rPr>
              <w:sz w:val="28"/>
              <w:szCs w:val="28"/>
            </w:rPr>
            <w:fldChar w:fldCharType="begin"/>
          </w:r>
          <w:r>
            <w:rPr>
              <w:sz w:val="28"/>
              <w:szCs w:val="28"/>
            </w:rPr>
            <w:instrText xml:space="preserve"> PAGEREF _Toc15565 \h </w:instrText>
          </w:r>
          <w:r>
            <w:rPr>
              <w:sz w:val="28"/>
              <w:szCs w:val="28"/>
            </w:rPr>
            <w:fldChar w:fldCharType="separate"/>
          </w:r>
          <w:r>
            <w:rPr>
              <w:sz w:val="28"/>
              <w:szCs w:val="28"/>
            </w:rPr>
            <w:t>1</w:t>
          </w:r>
          <w:r>
            <w:rPr>
              <w:sz w:val="28"/>
              <w:szCs w:val="28"/>
            </w:rPr>
            <w:fldChar w:fldCharType="end"/>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_Toc9682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（二）中壤塘镇人民政府2025年重点工作</w:t>
          </w:r>
          <w:r>
            <w:rPr>
              <w:sz w:val="28"/>
              <w:szCs w:val="28"/>
            </w:rPr>
            <w:tab/>
          </w:r>
          <w:r>
            <w:rPr>
              <w:sz w:val="28"/>
              <w:szCs w:val="28"/>
            </w:rPr>
            <w:fldChar w:fldCharType="begin"/>
          </w:r>
          <w:r>
            <w:rPr>
              <w:sz w:val="28"/>
              <w:szCs w:val="28"/>
            </w:rPr>
            <w:instrText xml:space="preserve"> PAGEREF _Toc9682 \h </w:instrText>
          </w:r>
          <w:r>
            <w:rPr>
              <w:sz w:val="28"/>
              <w:szCs w:val="28"/>
            </w:rPr>
            <w:fldChar w:fldCharType="separate"/>
          </w:r>
          <w:r>
            <w:rPr>
              <w:sz w:val="28"/>
              <w:szCs w:val="28"/>
            </w:rPr>
            <w:t>2</w:t>
          </w:r>
          <w:r>
            <w:rPr>
              <w:sz w:val="28"/>
              <w:szCs w:val="28"/>
            </w:rPr>
            <w:fldChar w:fldCharType="end"/>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_Toc23983 </w:instrText>
          </w:r>
          <w:r>
            <w:rPr>
              <w:rFonts w:ascii="黑体" w:eastAsia="黑体"/>
              <w:sz w:val="28"/>
              <w:szCs w:val="60"/>
            </w:rPr>
            <w:fldChar w:fldCharType="separate"/>
          </w:r>
          <w:r>
            <w:rPr>
              <w:rFonts w:hint="eastAsia" w:ascii="黑体" w:hAnsi="黑体" w:eastAsia="黑体" w:cs="黑体"/>
              <w:sz w:val="28"/>
              <w:szCs w:val="48"/>
              <w:lang w:val="en-US" w:eastAsia="zh-CN"/>
            </w:rPr>
            <w:t>二</w:t>
          </w:r>
          <w:r>
            <w:rPr>
              <w:rFonts w:hint="eastAsia" w:ascii="黑体" w:hAnsi="黑体" w:eastAsia="黑体" w:cs="黑体"/>
              <w:sz w:val="28"/>
              <w:szCs w:val="48"/>
            </w:rPr>
            <w:t>、部门预算单位构成</w:t>
          </w:r>
          <w:r>
            <w:rPr>
              <w:sz w:val="28"/>
              <w:szCs w:val="28"/>
            </w:rPr>
            <w:tab/>
          </w:r>
          <w:r>
            <w:rPr>
              <w:rFonts w:hint="eastAsia"/>
              <w:sz w:val="28"/>
              <w:szCs w:val="28"/>
              <w:lang w:val="en-US" w:eastAsia="zh-CN"/>
            </w:rPr>
            <w:t>2</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_Toc4967 </w:instrText>
          </w:r>
          <w:r>
            <w:rPr>
              <w:rFonts w:ascii="黑体" w:eastAsia="黑体"/>
              <w:sz w:val="28"/>
              <w:szCs w:val="60"/>
            </w:rPr>
            <w:fldChar w:fldCharType="separate"/>
          </w:r>
          <w:r>
            <w:rPr>
              <w:rFonts w:hint="eastAsia" w:ascii="黑体" w:hAnsi="黑体" w:eastAsia="黑体" w:cs="黑体"/>
              <w:sz w:val="28"/>
              <w:szCs w:val="48"/>
              <w:lang w:val="en-US" w:eastAsia="zh-CN"/>
            </w:rPr>
            <w:t>三、收支预算情况说明</w:t>
          </w:r>
          <w:r>
            <w:rPr>
              <w:sz w:val="28"/>
              <w:szCs w:val="28"/>
            </w:rPr>
            <w:tab/>
          </w:r>
          <w:r>
            <w:rPr>
              <w:rFonts w:hint="eastAsia"/>
              <w:sz w:val="28"/>
              <w:szCs w:val="28"/>
              <w:lang w:val="en-US" w:eastAsia="zh-CN"/>
            </w:rPr>
            <w:t>2</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_Toc22784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（一）收入预算情况</w:t>
          </w:r>
          <w:r>
            <w:rPr>
              <w:sz w:val="28"/>
              <w:szCs w:val="28"/>
            </w:rPr>
            <w:tab/>
          </w:r>
          <w:r>
            <w:rPr>
              <w:rFonts w:hint="eastAsia"/>
              <w:sz w:val="28"/>
              <w:szCs w:val="28"/>
              <w:lang w:val="en-US" w:eastAsia="zh-CN"/>
            </w:rPr>
            <w:t>3</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_Toc6117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（二）支出预算情况</w:t>
          </w:r>
          <w:r>
            <w:rPr>
              <w:sz w:val="28"/>
              <w:szCs w:val="28"/>
            </w:rPr>
            <w:tab/>
          </w:r>
          <w:r>
            <w:rPr>
              <w:rFonts w:hint="eastAsia"/>
              <w:sz w:val="28"/>
              <w:szCs w:val="28"/>
              <w:lang w:val="en-US" w:eastAsia="zh-CN"/>
            </w:rPr>
            <w:t>3</w:t>
          </w:r>
          <w:r>
            <w:rPr>
              <w:rFonts w:ascii="黑体" w:eastAsia="黑体"/>
              <w:sz w:val="28"/>
              <w:szCs w:val="60"/>
            </w:rPr>
            <w:fldChar w:fldCharType="end"/>
          </w:r>
        </w:p>
        <w:p>
          <w:pPr>
            <w:pStyle w:val="15"/>
            <w:tabs>
              <w:tab w:val="right" w:leader="dot" w:pos="8306"/>
            </w:tabs>
            <w:rPr>
              <w:sz w:val="16"/>
              <w:szCs w:val="36"/>
            </w:rPr>
          </w:pPr>
          <w:r>
            <w:rPr>
              <w:rFonts w:ascii="黑体" w:eastAsia="黑体"/>
              <w:sz w:val="28"/>
              <w:szCs w:val="60"/>
            </w:rPr>
            <w:fldChar w:fldCharType="begin"/>
          </w:r>
          <w:r>
            <w:rPr>
              <w:rFonts w:ascii="黑体" w:eastAsia="黑体"/>
              <w:sz w:val="28"/>
              <w:szCs w:val="60"/>
            </w:rPr>
            <w:instrText xml:space="preserve"> HYPERLINK \l _Toc8280 </w:instrText>
          </w:r>
          <w:r>
            <w:rPr>
              <w:rFonts w:ascii="黑体" w:eastAsia="黑体"/>
              <w:sz w:val="28"/>
              <w:szCs w:val="60"/>
            </w:rPr>
            <w:fldChar w:fldCharType="separate"/>
          </w:r>
          <w:r>
            <w:rPr>
              <w:rFonts w:hint="eastAsia" w:ascii="黑体" w:hAnsi="黑体" w:eastAsia="黑体" w:cs="黑体"/>
              <w:sz w:val="28"/>
              <w:szCs w:val="48"/>
              <w:lang w:val="en-US" w:eastAsia="zh-CN"/>
            </w:rPr>
            <w:t>四、财政拨款收支预算情况说明</w:t>
          </w:r>
          <w:r>
            <w:rPr>
              <w:sz w:val="28"/>
              <w:szCs w:val="28"/>
            </w:rPr>
            <w:tab/>
          </w:r>
          <w:r>
            <w:rPr>
              <w:rFonts w:hint="eastAsia"/>
              <w:sz w:val="28"/>
              <w:szCs w:val="28"/>
              <w:lang w:val="en-US" w:eastAsia="zh-CN"/>
            </w:rPr>
            <w:t>3</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_Toc6922 </w:instrText>
          </w:r>
          <w:r>
            <w:rPr>
              <w:rFonts w:ascii="黑体" w:eastAsia="黑体"/>
              <w:sz w:val="28"/>
              <w:szCs w:val="60"/>
            </w:rPr>
            <w:fldChar w:fldCharType="separate"/>
          </w:r>
          <w:r>
            <w:rPr>
              <w:rFonts w:hint="eastAsia" w:ascii="黑体" w:hAnsi="黑体" w:eastAsia="黑体" w:cs="黑体"/>
              <w:sz w:val="28"/>
              <w:szCs w:val="48"/>
              <w:lang w:val="en-US" w:eastAsia="zh-CN"/>
            </w:rPr>
            <w:t>五、一般公共预算当年拨款情况说明</w:t>
          </w:r>
          <w:r>
            <w:rPr>
              <w:sz w:val="28"/>
              <w:szCs w:val="28"/>
            </w:rPr>
            <w:tab/>
          </w:r>
          <w:r>
            <w:rPr>
              <w:rFonts w:hint="eastAsia"/>
              <w:sz w:val="28"/>
              <w:szCs w:val="28"/>
              <w:lang w:val="en-US" w:eastAsia="zh-CN"/>
            </w:rPr>
            <w:t>3</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_Toc1157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（一）一般公共预算当年拨款规模变化情况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_Toc14925 </w:instrText>
          </w:r>
          <w:r>
            <w:rPr>
              <w:rFonts w:ascii="黑体" w:eastAsia="黑体"/>
              <w:sz w:val="28"/>
              <w:szCs w:val="60"/>
            </w:rPr>
            <w:fldChar w:fldCharType="separate"/>
          </w:r>
          <w:r>
            <w:rPr>
              <w:rFonts w:hint="eastAsia" w:ascii="楷体" w:hAnsi="楷体" w:eastAsia="楷体" w:cs="楷体"/>
              <w:sz w:val="28"/>
              <w:szCs w:val="28"/>
              <w:lang w:val="en-US" w:eastAsia="zh-CN"/>
            </w:rPr>
            <w:t>（二）一般公共预算当年拨款结构情况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_Toc1406 </w:instrText>
          </w:r>
          <w:r>
            <w:rPr>
              <w:rFonts w:ascii="黑体" w:eastAsia="黑体"/>
              <w:sz w:val="28"/>
              <w:szCs w:val="60"/>
            </w:rPr>
            <w:fldChar w:fldCharType="separate"/>
          </w:r>
          <w:r>
            <w:rPr>
              <w:rFonts w:hint="eastAsia" w:ascii="楷体" w:hAnsi="Calibri" w:eastAsia="楷体" w:cs="Times New Roman"/>
              <w:bCs/>
              <w:kern w:val="2"/>
              <w:sz w:val="28"/>
              <w:szCs w:val="48"/>
              <w:lang w:val="en-US" w:eastAsia="zh-CN" w:bidi="ar-SA"/>
            </w:rPr>
            <w:t>（三）一般公共预算当年拨款具体使用情况</w:t>
          </w:r>
          <w:r>
            <w:rPr>
              <w:sz w:val="28"/>
              <w:szCs w:val="28"/>
            </w:rPr>
            <w:tab/>
          </w:r>
          <w:r>
            <w:rPr>
              <w:rFonts w:hint="eastAsia"/>
              <w:sz w:val="28"/>
              <w:szCs w:val="28"/>
              <w:lang w:val="en-US" w:eastAsia="zh-CN"/>
            </w:rPr>
            <w:t>4</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_Toc26312 </w:instrText>
          </w:r>
          <w:r>
            <w:rPr>
              <w:rFonts w:ascii="黑体" w:eastAsia="黑体"/>
              <w:sz w:val="28"/>
              <w:szCs w:val="60"/>
            </w:rPr>
            <w:fldChar w:fldCharType="separate"/>
          </w:r>
          <w:r>
            <w:rPr>
              <w:rFonts w:hint="eastAsia" w:ascii="黑体" w:hAnsi="黑体" w:eastAsia="黑体" w:cs="黑体"/>
              <w:sz w:val="28"/>
              <w:szCs w:val="48"/>
              <w:lang w:val="en-US" w:eastAsia="zh-CN"/>
            </w:rPr>
            <w:t>六、一般公共预算基本支出情况说明</w:t>
          </w:r>
          <w:r>
            <w:rPr>
              <w:sz w:val="28"/>
              <w:szCs w:val="28"/>
            </w:rPr>
            <w:tab/>
          </w:r>
          <w:r>
            <w:rPr>
              <w:rFonts w:hint="eastAsia"/>
              <w:sz w:val="28"/>
              <w:szCs w:val="28"/>
              <w:lang w:val="en-US" w:eastAsia="zh-CN"/>
            </w:rPr>
            <w:t>6</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_Toc9977 </w:instrText>
          </w:r>
          <w:r>
            <w:rPr>
              <w:rFonts w:ascii="黑体" w:eastAsia="黑体"/>
              <w:sz w:val="28"/>
              <w:szCs w:val="60"/>
            </w:rPr>
            <w:fldChar w:fldCharType="separate"/>
          </w:r>
          <w:r>
            <w:rPr>
              <w:rFonts w:hint="eastAsia" w:ascii="黑体" w:hAnsi="黑体" w:eastAsia="黑体" w:cs="黑体"/>
              <w:sz w:val="28"/>
              <w:szCs w:val="48"/>
              <w:lang w:val="en-US" w:eastAsia="zh-CN"/>
            </w:rPr>
            <w:t>七、“三公”经费财政拨款预算安排情况说明</w:t>
          </w:r>
          <w:r>
            <w:rPr>
              <w:sz w:val="28"/>
              <w:szCs w:val="28"/>
            </w:rPr>
            <w:tab/>
          </w:r>
          <w:r>
            <w:rPr>
              <w:rFonts w:hint="eastAsia"/>
              <w:sz w:val="28"/>
              <w:szCs w:val="28"/>
              <w:lang w:val="en-US" w:eastAsia="zh-CN"/>
            </w:rPr>
            <w:t>7</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_Toc15817 </w:instrText>
          </w:r>
          <w:r>
            <w:rPr>
              <w:rFonts w:ascii="黑体" w:eastAsia="黑体"/>
              <w:sz w:val="28"/>
              <w:szCs w:val="60"/>
            </w:rPr>
            <w:fldChar w:fldCharType="separate"/>
          </w:r>
          <w:r>
            <w:rPr>
              <w:rFonts w:hint="eastAsia" w:ascii="黑体" w:hAnsi="黑体" w:eastAsia="黑体" w:cs="黑体"/>
              <w:sz w:val="28"/>
              <w:szCs w:val="48"/>
              <w:lang w:val="en-US" w:eastAsia="zh-CN"/>
            </w:rPr>
            <w:t>八、政府性基金预算支出情况说明</w:t>
          </w:r>
          <w:r>
            <w:rPr>
              <w:sz w:val="28"/>
              <w:szCs w:val="28"/>
            </w:rPr>
            <w:tab/>
          </w:r>
          <w:r>
            <w:rPr>
              <w:rFonts w:hint="eastAsia"/>
              <w:sz w:val="28"/>
              <w:szCs w:val="28"/>
              <w:lang w:val="en-US" w:eastAsia="zh-CN"/>
            </w:rPr>
            <w:t>7</w:t>
          </w:r>
          <w:r>
            <w:rPr>
              <w:rFonts w:ascii="黑体" w:eastAsia="黑体"/>
              <w:sz w:val="28"/>
              <w:szCs w:val="60"/>
            </w:rPr>
            <w:fldChar w:fldCharType="end"/>
          </w:r>
        </w:p>
        <w:p>
          <w:pPr>
            <w:pStyle w:val="15"/>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_Toc18148 </w:instrText>
          </w:r>
          <w:r>
            <w:rPr>
              <w:rFonts w:ascii="黑体" w:eastAsia="黑体"/>
              <w:sz w:val="28"/>
              <w:szCs w:val="60"/>
            </w:rPr>
            <w:fldChar w:fldCharType="separate"/>
          </w:r>
          <w:r>
            <w:rPr>
              <w:rFonts w:hint="eastAsia" w:ascii="黑体" w:hAnsi="黑体" w:eastAsia="黑体" w:cs="黑体"/>
              <w:sz w:val="28"/>
              <w:szCs w:val="48"/>
              <w:lang w:val="en-US" w:eastAsia="zh-CN"/>
            </w:rPr>
            <w:t>九、其他重要事项的情况说明</w:t>
          </w:r>
          <w:r>
            <w:rPr>
              <w:sz w:val="28"/>
              <w:szCs w:val="28"/>
            </w:rPr>
            <w:tab/>
          </w:r>
          <w:r>
            <w:rPr>
              <w:rFonts w:hint="eastAsia"/>
              <w:sz w:val="28"/>
              <w:szCs w:val="28"/>
              <w:lang w:val="en-US" w:eastAsia="zh-CN"/>
            </w:rPr>
            <w:t>7</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_Toc2014 </w:instrText>
          </w:r>
          <w:r>
            <w:rPr>
              <w:rFonts w:ascii="黑体" w:eastAsia="黑体"/>
              <w:sz w:val="28"/>
              <w:szCs w:val="60"/>
            </w:rPr>
            <w:fldChar w:fldCharType="separate"/>
          </w:r>
          <w:r>
            <w:rPr>
              <w:rFonts w:hint="eastAsia" w:ascii="楷体" w:hAnsi="楷体" w:eastAsia="楷体" w:cs="楷体"/>
              <w:sz w:val="28"/>
              <w:szCs w:val="28"/>
              <w:lang w:val="en-US" w:eastAsia="zh-CN"/>
            </w:rPr>
            <w:t>（一）机关运行经费</w:t>
          </w:r>
          <w:r>
            <w:rPr>
              <w:sz w:val="28"/>
              <w:szCs w:val="28"/>
            </w:rPr>
            <w:tab/>
          </w:r>
          <w:r>
            <w:rPr>
              <w:rFonts w:hint="eastAsia"/>
              <w:sz w:val="28"/>
              <w:szCs w:val="28"/>
              <w:lang w:val="en-US" w:eastAsia="zh-CN"/>
            </w:rPr>
            <w:t>7</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_Toc8511 </w:instrText>
          </w:r>
          <w:r>
            <w:rPr>
              <w:rFonts w:ascii="黑体" w:eastAsia="黑体"/>
              <w:sz w:val="28"/>
              <w:szCs w:val="60"/>
            </w:rPr>
            <w:fldChar w:fldCharType="separate"/>
          </w:r>
          <w:r>
            <w:rPr>
              <w:rFonts w:hint="eastAsia" w:ascii="楷体" w:hAnsi="楷体" w:eastAsia="楷体" w:cs="楷体"/>
              <w:sz w:val="28"/>
              <w:szCs w:val="28"/>
            </w:rPr>
            <w:t>（二）政府采购情况</w:t>
          </w:r>
          <w:r>
            <w:rPr>
              <w:sz w:val="28"/>
              <w:szCs w:val="28"/>
            </w:rPr>
            <w:tab/>
          </w:r>
          <w:r>
            <w:rPr>
              <w:rFonts w:hint="eastAsia"/>
              <w:sz w:val="28"/>
              <w:szCs w:val="28"/>
              <w:lang w:val="en-US" w:eastAsia="zh-CN"/>
            </w:rPr>
            <w:t>8</w:t>
          </w:r>
          <w:r>
            <w:rPr>
              <w:rFonts w:ascii="黑体" w:eastAsia="黑体"/>
              <w:sz w:val="28"/>
              <w:szCs w:val="60"/>
            </w:rPr>
            <w:fldChar w:fldCharType="end"/>
          </w:r>
        </w:p>
        <w:p>
          <w:pPr>
            <w:pStyle w:val="16"/>
            <w:tabs>
              <w:tab w:val="right" w:leader="dot" w:pos="8306"/>
            </w:tabs>
            <w:rPr>
              <w:sz w:val="28"/>
              <w:szCs w:val="28"/>
            </w:rPr>
          </w:pPr>
          <w:r>
            <w:rPr>
              <w:rFonts w:ascii="黑体" w:eastAsia="黑体"/>
              <w:sz w:val="28"/>
              <w:szCs w:val="60"/>
            </w:rPr>
            <w:fldChar w:fldCharType="begin"/>
          </w:r>
          <w:r>
            <w:rPr>
              <w:rFonts w:ascii="黑体" w:eastAsia="黑体"/>
              <w:sz w:val="28"/>
              <w:szCs w:val="60"/>
            </w:rPr>
            <w:instrText xml:space="preserve"> HYPERLINK \l _Toc11421 </w:instrText>
          </w:r>
          <w:r>
            <w:rPr>
              <w:rFonts w:ascii="黑体" w:eastAsia="黑体"/>
              <w:sz w:val="28"/>
              <w:szCs w:val="60"/>
            </w:rPr>
            <w:fldChar w:fldCharType="separate"/>
          </w:r>
          <w:r>
            <w:rPr>
              <w:rFonts w:hint="eastAsia" w:ascii="楷体" w:hAnsi="楷体" w:eastAsia="楷体" w:cs="楷体"/>
              <w:sz w:val="28"/>
              <w:szCs w:val="28"/>
            </w:rPr>
            <w:t>（三）国有资产占有使用情况</w:t>
          </w:r>
          <w:r>
            <w:rPr>
              <w:sz w:val="28"/>
              <w:szCs w:val="28"/>
            </w:rPr>
            <w:tab/>
          </w:r>
          <w:r>
            <w:rPr>
              <w:rFonts w:hint="eastAsia"/>
              <w:sz w:val="28"/>
              <w:szCs w:val="28"/>
              <w:lang w:val="en-US" w:eastAsia="zh-CN"/>
            </w:rPr>
            <w:t>8</w:t>
          </w:r>
          <w:r>
            <w:rPr>
              <w:rFonts w:ascii="黑体" w:eastAsia="黑体"/>
              <w:sz w:val="28"/>
              <w:szCs w:val="60"/>
            </w:rPr>
            <w:fldChar w:fldCharType="end"/>
          </w:r>
        </w:p>
        <w:p>
          <w:pPr>
            <w:pStyle w:val="16"/>
            <w:tabs>
              <w:tab w:val="right" w:leader="dot" w:pos="8306"/>
            </w:tabs>
            <w:rPr>
              <w:rFonts w:hint="eastAsia" w:eastAsia="黑体"/>
              <w:sz w:val="28"/>
              <w:szCs w:val="28"/>
              <w:lang w:val="en-US" w:eastAsia="zh-CN"/>
            </w:rPr>
          </w:pPr>
          <w:r>
            <w:rPr>
              <w:rFonts w:ascii="黑体" w:eastAsia="黑体"/>
              <w:sz w:val="28"/>
              <w:szCs w:val="60"/>
            </w:rPr>
            <w:fldChar w:fldCharType="begin"/>
          </w:r>
          <w:r>
            <w:rPr>
              <w:rFonts w:ascii="黑体" w:eastAsia="黑体"/>
              <w:sz w:val="28"/>
              <w:szCs w:val="60"/>
            </w:rPr>
            <w:instrText xml:space="preserve"> HYPERLINK \l _Toc32437 </w:instrText>
          </w:r>
          <w:r>
            <w:rPr>
              <w:rFonts w:ascii="黑体" w:eastAsia="黑体"/>
              <w:sz w:val="28"/>
              <w:szCs w:val="60"/>
            </w:rPr>
            <w:fldChar w:fldCharType="separate"/>
          </w:r>
          <w:r>
            <w:rPr>
              <w:rFonts w:hint="eastAsia" w:ascii="楷体" w:hAnsi="楷体" w:eastAsia="楷体" w:cs="楷体"/>
              <w:sz w:val="28"/>
              <w:szCs w:val="28"/>
            </w:rPr>
            <w:t>（四）绩效目标设置情况</w:t>
          </w:r>
          <w:r>
            <w:rPr>
              <w:sz w:val="28"/>
              <w:szCs w:val="28"/>
            </w:rPr>
            <w:tab/>
          </w:r>
          <w:r>
            <w:rPr>
              <w:rFonts w:hint="eastAsia"/>
              <w:sz w:val="28"/>
              <w:szCs w:val="28"/>
              <w:lang w:val="en-US" w:eastAsia="zh-CN"/>
            </w:rPr>
            <w:t>8</w:t>
          </w:r>
          <w:r>
            <w:rPr>
              <w:rFonts w:ascii="黑体" w:eastAsia="黑体"/>
              <w:sz w:val="28"/>
              <w:szCs w:val="60"/>
            </w:rPr>
            <w:fldChar w:fldCharType="end"/>
          </w:r>
        </w:p>
        <w:p>
          <w:pPr>
            <w:pStyle w:val="15"/>
            <w:tabs>
              <w:tab w:val="right" w:leader="dot" w:pos="8306"/>
            </w:tabs>
            <w:rPr>
              <w:rFonts w:hint="eastAsia" w:eastAsia="黑体"/>
              <w:sz w:val="28"/>
              <w:szCs w:val="28"/>
              <w:lang w:val="en-US" w:eastAsia="zh-CN"/>
            </w:rPr>
          </w:pPr>
          <w:r>
            <w:rPr>
              <w:rFonts w:ascii="黑体" w:eastAsia="黑体"/>
              <w:sz w:val="28"/>
              <w:szCs w:val="60"/>
            </w:rPr>
            <w:fldChar w:fldCharType="begin"/>
          </w:r>
          <w:r>
            <w:rPr>
              <w:rFonts w:ascii="黑体" w:eastAsia="黑体"/>
              <w:sz w:val="28"/>
              <w:szCs w:val="60"/>
            </w:rPr>
            <w:instrText xml:space="preserve"> HYPERLINK \l _Toc31685 </w:instrText>
          </w:r>
          <w:r>
            <w:rPr>
              <w:rFonts w:ascii="黑体" w:eastAsia="黑体"/>
              <w:sz w:val="28"/>
              <w:szCs w:val="60"/>
            </w:rPr>
            <w:fldChar w:fldCharType="separate"/>
          </w:r>
          <w:r>
            <w:rPr>
              <w:rFonts w:hint="eastAsia" w:ascii="黑体" w:hAnsi="黑体" w:eastAsia="黑体" w:cs="黑体"/>
              <w:sz w:val="28"/>
              <w:szCs w:val="48"/>
              <w:lang w:val="en-US" w:eastAsia="zh-CN"/>
            </w:rPr>
            <w:t xml:space="preserve">十、名称解释 </w:t>
          </w:r>
          <w:r>
            <w:rPr>
              <w:sz w:val="28"/>
              <w:szCs w:val="28"/>
            </w:rPr>
            <w:tab/>
          </w:r>
          <w:r>
            <w:rPr>
              <w:rFonts w:hint="eastAsia"/>
              <w:sz w:val="28"/>
              <w:szCs w:val="28"/>
              <w:lang w:val="en-US" w:eastAsia="zh-CN"/>
            </w:rPr>
            <w:t>8</w:t>
          </w:r>
          <w:r>
            <w:rPr>
              <w:rFonts w:ascii="黑体" w:eastAsia="黑体"/>
              <w:sz w:val="28"/>
              <w:szCs w:val="60"/>
            </w:rPr>
            <w:fldChar w:fldCharType="end"/>
          </w:r>
          <w:bookmarkStart w:id="31" w:name="_GoBack"/>
          <w:bookmarkEnd w:id="31"/>
        </w:p>
        <w:p>
          <w:pPr>
            <w:rPr>
              <w:rFonts w:ascii="黑体" w:eastAsia="黑体"/>
              <w:sz w:val="28"/>
              <w:szCs w:val="56"/>
            </w:rPr>
            <w:sectPr>
              <w:headerReference r:id="rId3" w:type="default"/>
              <w:pgSz w:w="11906" w:h="16838"/>
              <w:pgMar w:top="1440" w:right="1800" w:bottom="1440" w:left="1800" w:header="851" w:footer="992" w:gutter="0"/>
              <w:pgNumType w:fmt="decimal" w:start="1"/>
              <w:cols w:space="720" w:num="1"/>
              <w:docGrid w:type="lines" w:linePitch="312" w:charSpace="0"/>
            </w:sectPr>
          </w:pPr>
        </w:p>
        <w:p>
          <w:r>
            <w:rPr>
              <w:rFonts w:ascii="黑体" w:eastAsia="黑体"/>
              <w:sz w:val="28"/>
              <w:szCs w:val="56"/>
            </w:rPr>
            <w:fldChar w:fldCharType="end"/>
          </w:r>
        </w:p>
      </w:sdtContent>
    </w:sdt>
    <w:p>
      <w:pPr>
        <w:pStyle w:val="12"/>
        <w:spacing w:before="0" w:line="360" w:lineRule="auto"/>
        <w:ind w:firstLine="640" w:firstLineChars="200"/>
        <w:outlineLvl w:val="0"/>
        <w:rPr>
          <w:rFonts w:hint="eastAsia" w:ascii="黑体" w:hAnsi="Times New Roman" w:eastAsia="黑体" w:cs="黑体"/>
          <w:kern w:val="2"/>
          <w:sz w:val="32"/>
          <w:szCs w:val="32"/>
          <w:highlight w:val="none"/>
          <w:lang w:val="en-US" w:eastAsia="zh-CN" w:bidi="ar-SA"/>
        </w:rPr>
      </w:pPr>
      <w:bookmarkStart w:id="5" w:name="_Toc21826"/>
      <w:r>
        <w:rPr>
          <w:rFonts w:hint="eastAsia" w:ascii="黑体" w:hAnsi="Times New Roman" w:eastAsia="黑体" w:cs="黑体"/>
          <w:kern w:val="2"/>
          <w:sz w:val="32"/>
          <w:szCs w:val="32"/>
          <w:highlight w:val="none"/>
          <w:lang w:val="en-US" w:eastAsia="zh-CN" w:bidi="ar-SA"/>
        </w:rPr>
        <w:t>一、基本职能及主要工作</w:t>
      </w:r>
      <w:bookmarkEnd w:id="5"/>
    </w:p>
    <w:p>
      <w:pPr>
        <w:pStyle w:val="12"/>
        <w:spacing w:before="0" w:line="360" w:lineRule="auto"/>
        <w:ind w:firstLine="640" w:firstLineChars="200"/>
        <w:outlineLvl w:val="0"/>
        <w:rPr>
          <w:rFonts w:hint="eastAsia" w:ascii="黑体" w:hAnsi="Times New Roman" w:eastAsia="黑体" w:cs="黑体"/>
          <w:kern w:val="2"/>
          <w:sz w:val="32"/>
          <w:szCs w:val="32"/>
          <w:highlight w:val="none"/>
          <w:lang w:val="en-US" w:eastAsia="zh-CN" w:bidi="ar-SA"/>
        </w:rPr>
      </w:pPr>
      <w:bookmarkStart w:id="6" w:name="_Toc20180"/>
      <w:bookmarkStart w:id="7" w:name="_Toc29515"/>
      <w:bookmarkStart w:id="8" w:name="_Toc5968"/>
      <w:bookmarkStart w:id="9" w:name="_Toc15565"/>
      <w:r>
        <w:rPr>
          <w:rFonts w:hint="eastAsia" w:ascii="黑体" w:hAnsi="Times New Roman" w:eastAsia="黑体" w:cs="黑体"/>
          <w:kern w:val="2"/>
          <w:sz w:val="32"/>
          <w:szCs w:val="32"/>
          <w:highlight w:val="none"/>
          <w:lang w:val="en-US" w:eastAsia="zh-CN" w:bidi="ar-SA"/>
        </w:rPr>
        <w:t>（一）壤塘县中壤塘镇人民政府职能简介</w:t>
      </w:r>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eastAsia="仿宋_GB2312"/>
          <w:sz w:val="32"/>
          <w:szCs w:val="32"/>
          <w:highlight w:val="none"/>
        </w:rPr>
      </w:pPr>
      <w:bookmarkStart w:id="10" w:name="_Toc9682"/>
      <w:r>
        <w:rPr>
          <w:rFonts w:hint="eastAsia" w:ascii="仿宋_GB2312" w:eastAsia="仿宋_GB2312" w:cs="仿宋_GB2312"/>
          <w:sz w:val="32"/>
          <w:szCs w:val="32"/>
          <w:highlight w:val="none"/>
          <w:lang w:val="en-US" w:eastAsia="zh-CN" w:bidi="ar-SA"/>
        </w:rPr>
        <w:t>1、</w:t>
      </w:r>
      <w:r>
        <w:rPr>
          <w:rFonts w:hint="eastAsia" w:ascii="仿宋_GB2312" w:eastAsia="仿宋_GB2312" w:cs="仿宋_GB2312"/>
          <w:sz w:val="32"/>
          <w:szCs w:val="32"/>
          <w:highlight w:val="none"/>
          <w:lang w:bidi="ar-SA"/>
        </w:rPr>
        <w:t>执行本级人民代表大会的决议和上级国家行政机关的决定和命令，在辖区内发布决定和命令</w:t>
      </w:r>
      <w:r>
        <w:rPr>
          <w:rFonts w:hint="eastAsia" w:ascii="仿宋_GB2312" w:eastAsia="仿宋_GB2312" w:cs="仿宋_GB2312"/>
          <w:sz w:val="32"/>
          <w:szCs w:val="32"/>
          <w:highlight w:val="none"/>
          <w:lang w:eastAsia="zh-CN" w:bidi="ar-SA"/>
        </w:rPr>
        <w:t>；</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2、按照国家宪法和法律，行使对本辖区内的行政及民政事务的管理；</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3、制定</w:t>
      </w:r>
      <w:r>
        <w:rPr>
          <w:rFonts w:hint="eastAsia" w:ascii="仿宋_GB2312" w:eastAsia="仿宋_GB2312" w:cs="仿宋_GB2312"/>
          <w:sz w:val="32"/>
          <w:szCs w:val="32"/>
          <w:highlight w:val="none"/>
          <w:lang w:eastAsia="zh-CN" w:bidi="ar-SA"/>
        </w:rPr>
        <w:t>本单位</w:t>
      </w:r>
      <w:r>
        <w:rPr>
          <w:rFonts w:hint="eastAsia" w:ascii="仿宋_GB2312" w:eastAsia="仿宋_GB2312" w:cs="仿宋_GB2312"/>
          <w:sz w:val="32"/>
          <w:szCs w:val="32"/>
          <w:highlight w:val="none"/>
          <w:lang w:bidi="ar-SA"/>
        </w:rPr>
        <w:t>的经济和社会发展规划，并组织实施；组织和领导行政经济体制改革，协调本行政区域村民委员会与各经济组织之间的关系；</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4、组织规划财政管理的各项收入，管理范围内的各项财政支出和行政筹集、分配和使用的资金；</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5、负责管理对外经济技术交流与合作，开展经济信息预测工作，推广科学技术成果；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6、对</w:t>
      </w:r>
      <w:r>
        <w:rPr>
          <w:rFonts w:hint="eastAsia" w:ascii="仿宋_GB2312" w:eastAsia="仿宋_GB2312" w:cs="仿宋_GB2312"/>
          <w:sz w:val="32"/>
          <w:szCs w:val="32"/>
          <w:highlight w:val="none"/>
          <w:lang w:eastAsia="zh-CN" w:bidi="ar-SA"/>
        </w:rPr>
        <w:t>本单位</w:t>
      </w:r>
      <w:r>
        <w:rPr>
          <w:rFonts w:hint="eastAsia" w:ascii="仿宋_GB2312" w:eastAsia="仿宋_GB2312" w:cs="仿宋_GB2312"/>
          <w:sz w:val="32"/>
          <w:szCs w:val="32"/>
          <w:highlight w:val="none"/>
          <w:lang w:bidi="ar-SA"/>
        </w:rPr>
        <w:t>各项社会建设进行宏观管理，抓好环境卫生整治工作；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7、加强基本农田水利建设和道路、桥梁等的建设，加强土地的统一管理、统筹规划，协助有关部门做好地质灾害的防治工作;</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　　8、负责农村土地承包管理、农民负担监督管理、农村集体资产财务管理；</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highlight w:val="none"/>
        </w:rPr>
      </w:pPr>
      <w:r>
        <w:rPr>
          <w:rFonts w:hint="eastAsia" w:ascii="仿宋_GB2312" w:eastAsia="仿宋_GB2312" w:cs="仿宋_GB2312"/>
          <w:sz w:val="32"/>
          <w:szCs w:val="32"/>
          <w:highlight w:val="none"/>
          <w:lang w:bidi="ar-SA"/>
        </w:rPr>
        <w:t>9、组织和开展社会主义精神文明活动，正确调解和处理人民内部矛盾，认真调解民事纠纷；</w:t>
      </w:r>
      <w:r>
        <w:rPr>
          <w:rFonts w:eastAsia="仿宋_GB2312"/>
          <w:sz w:val="32"/>
          <w:szCs w:val="32"/>
          <w:highlight w:val="none"/>
        </w:rPr>
        <w:t> </w:t>
      </w:r>
    </w:p>
    <w:p>
      <w:pPr>
        <w:keepNext w:val="0"/>
        <w:keepLines w:val="0"/>
        <w:pageBreakBefore w:val="0"/>
        <w:widowControl w:val="0"/>
        <w:kinsoku/>
        <w:wordWrap/>
        <w:overflowPunct/>
        <w:topLinePunct w:val="0"/>
        <w:autoSpaceDE/>
        <w:autoSpaceDN/>
        <w:bidi w:val="0"/>
        <w:adjustRightInd/>
        <w:spacing w:line="576" w:lineRule="exact"/>
        <w:textAlignment w:val="auto"/>
        <w:rPr>
          <w:rFonts w:cs="Calibri"/>
          <w:kern w:val="2"/>
          <w:sz w:val="21"/>
          <w:szCs w:val="21"/>
          <w:highlight w:val="none"/>
          <w:lang w:val="en-US" w:eastAsia="zh-CN" w:bidi="ar-SA"/>
        </w:rPr>
      </w:pPr>
      <w:r>
        <w:rPr>
          <w:rFonts w:hint="eastAsia" w:ascii="仿宋_GB2312" w:eastAsia="仿宋_GB2312" w:cs="仿宋_GB2312"/>
          <w:sz w:val="32"/>
          <w:szCs w:val="32"/>
          <w:highlight w:val="none"/>
          <w:lang w:bidi="ar-SA"/>
        </w:rPr>
        <w:t>　　10、充分发挥行政职能，组织和开展本的文化、教育、卫生、民政和科技等工作；</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szCs w:val="32"/>
          <w:highlight w:val="none"/>
          <w:lang w:bidi="ar-SA"/>
        </w:rPr>
      </w:pPr>
      <w:r>
        <w:rPr>
          <w:rFonts w:hint="eastAsia" w:ascii="仿宋_GB2312" w:eastAsia="仿宋_GB2312" w:cs="仿宋_GB2312"/>
          <w:sz w:val="32"/>
          <w:szCs w:val="32"/>
          <w:highlight w:val="none"/>
          <w:lang w:val="en-US" w:eastAsia="zh-CN" w:bidi="ar-SA"/>
        </w:rPr>
        <w:t>11、</w:t>
      </w:r>
      <w:r>
        <w:rPr>
          <w:rFonts w:hint="eastAsia" w:ascii="仿宋_GB2312" w:eastAsia="仿宋_GB2312" w:cs="仿宋_GB2312"/>
          <w:sz w:val="32"/>
          <w:szCs w:val="32"/>
          <w:highlight w:val="none"/>
          <w:lang w:bidi="ar-SA"/>
        </w:rPr>
        <w:t>根据经济发展需要，建立经济、技术咨询服务机构，向经济组织和农牧民提供全面服务。</w:t>
      </w:r>
      <w:r>
        <w:rPr>
          <w:rFonts w:eastAsia="仿宋_GB2312"/>
          <w:sz w:val="32"/>
          <w:szCs w:val="32"/>
          <w:highlight w:val="none"/>
        </w:rPr>
        <w:t> </w:t>
      </w:r>
      <w:r>
        <w:rPr>
          <w:rFonts w:hint="default" w:ascii="Times New Roman" w:hAnsi="Times New Roman" w:eastAsia="仿宋_GB2312" w:cs="Times New Roman"/>
          <w:sz w:val="32"/>
          <w:szCs w:val="32"/>
          <w:highlight w:val="none"/>
          <w:lang w:bidi="ar-SA"/>
        </w:rPr>
        <w:t> </w:t>
      </w:r>
    </w:p>
    <w:p>
      <w:pPr>
        <w:pStyle w:val="12"/>
        <w:spacing w:before="0" w:line="360" w:lineRule="auto"/>
        <w:ind w:firstLine="643" w:firstLineChars="200"/>
        <w:outlineLvl w:val="1"/>
        <w:rPr>
          <w:rFonts w:hint="eastAsia" w:ascii="楷体_GB2312" w:hAnsi="Times New Roman" w:eastAsia="楷体_GB2312" w:cs="楷体_GB2312"/>
          <w:b/>
          <w:bCs/>
          <w:kern w:val="2"/>
          <w:sz w:val="32"/>
          <w:szCs w:val="32"/>
          <w:highlight w:val="none"/>
          <w:lang w:val="en-US" w:eastAsia="zh-CN" w:bidi="ar-SA"/>
        </w:rPr>
      </w:pPr>
      <w:r>
        <w:rPr>
          <w:rFonts w:hint="eastAsia" w:ascii="楷体_GB2312" w:hAnsi="Times New Roman" w:eastAsia="楷体_GB2312" w:cs="楷体_GB2312"/>
          <w:b/>
          <w:bCs/>
          <w:kern w:val="2"/>
          <w:sz w:val="32"/>
          <w:szCs w:val="32"/>
          <w:highlight w:val="none"/>
          <w:lang w:val="en-US" w:eastAsia="zh-CN" w:bidi="ar-SA"/>
        </w:rPr>
        <w:t>（二）中壤塘镇人民政府2025年重点工作</w:t>
      </w:r>
      <w:bookmarkEnd w:id="10"/>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一是抓紧盯牢项目建设，打开高质发展新局面。</w:t>
      </w:r>
      <w:r>
        <w:rPr>
          <w:rFonts w:hint="eastAsia" w:ascii="仿宋_GB2312" w:hAnsi="仿宋_GB2312" w:eastAsia="仿宋_GB2312" w:cs="仿宋_GB2312"/>
          <w:b w:val="0"/>
          <w:bCs w:val="0"/>
          <w:color w:val="auto"/>
          <w:kern w:val="2"/>
          <w:sz w:val="32"/>
          <w:szCs w:val="32"/>
          <w:lang w:val="en-US" w:eastAsia="zh-CN" w:bidi="ar-SA"/>
        </w:rPr>
        <w:t>加强项目储备，</w:t>
      </w:r>
      <w:r>
        <w:rPr>
          <w:rFonts w:hint="eastAsia" w:ascii="仿宋_GB2312" w:hAnsi="仿宋_GB2312" w:eastAsia="仿宋_GB2312" w:cs="仿宋_GB2312"/>
          <w:b w:val="0"/>
          <w:bCs w:val="0"/>
          <w:color w:val="auto"/>
          <w:kern w:val="2"/>
          <w:sz w:val="32"/>
          <w:szCs w:val="32"/>
          <w:lang w:val="en-US" w:eastAsia="zh-CN" w:bidi="ar-SA"/>
        </w:rPr>
        <w:t>强化目标导向、结果导向。</w:t>
      </w:r>
    </w:p>
    <w:p>
      <w:pPr>
        <w:keepNext w:val="0"/>
        <w:keepLines w:val="0"/>
        <w:pageBreakBefore w:val="0"/>
        <w:kinsoku/>
        <w:wordWrap w:val="0"/>
        <w:overflowPunct/>
        <w:topLinePunct w:val="0"/>
        <w:autoSpaceDE/>
        <w:autoSpaceDN/>
        <w:bidi w:val="0"/>
        <w:adjustRightInd/>
        <w:spacing w:line="240" w:lineRule="auto"/>
        <w:ind w:firstLine="643"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二是精准发力特色产业，培育产业发展新动能。</w:t>
      </w:r>
      <w:r>
        <w:rPr>
          <w:rFonts w:hint="eastAsia" w:ascii="仿宋_GB2312" w:hAnsi="仿宋_GB2312" w:eastAsia="仿宋_GB2312" w:cs="仿宋_GB2312"/>
          <w:b w:val="0"/>
          <w:bCs w:val="0"/>
          <w:color w:val="auto"/>
          <w:kern w:val="2"/>
          <w:sz w:val="32"/>
          <w:szCs w:val="32"/>
          <w:lang w:val="en-US" w:eastAsia="zh-CN" w:bidi="ar-SA"/>
        </w:rPr>
        <w:t>推进全域旅游建设，在特色民宿、餐饮等方面下功夫，加快旅游业发展。</w:t>
      </w:r>
    </w:p>
    <w:p>
      <w:pPr>
        <w:keepNext w:val="0"/>
        <w:keepLines w:val="0"/>
        <w:pageBreakBefore w:val="0"/>
        <w:kinsoku/>
        <w:wordWrap w:val="0"/>
        <w:overflowPunct/>
        <w:topLinePunct w:val="0"/>
        <w:autoSpaceDE/>
        <w:autoSpaceDN/>
        <w:bidi w:val="0"/>
        <w:adjustRightInd/>
        <w:spacing w:line="560" w:lineRule="exact"/>
        <w:ind w:firstLine="64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sz w:val="32"/>
          <w:szCs w:val="32"/>
          <w:lang w:val="en-US" w:eastAsia="zh-CN"/>
        </w:rPr>
        <w:t>三是压实主体责任，全力做好安全工作</w:t>
      </w:r>
      <w:r>
        <w:rPr>
          <w:rFonts w:hint="eastAsia" w:ascii="仿宋_GB2312" w:hAnsi="仿宋_GB2312" w:eastAsia="仿宋_GB2312" w:cs="仿宋_GB2312"/>
          <w:b/>
          <w:bCs/>
          <w:color w:val="auto"/>
          <w:sz w:val="32"/>
          <w:szCs w:val="32"/>
          <w:lang w:eastAsia="zh-CN"/>
        </w:rPr>
        <w:t>。</w:t>
      </w:r>
      <w:r>
        <w:rPr>
          <w:rFonts w:hint="default" w:ascii="Times New Roman" w:hAnsi="Times New Roman" w:eastAsia="仿宋_GB2312" w:cs="Times New Roman"/>
          <w:bCs/>
          <w:color w:val="auto"/>
          <w:sz w:val="32"/>
          <w:szCs w:val="32"/>
        </w:rPr>
        <w:t>紧盯风险和隐患，突出重点领域排查整治，切实加强</w:t>
      </w:r>
      <w:r>
        <w:rPr>
          <w:rFonts w:hint="eastAsia" w:ascii="仿宋_GB2312" w:hAnsi="仿宋_GB2312" w:eastAsia="仿宋_GB2312" w:cs="仿宋_GB2312"/>
          <w:color w:val="auto"/>
          <w:sz w:val="32"/>
          <w:szCs w:val="32"/>
          <w:lang w:eastAsia="zh-CN"/>
        </w:rPr>
        <w:t>道路交通、消防安全、食药品安全等</w:t>
      </w:r>
      <w:r>
        <w:rPr>
          <w:rFonts w:hint="eastAsia" w:ascii="仿宋_GB2312" w:hAnsi="仿宋_GB2312" w:eastAsia="仿宋_GB2312" w:cs="仿宋_GB2312"/>
          <w:color w:val="auto"/>
          <w:sz w:val="32"/>
          <w:szCs w:val="32"/>
          <w:lang w:val="en-US" w:eastAsia="zh-CN"/>
        </w:rPr>
        <w:t>领域隐患排查</w:t>
      </w:r>
      <w:r>
        <w:rPr>
          <w:rFonts w:hint="eastAsia" w:ascii="仿宋_GB2312" w:hAnsi="仿宋_GB2312" w:eastAsia="仿宋_GB2312" w:cs="仿宋_GB2312"/>
          <w:color w:val="auto"/>
          <w:sz w:val="32"/>
          <w:szCs w:val="32"/>
          <w:lang w:eastAsia="zh-CN"/>
        </w:rPr>
        <w:t>。</w:t>
      </w:r>
    </w:p>
    <w:p>
      <w:pPr>
        <w:pStyle w:val="12"/>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1" w:name="_Toc23983"/>
    </w:p>
    <w:p>
      <w:pPr>
        <w:pStyle w:val="12"/>
        <w:spacing w:before="0" w:line="360" w:lineRule="auto"/>
        <w:ind w:firstLine="640" w:firstLineChars="200"/>
        <w:outlineLvl w:val="0"/>
        <w:rPr>
          <w:rFonts w:hint="eastAsia" w:ascii="黑体" w:hAnsi="Times New Roman" w:eastAsia="黑体" w:cs="黑体"/>
          <w:kern w:val="2"/>
          <w:sz w:val="32"/>
          <w:szCs w:val="32"/>
          <w:lang w:val="en-US" w:eastAsia="zh-CN" w:bidi="ar-SA"/>
        </w:rPr>
      </w:pPr>
      <w:r>
        <w:rPr>
          <w:rFonts w:hint="eastAsia" w:ascii="黑体" w:hAnsi="Times New Roman" w:eastAsia="黑体" w:cs="黑体"/>
          <w:kern w:val="2"/>
          <w:sz w:val="32"/>
          <w:szCs w:val="32"/>
          <w:lang w:val="en-US" w:eastAsia="zh-CN" w:bidi="ar-SA"/>
        </w:rPr>
        <w:t>二、部门预算单位构成</w:t>
      </w:r>
      <w:bookmarkEnd w:id="11"/>
    </w:p>
    <w:p>
      <w:pPr>
        <w:keepNext w:val="0"/>
        <w:keepLines w:val="0"/>
        <w:pageBreakBefore w:val="0"/>
        <w:kinsoku/>
        <w:wordWrap w:val="0"/>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壤塘县中壤塘镇人民政府属一级预算单位。参照公务员法管理的事业单位无。</w:t>
      </w:r>
    </w:p>
    <w:p>
      <w:pPr>
        <w:pStyle w:val="12"/>
        <w:numPr>
          <w:ilvl w:val="0"/>
          <w:numId w:val="1"/>
        </w:numPr>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2" w:name="_Toc4967"/>
      <w:r>
        <w:rPr>
          <w:rFonts w:hint="eastAsia" w:ascii="黑体" w:hAnsi="Times New Roman" w:eastAsia="黑体" w:cs="黑体"/>
          <w:kern w:val="2"/>
          <w:sz w:val="32"/>
          <w:szCs w:val="32"/>
          <w:lang w:val="en-US" w:eastAsia="zh-CN" w:bidi="ar-SA"/>
        </w:rPr>
        <w:t>收支预算情况说明</w:t>
      </w:r>
      <w:bookmarkEnd w:id="12"/>
    </w:p>
    <w:p>
      <w:pPr>
        <w:pStyle w:val="12"/>
        <w:numPr>
          <w:ilvl w:val="0"/>
          <w:numId w:val="0"/>
        </w:numPr>
        <w:spacing w:before="0" w:line="360" w:lineRule="auto"/>
        <w:ind w:firstLine="640" w:firstLineChars="200"/>
        <w:outlineLvl w:val="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按照综合预算的原则，中壤塘镇人民政府所有收入和支出均纳入部门预算管理。收入包括：一般公共预算拨款收入1476.53万元，事业收入无，其他收入无，上年结转无；支出包括：一般公共服务支出536.94万元，社会保障和就业支出146.51万元，卫生健康支出52.47万元，农林水支出659.84万元，住房保障支出80.77万元。壤塘县中壤塘镇人民政府2025年收支总预算1476.53万元,比2024年收支预算总数增加154.9万元，主要原因:2025年在职职工工资福利有所调整；导致工资福利和相关社保计划金额上涨。</w:t>
      </w:r>
    </w:p>
    <w:p>
      <w:pPr>
        <w:pStyle w:val="12"/>
        <w:spacing w:before="0" w:line="360" w:lineRule="auto"/>
        <w:ind w:firstLine="643" w:firstLineChars="200"/>
        <w:outlineLvl w:val="1"/>
        <w:rPr>
          <w:rFonts w:hint="eastAsia" w:ascii="楷体_GB2312" w:hAnsi="Times New Roman" w:eastAsia="楷体_GB2312" w:cs="楷体_GB2312"/>
          <w:b/>
          <w:bCs/>
          <w:kern w:val="2"/>
          <w:sz w:val="32"/>
          <w:szCs w:val="32"/>
          <w:lang w:val="en-US" w:eastAsia="zh-CN" w:bidi="ar-SA"/>
        </w:rPr>
      </w:pPr>
      <w:bookmarkStart w:id="13" w:name="_Toc22784"/>
      <w:r>
        <w:rPr>
          <w:rFonts w:hint="eastAsia" w:ascii="楷体_GB2312" w:hAnsi="Times New Roman" w:eastAsia="楷体_GB2312" w:cs="楷体_GB2312"/>
          <w:b/>
          <w:bCs/>
          <w:kern w:val="2"/>
          <w:sz w:val="32"/>
          <w:szCs w:val="32"/>
          <w:lang w:val="en-US" w:eastAsia="zh-CN" w:bidi="ar-SA"/>
        </w:rPr>
        <w:t>（一）收入预算情况</w:t>
      </w:r>
      <w:bookmarkEnd w:id="13"/>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壤塘县中壤塘镇人民政府2025年收入预算1476.53万元，其中：上年结转0万元，占0%；一般公共预算拨款收入1476.53万元，占100%；事业收入0万元，占0%；其他收入0万元，占0%。</w:t>
      </w:r>
    </w:p>
    <w:p>
      <w:pPr>
        <w:pStyle w:val="12"/>
        <w:spacing w:before="0" w:line="360" w:lineRule="auto"/>
        <w:ind w:firstLine="643" w:firstLineChars="200"/>
        <w:outlineLvl w:val="1"/>
        <w:rPr>
          <w:rFonts w:hint="eastAsia" w:ascii="楷体_GB2312" w:hAnsi="Times New Roman" w:eastAsia="楷体_GB2312" w:cs="楷体_GB2312"/>
          <w:b/>
          <w:bCs/>
          <w:kern w:val="2"/>
          <w:sz w:val="32"/>
          <w:szCs w:val="32"/>
          <w:lang w:val="en-US" w:eastAsia="zh-CN" w:bidi="ar-SA"/>
        </w:rPr>
      </w:pPr>
      <w:bookmarkStart w:id="14" w:name="_Toc6117"/>
      <w:r>
        <w:rPr>
          <w:rFonts w:hint="eastAsia" w:ascii="楷体_GB2312" w:hAnsi="Times New Roman" w:eastAsia="楷体_GB2312" w:cs="楷体_GB2312"/>
          <w:b/>
          <w:bCs/>
          <w:kern w:val="2"/>
          <w:sz w:val="32"/>
          <w:szCs w:val="32"/>
          <w:lang w:val="en-US" w:eastAsia="zh-CN" w:bidi="ar-SA"/>
        </w:rPr>
        <w:t>（二）支出预算情况</w:t>
      </w:r>
      <w:bookmarkEnd w:id="14"/>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壤塘县中壤塘镇人民政府2025年支出预算1476.53万元，其中：基本支出1200.95万元，占81.34%；项目支出275.58万元，占18.66%。</w:t>
      </w:r>
    </w:p>
    <w:p>
      <w:pPr>
        <w:pStyle w:val="12"/>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5" w:name="_Toc8280"/>
      <w:r>
        <w:rPr>
          <w:rFonts w:hint="eastAsia" w:ascii="黑体" w:hAnsi="Times New Roman" w:eastAsia="黑体" w:cs="黑体"/>
          <w:kern w:val="2"/>
          <w:sz w:val="32"/>
          <w:szCs w:val="32"/>
          <w:lang w:val="en-US" w:eastAsia="zh-CN" w:bidi="ar-SA"/>
        </w:rPr>
        <w:t>四、财政拨款收支预算情况说明</w:t>
      </w:r>
      <w:bookmarkEnd w:id="15"/>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中壤塘镇人民政府2025年财政拨款收支总预算1476.53万元,比2024年财政拨款收支总预算增加154.9万元，主要原因:2025年在职职工工资福利有所调整；而导致工资福利和相关社保计划金额上涨。</w:t>
      </w:r>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收入包括：本年一般公共预算拨款收入1476.53万元，上年结转一般公共预算收入0万元，上年结转财政拨款资金0万元；</w:t>
      </w:r>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支出包括：一般公共服务支出536.94万元，社会保障和就业支出146.51万元，卫生健康支出52.47万元，</w:t>
      </w:r>
      <w:r>
        <w:rPr>
          <w:rFonts w:hint="default" w:ascii="仿宋_GB2312" w:hAnsi="仿宋_GB2312" w:eastAsia="仿宋_GB2312" w:cs="仿宋_GB2312"/>
          <w:color w:val="auto"/>
          <w:kern w:val="2"/>
          <w:sz w:val="32"/>
          <w:szCs w:val="32"/>
          <w:lang w:val="en-US" w:eastAsia="zh-CN" w:bidi="ar-SA"/>
        </w:rPr>
        <w:t>农林水支出</w:t>
      </w:r>
      <w:r>
        <w:rPr>
          <w:rFonts w:hint="eastAsia" w:ascii="仿宋_GB2312" w:hAnsi="仿宋_GB2312" w:eastAsia="仿宋_GB2312" w:cs="仿宋_GB2312"/>
          <w:color w:val="auto"/>
          <w:kern w:val="2"/>
          <w:sz w:val="32"/>
          <w:szCs w:val="32"/>
          <w:lang w:val="en-US" w:eastAsia="zh-CN" w:bidi="ar-SA"/>
        </w:rPr>
        <w:t>659.84</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，住房保障支出80.77万元。</w:t>
      </w:r>
    </w:p>
    <w:p>
      <w:pPr>
        <w:pStyle w:val="12"/>
        <w:spacing w:before="0" w:line="360" w:lineRule="auto"/>
        <w:ind w:firstLine="640" w:firstLineChars="200"/>
        <w:outlineLvl w:val="0"/>
        <w:rPr>
          <w:rFonts w:hint="eastAsia" w:ascii="黑体" w:hAnsi="Times New Roman" w:eastAsia="黑体" w:cs="黑体"/>
          <w:kern w:val="2"/>
          <w:sz w:val="32"/>
          <w:szCs w:val="32"/>
          <w:lang w:val="en-US" w:eastAsia="zh-CN" w:bidi="ar-SA"/>
        </w:rPr>
      </w:pPr>
      <w:bookmarkStart w:id="16" w:name="_Toc6922"/>
      <w:r>
        <w:rPr>
          <w:rFonts w:hint="eastAsia" w:ascii="黑体" w:hAnsi="Times New Roman" w:eastAsia="黑体" w:cs="黑体"/>
          <w:kern w:val="2"/>
          <w:sz w:val="32"/>
          <w:szCs w:val="32"/>
          <w:lang w:val="en-US" w:eastAsia="zh-CN" w:bidi="ar-SA"/>
        </w:rPr>
        <w:t>五、一般公共预算当年拨款情况说明</w:t>
      </w:r>
      <w:bookmarkEnd w:id="16"/>
    </w:p>
    <w:p>
      <w:pPr>
        <w:pStyle w:val="12"/>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Times New Roman" w:eastAsia="楷体_GB2312" w:cs="楷体_GB2312"/>
          <w:b/>
          <w:bCs/>
          <w:kern w:val="2"/>
          <w:sz w:val="32"/>
          <w:szCs w:val="32"/>
          <w:lang w:val="en-US" w:eastAsia="zh-CN" w:bidi="ar-SA"/>
        </w:rPr>
      </w:pPr>
      <w:bookmarkStart w:id="17" w:name="_Toc1157"/>
      <w:r>
        <w:rPr>
          <w:rFonts w:hint="eastAsia" w:ascii="楷体_GB2312" w:hAnsi="Times New Roman" w:eastAsia="楷体_GB2312" w:cs="楷体_GB2312"/>
          <w:b/>
          <w:bCs/>
          <w:kern w:val="2"/>
          <w:sz w:val="32"/>
          <w:szCs w:val="32"/>
          <w:lang w:val="en-US" w:eastAsia="zh-CN" w:bidi="ar-SA"/>
        </w:rPr>
        <w:t>（一）一般公共预算当年拨款规模变化情况</w:t>
      </w:r>
      <w:bookmarkEnd w:id="17"/>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asci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ar-SA"/>
        </w:rPr>
        <w:t>壤塘县中壤塘镇人民政府2025年一般公共预算当年拨款1476.53万元，比2024年预算数增加154.9万元，主要原因:2025年在职职工工资福利有所调整；导致工资福利和相关社保计划金额上涨。　　</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3" w:firstLineChars="200"/>
        <w:jc w:val="left"/>
        <w:textAlignment w:val="auto"/>
        <w:rPr>
          <w:rFonts w:hint="eastAsia" w:ascii="仿宋_GB2312" w:hAnsi="仿宋_GB2312" w:eastAsia="仿宋_GB2312" w:cs="仿宋_GB2312"/>
          <w:color w:val="auto"/>
          <w:kern w:val="2"/>
          <w:sz w:val="32"/>
          <w:szCs w:val="32"/>
          <w:lang w:val="en-US" w:eastAsia="zh-CN" w:bidi="ar-SA"/>
        </w:rPr>
      </w:pPr>
      <w:bookmarkStart w:id="18" w:name="_Toc14925"/>
      <w:r>
        <w:rPr>
          <w:rFonts w:hint="eastAsia" w:ascii="楷体_GB2312" w:hAnsi="Times New Roman" w:eastAsia="楷体_GB2312" w:cs="楷体_GB2312"/>
          <w:b/>
          <w:bCs/>
          <w:kern w:val="2"/>
          <w:sz w:val="32"/>
          <w:szCs w:val="32"/>
          <w:lang w:val="en-US" w:eastAsia="zh-CN" w:bidi="ar-SA"/>
        </w:rPr>
        <w:t>（二）一般公共预算当年拨款结构情况</w:t>
      </w:r>
      <w:bookmarkEnd w:id="18"/>
      <w:r>
        <w:rPr>
          <w:rFonts w:hint="eastAsia" w:cs="宋体"/>
          <w:sz w:val="32"/>
          <w:szCs w:val="32"/>
        </w:rPr>
        <w:br w:type="textWrapping"/>
      </w:r>
      <w:r>
        <w:rPr>
          <w:rFonts w:hint="eastAsia" w:cs="仿宋_GB2312"/>
          <w:sz w:val="32"/>
          <w:szCs w:val="32"/>
          <w:lang w:val="en-US" w:eastAsia="zh-CN"/>
        </w:rPr>
        <w:t xml:space="preserve">    </w:t>
      </w:r>
      <w:r>
        <w:rPr>
          <w:rFonts w:hint="eastAsia" w:ascii="仿宋_GB2312" w:hAnsi="仿宋_GB2312" w:eastAsia="仿宋_GB2312" w:cs="仿宋_GB2312"/>
          <w:color w:val="auto"/>
          <w:kern w:val="2"/>
          <w:sz w:val="32"/>
          <w:szCs w:val="32"/>
          <w:lang w:val="en-US" w:eastAsia="zh-CN" w:bidi="ar-SA"/>
        </w:rPr>
        <w:t xml:space="preserve"> 一般公共服务支出536.94万元，占36.37%；社会保障和就业支出146.51万元，占9.92%；卫生健康支出52.47万元，占3.55%；</w:t>
      </w:r>
      <w:r>
        <w:rPr>
          <w:rFonts w:hint="default" w:ascii="仿宋_GB2312" w:hAnsi="仿宋_GB2312" w:eastAsia="仿宋_GB2312" w:cs="仿宋_GB2312"/>
          <w:color w:val="auto"/>
          <w:kern w:val="2"/>
          <w:sz w:val="32"/>
          <w:szCs w:val="32"/>
          <w:lang w:val="en-US" w:eastAsia="zh-CN" w:bidi="ar-SA"/>
        </w:rPr>
        <w:t>农林水支出</w:t>
      </w:r>
      <w:r>
        <w:rPr>
          <w:rFonts w:hint="eastAsia" w:ascii="仿宋_GB2312" w:hAnsi="仿宋_GB2312" w:eastAsia="仿宋_GB2312" w:cs="仿宋_GB2312"/>
          <w:color w:val="auto"/>
          <w:kern w:val="2"/>
          <w:sz w:val="32"/>
          <w:szCs w:val="32"/>
          <w:lang w:val="en-US" w:eastAsia="zh-CN" w:bidi="ar-SA"/>
        </w:rPr>
        <w:t>659.84</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占44.69%。</w:t>
      </w:r>
      <w:r>
        <w:rPr>
          <w:rFonts w:hint="default" w:ascii="仿宋_GB2312" w:hAnsi="仿宋_GB2312" w:eastAsia="仿宋_GB2312" w:cs="仿宋_GB2312"/>
          <w:color w:val="auto"/>
          <w:kern w:val="2"/>
          <w:sz w:val="32"/>
          <w:szCs w:val="32"/>
          <w:lang w:val="en-US" w:eastAsia="zh-CN" w:bidi="ar-SA"/>
        </w:rPr>
        <w:t>住房保障支出</w:t>
      </w:r>
      <w:r>
        <w:rPr>
          <w:rFonts w:hint="eastAsia" w:ascii="仿宋_GB2312" w:hAnsi="仿宋_GB2312" w:eastAsia="仿宋_GB2312" w:cs="仿宋_GB2312"/>
          <w:color w:val="auto"/>
          <w:kern w:val="2"/>
          <w:sz w:val="32"/>
          <w:szCs w:val="32"/>
          <w:lang w:val="en-US" w:eastAsia="zh-CN" w:bidi="ar-SA"/>
        </w:rPr>
        <w:t>80.77</w:t>
      </w:r>
      <w:r>
        <w:rPr>
          <w:rFonts w:hint="default" w:ascii="仿宋_GB2312" w:hAnsi="仿宋_GB2312" w:eastAsia="仿宋_GB2312" w:cs="仿宋_GB2312"/>
          <w:color w:val="auto"/>
          <w:kern w:val="2"/>
          <w:sz w:val="32"/>
          <w:szCs w:val="32"/>
          <w:lang w:val="en-US" w:eastAsia="zh-CN" w:bidi="ar-SA"/>
        </w:rPr>
        <w:t>万元</w:t>
      </w:r>
      <w:r>
        <w:rPr>
          <w:rFonts w:hint="eastAsia" w:ascii="仿宋_GB2312" w:hAnsi="仿宋_GB2312" w:eastAsia="仿宋_GB2312" w:cs="仿宋_GB2312"/>
          <w:color w:val="auto"/>
          <w:kern w:val="2"/>
          <w:sz w:val="32"/>
          <w:szCs w:val="32"/>
          <w:lang w:val="en-US" w:eastAsia="zh-CN" w:bidi="ar-SA"/>
        </w:rPr>
        <w:t>，占5.47%。</w:t>
      </w:r>
    </w:p>
    <w:p>
      <w:pPr>
        <w:bidi w:val="0"/>
        <w:ind w:firstLine="643" w:firstLineChars="200"/>
        <w:rPr>
          <w:rFonts w:hint="eastAsia" w:ascii="楷体_GB2312" w:hAnsi="Times New Roman" w:eastAsia="楷体_GB2312" w:cs="楷体_GB2312"/>
          <w:b/>
          <w:bCs/>
          <w:kern w:val="2"/>
          <w:sz w:val="32"/>
          <w:szCs w:val="32"/>
          <w:lang w:val="en-US" w:eastAsia="zh-CN" w:bidi="ar-SA"/>
        </w:rPr>
      </w:pPr>
      <w:bookmarkStart w:id="19" w:name="_Toc1406"/>
      <w:r>
        <w:rPr>
          <w:rFonts w:hint="eastAsia" w:ascii="楷体_GB2312" w:hAnsi="Times New Roman" w:eastAsia="楷体_GB2312" w:cs="楷体_GB2312"/>
          <w:b/>
          <w:bCs/>
          <w:kern w:val="2"/>
          <w:sz w:val="32"/>
          <w:szCs w:val="32"/>
          <w:lang w:val="en-US" w:eastAsia="zh-CN" w:bidi="ar-SA"/>
        </w:rPr>
        <w:t>（三）一般公共预算当年拨款具体使用情况</w:t>
      </w:r>
      <w:bookmarkEnd w:id="19"/>
    </w:p>
    <w:p>
      <w:pPr>
        <w:pStyle w:val="12"/>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rPr>
          <w:rFonts w:hint="default" w:hAnsi="Times New Roman" w:cs="仿宋_GB2312"/>
          <w:b/>
          <w:bCs/>
          <w:color w:val="000000"/>
          <w:kern w:val="2"/>
          <w:sz w:val="32"/>
          <w:szCs w:val="32"/>
          <w:highlight w:val="none"/>
          <w:lang w:val="en-US" w:eastAsia="zh-CN"/>
        </w:rPr>
      </w:pPr>
      <w:bookmarkStart w:id="20" w:name="_Toc21690"/>
      <w:r>
        <w:rPr>
          <w:rFonts w:hint="eastAsia" w:hAnsi="Times New Roman" w:cs="仿宋_GB2312"/>
          <w:b/>
          <w:bCs/>
          <w:color w:val="000000"/>
          <w:kern w:val="2"/>
          <w:sz w:val="32"/>
          <w:szCs w:val="32"/>
          <w:highlight w:val="none"/>
          <w:lang w:val="en-US" w:eastAsia="zh-CN"/>
        </w:rPr>
        <w:t>1.壤塘县中壤塘镇人民政府</w:t>
      </w:r>
      <w:bookmarkEnd w:id="2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一般公共公共服务支出201（类）政府办公厅（室）及相关机构事务03（款）行政运行01（项）2025年预算数为518.89万元，主要用于：支付我单位政府人员的工资福利和各项保险经费等；一般行政管理事务02（项）2025年预算数为8万元，主要用于：伙食团厨师工资、伙食团燃料费及伙食团设备日常维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(2)卫生健康支出210（类）行政事业单位医疗11（款）行政单位医疗01（项）2025年预算数为23.17万元、公务员医疗部补助03（项）2025年预算数为5.41万元，主要用于：支出</w:t>
      </w:r>
      <w:r>
        <w:rPr>
          <w:rFonts w:hint="eastAsia" w:ascii="仿宋_GB2312" w:eastAsia="仿宋_GB2312" w:cs="Times New Roman"/>
          <w:kern w:val="2"/>
          <w:sz w:val="32"/>
          <w:szCs w:val="32"/>
          <w:lang w:val="en-US" w:eastAsia="zh-CN" w:bidi="ar-SA"/>
        </w:rPr>
        <w:t>行政</w:t>
      </w:r>
      <w:r>
        <w:rPr>
          <w:rFonts w:hint="eastAsia" w:ascii="仿宋_GB2312" w:hAnsi="Calibri" w:eastAsia="仿宋_GB2312" w:cs="Times New Roman"/>
          <w:kern w:val="2"/>
          <w:sz w:val="32"/>
          <w:szCs w:val="32"/>
          <w:lang w:val="en-US" w:eastAsia="zh-CN" w:bidi="ar-SA"/>
        </w:rPr>
        <w:t>人员的行政单位医疗和公务员医疗补助。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农林水支出213（类）农村综合改革07（款）农村综合改革示范点补助07（项）2025年预算数为48万元、对村民委员会和村党支部的补助05（项）2025年预算数为10.34万元，主要用于：支出各村村干部医疗补助、村级组织经费运转及农村综合改革示范点补助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(4).社会保障和就业支出208（类）行政事业单位离退休05（款）机关事业单位基本养老保险缴费支出05（项）2025年预算数为52.97万元，主要用于：支出</w:t>
      </w:r>
      <w:r>
        <w:rPr>
          <w:rFonts w:hint="eastAsia" w:ascii="仿宋_GB2312" w:eastAsia="仿宋_GB2312" w:cs="Times New Roman"/>
          <w:kern w:val="2"/>
          <w:sz w:val="32"/>
          <w:szCs w:val="32"/>
          <w:lang w:val="en-US" w:eastAsia="zh-CN" w:bidi="ar-SA"/>
        </w:rPr>
        <w:t>行政</w:t>
      </w:r>
      <w:r>
        <w:rPr>
          <w:rFonts w:hint="eastAsia" w:ascii="仿宋_GB2312" w:hAnsi="Calibri" w:eastAsia="仿宋_GB2312" w:cs="Times New Roman"/>
          <w:kern w:val="2"/>
          <w:sz w:val="32"/>
          <w:szCs w:val="32"/>
          <w:lang w:val="en-US" w:eastAsia="zh-CN" w:bidi="ar-SA"/>
        </w:rPr>
        <w:t>人员的养老保险。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(5).社会保障和就业支出208（类）行政事业单位养老支出05（款）机关事业单位职业年金缴费支出06（项）2025年预算数为26.48万元，主要用于：支出</w:t>
      </w:r>
      <w:r>
        <w:rPr>
          <w:rFonts w:hint="eastAsia" w:ascii="仿宋_GB2312" w:eastAsia="仿宋_GB2312" w:cs="Times New Roman"/>
          <w:kern w:val="2"/>
          <w:sz w:val="32"/>
          <w:szCs w:val="32"/>
          <w:lang w:val="en-US" w:eastAsia="zh-CN" w:bidi="ar-SA"/>
        </w:rPr>
        <w:t>行政</w:t>
      </w:r>
      <w:r>
        <w:rPr>
          <w:rFonts w:hint="eastAsia" w:ascii="仿宋_GB2312" w:hAnsi="Calibri" w:eastAsia="仿宋_GB2312" w:cs="Times New Roman"/>
          <w:kern w:val="2"/>
          <w:sz w:val="32"/>
          <w:szCs w:val="32"/>
          <w:lang w:val="en-US" w:eastAsia="zh-CN" w:bidi="ar-SA"/>
        </w:rPr>
        <w:t>人员的职业年金缴费。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(6).住房保障支出221（类）住房改革支出02（款）住房公积金01（项）2025年预算数为43.49万元，主要用于：支出</w:t>
      </w:r>
      <w:r>
        <w:rPr>
          <w:rFonts w:hint="eastAsia" w:ascii="仿宋_GB2312" w:eastAsia="仿宋_GB2312" w:cs="Times New Roman"/>
          <w:kern w:val="2"/>
          <w:sz w:val="32"/>
          <w:szCs w:val="32"/>
          <w:lang w:val="en-US" w:eastAsia="zh-CN" w:bidi="ar-SA"/>
        </w:rPr>
        <w:t>行政</w:t>
      </w:r>
      <w:r>
        <w:rPr>
          <w:rFonts w:hint="eastAsia" w:ascii="仿宋_GB2312" w:hAnsi="Calibri" w:eastAsia="仿宋_GB2312" w:cs="Times New Roman"/>
          <w:kern w:val="2"/>
          <w:sz w:val="32"/>
          <w:szCs w:val="32"/>
          <w:lang w:val="en-US" w:eastAsia="zh-CN" w:bidi="ar-SA"/>
        </w:rPr>
        <w:t>人员的住房公积金。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(7).农林水支出213（类）农业农村01（款）病虫害控制08（项）2025年预算数为0.77万元，主要用于：支出我单位村级动物防疫员监测病虫鼠害及疫情监测的劳务补助；其他农业农村支出99（项）2025年预算数为266.48万元，主要用于：主要用于支付中壤塘镇征地拆迁补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(8).一般公共公共服务支出201（类）人大事务01（款）人大会议04（项）2025年预算数为10.05万元，主要用于支付召开人民代表大会等会议相关支出。</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eastAsia"/>
          <w:b/>
          <w:bCs/>
          <w:kern w:val="2"/>
          <w:sz w:val="32"/>
          <w:szCs w:val="32"/>
          <w:lang w:val="en-US" w:eastAsia="zh-CN"/>
        </w:rPr>
      </w:pPr>
      <w:bookmarkStart w:id="21" w:name="_Toc12617"/>
      <w:r>
        <w:rPr>
          <w:rFonts w:hint="eastAsia"/>
          <w:b/>
          <w:bCs/>
          <w:kern w:val="2"/>
          <w:sz w:val="32"/>
          <w:szCs w:val="32"/>
          <w:lang w:val="en-US" w:eastAsia="zh-CN"/>
        </w:rPr>
        <w:t>2.壤塘县中壤塘镇便民服务中心</w:t>
      </w:r>
      <w:bookmarkEnd w:id="21"/>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(1).农林水支出213（类）农业农村01（款）事业运行04（项）2025年预算数为334.26万元，主要用于支付事业人员的工资福利和各项保险经费等。</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(2).社会保障和就业支出208（类）行政事业单位离退休05（款）机关事业单位基本养老保险缴费支出05（项）2025年预算数为44.7万元，主要用于：支出事业人员的养老保险。</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hAnsi="Times New Roman" w:cs="仿宋_GB2312"/>
          <w:kern w:val="2"/>
          <w:sz w:val="32"/>
          <w:szCs w:val="32"/>
          <w:lang w:val="en-US" w:eastAsia="zh-CN"/>
        </w:rPr>
      </w:pPr>
      <w:r>
        <w:rPr>
          <w:rFonts w:hint="eastAsia" w:hAnsi="Times New Roman" w:cs="仿宋_GB2312"/>
          <w:kern w:val="2"/>
          <w:sz w:val="32"/>
          <w:szCs w:val="32"/>
          <w:lang w:val="en-US" w:eastAsia="zh-CN"/>
        </w:rPr>
        <w:t>(3).社会保障和就业支出208（类）行政事业单位养老支出05（款）机关事业单位职业年金缴费支出06（项）2025年预算数为22.35万元，主要用于：支出事业人员的职业年金缴费。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Times New Roman" w:eastAsia="仿宋_GB2312" w:cs="仿宋_GB2312"/>
          <w:kern w:val="2"/>
          <w:sz w:val="32"/>
          <w:szCs w:val="32"/>
          <w:lang w:val="en-US" w:eastAsia="zh-CN" w:bidi="ar-SA"/>
        </w:rPr>
      </w:pPr>
      <w:r>
        <w:rPr>
          <w:rFonts w:hint="eastAsia" w:ascii="仿宋_GB2312" w:hAnsi="Times New Roman" w:eastAsia="仿宋_GB2312" w:cs="仿宋_GB2312"/>
          <w:kern w:val="2"/>
          <w:sz w:val="32"/>
          <w:szCs w:val="32"/>
          <w:lang w:val="en-US" w:eastAsia="zh-CN" w:bidi="ar-SA"/>
        </w:rPr>
        <w:t>(4).卫生健康支出210（类）行政事业单位医疗11（款）事业单位医疗02（项）2025年预算数为19.56万元、其他行政事业单位医疗部支出99（项）2025年预算数为4.33万元，主要用于：支出事业人员的医疗补助和公务员医疗补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Times New Roman" w:eastAsia="仿宋_GB2312" w:cs="仿宋_GB2312"/>
          <w:kern w:val="2"/>
          <w:sz w:val="32"/>
          <w:szCs w:val="32"/>
          <w:lang w:val="en-US" w:eastAsia="zh-CN" w:bidi="ar-SA"/>
        </w:rPr>
      </w:pPr>
      <w:r>
        <w:rPr>
          <w:rFonts w:hint="eastAsia" w:ascii="仿宋_GB2312" w:hAnsi="Times New Roman" w:eastAsia="仿宋_GB2312" w:cs="仿宋_GB2312"/>
          <w:kern w:val="2"/>
          <w:sz w:val="32"/>
          <w:szCs w:val="32"/>
          <w:lang w:val="en-US" w:eastAsia="zh-CN" w:bidi="ar-SA"/>
        </w:rPr>
        <w:t>(5).住房保障支出221（类）住房改革支出02（款）住房公积金01（项）2025年预算数为37.28万元，主要用于：支出事业人员的住房公积金。</w:t>
      </w:r>
    </w:p>
    <w:p>
      <w:pPr>
        <w:pStyle w:val="12"/>
        <w:spacing w:before="0" w:line="360" w:lineRule="auto"/>
        <w:ind w:firstLine="660"/>
        <w:rPr>
          <w:rFonts w:hint="eastAsia" w:ascii="黑体" w:eastAsia="黑体"/>
          <w:sz w:val="32"/>
          <w:szCs w:val="32"/>
          <w:lang w:val="en-US" w:eastAsia="zh-CN"/>
        </w:rPr>
      </w:pPr>
      <w:bookmarkStart w:id="22" w:name="_Toc26312"/>
      <w:r>
        <w:rPr>
          <w:rFonts w:hint="eastAsia" w:ascii="黑体" w:eastAsia="黑体"/>
          <w:sz w:val="32"/>
          <w:szCs w:val="32"/>
          <w:lang w:val="en-US" w:eastAsia="zh-CN"/>
        </w:rPr>
        <w:t>六、一般公共预算基本支出情况说明</w:t>
      </w:r>
      <w:bookmarkEnd w:id="22"/>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壤塘县中壤塘镇人民政府2025年一般公共预算基本支出1200.95万元，其中：人员经费1033.9万元，主要包括：基本工资、津贴补贴、奖金、其他社会保障缴费、绩效工资、机关事业单位基本养老保险缴费、职业年金缴费、基本医疗保险、公务员医疗补助、工伤保险、失业保险、残保金、其他工资福利支出、奖励金、住房公积金、其他对个人和家庭的补助支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公用经费167.05万元，主要包括：办公费、印刷费、手续费、电费、邮电费、差旅费、维修（护）费、租赁费、培训费、劳务费、其他交通工具运行维护费、其他商品和服务支出。</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ascii="黑体" w:eastAsia="黑体"/>
          <w:sz w:val="32"/>
          <w:szCs w:val="32"/>
          <w:lang w:val="en-US" w:eastAsia="zh-CN"/>
        </w:rPr>
      </w:pPr>
      <w:bookmarkStart w:id="23" w:name="_Toc9977"/>
      <w:r>
        <w:rPr>
          <w:rFonts w:hint="eastAsia" w:ascii="黑体" w:eastAsia="黑体"/>
          <w:sz w:val="32"/>
          <w:szCs w:val="32"/>
          <w:lang w:val="en-US" w:eastAsia="zh-CN"/>
        </w:rPr>
        <w:t>七、“三公”经费财政拨款预算安排情况说明</w:t>
      </w:r>
      <w:bookmarkEnd w:id="23"/>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壤塘县中壤塘镇人民政府2025年“三公”经费财政拨款预算数12万元，其中：因公出国（境）经费0万元，公务接待费0万元，公务用车购置及运行维护费12万元。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仿宋_GB2312"/>
          <w:color w:val="000000"/>
          <w:kern w:val="2"/>
          <w:sz w:val="32"/>
          <w:szCs w:val="32"/>
          <w:lang w:val="en-US" w:eastAsia="zh-CN" w:bidi="ar-SA"/>
        </w:rPr>
      </w:pPr>
      <w:r>
        <w:rPr>
          <w:rFonts w:hint="eastAsia" w:cs="仿宋_GB2312"/>
          <w:kern w:val="2"/>
          <w:sz w:val="32"/>
          <w:szCs w:val="32"/>
        </w:rPr>
        <w:t>（一）</w:t>
      </w:r>
      <w:r>
        <w:rPr>
          <w:rFonts w:hint="eastAsia" w:ascii="仿宋_GB2312" w:hAnsi="Calibri" w:eastAsia="仿宋_GB2312" w:cs="仿宋_GB2312"/>
          <w:color w:val="000000"/>
          <w:kern w:val="2"/>
          <w:sz w:val="32"/>
          <w:szCs w:val="32"/>
          <w:lang w:val="en-US" w:eastAsia="zh-CN" w:bidi="ar-SA"/>
        </w:rPr>
        <w:t>2025年因公出国（境）经费0万元，较2024年预算经费0万元，增长0%。</w:t>
      </w:r>
    </w:p>
    <w:p>
      <w:pPr>
        <w:pStyle w:val="12"/>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firstLine="640" w:firstLineChars="200"/>
        <w:textAlignment w:val="auto"/>
        <w:rPr>
          <w:rFonts w:hint="eastAsia" w:eastAsia="仿宋_GB2312" w:cs="仿宋_GB2312"/>
          <w:color w:val="000000"/>
          <w:kern w:val="2"/>
          <w:sz w:val="32"/>
          <w:szCs w:val="32"/>
          <w:lang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12</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2"/>
        <w:spacing w:before="0" w:line="360" w:lineRule="auto"/>
        <w:ind w:firstLine="640" w:firstLineChars="200"/>
        <w:rPr>
          <w:rFonts w:hint="eastAsia" w:ascii="黑体" w:eastAsia="黑体"/>
          <w:sz w:val="32"/>
          <w:szCs w:val="32"/>
          <w:lang w:val="en-US" w:eastAsia="zh-CN"/>
        </w:rPr>
      </w:pPr>
      <w:bookmarkStart w:id="24" w:name="_Toc15817"/>
      <w:r>
        <w:rPr>
          <w:rFonts w:hint="eastAsia" w:ascii="黑体" w:eastAsia="黑体"/>
          <w:sz w:val="32"/>
          <w:szCs w:val="32"/>
          <w:lang w:val="en-US" w:eastAsia="zh-CN"/>
        </w:rPr>
        <w:t>八、政府性基金预算支出情况说明</w:t>
      </w:r>
      <w:bookmarkEnd w:id="24"/>
    </w:p>
    <w:p>
      <w:pPr>
        <w:keepNext w:val="0"/>
        <w:keepLines w:val="0"/>
        <w:pageBreakBefore w:val="0"/>
        <w:widowControl w:val="0"/>
        <w:kinsoku/>
        <w:wordWrap/>
        <w:overflowPunct/>
        <w:topLinePunct w:val="0"/>
        <w:autoSpaceDE/>
        <w:autoSpaceDN/>
        <w:bidi w:val="0"/>
        <w:adjustRightInd/>
        <w:snapToGrid/>
        <w:spacing w:line="456" w:lineRule="exact"/>
        <w:ind w:firstLine="640" w:firstLineChars="200"/>
        <w:textAlignment w:val="auto"/>
        <w:rPr>
          <w:rFonts w:hint="eastAsia" w:ascii="仿宋_GB2312" w:hAnsi="Calibri" w:eastAsia="仿宋_GB2312" w:cs="仿宋_GB2312"/>
          <w:color w:val="000000"/>
          <w:kern w:val="2"/>
          <w:sz w:val="32"/>
          <w:szCs w:val="32"/>
          <w:lang w:val="en-US" w:eastAsia="zh-CN" w:bidi="ar-SA"/>
        </w:rPr>
      </w:pPr>
      <w:r>
        <w:rPr>
          <w:rFonts w:hint="eastAsia" w:ascii="仿宋_GB2312" w:hAnsi="Calibri" w:eastAsia="仿宋_GB2312" w:cs="仿宋_GB2312"/>
          <w:color w:val="000000"/>
          <w:kern w:val="2"/>
          <w:sz w:val="32"/>
          <w:szCs w:val="32"/>
          <w:lang w:val="en-US" w:eastAsia="zh-CN" w:bidi="ar-SA"/>
        </w:rPr>
        <w:t>壤塘县中壤塘镇人民政府2025年政府性基金预算拨款安排的支出0万元。较2024年预算经费增加0万元，增长0%。</w:t>
      </w:r>
    </w:p>
    <w:p>
      <w:pPr>
        <w:pStyle w:val="12"/>
        <w:spacing w:before="0" w:line="360" w:lineRule="auto"/>
        <w:ind w:firstLine="640" w:firstLineChars="200"/>
        <w:rPr>
          <w:rFonts w:hint="eastAsia" w:ascii="黑体" w:eastAsia="黑体"/>
          <w:sz w:val="32"/>
          <w:szCs w:val="32"/>
          <w:lang w:val="en-US" w:eastAsia="zh-CN"/>
        </w:rPr>
      </w:pPr>
      <w:bookmarkStart w:id="25" w:name="_Toc18148"/>
      <w:r>
        <w:rPr>
          <w:rFonts w:hint="eastAsia" w:ascii="黑体" w:eastAsia="黑体"/>
          <w:sz w:val="32"/>
          <w:szCs w:val="32"/>
          <w:lang w:val="en-US" w:eastAsia="zh-CN"/>
        </w:rPr>
        <w:t>九、其他重要事项的情况说明</w:t>
      </w:r>
      <w:bookmarkEnd w:id="25"/>
    </w:p>
    <w:p>
      <w:pPr>
        <w:pStyle w:val="12"/>
        <w:keepNext w:val="0"/>
        <w:keepLines w:val="0"/>
        <w:pageBreakBefore w:val="0"/>
        <w:widowControl w:val="0"/>
        <w:kinsoku/>
        <w:wordWrap/>
        <w:overflowPunct/>
        <w:topLinePunct w:val="0"/>
        <w:autoSpaceDE/>
        <w:autoSpaceDN/>
        <w:bidi w:val="0"/>
        <w:adjustRightInd/>
        <w:snapToGrid/>
        <w:spacing w:before="0" w:line="240" w:lineRule="auto"/>
        <w:ind w:firstLine="643" w:firstLineChars="200"/>
        <w:textAlignment w:val="auto"/>
        <w:rPr>
          <w:rFonts w:hint="eastAsia" w:cs="仿宋_GB2312"/>
          <w:color w:val="0000FF"/>
          <w:kern w:val="2"/>
          <w:sz w:val="32"/>
          <w:szCs w:val="32"/>
          <w:lang w:val="en-US" w:eastAsia="zh-CN"/>
        </w:rPr>
      </w:pPr>
      <w:bookmarkStart w:id="26" w:name="_Toc2014"/>
      <w:r>
        <w:rPr>
          <w:rStyle w:val="13"/>
          <w:rFonts w:hint="eastAsia" w:ascii="楷体" w:hAnsi="楷体" w:eastAsia="楷体" w:cs="楷体"/>
          <w:lang w:val="en-US" w:eastAsia="zh-CN"/>
        </w:rPr>
        <w:t>（一）机关运行经费</w:t>
      </w:r>
      <w:bookmarkEnd w:id="26"/>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cs="仿宋_GB2312"/>
          <w:b w:val="0"/>
          <w:bCs w:val="0"/>
          <w:color w:val="000000" w:themeColor="text1"/>
          <w:kern w:val="2"/>
          <w:sz w:val="32"/>
          <w:szCs w:val="32"/>
          <w:lang w:val="en-US" w:eastAsia="zh-CN"/>
          <w14:textFill>
            <w14:solidFill>
              <w14:schemeClr w14:val="tx1"/>
            </w14:solidFill>
          </w14:textFill>
        </w:rPr>
        <w:t xml:space="preserve"> 壤塘县中壤塘镇人民政府2025年机关运行经费财政拨款预算为167.05万元，比2024年预算增加72.05万元，增加75.84%。</w:t>
      </w:r>
      <w:r>
        <w:rPr>
          <w:rFonts w:hint="eastAsia" w:cs="仿宋_GB2312"/>
          <w:color w:val="0000FF"/>
          <w:kern w:val="2"/>
          <w:sz w:val="32"/>
          <w:szCs w:val="32"/>
          <w:lang w:val="en-US" w:eastAsia="zh-CN"/>
        </w:rPr>
        <w:t xml:space="preserve"> </w:t>
      </w:r>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eastAsia" w:cs="仿宋_GB2312"/>
          <w:color w:val="000000"/>
          <w:kern w:val="2"/>
          <w:sz w:val="32"/>
          <w:szCs w:val="32"/>
          <w:lang w:val="en-US" w:eastAsia="zh-CN"/>
        </w:rPr>
      </w:pPr>
      <w:bookmarkStart w:id="27" w:name="_Toc8511"/>
      <w:r>
        <w:rPr>
          <w:rStyle w:val="13"/>
          <w:rFonts w:hint="eastAsia" w:ascii="楷体" w:hAnsi="楷体" w:eastAsia="楷体" w:cs="楷体"/>
        </w:rPr>
        <w:t>（二）政府采购情况</w:t>
      </w:r>
      <w:bookmarkEnd w:id="27"/>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val="en-US" w:eastAsia="zh-CN"/>
        </w:rPr>
        <w:t>2025年壤塘县中壤塘镇人民政府安排政府采购预算0万元。</w:t>
      </w:r>
      <w:bookmarkStart w:id="28" w:name="_Toc11421"/>
    </w:p>
    <w:p>
      <w:pPr>
        <w:pStyle w:val="12"/>
        <w:spacing w:before="0" w:line="360" w:lineRule="auto"/>
        <w:ind w:firstLine="643" w:firstLineChars="200"/>
        <w:rPr>
          <w:rFonts w:hint="eastAsia" w:ascii="楷体" w:eastAsia="楷体" w:cs="仿宋_GB2312"/>
          <w:b/>
          <w:bCs/>
          <w:color w:val="000000" w:themeColor="text1"/>
          <w:kern w:val="2"/>
          <w:sz w:val="32"/>
          <w:szCs w:val="32"/>
          <w14:textFill>
            <w14:solidFill>
              <w14:schemeClr w14:val="tx1"/>
            </w14:solidFill>
          </w14:textFill>
        </w:rPr>
      </w:pPr>
      <w:r>
        <w:rPr>
          <w:rFonts w:hint="eastAsia" w:ascii="楷体" w:eastAsia="楷体" w:cs="仿宋_GB2312"/>
          <w:b/>
          <w:bCs/>
          <w:color w:val="000000" w:themeColor="text1"/>
          <w:kern w:val="2"/>
          <w:sz w:val="32"/>
          <w:szCs w:val="32"/>
          <w14:textFill>
            <w14:solidFill>
              <w14:schemeClr w14:val="tx1"/>
            </w14:solidFill>
          </w14:textFill>
        </w:rPr>
        <w:t>（三）国有资产占有使用情况</w:t>
      </w:r>
      <w:bookmarkEnd w:id="28"/>
    </w:p>
    <w:p>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textAlignment w:val="auto"/>
        <w:rPr>
          <w:rFonts w:hint="eastAsia" w:cs="仿宋_GB2312"/>
          <w:color w:val="000000"/>
          <w:kern w:val="2"/>
          <w:sz w:val="32"/>
          <w:szCs w:val="32"/>
        </w:rPr>
      </w:pPr>
      <w:r>
        <w:rPr>
          <w:rFonts w:hint="eastAsia" w:cs="仿宋_GB2312"/>
          <w:color w:val="000000"/>
          <w:kern w:val="2"/>
          <w:sz w:val="32"/>
          <w:szCs w:val="32"/>
          <w:lang w:val="en-US" w:eastAsia="zh-CN"/>
        </w:rPr>
        <w:t>2024年12月31日，固定资产为242.5万元。</w:t>
      </w:r>
      <w:bookmarkStart w:id="29" w:name="_Toc32437"/>
    </w:p>
    <w:p>
      <w:pPr>
        <w:pStyle w:val="12"/>
        <w:spacing w:before="0" w:line="360" w:lineRule="auto"/>
        <w:ind w:firstLine="643" w:firstLineChars="200"/>
        <w:rPr>
          <w:rFonts w:hint="eastAsia" w:ascii="楷体" w:eastAsia="楷体" w:cs="仿宋_GB2312"/>
          <w:b/>
          <w:bCs/>
          <w:kern w:val="2"/>
          <w:sz w:val="32"/>
          <w:szCs w:val="32"/>
        </w:rPr>
      </w:pPr>
    </w:p>
    <w:p>
      <w:pPr>
        <w:pStyle w:val="12"/>
        <w:spacing w:before="0" w:line="360" w:lineRule="auto"/>
        <w:ind w:firstLine="643" w:firstLineChars="200"/>
        <w:rPr>
          <w:rFonts w:hint="eastAsia" w:ascii="黑体" w:hAnsi="Calibri" w:eastAsia="黑体" w:cs="Times New Roman"/>
          <w:kern w:val="0"/>
          <w:sz w:val="32"/>
          <w:szCs w:val="32"/>
          <w:lang w:val="en-US" w:eastAsia="zh-CN" w:bidi="ar-SA"/>
        </w:rPr>
      </w:pPr>
      <w:r>
        <w:rPr>
          <w:rFonts w:hint="eastAsia" w:ascii="楷体" w:eastAsia="楷体" w:cs="仿宋_GB2312"/>
          <w:b/>
          <w:bCs/>
          <w:kern w:val="2"/>
          <w:sz w:val="32"/>
          <w:szCs w:val="32"/>
        </w:rPr>
        <w:t>（四）绩效目标设置情况</w:t>
      </w:r>
      <w:bookmarkEnd w:id="29"/>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eastAsia="zh-CN"/>
        </w:rPr>
        <w:t>中壤塘镇人民政府</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275.58</w:t>
      </w:r>
      <w:r>
        <w:rPr>
          <w:rFonts w:hint="eastAsia" w:cs="仿宋_GB2312"/>
          <w:kern w:val="2"/>
          <w:sz w:val="32"/>
          <w:szCs w:val="32"/>
        </w:rPr>
        <w:t>万元。</w:t>
      </w:r>
      <w:bookmarkStart w:id="30" w:name="_Toc31685"/>
    </w:p>
    <w:p>
      <w:pPr>
        <w:pStyle w:val="12"/>
        <w:spacing w:before="0" w:line="360" w:lineRule="auto"/>
        <w:ind w:firstLine="960" w:firstLineChars="300"/>
        <w:rPr>
          <w:rFonts w:hint="eastAsia" w:ascii="黑体" w:hAnsi="Calibri" w:eastAsia="黑体" w:cs="Times New Roman"/>
          <w:kern w:val="0"/>
          <w:sz w:val="32"/>
          <w:szCs w:val="32"/>
          <w:lang w:val="en-US" w:eastAsia="zh-CN" w:bidi="ar-SA"/>
        </w:rPr>
      </w:pPr>
    </w:p>
    <w:p>
      <w:pPr>
        <w:pStyle w:val="12"/>
        <w:spacing w:before="0" w:line="360" w:lineRule="auto"/>
        <w:ind w:firstLine="640" w:firstLineChars="200"/>
        <w:rPr>
          <w:rFonts w:cs="仿宋_GB2312"/>
          <w:kern w:val="2"/>
          <w:sz w:val="32"/>
          <w:szCs w:val="32"/>
        </w:rPr>
      </w:pPr>
      <w:r>
        <w:rPr>
          <w:rFonts w:hint="eastAsia" w:ascii="黑体" w:hAnsi="Calibri" w:eastAsia="黑体" w:cs="Times New Roman"/>
          <w:kern w:val="0"/>
          <w:sz w:val="32"/>
          <w:szCs w:val="32"/>
          <w:lang w:val="en-US" w:eastAsia="zh-CN" w:bidi="ar-SA"/>
        </w:rPr>
        <w:t xml:space="preserve">十、名称解释 </w:t>
      </w:r>
      <w:bookmarkEnd w:id="30"/>
      <w:r>
        <w:rPr>
          <w:rFonts w:hint="eastAsia" w:cs="仿宋_GB2312"/>
          <w:szCs w:val="32"/>
        </w:rPr>
        <w:br w:type="textWrapping"/>
      </w:r>
      <w:r>
        <w:rPr>
          <w:rFonts w:hint="eastAsia" w:ascii="??" w:hAnsi="??" w:eastAsia="宋体" w:cs="宋体"/>
        </w:rPr>
        <w:t>　</w:t>
      </w:r>
      <w:r>
        <w:rPr>
          <w:rFonts w:hint="eastAsia" w:ascii="??" w:hAnsi="??" w:eastAsia="宋体" w:cs="宋体"/>
          <w:kern w:val="0"/>
          <w:sz w:val="16"/>
          <w:szCs w:val="20"/>
          <w:lang w:val="en-US" w:eastAsia="zh-CN" w:bidi="ar-SA"/>
        </w:rPr>
        <w:t xml:space="preserve">　 </w:t>
      </w:r>
      <w:r>
        <w:rPr>
          <w:rFonts w:hint="eastAsia" w:ascii="??" w:hAnsi="??" w:eastAsia="宋体" w:cs="宋体"/>
          <w:sz w:val="16"/>
        </w:rPr>
        <w:t xml:space="preserve"> </w:t>
      </w:r>
      <w:r>
        <w:rPr>
          <w:rFonts w:hint="eastAsia" w:ascii="楷体" w:eastAsia="楷体" w:cs="仿宋_GB2312"/>
          <w:kern w:val="2"/>
          <w:sz w:val="32"/>
          <w:szCs w:val="32"/>
        </w:rPr>
        <w:t>（一）</w:t>
      </w:r>
      <w:r>
        <w:rPr>
          <w:rFonts w:hint="eastAsia" w:ascii="楷体" w:eastAsia="楷体" w:cs="仿宋_GB2312"/>
          <w:b w:val="0"/>
          <w:bCs w:val="0"/>
          <w:kern w:val="2"/>
          <w:sz w:val="32"/>
          <w:szCs w:val="32"/>
        </w:rPr>
        <w:t>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 w:hAnsi="??" w:eastAsia="宋体" w:cs="宋体"/>
          <w:kern w:val="0"/>
          <w:sz w:val="16"/>
          <w:szCs w:val="20"/>
          <w:lang w:val="en-US" w:eastAsia="zh-CN" w:bidi="ar-SA"/>
        </w:rPr>
      </w:pPr>
    </w:p>
    <w:p>
      <w:pPr>
        <w:keepNext w:val="0"/>
        <w:keepLines w:val="0"/>
        <w:pageBreakBefore w:val="0"/>
        <w:widowControl w:val="0"/>
        <w:kinsoku/>
        <w:wordWrap/>
        <w:overflowPunct/>
        <w:topLinePunct w:val="0"/>
        <w:autoSpaceDE/>
        <w:autoSpaceDN/>
        <w:bidi w:val="0"/>
        <w:adjustRightInd/>
        <w:snapToGrid/>
        <w:spacing w:line="456" w:lineRule="exact"/>
        <w:textAlignment w:val="auto"/>
        <w:rPr>
          <w:rFonts w:hint="eastAsia" w:ascii="??" w:hAnsi="??" w:eastAsia="宋体" w:cs="宋体"/>
          <w:kern w:val="0"/>
          <w:sz w:val="16"/>
          <w:szCs w:val="20"/>
          <w:lang w:val="en-US" w:eastAsia="zh-CN" w:bidi="ar-SA"/>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B4103D"/>
    <w:multiLevelType w:val="singleLevel"/>
    <w:tmpl w:val="EEB4103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4F73EB"/>
    <w:rsid w:val="04FB6561"/>
    <w:rsid w:val="0B534D24"/>
    <w:rsid w:val="0CE02843"/>
    <w:rsid w:val="0E4D5CB6"/>
    <w:rsid w:val="101D790A"/>
    <w:rsid w:val="11627CCB"/>
    <w:rsid w:val="16D37B98"/>
    <w:rsid w:val="170D2487"/>
    <w:rsid w:val="19F0694E"/>
    <w:rsid w:val="1A3B2F55"/>
    <w:rsid w:val="1A547A18"/>
    <w:rsid w:val="1BD96DDB"/>
    <w:rsid w:val="1C7B3B4A"/>
    <w:rsid w:val="1DEB04D5"/>
    <w:rsid w:val="21A734D8"/>
    <w:rsid w:val="22C205C9"/>
    <w:rsid w:val="253B4663"/>
    <w:rsid w:val="288546C5"/>
    <w:rsid w:val="2C245E51"/>
    <w:rsid w:val="2F743580"/>
    <w:rsid w:val="31203C8A"/>
    <w:rsid w:val="31F14A27"/>
    <w:rsid w:val="34F906CC"/>
    <w:rsid w:val="455C3EBD"/>
    <w:rsid w:val="4A1B68B4"/>
    <w:rsid w:val="4CB038D8"/>
    <w:rsid w:val="55934FCA"/>
    <w:rsid w:val="5AB77F43"/>
    <w:rsid w:val="5F81302B"/>
    <w:rsid w:val="616B378D"/>
    <w:rsid w:val="68E32B2A"/>
    <w:rsid w:val="691F50A2"/>
    <w:rsid w:val="6DBE0563"/>
    <w:rsid w:val="73BB14EB"/>
    <w:rsid w:val="7A006BE9"/>
    <w:rsid w:val="7A7646CA"/>
    <w:rsid w:val="7FED3F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楷体_GB2312"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4"/>
    <w:uiPriority w:val="0"/>
    <w:pPr>
      <w:keepNext/>
      <w:keepLines/>
      <w:widowControl w:val="0"/>
      <w:spacing w:before="340" w:after="330" w:line="578" w:lineRule="auto"/>
      <w:outlineLvl w:val="0"/>
    </w:pPr>
    <w:rPr>
      <w:b/>
      <w:bCs/>
      <w:kern w:val="44"/>
      <w:sz w:val="44"/>
    </w:rPr>
  </w:style>
  <w:style w:type="paragraph" w:styleId="5">
    <w:name w:val="heading 2"/>
    <w:basedOn w:val="1"/>
    <w:next w:val="1"/>
    <w:link w:val="13"/>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character" w:customStyle="1" w:styleId="13">
    <w:name w:val="标题 2 Char"/>
    <w:link w:val="5"/>
    <w:uiPriority w:val="0"/>
    <w:rPr>
      <w:rFonts w:ascii="Arial" w:hAnsi="Arial" w:eastAsia="黑体"/>
      <w:b/>
      <w:sz w:val="32"/>
    </w:rPr>
  </w:style>
  <w:style w:type="character" w:customStyle="1" w:styleId="14">
    <w:name w:val="标题 1 Char"/>
    <w:link w:val="4"/>
    <w:uiPriority w:val="0"/>
    <w:rPr>
      <w:b/>
      <w:bCs/>
      <w:kern w:val="44"/>
      <w:sz w:val="44"/>
    </w:rPr>
  </w:style>
  <w:style w:type="paragraph" w:customStyle="1" w:styleId="15">
    <w:name w:val="WPSOffice手动目录 1"/>
    <w:uiPriority w:val="0"/>
    <w:pPr>
      <w:ind w:leftChars="0"/>
    </w:pPr>
    <w:rPr>
      <w:rFonts w:ascii="Times New Roman" w:hAnsi="Times New Roman" w:eastAsia="楷体_GB2312" w:cs="Times New Roman"/>
      <w:sz w:val="20"/>
      <w:szCs w:val="20"/>
    </w:rPr>
  </w:style>
  <w:style w:type="paragraph" w:customStyle="1" w:styleId="16">
    <w:name w:val="WPSOffice手动目录 2"/>
    <w:uiPriority w:val="0"/>
    <w:pPr>
      <w:ind w:leftChars="200"/>
    </w:pPr>
    <w:rPr>
      <w:rFonts w:ascii="Times New Roman" w:hAnsi="Times New Roman" w:eastAsia="楷体_GB2312" w:cs="Times New Roman"/>
      <w:sz w:val="20"/>
      <w:szCs w:val="20"/>
    </w:rPr>
  </w:style>
  <w:style w:type="paragraph" w:customStyle="1" w:styleId="17">
    <w:name w:val="WPSOffice手动目录 3"/>
    <w:qFormat/>
    <w:uiPriority w:val="0"/>
    <w:pPr>
      <w:ind w:leftChars="400"/>
    </w:pPr>
    <w:rPr>
      <w:rFonts w:ascii="Times New Roman" w:hAnsi="Times New Roman" w:eastAsia="楷体_GB2312"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330</Words>
  <Characters>341</Characters>
  <Lines>124</Lines>
  <Paragraphs>51</Paragraphs>
  <TotalTime>4</TotalTime>
  <ScaleCrop>false</ScaleCrop>
  <LinksUpToDate>false</LinksUpToDate>
  <CharactersWithSpaces>407</CharactersWithSpaces>
  <Application>WPS Office_10.1.0.7400_F1E327BC-269C-435d-A152-05C5408002CA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2026-07-27T09:52:29Z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TemplateDocerSaveRecord">
    <vt:lpwstr>eyJoZGlkIjoiNTdhMzQ2NmI5ZjEwMjBlMmM4YTI0ZjJhMTlmYjhjZDIifQ==</vt:lpwstr>
  </property>
  <property fmtid="{D5CDD505-2E9C-101B-9397-08002B2CF9AE}" pid="4" name="ICV">
    <vt:lpwstr>1192F23BFD5A45A9ABEE70DF8C2A2959_13</vt:lpwstr>
  </property>
</Properties>
</file>