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exact"/>
        <w:ind w:left="0" w:leftChars="0"/>
        <w:jc w:val="center"/>
        <w:outlineLvl w:val="9"/>
        <w:rPr>
          <w:rFonts w:ascii="方正小标宋简体" w:hAnsi="宋体" w:eastAsia="方正小标宋简体"/>
          <w:color w:val="auto"/>
          <w:sz w:val="72"/>
          <w:szCs w:val="72"/>
          <w:highlight w:val="none"/>
        </w:rPr>
      </w:pPr>
      <w:bookmarkStart w:id="0" w:name="_Toc15377193"/>
      <w:bookmarkStart w:id="1" w:name="_Toc15396597"/>
      <w:bookmarkStart w:id="2" w:name="_Toc15396475"/>
      <w:bookmarkStart w:id="3" w:name="_Toc15378441"/>
      <w:bookmarkStart w:id="4" w:name="_Toc15377425"/>
      <w:bookmarkStart w:id="5" w:name="_Toc15306267"/>
    </w:p>
    <w:p>
      <w:pPr>
        <w:keepNext w:val="0"/>
        <w:keepLines w:val="0"/>
        <w:pageBreakBefore w:val="0"/>
        <w:widowControl w:val="0"/>
        <w:kinsoku/>
        <w:wordWrap/>
        <w:overflowPunct/>
        <w:topLinePunct w:val="0"/>
        <w:autoSpaceDE/>
        <w:autoSpaceDN/>
        <w:bidi w:val="0"/>
        <w:adjustRightInd/>
        <w:snapToGrid/>
        <w:spacing w:line="1200" w:lineRule="exact"/>
        <w:ind w:left="0" w:leftChars="0" w:firstLine="2880" w:firstLineChars="400"/>
        <w:jc w:val="both"/>
        <w:textAlignment w:val="auto"/>
        <w:rPr>
          <w:rFonts w:hint="eastAsia" w:ascii="方正小标宋简体" w:eastAsia="方正小标宋简体"/>
          <w:sz w:val="72"/>
          <w:szCs w:val="72"/>
        </w:rPr>
      </w:pPr>
    </w:p>
    <w:p>
      <w:pPr>
        <w:keepNext w:val="0"/>
        <w:keepLines w:val="0"/>
        <w:pageBreakBefore w:val="0"/>
        <w:widowControl w:val="0"/>
        <w:kinsoku/>
        <w:wordWrap/>
        <w:overflowPunct/>
        <w:topLinePunct w:val="0"/>
        <w:autoSpaceDE/>
        <w:autoSpaceDN/>
        <w:bidi w:val="0"/>
        <w:adjustRightInd/>
        <w:snapToGrid/>
        <w:spacing w:line="1200" w:lineRule="exact"/>
        <w:ind w:left="0" w:leftChars="0" w:firstLine="2880" w:firstLineChars="400"/>
        <w:jc w:val="both"/>
        <w:textAlignment w:val="auto"/>
        <w:rPr>
          <w:rFonts w:hint="eastAsia"/>
        </w:rPr>
      </w:pPr>
      <w:r>
        <w:rPr>
          <w:rFonts w:hint="eastAsia" w:ascii="方正小标宋简体" w:eastAsia="方正小标宋简体"/>
          <w:sz w:val="72"/>
          <w:szCs w:val="72"/>
        </w:rPr>
        <w:t>20</w:t>
      </w:r>
      <w:r>
        <w:rPr>
          <w:rFonts w:hint="eastAsia" w:ascii="方正小标宋简体" w:eastAsia="方正小标宋简体"/>
          <w:sz w:val="72"/>
          <w:szCs w:val="72"/>
          <w:lang w:val="en-US" w:eastAsia="zh-CN"/>
        </w:rPr>
        <w:t>22</w:t>
      </w:r>
      <w:r>
        <w:rPr>
          <w:rFonts w:hint="eastAsia" w:ascii="方正小标宋简体" w:eastAsia="方正小标宋简体"/>
          <w:sz w:val="72"/>
          <w:szCs w:val="72"/>
        </w:rPr>
        <w:t>年度</w:t>
      </w:r>
      <w:bookmarkEnd w:id="0"/>
      <w:bookmarkEnd w:id="1"/>
      <w:bookmarkEnd w:id="2"/>
      <w:bookmarkEnd w:id="3"/>
      <w:bookmarkEnd w:id="4"/>
    </w:p>
    <w:bookmarkEnd w:id="5"/>
    <w:p>
      <w:pPr>
        <w:keepNext w:val="0"/>
        <w:keepLines w:val="0"/>
        <w:pageBreakBefore w:val="0"/>
        <w:widowControl w:val="0"/>
        <w:kinsoku/>
        <w:wordWrap/>
        <w:overflowPunct/>
        <w:topLinePunct w:val="0"/>
        <w:autoSpaceDE/>
        <w:autoSpaceDN/>
        <w:bidi w:val="0"/>
        <w:adjustRightInd/>
        <w:snapToGrid/>
        <w:spacing w:line="1200" w:lineRule="exact"/>
        <w:ind w:left="0" w:leftChars="0"/>
        <w:jc w:val="center"/>
        <w:textAlignment w:val="auto"/>
        <w:rPr>
          <w:rFonts w:hint="eastAsia" w:ascii="方正小标宋简体" w:eastAsia="方正小标宋简体"/>
          <w:sz w:val="72"/>
          <w:szCs w:val="72"/>
          <w:lang w:eastAsia="zh-CN"/>
        </w:rPr>
      </w:pPr>
      <w:bookmarkStart w:id="6" w:name="_Toc15378442"/>
      <w:bookmarkStart w:id="7" w:name="_Toc15396476"/>
      <w:bookmarkStart w:id="8" w:name="_Toc15396598"/>
      <w:bookmarkStart w:id="9" w:name="_Toc15377194"/>
      <w:bookmarkStart w:id="10" w:name="_Toc15377426"/>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lang w:eastAsia="zh-CN"/>
        </w:rPr>
        <w:t>壤塘县</w:t>
      </w:r>
    </w:p>
    <w:p>
      <w:pPr>
        <w:keepNext w:val="0"/>
        <w:keepLines w:val="0"/>
        <w:pageBreakBefore w:val="0"/>
        <w:widowControl w:val="0"/>
        <w:kinsoku/>
        <w:wordWrap/>
        <w:overflowPunct/>
        <w:topLinePunct w:val="0"/>
        <w:autoSpaceDE/>
        <w:autoSpaceDN/>
        <w:bidi w:val="0"/>
        <w:adjustRightInd/>
        <w:snapToGrid/>
        <w:spacing w:line="1200" w:lineRule="exact"/>
        <w:ind w:left="0" w:leftChars="0"/>
        <w:jc w:val="center"/>
        <w:textAlignment w:val="auto"/>
        <w:rPr>
          <w:rFonts w:hint="eastAsia" w:ascii="方正小标宋简体" w:eastAsia="方正小标宋简体"/>
          <w:sz w:val="72"/>
          <w:szCs w:val="72"/>
        </w:rPr>
      </w:pPr>
      <w:r>
        <w:rPr>
          <w:rFonts w:hint="eastAsia" w:ascii="方正小标宋简体" w:eastAsia="方正小标宋简体"/>
          <w:sz w:val="72"/>
          <w:szCs w:val="72"/>
          <w:lang w:eastAsia="zh-CN"/>
        </w:rPr>
        <w:t>尕多乡</w:t>
      </w:r>
      <w:r>
        <w:rPr>
          <w:rFonts w:hint="eastAsia" w:ascii="方正小标宋简体" w:eastAsia="方正小标宋简体"/>
          <w:sz w:val="72"/>
          <w:szCs w:val="72"/>
        </w:rPr>
        <w:t>部门决算</w:t>
      </w:r>
      <w:bookmarkEnd w:id="6"/>
      <w:bookmarkEnd w:id="7"/>
      <w:bookmarkEnd w:id="8"/>
      <w:bookmarkEnd w:id="9"/>
      <w:bookmarkEnd w:id="10"/>
      <w:bookmarkEnd w:id="11"/>
    </w:p>
    <w:p>
      <w:pPr>
        <w:pStyle w:val="8"/>
        <w:rPr>
          <w:rFonts w:hint="eastAsia" w:ascii="方正小标宋简体" w:eastAsia="方正小标宋简体"/>
          <w:sz w:val="72"/>
          <w:szCs w:val="72"/>
        </w:rPr>
      </w:pPr>
    </w:p>
    <w:p>
      <w:pPr>
        <w:pStyle w:val="8"/>
        <w:rPr>
          <w:rFonts w:hint="eastAsia" w:ascii="方正小标宋简体" w:eastAsia="方正小标宋简体"/>
          <w:sz w:val="72"/>
          <w:szCs w:val="72"/>
        </w:rPr>
      </w:pPr>
    </w:p>
    <w:p>
      <w:pPr>
        <w:pStyle w:val="8"/>
        <w:rPr>
          <w:rFonts w:hint="eastAsia" w:ascii="方正小标宋简体" w:eastAsia="方正小标宋简体"/>
          <w:sz w:val="72"/>
          <w:szCs w:val="72"/>
        </w:rPr>
      </w:pPr>
    </w:p>
    <w:p>
      <w:pPr>
        <w:pageBreakBefore w:val="0"/>
        <w:widowControl/>
        <w:kinsoku/>
        <w:wordWrap/>
        <w:overflowPunct/>
        <w:topLinePunct w:val="0"/>
        <w:bidi w:val="0"/>
        <w:spacing w:line="560" w:lineRule="exact"/>
        <w:ind w:left="0" w:leftChars="0"/>
        <w:jc w:val="center"/>
        <w:rPr>
          <w:rFonts w:ascii="黑体" w:hAnsi="黑体" w:eastAsia="黑体" w:cstheme="minorBidi"/>
          <w:color w:val="auto"/>
          <w:sz w:val="32"/>
          <w:szCs w:val="32"/>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32"/>
          <w:szCs w:val="32"/>
          <w:highlight w:val="none"/>
        </w:rPr>
        <w:t>目</w:t>
      </w: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录</w:t>
      </w:r>
    </w:p>
    <w:p>
      <w:pPr>
        <w:pStyle w:val="15"/>
        <w:pageBreakBefore w:val="0"/>
        <w:kinsoku/>
        <w:wordWrap/>
        <w:overflowPunct/>
        <w:topLinePunct w:val="0"/>
        <w:bidi w:val="0"/>
        <w:spacing w:before="0" w:line="560" w:lineRule="exact"/>
        <w:ind w:left="0" w:leftChars="0"/>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15</w:t>
      </w:r>
      <w:r>
        <w:rPr>
          <w:rFonts w:hint="eastAsia"/>
          <w:color w:val="auto"/>
          <w:highlight w:val="none"/>
        </w:rPr>
        <w:t>日</w:t>
      </w:r>
    </w:p>
    <w:sdt>
      <w:sdtPr>
        <w:rPr>
          <w:rFonts w:ascii="宋体" w:hAnsi="宋体" w:eastAsia="宋体" w:cs="Times New Roman"/>
          <w:kern w:val="2"/>
          <w:sz w:val="21"/>
          <w:szCs w:val="24"/>
          <w:lang w:val="en-US" w:eastAsia="zh-CN" w:bidi="ar-SA"/>
        </w:rPr>
        <w:id w:val="147455754"/>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pStyle w:val="15"/>
            <w:pageBreakBefore w:val="0"/>
            <w:tabs>
              <w:tab w:val="right" w:leader="dot" w:pos="8306"/>
              <w:tab w:val="clear" w:pos="8296"/>
            </w:tabs>
            <w:kinsoku/>
            <w:wordWrap/>
            <w:overflowPunct/>
            <w:topLinePunct w:val="0"/>
            <w:bidi w:val="0"/>
            <w:spacing w:before="0" w:line="560" w:lineRule="exact"/>
            <w:ind w:left="0" w:leftChars="0"/>
            <w:rPr>
              <w:rFonts w:ascii="仿宋" w:hAnsi="仿宋" w:eastAsia="仿宋" w:cs="Times New Roman"/>
              <w:kern w:val="2"/>
              <w:sz w:val="28"/>
              <w:szCs w:val="28"/>
              <w:lang w:val="en-US" w:eastAsia="zh-CN" w:bidi="ar-SA"/>
            </w:rPr>
          </w:pPr>
          <w:bookmarkStart w:id="12" w:name="_Toc15396599"/>
          <w:bookmarkStart w:id="13" w:name="_Toc15377196"/>
          <w:r>
            <w:fldChar w:fldCharType="begin"/>
          </w:r>
          <w:r>
            <w:instrText xml:space="preserve">TOC \o "1-2" \h \u </w:instrText>
          </w:r>
          <w:r>
            <w:fldChar w:fldCharType="separate"/>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_Toc23965 </w:instrText>
          </w:r>
          <w:r>
            <w:fldChar w:fldCharType="separate"/>
          </w:r>
          <w:r>
            <w:rPr>
              <w:rFonts w:hint="eastAsia"/>
            </w:rPr>
            <w:t>第一部分 部门概况</w:t>
          </w:r>
          <w:r>
            <w:tab/>
          </w:r>
          <w:r>
            <w:fldChar w:fldCharType="begin"/>
          </w:r>
          <w:r>
            <w:instrText xml:space="preserve"> PAGEREF _Toc23965 </w:instrText>
          </w:r>
          <w:r>
            <w:fldChar w:fldCharType="separate"/>
          </w:r>
          <w:r>
            <w:t>1</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_Toc25769 </w:instrText>
          </w:r>
          <w:r>
            <w:fldChar w:fldCharType="separate"/>
          </w:r>
          <w:r>
            <w:rPr>
              <w:rFonts w:hint="eastAsia"/>
              <w:lang w:eastAsia="zh-CN"/>
            </w:rPr>
            <w:t>一、 部门职责</w:t>
          </w:r>
          <w:r>
            <w:tab/>
          </w:r>
          <w:r>
            <w:fldChar w:fldCharType="begin"/>
          </w:r>
          <w:r>
            <w:instrText xml:space="preserve"> PAGEREF _Toc25769 </w:instrText>
          </w:r>
          <w:r>
            <w:fldChar w:fldCharType="separate"/>
          </w:r>
          <w:r>
            <w:t>1</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_Toc21418 </w:instrText>
          </w:r>
          <w:r>
            <w:fldChar w:fldCharType="separate"/>
          </w:r>
          <w:r>
            <w:rPr>
              <w:rFonts w:hint="eastAsia"/>
            </w:rPr>
            <w:t>二、机构设置</w:t>
          </w:r>
          <w:r>
            <w:tab/>
          </w:r>
          <w:r>
            <w:fldChar w:fldCharType="begin"/>
          </w:r>
          <w:r>
            <w:instrText xml:space="preserve"> PAGEREF _Toc21418 </w:instrText>
          </w:r>
          <w:r>
            <w:fldChar w:fldCharType="separate"/>
          </w:r>
          <w:r>
            <w:t>2</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_Toc30699 </w:instrText>
          </w:r>
          <w:r>
            <w:fldChar w:fldCharType="separate"/>
          </w:r>
          <w:r>
            <w:rPr>
              <w:rFonts w:hint="eastAsia" w:ascii="宋体" w:hAnsi="宋体" w:eastAsia="宋体" w:cs="宋体"/>
            </w:rPr>
            <w:t xml:space="preserve">第二部分 </w:t>
          </w:r>
          <w:r>
            <w:rPr>
              <w:rFonts w:hint="eastAsia" w:ascii="宋体" w:hAnsi="宋体" w:eastAsia="宋体" w:cs="宋体"/>
              <w:lang w:val="en-US" w:eastAsia="zh-CN"/>
            </w:rPr>
            <w:t>2022年度</w:t>
          </w:r>
          <w:r>
            <w:rPr>
              <w:rFonts w:hint="eastAsia" w:ascii="宋体" w:hAnsi="宋体" w:eastAsia="宋体" w:cs="宋体"/>
            </w:rPr>
            <w:t>部门决算情况说明</w:t>
          </w:r>
          <w:r>
            <w:tab/>
          </w:r>
          <w:r>
            <w:fldChar w:fldCharType="begin"/>
          </w:r>
          <w:r>
            <w:instrText xml:space="preserve"> PAGEREF _Toc30699 </w:instrText>
          </w:r>
          <w:r>
            <w:fldChar w:fldCharType="separate"/>
          </w:r>
          <w:r>
            <w:t>2</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_Toc32328 </w:instrText>
          </w:r>
          <w:r>
            <w:fldChar w:fldCharType="separate"/>
          </w:r>
          <w:r>
            <w:rPr>
              <w:rFonts w:hint="default"/>
            </w:rPr>
            <w:t xml:space="preserve">一、 </w:t>
          </w:r>
          <w:r>
            <w:rPr>
              <w:rFonts w:hint="eastAsia"/>
            </w:rPr>
            <w:t>收入支出决算总体情况说明</w:t>
          </w:r>
          <w:r>
            <w:tab/>
          </w:r>
          <w:r>
            <w:fldChar w:fldCharType="begin"/>
          </w:r>
          <w:r>
            <w:instrText xml:space="preserve"> PAGEREF _Toc32328 </w:instrText>
          </w:r>
          <w:r>
            <w:fldChar w:fldCharType="separate"/>
          </w:r>
          <w:r>
            <w:t>2</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_Toc31998 </w:instrText>
          </w:r>
          <w:r>
            <w:fldChar w:fldCharType="separate"/>
          </w:r>
          <w:r>
            <w:rPr>
              <w:rFonts w:hint="default"/>
            </w:rPr>
            <w:t xml:space="preserve">二、 </w:t>
          </w:r>
          <w:r>
            <w:rPr>
              <w:rFonts w:hint="eastAsia"/>
            </w:rPr>
            <w:t>收入决算情况说明</w:t>
          </w:r>
          <w:r>
            <w:tab/>
          </w:r>
          <w:r>
            <w:fldChar w:fldCharType="begin"/>
          </w:r>
          <w:r>
            <w:instrText xml:space="preserve"> PAGEREF _Toc31998 </w:instrText>
          </w:r>
          <w:r>
            <w:fldChar w:fldCharType="separate"/>
          </w:r>
          <w:r>
            <w:t>3</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_Toc18918 </w:instrText>
          </w:r>
          <w:r>
            <w:fldChar w:fldCharType="separate"/>
          </w:r>
          <w:r>
            <w:rPr>
              <w:rFonts w:hint="eastAsia"/>
              <w:lang w:eastAsia="zh-CN"/>
            </w:rPr>
            <w:t>三、</w:t>
          </w:r>
          <w:r>
            <w:rPr>
              <w:rFonts w:hint="eastAsia"/>
            </w:rPr>
            <w:t>支出决算情况说明</w:t>
          </w:r>
          <w:r>
            <w:tab/>
          </w:r>
          <w:r>
            <w:fldChar w:fldCharType="begin"/>
          </w:r>
          <w:r>
            <w:instrText xml:space="preserve"> PAGEREF _Toc18918 </w:instrText>
          </w:r>
          <w:r>
            <w:fldChar w:fldCharType="separate"/>
          </w:r>
          <w:r>
            <w:t>3</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_Toc19651 </w:instrText>
          </w:r>
          <w:r>
            <w:fldChar w:fldCharType="separate"/>
          </w:r>
          <w:r>
            <w:rPr>
              <w:rFonts w:hint="eastAsia"/>
            </w:rPr>
            <w:t>四、财政拨款收入支出决算总体情况说明</w:t>
          </w:r>
          <w:r>
            <w:tab/>
          </w:r>
          <w:r>
            <w:fldChar w:fldCharType="begin"/>
          </w:r>
          <w:r>
            <w:instrText xml:space="preserve"> PAGEREF _Toc19651 </w:instrText>
          </w:r>
          <w:r>
            <w:fldChar w:fldCharType="separate"/>
          </w:r>
          <w:r>
            <w:t>4</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_Toc31072 </w:instrText>
          </w:r>
          <w:r>
            <w:fldChar w:fldCharType="separate"/>
          </w:r>
          <w:r>
            <w:rPr>
              <w:rFonts w:hint="eastAsia"/>
            </w:rPr>
            <w:t>五、一般公共预算财政拨款支出决算情况说明</w:t>
          </w:r>
          <w:r>
            <w:tab/>
          </w:r>
          <w:r>
            <w:fldChar w:fldCharType="begin"/>
          </w:r>
          <w:r>
            <w:instrText xml:space="preserve"> PAGEREF _Toc31072 </w:instrText>
          </w:r>
          <w:r>
            <w:fldChar w:fldCharType="separate"/>
          </w:r>
          <w:r>
            <w:t>4</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_Toc15899 </w:instrText>
          </w:r>
          <w:r>
            <w:fldChar w:fldCharType="separate"/>
          </w:r>
          <w:r>
            <w:rPr>
              <w:rFonts w:hint="eastAsia"/>
            </w:rPr>
            <w:t>六、一般公共预算财政拨款基本支出决算情况说明</w:t>
          </w:r>
          <w:r>
            <w:tab/>
          </w:r>
          <w:r>
            <w:fldChar w:fldCharType="begin"/>
          </w:r>
          <w:r>
            <w:instrText xml:space="preserve"> PAGEREF _Toc15899 </w:instrText>
          </w:r>
          <w:r>
            <w:fldChar w:fldCharType="separate"/>
          </w:r>
          <w:r>
            <w:t>9</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_Toc4517 </w:instrText>
          </w:r>
          <w:r>
            <w:fldChar w:fldCharType="separate"/>
          </w:r>
          <w:r>
            <w:rPr>
              <w:rFonts w:hint="eastAsia"/>
            </w:rPr>
            <w:t>七、财政拨款“三公”经费支出决算情况说明</w:t>
          </w:r>
          <w:r>
            <w:tab/>
          </w:r>
          <w:r>
            <w:fldChar w:fldCharType="begin"/>
          </w:r>
          <w:r>
            <w:instrText xml:space="preserve"> PAGEREF _Toc4517 </w:instrText>
          </w:r>
          <w:r>
            <w:fldChar w:fldCharType="separate"/>
          </w:r>
          <w:r>
            <w:t>9</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_Toc28037 </w:instrText>
          </w:r>
          <w:r>
            <w:fldChar w:fldCharType="separate"/>
          </w:r>
          <w:r>
            <w:rPr>
              <w:rFonts w:hint="eastAsia"/>
            </w:rPr>
            <w:t>八、政府性基金预算支出决算情况说明</w:t>
          </w:r>
          <w:r>
            <w:tab/>
          </w:r>
          <w:r>
            <w:fldChar w:fldCharType="begin"/>
          </w:r>
          <w:r>
            <w:instrText xml:space="preserve"> PAGEREF _Toc28037 </w:instrText>
          </w:r>
          <w:r>
            <w:fldChar w:fldCharType="separate"/>
          </w:r>
          <w:r>
            <w:t>11</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_Toc25434 </w:instrText>
          </w:r>
          <w:r>
            <w:fldChar w:fldCharType="separate"/>
          </w:r>
          <w:r>
            <w:rPr>
              <w:rFonts w:hint="eastAsia"/>
              <w:lang w:eastAsia="zh-CN"/>
            </w:rPr>
            <w:t>九、</w:t>
          </w:r>
          <w:r>
            <w:rPr>
              <w:rFonts w:hint="eastAsia"/>
            </w:rPr>
            <w:t>国有资本经营预算支出决算情况说明</w:t>
          </w:r>
          <w:r>
            <w:tab/>
          </w:r>
          <w:r>
            <w:fldChar w:fldCharType="begin"/>
          </w:r>
          <w:r>
            <w:instrText xml:space="preserve"> PAGEREF _Toc25434 </w:instrText>
          </w:r>
          <w:r>
            <w:fldChar w:fldCharType="separate"/>
          </w:r>
          <w:r>
            <w:t>11</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_Toc32429 </w:instrText>
          </w:r>
          <w:r>
            <w:fldChar w:fldCharType="separate"/>
          </w:r>
          <w:r>
            <w:rPr>
              <w:rFonts w:hint="eastAsia"/>
            </w:rPr>
            <w:t>九、 其他重要事项的情况说明</w:t>
          </w:r>
          <w:r>
            <w:tab/>
          </w:r>
          <w:r>
            <w:fldChar w:fldCharType="begin"/>
          </w:r>
          <w:r>
            <w:instrText xml:space="preserve"> PAGEREF _Toc32429 </w:instrText>
          </w:r>
          <w:r>
            <w:fldChar w:fldCharType="separate"/>
          </w:r>
          <w:r>
            <w:t>11</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_Toc10924 </w:instrText>
          </w:r>
          <w:r>
            <w:fldChar w:fldCharType="separate"/>
          </w:r>
          <w:r>
            <w:rPr>
              <w:rFonts w:hint="eastAsia"/>
              <w:lang w:eastAsia="zh-CN"/>
            </w:rPr>
            <w:t>第三部分</w:t>
          </w:r>
          <w:r>
            <w:rPr>
              <w:rFonts w:hint="eastAsia"/>
              <w:lang w:val="en-US" w:eastAsia="zh-CN"/>
            </w:rPr>
            <w:t xml:space="preserve"> </w:t>
          </w:r>
          <w:r>
            <w:rPr>
              <w:rFonts w:hint="eastAsia"/>
            </w:rPr>
            <w:t>名词解释</w:t>
          </w:r>
          <w:r>
            <w:tab/>
          </w:r>
          <w:r>
            <w:fldChar w:fldCharType="begin"/>
          </w:r>
          <w:r>
            <w:instrText xml:space="preserve"> PAGEREF _Toc10924 </w:instrText>
          </w:r>
          <w:r>
            <w:fldChar w:fldCharType="separate"/>
          </w:r>
          <w:r>
            <w:t>14</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_Toc3958 </w:instrText>
          </w:r>
          <w:r>
            <w:fldChar w:fldCharType="separate"/>
          </w:r>
          <w:r>
            <w:rPr>
              <w:rFonts w:hint="eastAsia" w:ascii="宋体" w:hAnsi="宋体" w:eastAsia="宋体" w:cs="宋体"/>
              <w:bCs/>
              <w:szCs w:val="44"/>
            </w:rPr>
            <w:t>第四部分 附件</w:t>
          </w:r>
          <w:r>
            <w:tab/>
          </w:r>
          <w:r>
            <w:fldChar w:fldCharType="begin"/>
          </w:r>
          <w:r>
            <w:instrText xml:space="preserve"> PAGEREF _Toc3958 </w:instrText>
          </w:r>
          <w:r>
            <w:fldChar w:fldCharType="separate"/>
          </w:r>
          <w:r>
            <w:t>18</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_Toc16057 </w:instrText>
          </w:r>
          <w:r>
            <w:fldChar w:fldCharType="separate"/>
          </w:r>
          <w:r>
            <w:rPr>
              <w:rFonts w:hint="eastAsia"/>
              <w:lang w:eastAsia="zh-CN"/>
            </w:rPr>
            <w:t>壤塘县尕多乡人民政府</w:t>
          </w:r>
          <w:r>
            <w:rPr>
              <w:rFonts w:hint="eastAsia"/>
            </w:rPr>
            <w:t>202</w:t>
          </w:r>
          <w:r>
            <w:rPr>
              <w:rFonts w:hint="eastAsia"/>
              <w:lang w:val="en-US" w:eastAsia="zh-CN"/>
            </w:rPr>
            <w:t>2</w:t>
          </w:r>
          <w:r>
            <w:rPr>
              <w:rFonts w:hint="eastAsia"/>
            </w:rPr>
            <w:t>年部门整体支出绩效评价报告</w:t>
          </w:r>
          <w:r>
            <w:tab/>
          </w:r>
          <w:r>
            <w:fldChar w:fldCharType="begin"/>
          </w:r>
          <w:r>
            <w:instrText xml:space="preserve"> PAGEREF _Toc16057 </w:instrText>
          </w:r>
          <w:r>
            <w:fldChar w:fldCharType="separate"/>
          </w:r>
          <w:r>
            <w:t>18</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_Toc4157 </w:instrText>
          </w:r>
          <w:r>
            <w:fldChar w:fldCharType="separate"/>
          </w:r>
          <w:r>
            <w:rPr>
              <w:rFonts w:hint="eastAsia"/>
            </w:rPr>
            <w:t>一、部门（单位）概况</w:t>
          </w:r>
          <w:r>
            <w:tab/>
          </w:r>
          <w:r>
            <w:fldChar w:fldCharType="begin"/>
          </w:r>
          <w:r>
            <w:instrText xml:space="preserve"> PAGEREF _Toc4157 </w:instrText>
          </w:r>
          <w:r>
            <w:fldChar w:fldCharType="separate"/>
          </w:r>
          <w:r>
            <w:t>18</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_Toc21814 </w:instrText>
          </w:r>
          <w:r>
            <w:fldChar w:fldCharType="separate"/>
          </w:r>
          <w:r>
            <w:rPr>
              <w:rFonts w:hint="eastAsia"/>
            </w:rPr>
            <w:t>二、</w:t>
          </w:r>
          <w:r>
            <w:rPr>
              <w:rFonts w:hint="eastAsia"/>
              <w:lang w:eastAsia="zh-CN"/>
            </w:rPr>
            <w:t>部门</w:t>
          </w:r>
          <w:r>
            <w:rPr>
              <w:rFonts w:hint="eastAsia"/>
            </w:rPr>
            <w:t>资金收支情况</w:t>
          </w:r>
          <w:r>
            <w:tab/>
          </w:r>
          <w:r>
            <w:fldChar w:fldCharType="begin"/>
          </w:r>
          <w:r>
            <w:instrText xml:space="preserve"> PAGEREF _Toc21814 </w:instrText>
          </w:r>
          <w:r>
            <w:fldChar w:fldCharType="separate"/>
          </w:r>
          <w:r>
            <w:t>19</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_Toc4979 </w:instrText>
          </w:r>
          <w:r>
            <w:fldChar w:fldCharType="separate"/>
          </w:r>
          <w:r>
            <w:rPr>
              <w:rFonts w:hint="eastAsia"/>
              <w:lang w:val="en-US" w:eastAsia="zh-CN"/>
            </w:rPr>
            <w:t>三、部门整体预算绩效管理情况</w:t>
          </w:r>
          <w:r>
            <w:tab/>
          </w:r>
          <w:r>
            <w:fldChar w:fldCharType="begin"/>
          </w:r>
          <w:r>
            <w:instrText xml:space="preserve"> PAGEREF _Toc4979 </w:instrText>
          </w:r>
          <w:r>
            <w:fldChar w:fldCharType="separate"/>
          </w:r>
          <w:r>
            <w:t>20</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_Toc17459 </w:instrText>
          </w:r>
          <w:r>
            <w:fldChar w:fldCharType="separate"/>
          </w:r>
          <w:r>
            <w:rPr>
              <w:rFonts w:hint="eastAsia"/>
            </w:rPr>
            <w:t>四、评价结论及建议</w:t>
          </w:r>
          <w:r>
            <w:tab/>
          </w:r>
          <w:r>
            <w:fldChar w:fldCharType="begin"/>
          </w:r>
          <w:r>
            <w:instrText xml:space="preserve"> PAGEREF _Toc17459 </w:instrText>
          </w:r>
          <w:r>
            <w:fldChar w:fldCharType="separate"/>
          </w:r>
          <w:r>
            <w:t>21</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_Toc30396 </w:instrText>
          </w:r>
          <w:r>
            <w:fldChar w:fldCharType="separate"/>
          </w:r>
          <w:r>
            <w:rPr>
              <w:rFonts w:hint="eastAsia" w:ascii="宋体" w:hAnsi="宋体" w:eastAsia="宋体" w:cs="宋体"/>
              <w:bCs/>
              <w:szCs w:val="44"/>
            </w:rPr>
            <w:t>附件2</w:t>
          </w:r>
          <w:r>
            <w:tab/>
          </w:r>
          <w:r>
            <w:fldChar w:fldCharType="begin"/>
          </w:r>
          <w:r>
            <w:instrText xml:space="preserve"> PAGEREF _Toc30396 </w:instrText>
          </w:r>
          <w:r>
            <w:fldChar w:fldCharType="separate"/>
          </w:r>
          <w:r>
            <w:t>33</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_Toc15160 </w:instrText>
          </w:r>
          <w:r>
            <w:fldChar w:fldCharType="separate"/>
          </w:r>
          <w:r>
            <w:rPr>
              <w:rFonts w:hint="eastAsia"/>
              <w:lang w:eastAsia="zh-CN"/>
            </w:rPr>
            <w:t>壤塘县尕多乡项目202</w:t>
          </w:r>
          <w:r>
            <w:rPr>
              <w:rFonts w:hint="eastAsia"/>
              <w:lang w:val="en-US" w:eastAsia="zh-CN"/>
            </w:rPr>
            <w:t>2</w:t>
          </w:r>
          <w:r>
            <w:rPr>
              <w:rFonts w:hint="eastAsia"/>
            </w:rPr>
            <w:t>年</w:t>
          </w:r>
          <w:r>
            <w:rPr>
              <w:rFonts w:hint="eastAsia"/>
              <w:lang w:val="zh-CN"/>
            </w:rPr>
            <w:t>绩效评价报告</w:t>
          </w:r>
          <w:r>
            <w:tab/>
          </w:r>
          <w:r>
            <w:fldChar w:fldCharType="begin"/>
          </w:r>
          <w:r>
            <w:instrText xml:space="preserve"> PAGEREF _Toc15160 </w:instrText>
          </w:r>
          <w:r>
            <w:fldChar w:fldCharType="separate"/>
          </w:r>
          <w:r>
            <w:t>33</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_Toc6699 </w:instrText>
          </w:r>
          <w:r>
            <w:fldChar w:fldCharType="separate"/>
          </w:r>
          <w:r>
            <w:rPr>
              <w:rFonts w:hint="eastAsia"/>
            </w:rPr>
            <w:t>一、</w:t>
          </w:r>
          <w:r>
            <w:rPr>
              <w:rFonts w:hint="eastAsia"/>
              <w:lang w:val="zh-CN"/>
            </w:rPr>
            <w:t>项目概况</w:t>
          </w:r>
          <w:r>
            <w:tab/>
          </w:r>
          <w:r>
            <w:fldChar w:fldCharType="begin"/>
          </w:r>
          <w:r>
            <w:instrText xml:space="preserve"> PAGEREF _Toc6699 </w:instrText>
          </w:r>
          <w:r>
            <w:fldChar w:fldCharType="separate"/>
          </w:r>
          <w:r>
            <w:t>33</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_Toc30223 </w:instrText>
          </w:r>
          <w:r>
            <w:fldChar w:fldCharType="separate"/>
          </w:r>
          <w:r>
            <w:rPr>
              <w:rFonts w:hint="eastAsia"/>
            </w:rPr>
            <w:t>二、项目资金申报及使用情况</w:t>
          </w:r>
          <w:r>
            <w:tab/>
          </w:r>
          <w:r>
            <w:fldChar w:fldCharType="begin"/>
          </w:r>
          <w:r>
            <w:instrText xml:space="preserve"> PAGEREF _Toc30223 </w:instrText>
          </w:r>
          <w:r>
            <w:fldChar w:fldCharType="separate"/>
          </w:r>
          <w:r>
            <w:t>35</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_Toc15967 </w:instrText>
          </w:r>
          <w:r>
            <w:fldChar w:fldCharType="separate"/>
          </w:r>
          <w:r>
            <w:rPr>
              <w:rFonts w:hint="eastAsia"/>
            </w:rPr>
            <w:t>三、项目实施及管理情况</w:t>
          </w:r>
          <w:r>
            <w:tab/>
          </w:r>
          <w:r>
            <w:fldChar w:fldCharType="begin"/>
          </w:r>
          <w:r>
            <w:instrText xml:space="preserve"> PAGEREF _Toc15967 </w:instrText>
          </w:r>
          <w:r>
            <w:fldChar w:fldCharType="separate"/>
          </w:r>
          <w:r>
            <w:t>35</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_Toc16105 </w:instrText>
          </w:r>
          <w:r>
            <w:fldChar w:fldCharType="separate"/>
          </w:r>
          <w:r>
            <w:rPr>
              <w:rFonts w:hint="eastAsia"/>
            </w:rPr>
            <w:t>四、项目绩效情况</w:t>
          </w:r>
          <w:r>
            <w:tab/>
          </w:r>
          <w:r>
            <w:fldChar w:fldCharType="begin"/>
          </w:r>
          <w:r>
            <w:instrText xml:space="preserve"> PAGEREF _Toc16105 </w:instrText>
          </w:r>
          <w:r>
            <w:fldChar w:fldCharType="separate"/>
          </w:r>
          <w:r>
            <w:t>36</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_Toc10379 </w:instrText>
          </w:r>
          <w:r>
            <w:fldChar w:fldCharType="separate"/>
          </w:r>
          <w:r>
            <w:rPr>
              <w:rFonts w:hint="eastAsia"/>
            </w:rPr>
            <w:t>五、评价结论及建议</w:t>
          </w:r>
          <w:r>
            <w:tab/>
          </w:r>
          <w:r>
            <w:fldChar w:fldCharType="begin"/>
          </w:r>
          <w:r>
            <w:instrText xml:space="preserve"> PAGEREF _Toc10379 </w:instrText>
          </w:r>
          <w:r>
            <w:fldChar w:fldCharType="separate"/>
          </w:r>
          <w:r>
            <w:t>37</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_Toc721 </w:instrText>
          </w:r>
          <w:r>
            <w:fldChar w:fldCharType="separate"/>
          </w:r>
          <w:r>
            <w:rPr>
              <w:rFonts w:hint="eastAsia"/>
              <w:lang w:eastAsia="zh-CN"/>
            </w:rPr>
            <w:t>尕多乡刑木达村基础设施建设项目支出</w:t>
          </w:r>
          <w:r>
            <w:rPr>
              <w:rFonts w:hint="eastAsia"/>
            </w:rPr>
            <w:t>绩效自评报告</w:t>
          </w:r>
          <w:r>
            <w:tab/>
          </w:r>
          <w:r>
            <w:fldChar w:fldCharType="begin"/>
          </w:r>
          <w:r>
            <w:instrText xml:space="preserve"> PAGEREF _Toc721 </w:instrText>
          </w:r>
          <w:r>
            <w:fldChar w:fldCharType="separate"/>
          </w:r>
          <w:r>
            <w:t>38</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_Toc25517 </w:instrText>
          </w:r>
          <w:r>
            <w:fldChar w:fldCharType="separate"/>
          </w:r>
          <w:r>
            <w:rPr>
              <w:rFonts w:hint="eastAsia"/>
              <w:lang w:val="en-US" w:eastAsia="zh-CN"/>
            </w:rPr>
            <w:t>一、</w:t>
          </w:r>
          <w:r>
            <w:rPr>
              <w:rFonts w:hint="eastAsia"/>
              <w:lang w:val="zh-CN" w:eastAsia="zh-CN"/>
            </w:rPr>
            <w:t>项目概况</w:t>
          </w:r>
          <w:r>
            <w:tab/>
          </w:r>
          <w:r>
            <w:fldChar w:fldCharType="begin"/>
          </w:r>
          <w:r>
            <w:instrText xml:space="preserve"> PAGEREF _Toc25517 </w:instrText>
          </w:r>
          <w:r>
            <w:fldChar w:fldCharType="separate"/>
          </w:r>
          <w:r>
            <w:t>38</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_Toc4738 </w:instrText>
          </w:r>
          <w:r>
            <w:fldChar w:fldCharType="separate"/>
          </w:r>
          <w:r>
            <w:rPr>
              <w:rFonts w:hint="eastAsia"/>
            </w:rPr>
            <w:t>二、项目实施</w:t>
          </w:r>
          <w:r>
            <w:tab/>
          </w:r>
          <w:r>
            <w:fldChar w:fldCharType="begin"/>
          </w:r>
          <w:r>
            <w:instrText xml:space="preserve"> PAGEREF _Toc4738 </w:instrText>
          </w:r>
          <w:r>
            <w:fldChar w:fldCharType="separate"/>
          </w:r>
          <w:r>
            <w:t>38</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_Toc28794 </w:instrText>
          </w:r>
          <w:r>
            <w:fldChar w:fldCharType="separate"/>
          </w:r>
          <w:r>
            <w:rPr>
              <w:rFonts w:hint="eastAsia"/>
            </w:rPr>
            <w:t>三、项目绩效情况</w:t>
          </w:r>
          <w:r>
            <w:tab/>
          </w:r>
          <w:r>
            <w:fldChar w:fldCharType="begin"/>
          </w:r>
          <w:r>
            <w:instrText xml:space="preserve"> PAGEREF _Toc28794 </w:instrText>
          </w:r>
          <w:r>
            <w:fldChar w:fldCharType="separate"/>
          </w:r>
          <w:r>
            <w:t>39</w:t>
          </w:r>
          <w:r>
            <w:fldChar w:fldCharType="end"/>
          </w:r>
          <w:r>
            <w:fldChar w:fldCharType="end"/>
          </w:r>
        </w:p>
        <w:p>
          <w:pPr>
            <w:pStyle w:val="16"/>
            <w:pageBreakBefore w:val="0"/>
            <w:tabs>
              <w:tab w:val="right" w:leader="dot" w:pos="8306"/>
              <w:tab w:val="clear" w:pos="8296"/>
            </w:tabs>
            <w:kinsoku/>
            <w:wordWrap/>
            <w:overflowPunct/>
            <w:topLinePunct w:val="0"/>
            <w:bidi w:val="0"/>
            <w:spacing w:line="560" w:lineRule="exact"/>
            <w:ind w:left="0" w:leftChars="0"/>
          </w:pPr>
          <w:r>
            <w:fldChar w:fldCharType="begin"/>
          </w:r>
          <w:r>
            <w:instrText xml:space="preserve"> HYPERLINK \l _Toc15129 </w:instrText>
          </w:r>
          <w:r>
            <w:fldChar w:fldCharType="separate"/>
          </w:r>
          <w:r>
            <w:rPr>
              <w:rFonts w:hint="eastAsia"/>
              <w:lang w:val="zh-CN"/>
            </w:rPr>
            <w:t>四、问题及建议</w:t>
          </w:r>
          <w:r>
            <w:tab/>
          </w:r>
          <w:r>
            <w:fldChar w:fldCharType="begin"/>
          </w:r>
          <w:r>
            <w:instrText xml:space="preserve"> PAGEREF _Toc15129 </w:instrText>
          </w:r>
          <w:r>
            <w:fldChar w:fldCharType="separate"/>
          </w:r>
          <w:r>
            <w:t>40</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begin"/>
          </w:r>
          <w:r>
            <w:instrText xml:space="preserve"> HYPERLINK \l _Toc470 </w:instrText>
          </w:r>
          <w:r>
            <w:fldChar w:fldCharType="separate"/>
          </w:r>
          <w:r>
            <w:rPr>
              <w:rFonts w:hint="eastAsia"/>
            </w:rPr>
            <w:t>第五部分 附表</w:t>
          </w:r>
          <w:r>
            <w:tab/>
          </w:r>
          <w:r>
            <w:fldChar w:fldCharType="begin"/>
          </w:r>
          <w:r>
            <w:instrText xml:space="preserve"> PAGEREF _Toc470 </w:instrText>
          </w:r>
          <w:r>
            <w:fldChar w:fldCharType="separate"/>
          </w:r>
          <w:r>
            <w:t>41</w:t>
          </w:r>
          <w:r>
            <w:fldChar w:fldCharType="end"/>
          </w:r>
          <w:r>
            <w:fldChar w:fldCharType="end"/>
          </w:r>
        </w:p>
        <w:p>
          <w:pPr>
            <w:pStyle w:val="15"/>
            <w:pageBreakBefore w:val="0"/>
            <w:tabs>
              <w:tab w:val="right" w:leader="dot" w:pos="8306"/>
              <w:tab w:val="clear" w:pos="8296"/>
            </w:tabs>
            <w:kinsoku/>
            <w:wordWrap/>
            <w:overflowPunct/>
            <w:topLinePunct w:val="0"/>
            <w:bidi w:val="0"/>
            <w:spacing w:before="0" w:line="560" w:lineRule="exact"/>
            <w:ind w:left="0" w:leftChars="0"/>
          </w:pPr>
          <w:r>
            <w:fldChar w:fldCharType="end"/>
          </w:r>
        </w:p>
      </w:sdtContent>
    </w:sdt>
    <w:p>
      <w:pPr>
        <w:pStyle w:val="3"/>
        <w:pageBreakBefore w:val="0"/>
        <w:kinsoku/>
        <w:wordWrap/>
        <w:overflowPunct/>
        <w:topLinePunct w:val="0"/>
        <w:bidi w:val="0"/>
        <w:spacing w:before="0" w:after="0" w:line="560" w:lineRule="exact"/>
        <w:ind w:left="0" w:leftChars="0"/>
        <w:jc w:val="center"/>
        <w:rPr>
          <w:rFonts w:hint="eastAsia"/>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pStyle w:val="3"/>
        <w:pageBreakBefore w:val="0"/>
        <w:kinsoku/>
        <w:wordWrap/>
        <w:overflowPunct/>
        <w:topLinePunct w:val="0"/>
        <w:bidi w:val="0"/>
        <w:spacing w:before="0" w:after="0" w:line="560" w:lineRule="exact"/>
        <w:ind w:left="0" w:leftChars="0"/>
        <w:jc w:val="center"/>
        <w:rPr>
          <w:rFonts w:ascii="黑体" w:eastAsia="黑体"/>
          <w:color w:val="auto"/>
          <w:sz w:val="32"/>
          <w:szCs w:val="32"/>
          <w:highlight w:val="none"/>
        </w:rPr>
      </w:pPr>
      <w:bookmarkStart w:id="14" w:name="_Toc23965"/>
      <w:r>
        <w:rPr>
          <w:rFonts w:hint="eastAsia" w:ascii="方正小标宋_GBK" w:hAnsi="方正小标宋_GBK" w:eastAsia="方正小标宋_GBK" w:cs="方正小标宋_GBK"/>
          <w:b w:val="0"/>
          <w:bCs w:val="0"/>
        </w:rPr>
        <w:t>第一部分 部门概况</w:t>
      </w:r>
      <w:bookmarkEnd w:id="12"/>
      <w:bookmarkEnd w:id="13"/>
      <w:bookmarkEnd w:id="14"/>
    </w:p>
    <w:p>
      <w:pPr>
        <w:pStyle w:val="4"/>
        <w:pageBreakBefore w:val="0"/>
        <w:numPr>
          <w:ilvl w:val="0"/>
          <w:numId w:val="0"/>
        </w:numPr>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eastAsia="zh-CN"/>
        </w:rPr>
      </w:pPr>
      <w:bookmarkStart w:id="15" w:name="_Toc25769"/>
      <w:r>
        <w:rPr>
          <w:rFonts w:hint="eastAsia" w:ascii="黑体" w:hAnsi="黑体" w:eastAsia="黑体" w:cs="黑体"/>
          <w:b w:val="0"/>
          <w:bCs w:val="0"/>
          <w:lang w:val="en-US" w:eastAsia="zh-CN"/>
        </w:rPr>
        <w:t>一、</w:t>
      </w:r>
      <w:r>
        <w:rPr>
          <w:rFonts w:hint="eastAsia" w:ascii="黑体" w:hAnsi="黑体" w:eastAsia="黑体" w:cs="黑体"/>
          <w:b w:val="0"/>
          <w:bCs w:val="0"/>
          <w:lang w:eastAsia="zh-CN"/>
        </w:rPr>
        <w:t>部门职责</w:t>
      </w:r>
      <w:bookmarkEnd w:id="15"/>
    </w:p>
    <w:p>
      <w:pPr>
        <w:pStyle w:val="36"/>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壤塘县尕多乡人民政府</w:t>
      </w:r>
      <w:r>
        <w:rPr>
          <w:rFonts w:hint="eastAsia" w:ascii="楷体_GB2312" w:hAnsi="黑体" w:eastAsia="楷体_GB2312" w:cs="楷体_GB2312"/>
          <w:b/>
          <w:bCs/>
          <w:kern w:val="2"/>
          <w:sz w:val="32"/>
          <w:szCs w:val="32"/>
        </w:rPr>
        <w:t>职能简介</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1.执行本级人民代表大会的决议和上级国家行政机关的决定和命令，在辖区内发布决定和命令；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2.按照国家宪法和法律，行使对本辖区内的行政及民政事务的管理；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3.制定本单位的经济和社会发展规划，并组织实施；组织和领导行政经济体制改革，协调本行政区域村民委员会与各经济组织之间的关系；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4.组织规划财政管理的各项收入，管理乡范围内的各项财政支出和行政筹集、分配和使用的资金；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5.负责管理对外经济技术交流与合作，开展经济信息预测工作，推广科学技术成果；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6.对本单位各项社会建设进行宏观管理，抓好环境卫生整治工作；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7.加强基本农田水利建设和道路、桥梁等的建设，加强土地的统一管理、统筹规划，协助有关部门做好地质灾害的防治工作;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8.负责农村土地承包管理、农民负担监督管理、农村集体资产财务管理；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9.充分发挥行政职能，组织和开展本单位的文化、教育、卫生、民政和科技等工作；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10.根据经济发展需要，建立经济、技术咨询服务机构，向经济组织和农牧民提供全面服务。 </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16" w:name="_Toc15377200"/>
      <w:bookmarkStart w:id="17" w:name="_Toc15396601"/>
      <w:bookmarkStart w:id="18" w:name="_Toc21418"/>
      <w:r>
        <w:rPr>
          <w:rFonts w:hint="eastAsia" w:ascii="黑体" w:hAnsi="黑体" w:eastAsia="黑体" w:cs="黑体"/>
          <w:b w:val="0"/>
          <w:bCs w:val="0"/>
        </w:rPr>
        <w:t>二、机构设置</w:t>
      </w:r>
      <w:bookmarkEnd w:id="16"/>
      <w:bookmarkEnd w:id="17"/>
      <w:bookmarkEnd w:id="18"/>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本部门独立核算机构5个。</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drawing>
          <wp:anchor distT="0" distB="0" distL="114300" distR="114300" simplePos="0" relativeHeight="251662336" behindDoc="0" locked="0" layoutInCell="1" allowOverlap="1">
            <wp:simplePos x="0" y="0"/>
            <wp:positionH relativeFrom="column">
              <wp:posOffset>146685</wp:posOffset>
            </wp:positionH>
            <wp:positionV relativeFrom="paragraph">
              <wp:posOffset>852805</wp:posOffset>
            </wp:positionV>
            <wp:extent cx="5371465" cy="2552700"/>
            <wp:effectExtent l="4445" t="4445" r="15240"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方正仿宋_GB2312" w:hAnsi="方正仿宋_GB2312" w:eastAsia="方正仿宋_GB2312" w:cs="方正仿宋_GB2312"/>
          <w:sz w:val="32"/>
          <w:szCs w:val="32"/>
          <w:lang w:val="en-US" w:eastAsia="zh-CN"/>
        </w:rPr>
        <w:t>纳入壤塘县尕多乡人民政府2022年度部门决算编制范围的二级预算单位无。</w:t>
      </w:r>
      <w:bookmarkStart w:id="19" w:name="_Toc15377204"/>
      <w:bookmarkStart w:id="20" w:name="_Toc15396602"/>
    </w:p>
    <w:p>
      <w:pPr>
        <w:pStyle w:val="3"/>
        <w:pageBreakBefore w:val="0"/>
        <w:kinsoku/>
        <w:wordWrap/>
        <w:overflowPunct/>
        <w:topLinePunct w:val="0"/>
        <w:bidi w:val="0"/>
        <w:spacing w:before="0" w:after="0" w:line="560" w:lineRule="exact"/>
        <w:ind w:left="0" w:leftChars="0"/>
        <w:jc w:val="center"/>
        <w:rPr>
          <w:rFonts w:hint="eastAsia" w:ascii="方正小标宋_GBK" w:hAnsi="方正小标宋_GBK" w:eastAsia="方正小标宋_GBK" w:cs="方正小标宋_GBK"/>
          <w:b w:val="0"/>
          <w:bCs w:val="0"/>
        </w:rPr>
      </w:pPr>
      <w:bookmarkStart w:id="21" w:name="_Toc30699"/>
      <w:r>
        <w:rPr>
          <w:rFonts w:hint="eastAsia" w:ascii="方正小标宋_GBK" w:hAnsi="方正小标宋_GBK" w:eastAsia="方正小标宋_GBK" w:cs="方正小标宋_GBK"/>
          <w:b w:val="0"/>
          <w:bCs w:val="0"/>
        </w:rPr>
        <w:t xml:space="preserve">第二部分 </w:t>
      </w:r>
      <w:r>
        <w:rPr>
          <w:rFonts w:hint="eastAsia" w:ascii="方正小标宋_GBK" w:hAnsi="方正小标宋_GBK" w:eastAsia="方正小标宋_GBK" w:cs="方正小标宋_GBK"/>
          <w:b w:val="0"/>
          <w:bCs w:val="0"/>
          <w:lang w:val="en-US" w:eastAsia="zh-CN"/>
        </w:rPr>
        <w:t>2022年度</w:t>
      </w:r>
      <w:r>
        <w:rPr>
          <w:rFonts w:hint="eastAsia" w:ascii="方正小标宋_GBK" w:hAnsi="方正小标宋_GBK" w:eastAsia="方正小标宋_GBK" w:cs="方正小标宋_GBK"/>
          <w:b w:val="0"/>
          <w:bCs w:val="0"/>
        </w:rPr>
        <w:t>部门决算情况说明</w:t>
      </w:r>
      <w:bookmarkEnd w:id="19"/>
      <w:bookmarkEnd w:id="20"/>
      <w:bookmarkEnd w:id="21"/>
    </w:p>
    <w:p>
      <w:pPr>
        <w:pStyle w:val="4"/>
        <w:pageBreakBefore w:val="0"/>
        <w:numPr>
          <w:ilvl w:val="0"/>
          <w:numId w:val="0"/>
        </w:numPr>
        <w:kinsoku/>
        <w:wordWrap/>
        <w:overflowPunct/>
        <w:topLinePunct w:val="0"/>
        <w:bidi w:val="0"/>
        <w:spacing w:before="0" w:after="0" w:line="560" w:lineRule="exact"/>
        <w:ind w:left="0" w:leftChars="0"/>
        <w:rPr>
          <w:rFonts w:hint="eastAsia" w:ascii="黑体" w:hAnsi="黑体" w:eastAsia="黑体" w:cs="黑体"/>
          <w:b w:val="0"/>
          <w:bCs w:val="0"/>
        </w:rPr>
      </w:pPr>
      <w:bookmarkStart w:id="22" w:name="_Toc15377205"/>
      <w:bookmarkStart w:id="23" w:name="_Toc15396603"/>
      <w:bookmarkStart w:id="24" w:name="_Toc32328"/>
      <w:r>
        <w:rPr>
          <w:rFonts w:hint="eastAsia" w:ascii="黑体" w:hAnsi="黑体" w:eastAsia="黑体" w:cs="黑体"/>
          <w:b w:val="0"/>
          <w:bCs w:val="0"/>
          <w:lang w:val="en-US" w:eastAsia="zh-CN"/>
        </w:rPr>
        <w:t>一、</w:t>
      </w:r>
      <w:r>
        <w:rPr>
          <w:rFonts w:hint="eastAsia" w:ascii="黑体" w:hAnsi="黑体" w:eastAsia="黑体" w:cs="黑体"/>
          <w:b w:val="0"/>
          <w:bCs w:val="0"/>
        </w:rPr>
        <w:t>收入支出决算总体情况说明</w:t>
      </w:r>
      <w:bookmarkEnd w:id="22"/>
      <w:bookmarkEnd w:id="23"/>
      <w:bookmarkEnd w:id="24"/>
    </w:p>
    <w:p>
      <w:pPr>
        <w:pStyle w:val="36"/>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仿宋_GB2312" w:eastAsia="仿宋_GB2312"/>
          <w:color w:val="auto"/>
          <w:sz w:val="32"/>
          <w:szCs w:val="32"/>
          <w:highlight w:val="none"/>
        </w:rPr>
      </w:pPr>
      <w:r>
        <w:rPr>
          <w:rFonts w:hint="eastAsia" w:ascii="方正仿宋_GB2312" w:hAnsi="方正仿宋_GB2312" w:eastAsia="方正仿宋_GB2312" w:cs="方正仿宋_GB2312"/>
          <w:sz w:val="32"/>
          <w:szCs w:val="32"/>
          <w:lang w:val="en-US" w:eastAsia="zh-CN"/>
        </w:rPr>
        <w:t>2022年度收入2571.74万元、支出2920.96万元,总计5492.7万元。与2021年相比，相比，收入增加739.76万元、支出增加795.25万元，总计增加1535.01万元，增加40.38%。主要原因:1.基础设施建设项目数量及投入资金相对去年增加。2.</w:t>
      </w:r>
      <w:r>
        <w:rPr>
          <w:rFonts w:hint="eastAsia" w:hAnsi="黑体"/>
          <w:kern w:val="2"/>
          <w:sz w:val="32"/>
          <w:szCs w:val="32"/>
          <w:lang w:eastAsia="zh-CN"/>
        </w:rPr>
        <w:t>新增入职工作人员，人员基数扩大，相应人员类经费预算同步增加。</w:t>
      </w:r>
    </w:p>
    <w:p>
      <w:pPr>
        <w:pStyle w:val="4"/>
        <w:pageBreakBefore w:val="0"/>
        <w:numPr>
          <w:ilvl w:val="0"/>
          <w:numId w:val="0"/>
        </w:numPr>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25" w:name="_Toc15377206"/>
      <w:bookmarkStart w:id="26" w:name="_Toc15396604"/>
      <w:bookmarkStart w:id="27" w:name="_Toc31998"/>
      <w:r>
        <w:rPr>
          <w:rFonts w:hint="eastAsia" w:ascii="黑体" w:hAnsi="黑体" w:eastAsia="黑体" w:cs="黑体"/>
          <w:b w:val="0"/>
          <w:bCs w:val="0"/>
          <w:lang w:val="en-US" w:eastAsia="zh-CN"/>
        </w:rPr>
        <w:t>二、</w:t>
      </w:r>
      <w:r>
        <w:rPr>
          <w:rFonts w:hint="eastAsia" w:ascii="黑体" w:hAnsi="黑体" w:eastAsia="黑体" w:cs="黑体"/>
          <w:b w:val="0"/>
          <w:bCs w:val="0"/>
        </w:rPr>
        <w:t>收入决算情况说明</w:t>
      </w:r>
      <w:bookmarkEnd w:id="25"/>
      <w:bookmarkEnd w:id="26"/>
      <w:bookmarkEnd w:id="27"/>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2022年本年收入合计2571.74万元，其中：一般公共预算财政拨款收入2571.74万元，占100%；政府性基金预算财政拨款收入0万元，占0%；上级补助收入0万元，占0%；事业收入0万元，占0%；经营收入0万元，占0%；附属单位上缴收入0万元，占0%；其他收入0万元，占0%。</w:t>
      </w:r>
    </w:p>
    <w:p>
      <w:pPr>
        <w:pStyle w:val="2"/>
        <w:pageBreakBefore w:val="0"/>
        <w:kinsoku/>
        <w:wordWrap/>
        <w:overflowPunct/>
        <w:topLinePunct w:val="0"/>
        <w:bidi w:val="0"/>
        <w:spacing w:line="560" w:lineRule="exact"/>
        <w:ind w:left="0" w:leftChars="0"/>
        <w:rPr>
          <w:rFonts w:ascii="仿宋_GB2312" w:eastAsia="仿宋_GB2312"/>
          <w:color w:val="auto"/>
          <w:sz w:val="32"/>
          <w:szCs w:val="32"/>
          <w:highlight w:val="none"/>
        </w:rPr>
      </w:pPr>
      <w:r>
        <w:drawing>
          <wp:anchor distT="0" distB="0" distL="114300" distR="114300" simplePos="0" relativeHeight="251663360" behindDoc="1" locked="0" layoutInCell="1" allowOverlap="1">
            <wp:simplePos x="0" y="0"/>
            <wp:positionH relativeFrom="column">
              <wp:posOffset>551815</wp:posOffset>
            </wp:positionH>
            <wp:positionV relativeFrom="paragraph">
              <wp:posOffset>55880</wp:posOffset>
            </wp:positionV>
            <wp:extent cx="4695825" cy="2277110"/>
            <wp:effectExtent l="4445" t="4445" r="5080" b="80645"/>
            <wp:wrapTight wrapText="bothSides">
              <wp:wrapPolygon>
                <wp:start x="-20" y="-42"/>
                <wp:lineTo x="-20" y="21461"/>
                <wp:lineTo x="21536" y="21461"/>
                <wp:lineTo x="21536" y="-42"/>
                <wp:lineTo x="-20" y="-42"/>
              </wp:wrapPolygon>
            </wp:wrapTight>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pageBreakBefore w:val="0"/>
        <w:kinsoku/>
        <w:wordWrap/>
        <w:overflowPunct/>
        <w:topLinePunct w:val="0"/>
        <w:bidi w:val="0"/>
        <w:spacing w:line="560" w:lineRule="exact"/>
        <w:ind w:left="0" w:leftChars="0"/>
        <w:rPr>
          <w:rFonts w:ascii="仿宋_GB2312" w:eastAsia="仿宋_GB2312"/>
          <w:color w:val="auto"/>
          <w:sz w:val="32"/>
          <w:szCs w:val="32"/>
          <w:highlight w:val="none"/>
        </w:rPr>
      </w:pP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28" w:name="_Toc18918"/>
      <w:bookmarkStart w:id="29" w:name="_Toc15377207"/>
      <w:bookmarkStart w:id="30" w:name="_Toc15396605"/>
      <w:r>
        <w:rPr>
          <w:rFonts w:hint="eastAsia" w:ascii="黑体" w:hAnsi="黑体" w:eastAsia="黑体" w:cs="黑体"/>
          <w:b w:val="0"/>
          <w:bCs w:val="0"/>
          <w:lang w:eastAsia="zh-CN"/>
        </w:rPr>
        <w:t>三、</w:t>
      </w:r>
      <w:r>
        <w:rPr>
          <w:rFonts w:hint="eastAsia" w:ascii="黑体" w:hAnsi="黑体" w:eastAsia="黑体" w:cs="黑体"/>
          <w:b w:val="0"/>
          <w:bCs w:val="0"/>
        </w:rPr>
        <w:t>支出决算情况说明</w:t>
      </w:r>
      <w:bookmarkEnd w:id="28"/>
      <w:bookmarkEnd w:id="29"/>
      <w:bookmarkEnd w:id="30"/>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2022年本年支出合计2920.96万元，其中：基本支出817.82万元，占28%；项目支出2103.14万元，占72%；上缴上级支出0万元，占0%；经营支出0万元，占0%；对附属单位补助支出0万元，占0%。</w:t>
      </w:r>
    </w:p>
    <w:p>
      <w:pPr>
        <w:pStyle w:val="2"/>
        <w:pageBreakBefore w:val="0"/>
        <w:kinsoku/>
        <w:wordWrap/>
        <w:overflowPunct/>
        <w:topLinePunct w:val="0"/>
        <w:bidi w:val="0"/>
        <w:spacing w:line="560" w:lineRule="exact"/>
        <w:ind w:left="0" w:leftChars="0"/>
        <w:rPr>
          <w:rFonts w:ascii="仿宋_GB2312" w:eastAsia="仿宋_GB2312"/>
          <w:color w:val="auto"/>
          <w:sz w:val="32"/>
          <w:szCs w:val="32"/>
          <w:highlight w:val="none"/>
        </w:rPr>
      </w:pPr>
      <w:r>
        <w:drawing>
          <wp:anchor distT="0" distB="0" distL="114300" distR="114300" simplePos="0" relativeHeight="251663360" behindDoc="1" locked="0" layoutInCell="1" allowOverlap="1">
            <wp:simplePos x="0" y="0"/>
            <wp:positionH relativeFrom="column">
              <wp:posOffset>123825</wp:posOffset>
            </wp:positionH>
            <wp:positionV relativeFrom="paragraph">
              <wp:posOffset>111125</wp:posOffset>
            </wp:positionV>
            <wp:extent cx="4767580" cy="1901190"/>
            <wp:effectExtent l="4445" t="4445" r="9525" b="18415"/>
            <wp:wrapTight wrapText="bothSides">
              <wp:wrapPolygon>
                <wp:start x="-20" y="-51"/>
                <wp:lineTo x="-20" y="21376"/>
                <wp:lineTo x="21557" y="21376"/>
                <wp:lineTo x="21557" y="-51"/>
                <wp:lineTo x="-20" y="-51"/>
              </wp:wrapPolygon>
            </wp:wrapTight>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31" w:name="_Toc15396606"/>
      <w:bookmarkStart w:id="32" w:name="_Toc15377208"/>
      <w:bookmarkStart w:id="33" w:name="_Toc19651"/>
      <w:r>
        <w:rPr>
          <w:rFonts w:hint="eastAsia" w:ascii="黑体" w:hAnsi="黑体" w:eastAsia="黑体" w:cs="黑体"/>
          <w:b w:val="0"/>
          <w:bCs w:val="0"/>
        </w:rPr>
        <w:t>四、财政拨款收入支出决算总体情况说明</w:t>
      </w:r>
      <w:bookmarkEnd w:id="31"/>
      <w:bookmarkEnd w:id="32"/>
      <w:bookmarkEnd w:id="33"/>
    </w:p>
    <w:p>
      <w:pPr>
        <w:pStyle w:val="36"/>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2022年财政拨款收入2571.74万元、支出2920.96万元，总计5492.7万元。与2021年相比，财政拨款收入增加739.76万元、支出增加795.25万元，财政拨款收入增长40.38%，财政拨款支出增长37.41%。</w:t>
      </w:r>
      <w:bookmarkStart w:id="34" w:name="_Toc15377209"/>
      <w:bookmarkStart w:id="35" w:name="_Toc15396607"/>
      <w:r>
        <w:rPr>
          <w:rFonts w:hint="eastAsia" w:ascii="方正仿宋_GB2312" w:hAnsi="方正仿宋_GB2312" w:eastAsia="方正仿宋_GB2312" w:cs="方正仿宋_GB2312"/>
          <w:sz w:val="32"/>
          <w:szCs w:val="32"/>
          <w:lang w:val="en-US" w:eastAsia="zh-CN"/>
        </w:rPr>
        <w:t>主要原因:1.基础设施建设项目数量及投入资金相对去年增加。2.</w:t>
      </w:r>
      <w:r>
        <w:rPr>
          <w:rFonts w:hint="eastAsia" w:hAnsi="黑体"/>
          <w:kern w:val="2"/>
          <w:sz w:val="32"/>
          <w:szCs w:val="32"/>
          <w:lang w:eastAsia="zh-CN"/>
        </w:rPr>
        <w:t>新增入职工作人员，人员基数扩大，相应人员类经费预算同步增加。</w:t>
      </w:r>
    </w:p>
    <w:p>
      <w:pPr>
        <w:pageBreakBefore w:val="0"/>
        <w:kinsoku/>
        <w:wordWrap/>
        <w:overflowPunct/>
        <w:topLinePunct w:val="0"/>
        <w:bidi w:val="0"/>
        <w:spacing w:line="560" w:lineRule="exact"/>
        <w:ind w:left="0" w:leftChars="0" w:firstLine="420" w:firstLineChars="200"/>
        <w:rPr>
          <w:rFonts w:hint="eastAsia" w:ascii="黑体" w:hAnsi="黑体" w:eastAsia="黑体"/>
          <w:color w:val="auto"/>
          <w:sz w:val="32"/>
          <w:szCs w:val="32"/>
          <w:highlight w:val="none"/>
        </w:rPr>
      </w:pPr>
      <w:r>
        <w:drawing>
          <wp:anchor distT="0" distB="0" distL="114300" distR="114300" simplePos="0" relativeHeight="251664384" behindDoc="1" locked="0" layoutInCell="1" allowOverlap="1">
            <wp:simplePos x="0" y="0"/>
            <wp:positionH relativeFrom="column">
              <wp:posOffset>46355</wp:posOffset>
            </wp:positionH>
            <wp:positionV relativeFrom="paragraph">
              <wp:posOffset>41275</wp:posOffset>
            </wp:positionV>
            <wp:extent cx="5454015" cy="2314575"/>
            <wp:effectExtent l="5080" t="4445" r="8255" b="5080"/>
            <wp:wrapTight wrapText="bothSides">
              <wp:wrapPolygon>
                <wp:start x="-20" y="-41"/>
                <wp:lineTo x="-20" y="21470"/>
                <wp:lineTo x="21557" y="21470"/>
                <wp:lineTo x="21557" y="-41"/>
                <wp:lineTo x="-20" y="-41"/>
              </wp:wrapPolygon>
            </wp:wrapTight>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4"/>
        <w:pageBreakBefore w:val="0"/>
        <w:kinsoku/>
        <w:wordWrap/>
        <w:overflowPunct/>
        <w:topLinePunct w:val="0"/>
        <w:bidi w:val="0"/>
        <w:spacing w:before="0" w:after="0" w:line="560" w:lineRule="exact"/>
        <w:ind w:left="0" w:leftChars="0"/>
        <w:rPr>
          <w:rFonts w:hint="eastAsia" w:ascii="黑体" w:hAnsi="黑体" w:eastAsia="黑体" w:cs="黑体"/>
          <w:b w:val="0"/>
          <w:bCs w:val="0"/>
        </w:rPr>
      </w:pPr>
      <w:bookmarkStart w:id="36" w:name="_Toc31072"/>
      <w:r>
        <w:rPr>
          <w:rFonts w:hint="eastAsia" w:ascii="黑体" w:hAnsi="黑体" w:eastAsia="黑体" w:cs="黑体"/>
          <w:b w:val="0"/>
          <w:bCs w:val="0"/>
        </w:rPr>
        <w:t>五、一般公共预算财政拨款支出决算情况说明</w:t>
      </w:r>
      <w:bookmarkEnd w:id="34"/>
      <w:bookmarkEnd w:id="35"/>
      <w:bookmarkEnd w:id="36"/>
    </w:p>
    <w:p>
      <w:pPr>
        <w:pStyle w:val="5"/>
        <w:pageBreakBefore w:val="0"/>
        <w:kinsoku/>
        <w:wordWrap/>
        <w:overflowPunct/>
        <w:topLinePunct w:val="0"/>
        <w:bidi w:val="0"/>
        <w:spacing w:before="0" w:after="0" w:line="560" w:lineRule="exact"/>
        <w:ind w:left="0" w:leftChars="0"/>
        <w:rPr>
          <w:rFonts w:hint="eastAsia" w:ascii="楷体_GB2312" w:hAnsi="楷体_GB2312" w:eastAsia="楷体_GB2312" w:cs="楷体_GB2312"/>
        </w:rPr>
      </w:pPr>
      <w:bookmarkStart w:id="37" w:name="_Toc15377210"/>
      <w:r>
        <w:rPr>
          <w:rFonts w:hint="eastAsia" w:ascii="楷体_GB2312" w:hAnsi="楷体_GB2312" w:eastAsia="楷体_GB2312" w:cs="楷体_GB2312"/>
        </w:rPr>
        <w:t>（一）一般公共预算财政拨款支出决算总体情况</w:t>
      </w:r>
      <w:bookmarkEnd w:id="37"/>
    </w:p>
    <w:p>
      <w:pPr>
        <w:pStyle w:val="36"/>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仿宋_GB2312" w:eastAsia="仿宋_GB2312"/>
          <w:color w:val="auto"/>
          <w:sz w:val="32"/>
          <w:szCs w:val="32"/>
          <w:highlight w:val="none"/>
        </w:rPr>
      </w:pPr>
      <w:r>
        <w:rPr>
          <w:rFonts w:hint="eastAsia" w:ascii="方正仿宋_GB2312" w:hAnsi="方正仿宋_GB2312" w:eastAsia="方正仿宋_GB2312" w:cs="方正仿宋_GB2312"/>
          <w:sz w:val="32"/>
          <w:szCs w:val="32"/>
          <w:lang w:val="en-US" w:eastAsia="zh-CN"/>
        </w:rPr>
        <w:t>2022年一般公共预算财政拨款支出2920.96万元，占本年支出合计的100%。与2021年相比，一般公共预算财政拨款增加813.96万元，增长38.62%。主要原因:1.基础设施建设项目数量及投入资金相对去年增加。2.</w:t>
      </w:r>
      <w:r>
        <w:rPr>
          <w:rFonts w:hint="eastAsia" w:hAnsi="黑体"/>
          <w:kern w:val="2"/>
          <w:sz w:val="32"/>
          <w:szCs w:val="32"/>
          <w:lang w:eastAsia="zh-CN"/>
        </w:rPr>
        <w:t>新增入职工作人员，人员基数扩大，相应人员类经费预算同步增加。</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p>
    <w:p>
      <w:pPr>
        <w:pStyle w:val="8"/>
        <w:pageBreakBefore w:val="0"/>
        <w:kinsoku/>
        <w:wordWrap/>
        <w:overflowPunct/>
        <w:topLinePunct w:val="0"/>
        <w:bidi w:val="0"/>
        <w:spacing w:beforeLines="0" w:line="560" w:lineRule="exact"/>
        <w:ind w:left="0" w:leftChars="0"/>
        <w:rPr>
          <w:rFonts w:ascii="仿宋" w:hAnsi="仿宋" w:eastAsia="仿宋"/>
          <w:color w:val="auto"/>
          <w:sz w:val="32"/>
          <w:szCs w:val="32"/>
          <w:highlight w:val="none"/>
        </w:rPr>
      </w:pPr>
      <w:r>
        <w:drawing>
          <wp:anchor distT="0" distB="0" distL="114300" distR="114300" simplePos="0" relativeHeight="251665408" behindDoc="1" locked="0" layoutInCell="1" allowOverlap="1">
            <wp:simplePos x="0" y="0"/>
            <wp:positionH relativeFrom="column">
              <wp:posOffset>4445</wp:posOffset>
            </wp:positionH>
            <wp:positionV relativeFrom="paragraph">
              <wp:posOffset>-2701925</wp:posOffset>
            </wp:positionV>
            <wp:extent cx="5382260" cy="2974975"/>
            <wp:effectExtent l="4445" t="4445" r="23495" b="11430"/>
            <wp:wrapTight wrapText="bothSides">
              <wp:wrapPolygon>
                <wp:start x="-18" y="-32"/>
                <wp:lineTo x="-18" y="21545"/>
                <wp:lineTo x="21541" y="21545"/>
                <wp:lineTo x="21541" y="-32"/>
                <wp:lineTo x="-18" y="-32"/>
              </wp:wrapPolygon>
            </wp:wrapTight>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5"/>
        <w:pageBreakBefore w:val="0"/>
        <w:kinsoku/>
        <w:wordWrap/>
        <w:overflowPunct/>
        <w:topLinePunct w:val="0"/>
        <w:bidi w:val="0"/>
        <w:spacing w:before="0" w:after="0" w:line="560" w:lineRule="exact"/>
        <w:ind w:left="0" w:leftChars="0"/>
        <w:rPr>
          <w:rFonts w:hint="eastAsia" w:ascii="楷体_GB2312" w:hAnsi="楷体_GB2312" w:eastAsia="楷体_GB2312" w:cs="楷体_GB2312"/>
        </w:rPr>
      </w:pPr>
      <w:bookmarkStart w:id="38" w:name="_Toc15377211"/>
      <w:r>
        <w:rPr>
          <w:rFonts w:hint="eastAsia" w:ascii="楷体_GB2312" w:hAnsi="楷体_GB2312" w:eastAsia="楷体_GB2312" w:cs="楷体_GB2312"/>
        </w:rPr>
        <w:t>（二）一般公共预算财政拨款支出决算结构情况</w:t>
      </w:r>
      <w:bookmarkEnd w:id="38"/>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一般公共服务（类）</w:t>
      </w:r>
      <w:r>
        <w:rPr>
          <w:rFonts w:hint="eastAsia" w:ascii="方正仿宋_GB2312" w:hAnsi="方正仿宋_GB2312" w:eastAsia="方正仿宋_GB2312" w:cs="方正仿宋_GB2312"/>
          <w:sz w:val="32"/>
          <w:szCs w:val="32"/>
          <w:lang w:val="en-US" w:eastAsia="zh-CN"/>
        </w:rPr>
        <w:t>201支出：465.59万元，占15.94%；</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国防支出（类）</w:t>
      </w:r>
      <w:r>
        <w:rPr>
          <w:rFonts w:hint="eastAsia" w:ascii="方正仿宋_GB2312" w:hAnsi="方正仿宋_GB2312" w:eastAsia="方正仿宋_GB2312" w:cs="方正仿宋_GB2312"/>
          <w:sz w:val="32"/>
          <w:szCs w:val="32"/>
          <w:lang w:val="en-US" w:eastAsia="zh-CN"/>
        </w:rPr>
        <w:t>203支出：4.99万元，占0.17%；</w:t>
      </w:r>
      <w:r>
        <w:rPr>
          <w:rFonts w:hint="eastAsia" w:ascii="方正仿宋_GB2312" w:hAnsi="方正仿宋_GB2312" w:eastAsia="方正仿宋_GB2312" w:cs="方正仿宋_GB2312"/>
          <w:b/>
          <w:bCs/>
          <w:sz w:val="32"/>
          <w:szCs w:val="32"/>
          <w:lang w:val="en-US" w:eastAsia="zh-CN"/>
        </w:rPr>
        <w:t>公共安全支出（类）</w:t>
      </w:r>
      <w:r>
        <w:rPr>
          <w:rFonts w:hint="eastAsia" w:ascii="方正仿宋_GB2312" w:hAnsi="方正仿宋_GB2312" w:eastAsia="方正仿宋_GB2312" w:cs="方正仿宋_GB2312"/>
          <w:sz w:val="32"/>
          <w:szCs w:val="32"/>
          <w:lang w:val="en-US" w:eastAsia="zh-CN"/>
        </w:rPr>
        <w:t>204支出：4万元，占0.14%；</w:t>
      </w:r>
      <w:r>
        <w:rPr>
          <w:rFonts w:hint="eastAsia" w:ascii="方正仿宋_GB2312" w:hAnsi="方正仿宋_GB2312" w:eastAsia="方正仿宋_GB2312" w:cs="方正仿宋_GB2312"/>
          <w:b/>
          <w:bCs/>
          <w:sz w:val="32"/>
          <w:szCs w:val="32"/>
          <w:lang w:val="en-US" w:eastAsia="zh-CN"/>
        </w:rPr>
        <w:t>社会保障和就业（类）</w:t>
      </w:r>
      <w:r>
        <w:rPr>
          <w:rFonts w:hint="eastAsia" w:ascii="方正仿宋_GB2312" w:hAnsi="方正仿宋_GB2312" w:eastAsia="方正仿宋_GB2312" w:cs="方正仿宋_GB2312"/>
          <w:sz w:val="32"/>
          <w:szCs w:val="32"/>
          <w:lang w:val="en-US" w:eastAsia="zh-CN"/>
        </w:rPr>
        <w:t>208支出：116.64万元，占3.99%；</w:t>
      </w:r>
      <w:r>
        <w:rPr>
          <w:rFonts w:hint="eastAsia" w:ascii="方正仿宋_GB2312" w:hAnsi="方正仿宋_GB2312" w:eastAsia="方正仿宋_GB2312" w:cs="方正仿宋_GB2312"/>
          <w:b/>
          <w:bCs/>
          <w:sz w:val="32"/>
          <w:szCs w:val="32"/>
          <w:lang w:val="en-US" w:eastAsia="zh-CN"/>
        </w:rPr>
        <w:t>卫生健康（类)</w:t>
      </w:r>
      <w:r>
        <w:rPr>
          <w:rFonts w:hint="eastAsia" w:ascii="方正仿宋_GB2312" w:hAnsi="方正仿宋_GB2312" w:eastAsia="方正仿宋_GB2312" w:cs="方正仿宋_GB2312"/>
          <w:sz w:val="32"/>
          <w:szCs w:val="32"/>
          <w:lang w:val="en-US" w:eastAsia="zh-CN"/>
        </w:rPr>
        <w:t>210支出：48.53万元，占1.66%；</w:t>
      </w:r>
      <w:r>
        <w:rPr>
          <w:rFonts w:hint="eastAsia" w:ascii="方正仿宋_GB2312" w:hAnsi="方正仿宋_GB2312" w:eastAsia="方正仿宋_GB2312" w:cs="方正仿宋_GB2312"/>
          <w:b/>
          <w:bCs/>
          <w:sz w:val="32"/>
          <w:szCs w:val="32"/>
          <w:lang w:val="en-US" w:eastAsia="zh-CN"/>
        </w:rPr>
        <w:t>节能环保（类)</w:t>
      </w:r>
      <w:r>
        <w:rPr>
          <w:rFonts w:hint="eastAsia" w:ascii="方正仿宋_GB2312" w:hAnsi="方正仿宋_GB2312" w:eastAsia="方正仿宋_GB2312" w:cs="方正仿宋_GB2312"/>
          <w:sz w:val="32"/>
          <w:szCs w:val="32"/>
          <w:lang w:val="en-US" w:eastAsia="zh-CN"/>
        </w:rPr>
        <w:t>211支出：5万元，占0.17%；</w:t>
      </w:r>
      <w:r>
        <w:rPr>
          <w:rFonts w:hint="eastAsia" w:ascii="方正仿宋_GB2312" w:hAnsi="方正仿宋_GB2312" w:eastAsia="方正仿宋_GB2312" w:cs="方正仿宋_GB2312"/>
          <w:b/>
          <w:bCs/>
          <w:sz w:val="32"/>
          <w:szCs w:val="32"/>
          <w:lang w:val="en-US" w:eastAsia="zh-CN"/>
        </w:rPr>
        <w:t>农林水（类）</w:t>
      </w:r>
      <w:r>
        <w:rPr>
          <w:rFonts w:hint="eastAsia" w:ascii="方正仿宋_GB2312" w:hAnsi="方正仿宋_GB2312" w:eastAsia="方正仿宋_GB2312" w:cs="方正仿宋_GB2312"/>
          <w:sz w:val="32"/>
          <w:szCs w:val="32"/>
          <w:lang w:val="en-US" w:eastAsia="zh-CN"/>
        </w:rPr>
        <w:t>213支出：2222.69万元，占76.09%</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drawing>
          <wp:anchor distT="0" distB="0" distL="114300" distR="114300" simplePos="0" relativeHeight="251666432" behindDoc="1" locked="0" layoutInCell="1" allowOverlap="1">
            <wp:simplePos x="0" y="0"/>
            <wp:positionH relativeFrom="column">
              <wp:posOffset>-31115</wp:posOffset>
            </wp:positionH>
            <wp:positionV relativeFrom="paragraph">
              <wp:posOffset>1288415</wp:posOffset>
            </wp:positionV>
            <wp:extent cx="5354320" cy="2418715"/>
            <wp:effectExtent l="4445" t="4445" r="13335" b="72390"/>
            <wp:wrapTight wrapText="bothSides">
              <wp:wrapPolygon>
                <wp:start x="-18" y="-40"/>
                <wp:lineTo x="-18" y="21396"/>
                <wp:lineTo x="21577" y="21396"/>
                <wp:lineTo x="21577" y="-40"/>
                <wp:lineTo x="-18" y="-40"/>
              </wp:wrapPolygon>
            </wp:wrapTight>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方正仿宋_GB2312" w:hAnsi="方正仿宋_GB2312" w:eastAsia="方正仿宋_GB2312" w:cs="方正仿宋_GB2312"/>
          <w:b/>
          <w:bCs/>
          <w:sz w:val="32"/>
          <w:szCs w:val="32"/>
          <w:lang w:val="en-US" w:eastAsia="zh-CN"/>
        </w:rPr>
        <w:t>交通运输（类）</w:t>
      </w:r>
      <w:r>
        <w:rPr>
          <w:rFonts w:hint="eastAsia" w:ascii="方正仿宋_GB2312" w:hAnsi="方正仿宋_GB2312" w:eastAsia="方正仿宋_GB2312" w:cs="方正仿宋_GB2312"/>
          <w:sz w:val="32"/>
          <w:szCs w:val="32"/>
          <w:lang w:val="en-US" w:eastAsia="zh-CN"/>
        </w:rPr>
        <w:t>214支出：1万元，占0.03%；</w:t>
      </w:r>
      <w:r>
        <w:rPr>
          <w:rFonts w:hint="eastAsia" w:ascii="方正仿宋_GB2312" w:hAnsi="方正仿宋_GB2312" w:eastAsia="方正仿宋_GB2312" w:cs="方正仿宋_GB2312"/>
          <w:b/>
          <w:bCs/>
          <w:sz w:val="32"/>
          <w:szCs w:val="32"/>
          <w:lang w:val="en-US" w:eastAsia="zh-CN"/>
        </w:rPr>
        <w:t>住房保障支出（类）</w:t>
      </w:r>
      <w:r>
        <w:rPr>
          <w:rFonts w:hint="eastAsia" w:ascii="方正仿宋_GB2312" w:hAnsi="方正仿宋_GB2312" w:eastAsia="方正仿宋_GB2312" w:cs="方正仿宋_GB2312"/>
          <w:sz w:val="32"/>
          <w:szCs w:val="32"/>
          <w:lang w:val="en-US" w:eastAsia="zh-CN"/>
        </w:rPr>
        <w:t>221支出：49.52万元，占1.79%；</w:t>
      </w:r>
      <w:r>
        <w:rPr>
          <w:rFonts w:hint="eastAsia" w:ascii="方正仿宋_GB2312" w:hAnsi="方正仿宋_GB2312" w:eastAsia="方正仿宋_GB2312" w:cs="方正仿宋_GB2312"/>
          <w:b/>
          <w:bCs/>
          <w:sz w:val="32"/>
          <w:szCs w:val="32"/>
          <w:lang w:val="en-US" w:eastAsia="zh-CN"/>
        </w:rPr>
        <w:t>灾害防治及应急管理支出（类）</w:t>
      </w:r>
      <w:r>
        <w:rPr>
          <w:rFonts w:hint="eastAsia" w:ascii="方正仿宋_GB2312" w:hAnsi="方正仿宋_GB2312" w:eastAsia="方正仿宋_GB2312" w:cs="方正仿宋_GB2312"/>
          <w:sz w:val="32"/>
          <w:szCs w:val="32"/>
          <w:lang w:val="en-US" w:eastAsia="zh-CN"/>
        </w:rPr>
        <w:t>224支出：3万元，占0.1%</w:t>
      </w:r>
      <w:bookmarkStart w:id="39" w:name="_Toc15377212"/>
      <w:r>
        <w:rPr>
          <w:rFonts w:hint="eastAsia" w:ascii="方正仿宋_GB2312" w:hAnsi="方正仿宋_GB2312" w:eastAsia="方正仿宋_GB2312" w:cs="方正仿宋_GB2312"/>
          <w:sz w:val="32"/>
          <w:szCs w:val="32"/>
          <w:lang w:val="en-US" w:eastAsia="zh-CN"/>
        </w:rPr>
        <w:t>。</w:t>
      </w:r>
    </w:p>
    <w:p>
      <w:pPr>
        <w:pStyle w:val="8"/>
        <w:pageBreakBefore w:val="0"/>
        <w:kinsoku/>
        <w:wordWrap/>
        <w:overflowPunct/>
        <w:topLinePunct w:val="0"/>
        <w:bidi w:val="0"/>
        <w:spacing w:beforeLines="0" w:line="560" w:lineRule="exact"/>
        <w:ind w:left="0" w:leftChars="0"/>
        <w:rPr>
          <w:rFonts w:hint="eastAsia" w:ascii="仿宋" w:hAnsi="仿宋" w:eastAsia="仿宋"/>
          <w:color w:val="000000" w:themeColor="text1"/>
          <w:sz w:val="32"/>
          <w:szCs w:val="32"/>
          <w:highlight w:val="none"/>
          <w:lang w:val="en-US" w:eastAsia="zh-CN"/>
          <w14:textFill>
            <w14:solidFill>
              <w14:schemeClr w14:val="tx1"/>
            </w14:solidFill>
          </w14:textFill>
        </w:rPr>
      </w:pPr>
    </w:p>
    <w:p>
      <w:pPr>
        <w:pageBreakBefore w:val="0"/>
        <w:kinsoku/>
        <w:wordWrap/>
        <w:overflowPunct/>
        <w:topLinePunct w:val="0"/>
        <w:bidi w:val="0"/>
        <w:spacing w:line="560" w:lineRule="exact"/>
        <w:ind w:left="0" w:leftChars="0"/>
        <w:outlineLvl w:val="9"/>
        <w:rPr>
          <w:rFonts w:hint="eastAsia" w:ascii="仿宋" w:hAnsi="仿宋" w:eastAsia="仿宋"/>
          <w:b/>
          <w:color w:val="auto"/>
          <w:sz w:val="32"/>
          <w:szCs w:val="32"/>
          <w:highlight w:val="none"/>
        </w:rPr>
      </w:pPr>
    </w:p>
    <w:p>
      <w:pPr>
        <w:pStyle w:val="5"/>
        <w:pageBreakBefore w:val="0"/>
        <w:kinsoku/>
        <w:wordWrap/>
        <w:overflowPunct/>
        <w:topLinePunct w:val="0"/>
        <w:bidi w:val="0"/>
        <w:spacing w:before="0" w:after="0" w:line="560" w:lineRule="exact"/>
        <w:ind w:left="0" w:leftChars="0"/>
        <w:rPr>
          <w:rFonts w:hint="eastAsia" w:ascii="楷体_GB2312" w:hAnsi="楷体_GB2312" w:eastAsia="楷体_GB2312" w:cs="楷体_GB2312"/>
        </w:rPr>
      </w:pPr>
      <w:r>
        <w:rPr>
          <w:rFonts w:hint="eastAsia" w:ascii="楷体_GB2312" w:hAnsi="楷体_GB2312" w:eastAsia="楷体_GB2312" w:cs="楷体_GB2312"/>
        </w:rPr>
        <w:t>（三）一般公共预算财政拨款支出决算具体情况</w:t>
      </w:r>
      <w:bookmarkEnd w:id="39"/>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40" w:name="_Toc15377213"/>
      <w:bookmarkStart w:id="41" w:name="_Toc15377444"/>
      <w:bookmarkStart w:id="42" w:name="_Toc15378460"/>
      <w:r>
        <w:rPr>
          <w:rFonts w:hint="eastAsia" w:ascii="方正仿宋_GB2312" w:hAnsi="方正仿宋_GB2312" w:eastAsia="方正仿宋_GB2312" w:cs="方正仿宋_GB2312"/>
          <w:b/>
          <w:bCs/>
          <w:sz w:val="32"/>
          <w:szCs w:val="32"/>
          <w:lang w:val="en-US" w:eastAsia="zh-CN"/>
        </w:rPr>
        <w:t>2022年一般公共预算支出决算数为2920.96万元</w:t>
      </w:r>
      <w:r>
        <w:rPr>
          <w:rFonts w:hint="eastAsia" w:ascii="方正仿宋_GB2312" w:hAnsi="方正仿宋_GB2312" w:eastAsia="方正仿宋_GB2312" w:cs="方正仿宋_GB2312"/>
          <w:b/>
          <w:bCs/>
          <w:sz w:val="32"/>
          <w:szCs w:val="32"/>
          <w:lang w:val="en-US" w:eastAsia="zh-CN"/>
        </w:rPr>
        <w:t>，完成预算100%。</w:t>
      </w:r>
      <w:r>
        <w:rPr>
          <w:rFonts w:hint="eastAsia" w:ascii="方正仿宋_GB2312" w:hAnsi="方正仿宋_GB2312" w:eastAsia="方正仿宋_GB2312" w:cs="方正仿宋_GB2312"/>
          <w:sz w:val="32"/>
          <w:szCs w:val="32"/>
          <w:lang w:val="en-US" w:eastAsia="zh-CN"/>
        </w:rPr>
        <w:t>其中：</w:t>
      </w:r>
      <w:bookmarkEnd w:id="40"/>
      <w:bookmarkEnd w:id="41"/>
      <w:bookmarkEnd w:id="42"/>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1.一般公共服务（类）201</w:t>
      </w:r>
      <w:r>
        <w:rPr>
          <w:rFonts w:hint="eastAsia" w:ascii="方正仿宋_GB2312" w:hAnsi="方正仿宋_GB2312" w:eastAsia="方正仿宋_GB2312" w:cs="方正仿宋_GB2312"/>
          <w:sz w:val="32"/>
          <w:szCs w:val="32"/>
          <w:lang w:val="en-US" w:eastAsia="zh-CN"/>
        </w:rPr>
        <w:t>：其中（20101款）人大事务中的（2010101项）行政运行17.07万元、（2010104项）人大会议4.93万元完成预算100%，预算数与决算数持平，完成预算100%，预算数与决算数持平。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（20103款）政府办公厅（室）及相关机构事务中的（2010301项）行政运行306.05万元、(2010302项） 一般行政管理事务1.58万元、(2010399项）其他政府办公厅（室）及相关机构事务支出4.12万元，完成预算100%，预算数与决算数持平。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（20106款）财政事务中的（2010650项）事业运行28.48万元。（2010699项）其他财政事务支出0.7万元，完成预算100%，预算数与决算数持平。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（20129款）群众团体事务中的（2012999项）其他群众团体事务支出2万元，完成预算100%，预算数与决算数持平。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（20131款）党委办公厅（室）及相关机构事务中的（2013101项）行政运行100.66万元，完成预算100%，预算数与决算数持平。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2.国防支出（类）203</w:t>
      </w:r>
      <w:r>
        <w:rPr>
          <w:rFonts w:hint="eastAsia" w:ascii="方正仿宋_GB2312" w:hAnsi="方正仿宋_GB2312" w:eastAsia="方正仿宋_GB2312" w:cs="方正仿宋_GB2312"/>
          <w:sz w:val="32"/>
          <w:szCs w:val="32"/>
          <w:lang w:val="en-US" w:eastAsia="zh-CN"/>
        </w:rPr>
        <w:t>:其中（20306款）国防动员中的（2030607项）民兵4.99万元。完成预算100%，预算数与决算数持平。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3.公共安全支出（类）204</w:t>
      </w:r>
      <w:r>
        <w:rPr>
          <w:rFonts w:hint="eastAsia" w:ascii="方正仿宋_GB2312" w:hAnsi="方正仿宋_GB2312" w:eastAsia="方正仿宋_GB2312" w:cs="方正仿宋_GB2312"/>
          <w:sz w:val="32"/>
          <w:szCs w:val="32"/>
          <w:lang w:val="en-US" w:eastAsia="zh-CN"/>
        </w:rPr>
        <w:t>: 其中（20499款）其他公共安全支出中的（2049999项）其他公共安全支出4万元，完成预算100%，预算数与决算数持平。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4.社会保障和就业（类）208</w:t>
      </w:r>
      <w:r>
        <w:rPr>
          <w:rFonts w:hint="eastAsia" w:ascii="方正仿宋_GB2312" w:hAnsi="方正仿宋_GB2312" w:eastAsia="方正仿宋_GB2312" w:cs="方正仿宋_GB2312"/>
          <w:sz w:val="32"/>
          <w:szCs w:val="32"/>
          <w:lang w:val="en-US" w:eastAsia="zh-CN"/>
        </w:rPr>
        <w:t>:其中（20802款）民政管理事务中的（2080208项）基层政权建设和社区治理39.19万元，完成预算100%，预算数与决算数持平。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行政事业单位离退休中的（2080505项）机关事业单位基本养老保险缴费支出51.63万元、（2080506项）机关事业单位职业年金缴费支出25.82万元，完成预算100%，预算数与决算数持平。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5.卫生健康支出（类）210</w:t>
      </w:r>
      <w:r>
        <w:rPr>
          <w:rFonts w:hint="eastAsia" w:ascii="方正仿宋_GB2312" w:hAnsi="方正仿宋_GB2312" w:eastAsia="方正仿宋_GB2312" w:cs="方正仿宋_GB2312"/>
          <w:sz w:val="32"/>
          <w:szCs w:val="32"/>
          <w:lang w:val="en-US" w:eastAsia="zh-CN"/>
        </w:rPr>
        <w:t>:其中（210004款）公共卫生中的（2100409项）重大公共卫生服务15.48万元，（21011款）行政事业单位医疗中的（2101101项）行政单位医疗15.89万元、（2101102项）事业单位医疗10.75万元、（2101103项）公务员医疗补助4.04万元，（2101199项）其他行政事业单位医疗支出2.37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6.节能环保支出（类）211</w:t>
      </w:r>
      <w:r>
        <w:rPr>
          <w:rFonts w:hint="eastAsia" w:ascii="方正仿宋_GB2312" w:hAnsi="方正仿宋_GB2312" w:eastAsia="方正仿宋_GB2312" w:cs="方正仿宋_GB2312"/>
          <w:sz w:val="32"/>
          <w:szCs w:val="32"/>
          <w:lang w:val="en-US" w:eastAsia="zh-CN"/>
        </w:rPr>
        <w:t>：其中（21104款）自然生态保护中的（2110402项）农村环境保护5万元，完成预算100%，预算数与决算数持平。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7.农林水支出（类）213</w:t>
      </w:r>
      <w:r>
        <w:rPr>
          <w:rFonts w:hint="eastAsia" w:ascii="方正仿宋_GB2312" w:hAnsi="方正仿宋_GB2312" w:eastAsia="方正仿宋_GB2312" w:cs="方正仿宋_GB2312"/>
          <w:sz w:val="32"/>
          <w:szCs w:val="32"/>
          <w:lang w:val="en-US" w:eastAsia="zh-CN"/>
        </w:rPr>
        <w:t>:其中（21301款）农业农村中的（2130104项）事业运行205.54万元、（2130108项）病虫害控制1.34万元、（2130135项）农业资源保护修复与利用0.8万元；（2130199项）其他农业农村支出0.34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（21302款）林业和草原中的（2130234项）林业草原防灾减灾2万元，完成预算100%，预算数与决算数持平。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（21303款）水利中的（2130314项）防汛2万元，完成预算100%，预算数与决算数持平。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（21305款）中的（2130504项）农村基础设施建设636.69万元；（2130505项）生产发展989.22万元；（2130599项）支出158.22万元，完成预算100%，预算数与决算数持平。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（21307款）农村综合改革中的（2130705项）对村民委员会和村党支部的补助156.14万元；（2130707项）农村综合改革示范试点补助70.4万元，完成预算100%，预算数与决算数持平。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8.交通运输支出（类）214</w:t>
      </w:r>
      <w:r>
        <w:rPr>
          <w:rFonts w:hint="eastAsia" w:ascii="方正仿宋_GB2312" w:hAnsi="方正仿宋_GB2312" w:eastAsia="方正仿宋_GB2312" w:cs="方正仿宋_GB2312"/>
          <w:sz w:val="32"/>
          <w:szCs w:val="32"/>
          <w:lang w:val="en-US" w:eastAsia="zh-CN"/>
        </w:rPr>
        <w:t>：其中（21401款）公路水路运输中的（2140110项）公路和运输安全1万元。完成预算100%，预算数与决算数持平。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9.住房保障支出（类）221</w:t>
      </w:r>
      <w:r>
        <w:rPr>
          <w:rFonts w:hint="eastAsia" w:ascii="方正仿宋_GB2312" w:hAnsi="方正仿宋_GB2312" w:eastAsia="方正仿宋_GB2312" w:cs="方正仿宋_GB2312"/>
          <w:sz w:val="32"/>
          <w:szCs w:val="32"/>
          <w:lang w:val="en-US" w:eastAsia="zh-CN"/>
        </w:rPr>
        <w:t>:其中（22101款）住房改革支出中的（2210201项） 住房公积金49.52万元，完成预算100%，预算数与决算数持平。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10.灾害防治及应急管理支出（类）224</w:t>
      </w:r>
      <w:r>
        <w:rPr>
          <w:rFonts w:hint="eastAsia" w:ascii="方正仿宋_GB2312" w:hAnsi="方正仿宋_GB2312" w:eastAsia="方正仿宋_GB2312" w:cs="方正仿宋_GB2312"/>
          <w:sz w:val="32"/>
          <w:szCs w:val="32"/>
          <w:lang w:val="en-US" w:eastAsia="zh-CN"/>
        </w:rPr>
        <w:t>:其中（22401款）应急管理事务中的（2240108项） 应急救援3万元，完成预算100%，预算数与决算数持平。</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43" w:name="_Toc15396608"/>
      <w:bookmarkStart w:id="44" w:name="_Toc15377214"/>
      <w:bookmarkStart w:id="45" w:name="_Toc15899"/>
      <w:r>
        <w:rPr>
          <w:rFonts w:hint="eastAsia" w:ascii="黑体" w:hAnsi="黑体" w:eastAsia="黑体" w:cs="黑体"/>
          <w:b w:val="0"/>
          <w:bCs w:val="0"/>
        </w:rPr>
        <w:t>六、一般公共预算财政拨款基本支出决算情况说明</w:t>
      </w:r>
      <w:bookmarkEnd w:id="43"/>
      <w:bookmarkEnd w:id="44"/>
      <w:bookmarkEnd w:id="45"/>
      <w:r>
        <w:rPr>
          <w:rFonts w:hint="eastAsia" w:ascii="黑体" w:hAnsi="黑体" w:eastAsia="黑体" w:cs="黑体"/>
          <w:b w:val="0"/>
          <w:bCs w:val="0"/>
        </w:rPr>
        <w:tab/>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2022年一般公共预算财政拨款基本支出817.82万元，其中：</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人员经费740.09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公用经费77.73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46" w:name="_Toc15396609"/>
      <w:bookmarkStart w:id="47" w:name="_Toc4517"/>
      <w:bookmarkStart w:id="48" w:name="_Toc15377215"/>
      <w:r>
        <w:rPr>
          <w:rFonts w:hint="eastAsia" w:ascii="黑体" w:hAnsi="黑体" w:eastAsia="黑体" w:cs="黑体"/>
          <w:b w:val="0"/>
          <w:bCs w:val="0"/>
        </w:rPr>
        <w:t>七、财政拨款“三公”经费支出决算情况说明</w:t>
      </w:r>
      <w:bookmarkEnd w:id="46"/>
      <w:bookmarkEnd w:id="47"/>
      <w:bookmarkEnd w:id="48"/>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bookmarkStart w:id="49" w:name="_Toc15377216"/>
      <w:r>
        <w:rPr>
          <w:rFonts w:hint="eastAsia" w:ascii="楷体_GB2312" w:hAnsi="楷体_GB2312" w:eastAsia="楷体_GB2312" w:cs="楷体_GB2312"/>
        </w:rPr>
        <w:t>（一）“三公”经费财政拨款支出决算总体情况说明</w:t>
      </w:r>
      <w:bookmarkEnd w:id="49"/>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2022年“三公”经费财政拨款支出决算为5万元，完成预算0%，较上年减少23.76万元，下降82.61%。预算数与决算数持平。</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bookmarkStart w:id="50" w:name="_Toc15377217"/>
      <w:r>
        <w:rPr>
          <w:rFonts w:hint="eastAsia" w:ascii="楷体_GB2312" w:hAnsi="楷体_GB2312" w:eastAsia="楷体_GB2312" w:cs="楷体_GB2312"/>
        </w:rPr>
        <w:t>（二）“三公”经费财政拨款支出决算具体情况说明</w:t>
      </w:r>
      <w:bookmarkEnd w:id="50"/>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2022年“三公”经费财政拨款支出决算中，因公出国（境）费支出决算5万元，占100%；公务用车购置及运行维护费支出决算0万元，占0%；公务接待费支出决算0万元，占0%。具体情况如下：</w:t>
      </w:r>
    </w:p>
    <w:p>
      <w:pPr>
        <w:pStyle w:val="8"/>
        <w:pageBreakBefore w:val="0"/>
        <w:kinsoku/>
        <w:wordWrap/>
        <w:overflowPunct/>
        <w:topLinePunct w:val="0"/>
        <w:bidi w:val="0"/>
        <w:spacing w:beforeLines="0" w:line="560" w:lineRule="exact"/>
        <w:ind w:left="0" w:leftChars="0"/>
        <w:rPr>
          <w:rFonts w:hint="eastAsia"/>
          <w:lang w:val="en-US" w:eastAsia="zh-CN"/>
        </w:rPr>
      </w:pPr>
      <w:r>
        <w:rPr>
          <w:rFonts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161925</wp:posOffset>
            </wp:positionH>
            <wp:positionV relativeFrom="paragraph">
              <wp:posOffset>187325</wp:posOffset>
            </wp:positionV>
            <wp:extent cx="5268595" cy="2978150"/>
            <wp:effectExtent l="4445" t="4445" r="22860" b="825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ageBreakBefore w:val="0"/>
        <w:kinsoku/>
        <w:wordWrap/>
        <w:overflowPunct/>
        <w:topLinePunct w:val="0"/>
        <w:bidi w:val="0"/>
        <w:spacing w:line="560" w:lineRule="exact"/>
        <w:ind w:left="0" w:leftChars="0" w:firstLine="640"/>
        <w:rPr>
          <w:rFonts w:ascii="仿宋_GB2312" w:eastAsia="仿宋_GB2312"/>
          <w:b/>
          <w:color w:val="auto"/>
          <w:sz w:val="32"/>
          <w:szCs w:val="32"/>
          <w:highlight w:val="none"/>
        </w:rPr>
      </w:pPr>
    </w:p>
    <w:p>
      <w:pPr>
        <w:pStyle w:val="8"/>
        <w:pageBreakBefore w:val="0"/>
        <w:kinsoku/>
        <w:wordWrap/>
        <w:overflowPunct/>
        <w:topLinePunct w:val="0"/>
        <w:bidi w:val="0"/>
        <w:spacing w:beforeLines="0" w:line="560" w:lineRule="exact"/>
        <w:ind w:left="0" w:leftChars="0"/>
        <w:rPr>
          <w:rFonts w:ascii="仿宋_GB2312" w:eastAsia="仿宋_GB2312"/>
          <w:b/>
          <w:color w:val="auto"/>
          <w:sz w:val="32"/>
          <w:szCs w:val="32"/>
          <w:highlight w:val="none"/>
        </w:rPr>
      </w:pPr>
    </w:p>
    <w:p>
      <w:pPr>
        <w:pStyle w:val="8"/>
        <w:pageBreakBefore w:val="0"/>
        <w:kinsoku/>
        <w:wordWrap/>
        <w:overflowPunct/>
        <w:topLinePunct w:val="0"/>
        <w:bidi w:val="0"/>
        <w:spacing w:beforeLines="0" w:line="560" w:lineRule="exact"/>
        <w:ind w:left="0" w:leftChars="0"/>
        <w:rPr>
          <w:rFonts w:ascii="仿宋_GB2312" w:eastAsia="仿宋_GB2312"/>
          <w:b/>
          <w:color w:val="auto"/>
          <w:sz w:val="32"/>
          <w:szCs w:val="32"/>
          <w:highlight w:val="none"/>
        </w:rPr>
      </w:pPr>
    </w:p>
    <w:p>
      <w:pPr>
        <w:pStyle w:val="8"/>
        <w:pageBreakBefore w:val="0"/>
        <w:kinsoku/>
        <w:wordWrap/>
        <w:overflowPunct/>
        <w:topLinePunct w:val="0"/>
        <w:bidi w:val="0"/>
        <w:spacing w:beforeLines="0" w:line="560" w:lineRule="exact"/>
        <w:ind w:left="0" w:leftChars="0"/>
        <w:rPr>
          <w:rFonts w:ascii="仿宋_GB2312" w:eastAsia="仿宋_GB2312"/>
          <w:b/>
          <w:color w:val="auto"/>
          <w:sz w:val="32"/>
          <w:szCs w:val="32"/>
          <w:highlight w:val="none"/>
        </w:rPr>
      </w:pPr>
    </w:p>
    <w:p>
      <w:pPr>
        <w:pageBreakBefore w:val="0"/>
        <w:kinsoku/>
        <w:wordWrap/>
        <w:overflowPunct/>
        <w:topLinePunct w:val="0"/>
        <w:bidi w:val="0"/>
        <w:spacing w:line="560" w:lineRule="exact"/>
        <w:ind w:left="0" w:leftChars="0" w:firstLine="640"/>
        <w:rPr>
          <w:rFonts w:ascii="仿宋_GB2312" w:eastAsia="仿宋_GB2312"/>
          <w:b/>
          <w:color w:val="auto"/>
          <w:sz w:val="32"/>
          <w:szCs w:val="32"/>
          <w:highlight w:val="none"/>
        </w:rPr>
      </w:pPr>
    </w:p>
    <w:p>
      <w:pPr>
        <w:pageBreakBefore w:val="0"/>
        <w:kinsoku/>
        <w:wordWrap/>
        <w:overflowPunct/>
        <w:topLinePunct w:val="0"/>
        <w:bidi w:val="0"/>
        <w:spacing w:line="560" w:lineRule="exact"/>
        <w:ind w:left="0" w:leftChars="0" w:firstLine="640"/>
        <w:rPr>
          <w:rFonts w:ascii="仿宋_GB2312" w:eastAsia="仿宋_GB2312"/>
          <w:b/>
          <w:color w:val="auto"/>
          <w:sz w:val="32"/>
          <w:szCs w:val="32"/>
          <w:highlight w:val="none"/>
        </w:rPr>
      </w:pPr>
    </w:p>
    <w:p>
      <w:pPr>
        <w:pageBreakBefore w:val="0"/>
        <w:kinsoku/>
        <w:wordWrap/>
        <w:overflowPunct/>
        <w:topLinePunct w:val="0"/>
        <w:bidi w:val="0"/>
        <w:spacing w:line="560" w:lineRule="exact"/>
        <w:ind w:left="0" w:leftChars="0" w:firstLine="640"/>
        <w:rPr>
          <w:rFonts w:ascii="仿宋_GB2312" w:eastAsia="仿宋_GB2312"/>
          <w:b/>
          <w:color w:val="auto"/>
          <w:sz w:val="32"/>
          <w:szCs w:val="32"/>
          <w:highlight w:val="none"/>
        </w:rPr>
      </w:pPr>
    </w:p>
    <w:p>
      <w:pPr>
        <w:pageBreakBefore w:val="0"/>
        <w:kinsoku/>
        <w:wordWrap/>
        <w:overflowPunct/>
        <w:topLinePunct w:val="0"/>
        <w:bidi w:val="0"/>
        <w:spacing w:line="560" w:lineRule="exact"/>
        <w:ind w:left="0" w:leftChars="0" w:firstLine="640"/>
        <w:rPr>
          <w:rFonts w:ascii="仿宋_GB2312" w:eastAsia="仿宋_GB2312"/>
          <w:b/>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51" w:name="_Toc15377218"/>
      <w:bookmarkStart w:id="52" w:name="_Toc15396610"/>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b/>
          <w:bCs/>
          <w:sz w:val="32"/>
          <w:szCs w:val="32"/>
          <w:lang w:val="en-US" w:eastAsia="zh-CN"/>
        </w:rPr>
        <w:t>因公出国（境）经费支出</w:t>
      </w:r>
      <w:r>
        <w:rPr>
          <w:rFonts w:hint="eastAsia" w:ascii="方正仿宋_GB2312" w:hAnsi="方正仿宋_GB2312" w:eastAsia="方正仿宋_GB2312" w:cs="方正仿宋_GB2312"/>
          <w:sz w:val="32"/>
          <w:szCs w:val="32"/>
          <w:lang w:val="en-US" w:eastAsia="zh-CN"/>
        </w:rPr>
        <w:t>0万元，完成预算0%。全年安排因公出国（境）团组0次，出国（境）0人。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b/>
          <w:bCs/>
          <w:sz w:val="32"/>
          <w:szCs w:val="32"/>
          <w:lang w:val="en-US" w:eastAsia="zh-CN"/>
        </w:rPr>
        <w:t>公务用车购置及运行维护费支出</w:t>
      </w:r>
      <w:r>
        <w:rPr>
          <w:rFonts w:hint="eastAsia" w:ascii="方正仿宋_GB2312" w:hAnsi="方正仿宋_GB2312" w:eastAsia="方正仿宋_GB2312" w:cs="方正仿宋_GB2312"/>
          <w:sz w:val="32"/>
          <w:szCs w:val="32"/>
          <w:lang w:val="en-US" w:eastAsia="zh-CN"/>
        </w:rPr>
        <w:t>5万元,完成预算100%。公务用车购置及运行维护费支出决算比2021年减少23.76万元，减少82.61%。主要原因：去年本单位新购入一台公车，产生公务用车购置费。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其中：</w:t>
      </w:r>
      <w:r>
        <w:rPr>
          <w:rFonts w:hint="eastAsia" w:ascii="方正仿宋_GB2312" w:hAnsi="方正仿宋_GB2312" w:eastAsia="方正仿宋_GB2312" w:cs="方正仿宋_GB2312"/>
          <w:b/>
          <w:bCs/>
          <w:sz w:val="32"/>
          <w:szCs w:val="32"/>
          <w:lang w:val="en-US" w:eastAsia="zh-CN"/>
        </w:rPr>
        <w:t>公务用车购置支出</w:t>
      </w:r>
      <w:r>
        <w:rPr>
          <w:rFonts w:hint="eastAsia" w:ascii="方正仿宋_GB2312" w:hAnsi="方正仿宋_GB2312" w:eastAsia="方正仿宋_GB2312" w:cs="方正仿宋_GB2312"/>
          <w:sz w:val="32"/>
          <w:szCs w:val="32"/>
          <w:lang w:val="en-US" w:eastAsia="zh-CN"/>
        </w:rPr>
        <w:t>0万元。全年按规定更新购置公务用车0辆，其中：轿车0辆、金额0万元，越野车1辆、金额0万元，载客汽车0辆、金额0万元。2022年12月底，共有</w:t>
      </w:r>
      <w:r>
        <w:rPr>
          <w:rFonts w:hint="eastAsia" w:ascii="方正仿宋_GB2312" w:hAnsi="方正仿宋_GB2312" w:eastAsia="方正仿宋_GB2312" w:cs="方正仿宋_GB2312"/>
          <w:b w:val="0"/>
          <w:bCs w:val="0"/>
          <w:sz w:val="32"/>
          <w:szCs w:val="32"/>
          <w:lang w:val="en-US" w:eastAsia="zh-CN"/>
        </w:rPr>
        <w:t>公务用车</w:t>
      </w:r>
      <w:r>
        <w:rPr>
          <w:rFonts w:hint="eastAsia" w:ascii="方正仿宋_GB2312" w:hAnsi="方正仿宋_GB2312" w:eastAsia="方正仿宋_GB2312" w:cs="方正仿宋_GB2312"/>
          <w:sz w:val="32"/>
          <w:szCs w:val="32"/>
          <w:lang w:val="en-US" w:eastAsia="zh-CN"/>
        </w:rPr>
        <w:t>2辆，其中：轿车0辆、越野车1辆、清洁车1辆、载客汽车0辆。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公务用车运行维护费支出</w:t>
      </w:r>
      <w:r>
        <w:rPr>
          <w:rFonts w:hint="eastAsia" w:ascii="方正仿宋_GB2312" w:hAnsi="方正仿宋_GB2312" w:eastAsia="方正仿宋_GB2312" w:cs="方正仿宋_GB2312"/>
          <w:sz w:val="32"/>
          <w:szCs w:val="32"/>
          <w:lang w:val="en-US" w:eastAsia="zh-CN"/>
        </w:rPr>
        <w:t>5万元。主要用于日常开展下村宣讲、开展群众工作、上县所需公务用车的燃料费，日常公务用车维修费及保险费等支出。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公务接待费支出</w:t>
      </w:r>
      <w:r>
        <w:rPr>
          <w:rFonts w:hint="eastAsia" w:ascii="方正仿宋_GB2312" w:hAnsi="方正仿宋_GB2312" w:eastAsia="方正仿宋_GB2312" w:cs="方正仿宋_GB2312"/>
          <w:sz w:val="32"/>
          <w:szCs w:val="32"/>
          <w:lang w:val="en-US" w:eastAsia="zh-CN"/>
        </w:rPr>
        <w:t>0万元，完成预算0%。公务接待费支出决算比2021年无变化。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国内公务接待支出</w:t>
      </w:r>
      <w:r>
        <w:rPr>
          <w:rFonts w:hint="eastAsia" w:ascii="方正仿宋_GB2312" w:hAnsi="方正仿宋_GB2312" w:eastAsia="方正仿宋_GB2312" w:cs="方正仿宋_GB2312"/>
          <w:sz w:val="32"/>
          <w:szCs w:val="32"/>
          <w:lang w:val="en-US" w:eastAsia="zh-CN"/>
        </w:rPr>
        <w:t>0万元。国内公务接待0批次，0人次（不包括陪同人员），共计支出0万元。</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外事接待支出</w:t>
      </w:r>
      <w:r>
        <w:rPr>
          <w:rFonts w:hint="eastAsia" w:ascii="方正仿宋_GB2312" w:hAnsi="方正仿宋_GB2312" w:eastAsia="方正仿宋_GB2312" w:cs="方正仿宋_GB2312"/>
          <w:sz w:val="32"/>
          <w:szCs w:val="32"/>
          <w:lang w:val="en-US" w:eastAsia="zh-CN"/>
        </w:rPr>
        <w:t>0万元，外事接待0批次，0人，共计支出0万元。</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53" w:name="_Toc28037"/>
      <w:r>
        <w:rPr>
          <w:rFonts w:hint="eastAsia" w:ascii="黑体" w:hAnsi="黑体" w:eastAsia="黑体" w:cs="黑体"/>
          <w:b w:val="0"/>
          <w:bCs w:val="0"/>
        </w:rPr>
        <w:t>八、政府性基金预算支出决算情况说明</w:t>
      </w:r>
      <w:bookmarkEnd w:id="51"/>
      <w:bookmarkEnd w:id="52"/>
      <w:bookmarkEnd w:id="53"/>
    </w:p>
    <w:p>
      <w:pPr>
        <w:pageBreakBefore w:val="0"/>
        <w:kinsoku/>
        <w:wordWrap/>
        <w:overflowPunct/>
        <w:topLinePunct w:val="0"/>
        <w:bidi w:val="0"/>
        <w:spacing w:line="560" w:lineRule="exact"/>
        <w:ind w:left="0" w:leftChars="0"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54" w:name="_Toc15377219"/>
      <w:bookmarkStart w:id="55" w:name="_Toc25434"/>
      <w:bookmarkStart w:id="56" w:name="_Toc15396611"/>
      <w:r>
        <w:rPr>
          <w:rFonts w:hint="eastAsia" w:ascii="黑体" w:hAnsi="黑体" w:eastAsia="黑体" w:cs="黑体"/>
          <w:b w:val="0"/>
          <w:bCs w:val="0"/>
          <w:lang w:eastAsia="zh-CN"/>
        </w:rPr>
        <w:t>九、</w:t>
      </w:r>
      <w:r>
        <w:rPr>
          <w:rFonts w:hint="eastAsia" w:ascii="黑体" w:hAnsi="黑体" w:eastAsia="黑体" w:cs="黑体"/>
          <w:b w:val="0"/>
          <w:bCs w:val="0"/>
        </w:rPr>
        <w:t>国有资本经营预算支出决算情况说明</w:t>
      </w:r>
      <w:bookmarkEnd w:id="54"/>
      <w:bookmarkEnd w:id="55"/>
      <w:bookmarkEnd w:id="56"/>
    </w:p>
    <w:p>
      <w:pPr>
        <w:pageBreakBefore w:val="0"/>
        <w:kinsoku/>
        <w:wordWrap/>
        <w:overflowPunct/>
        <w:topLinePunct w:val="0"/>
        <w:bidi w:val="0"/>
        <w:spacing w:line="560" w:lineRule="exact"/>
        <w:ind w:left="0" w:leftChars="0"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57" w:name="_Toc32429"/>
      <w:bookmarkStart w:id="58" w:name="_Toc15377221"/>
      <w:bookmarkStart w:id="59" w:name="_Toc15396612"/>
      <w:r>
        <w:rPr>
          <w:rFonts w:hint="eastAsia" w:ascii="黑体" w:hAnsi="黑体" w:eastAsia="黑体" w:cs="黑体"/>
          <w:b w:val="0"/>
          <w:bCs w:val="0"/>
          <w:lang w:val="en-US" w:eastAsia="zh-CN"/>
        </w:rPr>
        <w:t>十、</w:t>
      </w:r>
      <w:r>
        <w:rPr>
          <w:rFonts w:hint="eastAsia" w:ascii="黑体" w:hAnsi="黑体" w:eastAsia="黑体" w:cs="黑体"/>
          <w:b w:val="0"/>
          <w:bCs w:val="0"/>
        </w:rPr>
        <w:t>其他重要事项的情况说明</w:t>
      </w:r>
      <w:bookmarkEnd w:id="57"/>
      <w:bookmarkEnd w:id="58"/>
      <w:bookmarkEnd w:id="59"/>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bookmarkStart w:id="60" w:name="_Toc15377222"/>
      <w:r>
        <w:rPr>
          <w:rFonts w:hint="eastAsia" w:ascii="楷体_GB2312" w:hAnsi="楷体_GB2312" w:eastAsia="楷体_GB2312" w:cs="楷体_GB2312"/>
        </w:rPr>
        <w:t>（一）机关运行经费支出情况</w:t>
      </w:r>
      <w:bookmarkEnd w:id="60"/>
    </w:p>
    <w:p>
      <w:pPr>
        <w:pageBreakBefore w:val="0"/>
        <w:kinsoku/>
        <w:wordWrap/>
        <w:overflowPunct/>
        <w:topLinePunct w:val="0"/>
        <w:bidi w:val="0"/>
        <w:spacing w:line="560" w:lineRule="exact"/>
        <w:ind w:left="0" w:leftChars="0"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壤塘县尕多乡人民政府</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52.24</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9.8</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23.09</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。主要原因：</w:t>
      </w:r>
      <w:r>
        <w:rPr>
          <w:rFonts w:hint="eastAsia" w:ascii="仿宋_GB2312" w:eastAsia="仿宋_GB2312"/>
          <w:color w:val="auto"/>
          <w:sz w:val="32"/>
          <w:szCs w:val="32"/>
          <w:highlight w:val="none"/>
          <w:lang w:val="en-US" w:eastAsia="zh-CN"/>
        </w:rPr>
        <w:t>基础工作量相对往年增加，导致日常公用经费支出增加</w:t>
      </w:r>
      <w:r>
        <w:rPr>
          <w:rFonts w:hint="eastAsia" w:ascii="仿宋_GB2312" w:eastAsia="仿宋_GB2312"/>
          <w:color w:val="auto"/>
          <w:sz w:val="32"/>
          <w:szCs w:val="32"/>
          <w:highlight w:val="none"/>
        </w:rPr>
        <w:t>。</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bookmarkStart w:id="61" w:name="_Toc15377223"/>
      <w:r>
        <w:rPr>
          <w:rFonts w:hint="eastAsia" w:ascii="楷体_GB2312" w:hAnsi="楷体_GB2312" w:eastAsia="楷体_GB2312" w:cs="楷体_GB2312"/>
        </w:rPr>
        <w:t>（二）政府采购支出情况</w:t>
      </w:r>
      <w:bookmarkEnd w:id="61"/>
    </w:p>
    <w:p>
      <w:pPr>
        <w:pageBreakBefore w:val="0"/>
        <w:kinsoku/>
        <w:wordWrap/>
        <w:overflowPunct/>
        <w:topLinePunct w:val="0"/>
        <w:bidi w:val="0"/>
        <w:spacing w:line="560" w:lineRule="exact"/>
        <w:ind w:left="0" w:leftChars="0" w:firstLine="640"/>
        <w:rPr>
          <w:rFonts w:ascii="仿宋_GB2312" w:eastAsia="仿宋_GB2312"/>
          <w:color w:val="auto"/>
          <w:sz w:val="32"/>
          <w:szCs w:val="32"/>
          <w:highlight w:val="none"/>
        </w:rPr>
      </w:pPr>
      <w:r>
        <w:rPr>
          <w:rFonts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壤塘县尕多乡人民政府，</w:t>
      </w:r>
      <w:r>
        <w:rPr>
          <w:rFonts w:hint="eastAsia" w:ascii="仿宋_GB2312" w:eastAsia="仿宋_GB2312"/>
          <w:color w:val="auto"/>
          <w:sz w:val="32"/>
          <w:szCs w:val="32"/>
          <w:highlight w:val="none"/>
          <w:lang w:val="en-US" w:eastAsia="zh-CN"/>
        </w:rPr>
        <w:t>政府</w:t>
      </w:r>
      <w:r>
        <w:rPr>
          <w:rFonts w:hint="eastAsia" w:ascii="仿宋_GB2312" w:eastAsia="仿宋_GB2312"/>
          <w:color w:val="auto"/>
          <w:sz w:val="32"/>
          <w:szCs w:val="32"/>
          <w:highlight w:val="none"/>
        </w:rPr>
        <w:t>采购支出总额</w:t>
      </w:r>
      <w:r>
        <w:rPr>
          <w:rFonts w:hint="eastAsia" w:ascii="仿宋_GB2312" w:eastAsia="仿宋_GB2312"/>
          <w:color w:val="auto"/>
          <w:sz w:val="32"/>
          <w:szCs w:val="32"/>
          <w:highlight w:val="none"/>
          <w:lang w:val="en-US" w:eastAsia="zh-CN"/>
        </w:rPr>
        <w:t>524.47</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73.89</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450.6</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eastAsia="zh-CN"/>
        </w:rPr>
        <w:t>工程支出，</w:t>
      </w:r>
      <w:r>
        <w:rPr>
          <w:rFonts w:hint="eastAsia" w:ascii="仿宋_GB2312" w:eastAsia="仿宋_GB2312"/>
          <w:color w:val="auto"/>
          <w:sz w:val="32"/>
          <w:szCs w:val="32"/>
          <w:highlight w:val="none"/>
        </w:rPr>
        <w:t>小微企业合同金额</w:t>
      </w:r>
      <w:r>
        <w:rPr>
          <w:rFonts w:hint="eastAsia" w:ascii="仿宋_GB2312" w:eastAsia="仿宋_GB2312"/>
          <w:color w:val="auto"/>
          <w:sz w:val="32"/>
          <w:szCs w:val="32"/>
          <w:highlight w:val="none"/>
          <w:lang w:val="en-US" w:eastAsia="zh-CN"/>
        </w:rPr>
        <w:t>450.6</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占政府采购支出总额的</w:t>
      </w:r>
      <w:r>
        <w:rPr>
          <w:rFonts w:hint="eastAsia" w:ascii="仿宋_GB2312" w:eastAsia="仿宋_GB2312"/>
          <w:color w:val="auto"/>
          <w:sz w:val="32"/>
          <w:szCs w:val="32"/>
          <w:highlight w:val="none"/>
          <w:lang w:val="en-US" w:eastAsia="zh-CN"/>
        </w:rPr>
        <w:t>85.91</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450.6</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pStyle w:val="5"/>
        <w:pageBreakBefore w:val="0"/>
        <w:kinsoku/>
        <w:wordWrap/>
        <w:overflowPunct/>
        <w:topLinePunct w:val="0"/>
        <w:bidi w:val="0"/>
        <w:spacing w:before="0" w:after="0" w:line="560" w:lineRule="exact"/>
        <w:ind w:left="0" w:leftChars="0"/>
        <w:rPr>
          <w:rFonts w:hint="eastAsia" w:ascii="楷体_GB2312" w:hAnsi="楷体_GB2312" w:eastAsia="楷体_GB2312" w:cs="楷体_GB2312"/>
        </w:rPr>
      </w:pPr>
      <w:bookmarkStart w:id="62" w:name="_Toc15377224"/>
      <w:r>
        <w:rPr>
          <w:rFonts w:hint="eastAsia" w:ascii="楷体_GB2312" w:hAnsi="楷体_GB2312" w:eastAsia="楷体_GB2312" w:cs="楷体_GB2312"/>
        </w:rPr>
        <w:t>（三）国有资产占有使用情况</w:t>
      </w:r>
      <w:bookmarkEnd w:id="62"/>
    </w:p>
    <w:p>
      <w:pPr>
        <w:pageBreakBefore w:val="0"/>
        <w:kinsoku/>
        <w:wordWrap/>
        <w:overflowPunct/>
        <w:topLinePunct w:val="0"/>
        <w:bidi w:val="0"/>
        <w:spacing w:line="560" w:lineRule="exact"/>
        <w:ind w:left="0" w:leftChars="0"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2022年12月31日，壤塘县尕多乡人民政府共有车辆2辆，其中：主要领导干部用车0辆、机要通信用车0辆、应急保障用车0辆、其他用车2辆。其他用车主要是用于下村宣讲、开展群众工作、上县所用。单价50万元以上通用设备0台（套），单价100万元以上专用设备0台（套）。</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bookmarkStart w:id="63" w:name="_Toc79163628"/>
      <w:bookmarkStart w:id="64" w:name="_Toc79163878"/>
      <w:r>
        <w:rPr>
          <w:rFonts w:hint="eastAsia" w:ascii="楷体_GB2312" w:hAnsi="楷体_GB2312" w:eastAsia="楷体_GB2312" w:cs="楷体_GB2312"/>
        </w:rPr>
        <w:t>（四）预算绩效管理情况</w:t>
      </w:r>
      <w:bookmarkEnd w:id="63"/>
      <w:bookmarkEnd w:id="64"/>
    </w:p>
    <w:p>
      <w:pPr>
        <w:pageBreakBefore w:val="0"/>
        <w:kinsoku/>
        <w:wordWrap/>
        <w:overflowPunct/>
        <w:topLinePunct w:val="0"/>
        <w:bidi w:val="0"/>
        <w:spacing w:line="560" w:lineRule="exact"/>
        <w:ind w:left="0" w:leftChars="0"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根据预算绩效管理要求，在年初预算编制阶段，组织对各村8个项目开展预算事前绩效评估，对3个项目编制了绩效目标，预算执行过程中，选取了3个项目开展绩效监控，年终执行完毕后3个项目开展了绩效目标完成情况梳理填报。</w:t>
      </w:r>
    </w:p>
    <w:p>
      <w:pPr>
        <w:pageBreakBefore w:val="0"/>
        <w:kinsoku/>
        <w:wordWrap/>
        <w:overflowPunct/>
        <w:topLinePunct w:val="0"/>
        <w:bidi w:val="0"/>
        <w:spacing w:line="560" w:lineRule="exact"/>
        <w:ind w:left="0" w:leftChars="0"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本部门按要求对2022年部门整体支出开展绩效自评，从评价情况来看</w:t>
      </w:r>
      <w:r>
        <w:rPr>
          <w:rFonts w:hint="eastAsia" w:ascii="仿宋_GB2312" w:eastAsia="仿宋_GB2312"/>
          <w:color w:val="auto"/>
          <w:sz w:val="32"/>
          <w:szCs w:val="32"/>
          <w:highlight w:val="none"/>
          <w:lang w:val="zh-CN" w:eastAsia="zh-CN"/>
        </w:rPr>
        <w:t>“</w:t>
      </w:r>
      <w:r>
        <w:rPr>
          <w:rFonts w:hint="eastAsia" w:ascii="仿宋_GB2312" w:eastAsia="仿宋_GB2312"/>
          <w:color w:val="auto"/>
          <w:sz w:val="32"/>
          <w:szCs w:val="32"/>
          <w:highlight w:val="none"/>
          <w:lang w:val="en-US" w:eastAsia="zh-CN"/>
        </w:rPr>
        <w:t>2022年尕多村砂石资源规范化加工设备采购项目”和“尕多乡刑木达村基础设施建设项目”、“</w:t>
      </w:r>
      <w:r>
        <w:rPr>
          <w:rFonts w:hint="eastAsia" w:ascii="仿宋_GB2312" w:eastAsia="仿宋_GB2312"/>
          <w:color w:val="auto"/>
          <w:sz w:val="32"/>
          <w:szCs w:val="32"/>
          <w:highlight w:val="none"/>
          <w:lang w:val="zh-CN" w:eastAsia="zh-CN"/>
        </w:rPr>
        <w:t>2022年尕多乡果蔬产业示范园建设项目</w:t>
      </w:r>
      <w:r>
        <w:rPr>
          <w:rFonts w:hint="eastAsia" w:ascii="仿宋_GB2312" w:eastAsia="仿宋_GB2312"/>
          <w:color w:val="auto"/>
          <w:sz w:val="32"/>
          <w:szCs w:val="32"/>
          <w:highlight w:val="none"/>
          <w:lang w:val="en-US" w:eastAsia="zh-CN"/>
        </w:rPr>
        <w:t>”等项目绩效目标实际完成情况。</w:t>
      </w:r>
    </w:p>
    <w:p>
      <w:pPr>
        <w:pageBreakBefore w:val="0"/>
        <w:kinsoku/>
        <w:wordWrap/>
        <w:overflowPunct/>
        <w:topLinePunct w:val="0"/>
        <w:bidi w:val="0"/>
        <w:spacing w:line="560" w:lineRule="exact"/>
        <w:ind w:left="0" w:leftChars="0" w:firstLine="640"/>
        <w:rPr>
          <w:rFonts w:hint="eastAsia" w:ascii="仿宋_GB2312" w:eastAsia="仿宋_GB2312"/>
          <w:b/>
          <w:bCs/>
          <w:color w:val="auto"/>
          <w:sz w:val="32"/>
          <w:szCs w:val="32"/>
          <w:highlight w:val="none"/>
          <w:lang w:val="en-US" w:eastAsia="zh-CN"/>
        </w:rPr>
      </w:pPr>
      <w:r>
        <w:rPr>
          <w:rStyle w:val="41"/>
          <w:rFonts w:hint="eastAsia" w:asciiTheme="majorEastAsia" w:hAnsiTheme="majorEastAsia" w:eastAsiaTheme="majorEastAsia" w:cstheme="majorEastAsia"/>
          <w:lang w:val="en-US" w:eastAsia="zh-CN"/>
        </w:rPr>
        <w:t>1、项目绩效目标完成情况。</w:t>
      </w:r>
      <w:r>
        <w:rPr>
          <w:rFonts w:hint="eastAsia" w:ascii="仿宋_GB2312" w:eastAsia="仿宋_GB2312"/>
          <w:b/>
          <w:bCs/>
          <w:color w:val="auto"/>
          <w:sz w:val="32"/>
          <w:szCs w:val="32"/>
          <w:highlight w:val="none"/>
          <w:lang w:val="en-US" w:eastAsia="zh-CN"/>
        </w:rPr>
        <w:t xml:space="preserve"> </w:t>
      </w:r>
    </w:p>
    <w:p>
      <w:pPr>
        <w:pageBreakBefore w:val="0"/>
        <w:kinsoku/>
        <w:wordWrap/>
        <w:overflowPunct/>
        <w:topLinePunct w:val="0"/>
        <w:bidi w:val="0"/>
        <w:spacing w:line="560" w:lineRule="exact"/>
        <w:ind w:left="0" w:leftChars="0" w:firstLine="64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（1）2022年尕多村砂石资源规范化加工设备采购项目绩效目标完成情况综述。项目全年预算数34万元，执行数为34万元，完成预算的100%。通</w:t>
      </w:r>
      <w:r>
        <w:rPr>
          <w:rFonts w:hint="eastAsia" w:ascii="仿宋_GB2312" w:eastAsia="仿宋_GB2312"/>
          <w:color w:val="auto"/>
          <w:sz w:val="32"/>
          <w:szCs w:val="32"/>
          <w:highlight w:val="none"/>
          <w:lang w:val="zh-CN" w:eastAsia="zh-CN"/>
        </w:rPr>
        <w:t>过项目实施，</w:t>
      </w:r>
      <w:r>
        <w:rPr>
          <w:rFonts w:hint="eastAsia" w:ascii="仿宋_GB2312" w:eastAsia="仿宋_GB2312"/>
          <w:color w:val="auto"/>
          <w:sz w:val="32"/>
          <w:szCs w:val="32"/>
          <w:highlight w:val="none"/>
          <w:lang w:val="en-US" w:eastAsia="zh-CN"/>
        </w:rPr>
        <w:t>该项目实施完成后将进一步提升当地人居环境。</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highlight w:val="none"/>
          <w:lang w:val="en-US" w:eastAsia="zh-CN"/>
        </w:rPr>
        <w:t>尕多乡刑木达村基础设施建设项目</w:t>
      </w:r>
      <w:r>
        <w:rPr>
          <w:rFonts w:hint="eastAsia" w:ascii="仿宋_GB2312" w:hAnsi="仿宋_GB2312" w:eastAsia="仿宋_GB2312" w:cs="仿宋_GB2312"/>
          <w:b/>
          <w:bCs/>
          <w:sz w:val="32"/>
          <w:szCs w:val="32"/>
        </w:rPr>
        <w:t>绩效目标完成情况综述。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宋体"/>
          <w:szCs w:val="32"/>
          <w:lang w:val="zh-CN"/>
        </w:rPr>
      </w:pP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该项目实施完成后将进一步提升当地基础设施条件，改善当地群众生产生活及出行条件，同时项目实施过程中群众参与务工增加收入。</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zh-CN"/>
        </w:rPr>
        <w:t>尕多乡人居环境设施设备采购项目</w:t>
      </w:r>
      <w:r>
        <w:rPr>
          <w:rFonts w:hint="eastAsia" w:ascii="仿宋_GB2312" w:hAnsi="仿宋_GB2312" w:eastAsia="仿宋_GB2312" w:cs="仿宋_GB2312"/>
          <w:b/>
          <w:bCs/>
          <w:sz w:val="32"/>
          <w:szCs w:val="32"/>
          <w:highlight w:val="none"/>
        </w:rPr>
        <w:t>绩效目标完成情况综述。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项目全年预算数</w:t>
      </w:r>
      <w:r>
        <w:rPr>
          <w:rFonts w:hint="eastAsia" w:ascii="仿宋_GB2312" w:hAnsi="仿宋_GB2312" w:eastAsia="仿宋_GB2312" w:cs="仿宋_GB2312"/>
          <w:sz w:val="32"/>
          <w:szCs w:val="32"/>
          <w:highlight w:val="none"/>
          <w:lang w:val="en-US" w:eastAsia="zh-CN"/>
        </w:rPr>
        <w:t>40</w:t>
      </w:r>
      <w:r>
        <w:rPr>
          <w:rFonts w:hint="eastAsia" w:ascii="仿宋_GB2312" w:hAnsi="仿宋_GB2312" w:eastAsia="仿宋_GB2312" w:cs="仿宋_GB2312"/>
          <w:sz w:val="32"/>
          <w:szCs w:val="32"/>
          <w:highlight w:val="none"/>
        </w:rPr>
        <w:t>万元，执行数为</w:t>
      </w:r>
      <w:r>
        <w:rPr>
          <w:rFonts w:hint="eastAsia" w:ascii="仿宋_GB2312" w:hAnsi="仿宋_GB2312" w:eastAsia="仿宋_GB2312" w:cs="仿宋_GB2312"/>
          <w:sz w:val="32"/>
          <w:szCs w:val="32"/>
          <w:highlight w:val="none"/>
          <w:lang w:val="en-US" w:eastAsia="zh-CN"/>
        </w:rPr>
        <w:t>40</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w:t>
      </w:r>
      <w:r>
        <w:rPr>
          <w:rFonts w:hint="eastAsia" w:ascii="仿宋_GB2312" w:hAnsi="仿宋_GB2312" w:eastAsia="仿宋_GB2312" w:cs="仿宋_GB2312"/>
          <w:sz w:val="32"/>
          <w:szCs w:val="32"/>
          <w:highlight w:val="none"/>
          <w:lang w:val="zh-CN"/>
        </w:rPr>
        <w:t>过项目实施，</w:t>
      </w:r>
      <w:r>
        <w:rPr>
          <w:rFonts w:hint="eastAsia" w:eastAsia="仿宋_GB2312"/>
          <w:sz w:val="32"/>
          <w:szCs w:val="32"/>
        </w:rPr>
        <w:t>通过实施该项目，</w:t>
      </w:r>
      <w:r>
        <w:rPr>
          <w:rFonts w:hint="eastAsia" w:eastAsia="仿宋_GB2312"/>
          <w:sz w:val="32"/>
          <w:szCs w:val="32"/>
          <w:lang w:eastAsia="zh-CN"/>
        </w:rPr>
        <w:t>结合我县天气预报，随时及时的干预，减低冰雹灾害，提高蔬菜的品质和产量，同时</w:t>
      </w:r>
      <w:r>
        <w:rPr>
          <w:rFonts w:hint="eastAsia" w:eastAsia="仿宋_GB2312"/>
          <w:sz w:val="32"/>
          <w:szCs w:val="32"/>
        </w:rPr>
        <w:t>可以进一步改善该</w:t>
      </w:r>
      <w:r>
        <w:rPr>
          <w:rFonts w:hint="eastAsia" w:eastAsia="仿宋_GB2312"/>
          <w:sz w:val="32"/>
          <w:szCs w:val="32"/>
          <w:lang w:eastAsia="zh-CN"/>
        </w:rPr>
        <w:t>瑟谷村</w:t>
      </w:r>
      <w:r>
        <w:rPr>
          <w:rFonts w:hint="eastAsia" w:eastAsia="仿宋_GB2312"/>
          <w:sz w:val="32"/>
          <w:szCs w:val="32"/>
        </w:rPr>
        <w:t>基础设施条件和公共服务配套培养专业技术工人的需要；。</w:t>
      </w:r>
    </w:p>
    <w:p>
      <w:pPr>
        <w:pStyle w:val="3"/>
        <w:pageBreakBefore w:val="0"/>
        <w:kinsoku/>
        <w:wordWrap/>
        <w:overflowPunct/>
        <w:topLinePunct w:val="0"/>
        <w:bidi w:val="0"/>
        <w:spacing w:before="0" w:after="0" w:line="560" w:lineRule="exact"/>
        <w:ind w:left="0" w:leftChars="0"/>
        <w:jc w:val="center"/>
        <w:rPr>
          <w:rFonts w:hint="eastAsia" w:ascii="方正小标宋_GBK" w:hAnsi="方正小标宋_GBK" w:eastAsia="方正小标宋_GBK" w:cs="方正小标宋_GBK"/>
          <w:b w:val="0"/>
          <w:bCs w:val="0"/>
        </w:rPr>
      </w:pPr>
      <w:bookmarkStart w:id="65" w:name="_Toc15377225"/>
      <w:bookmarkStart w:id="66" w:name="_Toc15396613"/>
      <w:bookmarkStart w:id="67" w:name="_Toc10924"/>
      <w:r>
        <w:rPr>
          <w:rFonts w:hint="eastAsia" w:ascii="方正小标宋_GBK" w:hAnsi="方正小标宋_GBK" w:eastAsia="方正小标宋_GBK" w:cs="方正小标宋_GBK"/>
          <w:b w:val="0"/>
          <w:bCs w:val="0"/>
          <w:lang w:eastAsia="zh-CN"/>
        </w:rPr>
        <w:t>第三部分</w:t>
      </w:r>
      <w:r>
        <w:rPr>
          <w:rFonts w:hint="eastAsia" w:ascii="方正小标宋_GBK" w:hAnsi="方正小标宋_GBK" w:eastAsia="方正小标宋_GBK" w:cs="方正小标宋_GBK"/>
          <w:b w:val="0"/>
          <w:bCs w:val="0"/>
          <w:lang w:val="en-US" w:eastAsia="zh-CN"/>
        </w:rPr>
        <w:t xml:space="preserve"> </w:t>
      </w:r>
      <w:r>
        <w:rPr>
          <w:rFonts w:hint="eastAsia" w:ascii="方正小标宋_GBK" w:hAnsi="方正小标宋_GBK" w:eastAsia="方正小标宋_GBK" w:cs="方正小标宋_GBK"/>
          <w:b w:val="0"/>
          <w:bCs w:val="0"/>
        </w:rPr>
        <w:t>名词解释</w:t>
      </w:r>
      <w:bookmarkEnd w:id="65"/>
      <w:bookmarkEnd w:id="66"/>
      <w:bookmarkEnd w:id="67"/>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bookmarkStart w:id="68" w:name="_Toc15377226"/>
      <w:r>
        <w:rPr>
          <w:rFonts w:hint="eastAsia" w:ascii="仿宋_GB2312" w:hAnsi="仿宋_GB2312" w:eastAsia="仿宋_GB2312" w:cs="仿宋_GB2312"/>
          <w:kern w:val="2"/>
          <w:sz w:val="32"/>
          <w:szCs w:val="32"/>
          <w:lang w:val="en-US" w:eastAsia="zh-CN" w:bidi="ar-SA"/>
        </w:rPr>
        <w:t>1.财政拨款收入：指单位从同级财政部门取得的财政预算资金。</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2.事业收入：指事业单位开展专业业务活动及辅助活动取得的收入。</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3.经营收入：指事业单位在专业业务活动及其辅助活动之外开展非独立核算经营活动取得的收入。</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4.其他收入：指单位取得的除上述收入以外的各项收入。 </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6.年初结转和结余：指以前年度尚未完成、结转到本年按有关规定继续使用的资金。 </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7.结余分配：指事业单位按照事业单位会计制度的规定从非财政补助结余中分配的事业基金和职工福利基金等。</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8.年末结转和结余：指单位按有关规定结转到下年或以后年度继续使用的资金。</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9.一般公共服务201：指反映政府提供一般公共服务的支出。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10.外交202：指反映政府外交事务支出。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11.公共安全204：指反映政府维护社会公共安全方面的支出。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12.教育 205：指反映政府教育事务支出。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13.科学技术 206：指反映科学技术方面的支出。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14.文化体育与传媒 207：指反映政府在文化、体育、文物、广播影视、新闻出版等方面的支出。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15.社会保障和就业 208：指反映政府在社会保障与就业方面的支出。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16.医疗卫生与计划生育210：指反映医疗卫生与计划生育、中医等管理事务方面的支出。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17.节能环保84：指反映政府节能环保支出。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18.城乡社区（类）212：指反映政府城乡管理事务支出。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19.农林水213：指反映政府农林水支出。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20.交通运输214：指反映交通运输和邮政业务相关的支出。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21.资源勘探信息等215：指反映用于资源勘探、制造业、建筑业、工业信息等方面的支出。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22.商业服务业216：指反映商业服务等方面的支出。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23.金融217：指反映金融方面的支出。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24.国土海洋气象220：指反映政府用于国土资源、海洋、测绘、地震、气象等公益服务事业方面的支出。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25.住房保障221：指集中反映政府用于住房方面的支出。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26.粮油物资储备222：指反映政府用于粮油物资储备方面的支出。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27.基本支出：指为保障机构正常运转、完成日常工作任务而发生的人员支出和公用支出。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28.项目支出：指在基本支出之外为完成特定行政任务和事业发展目标所发生的支出。 </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29.经营支出：指事业单位在专业业务活动及其辅助活动之外开展非独立核算经营活动发生的支出。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pageBreakBefore w:val="0"/>
        <w:kinsoku/>
        <w:wordWrap/>
        <w:overflowPunct/>
        <w:topLinePunct w:val="0"/>
        <w:bidi w:val="0"/>
        <w:spacing w:after="0" w:line="560" w:lineRule="exact"/>
        <w:ind w:left="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exact"/>
        <w:ind w:left="0" w:leftChars="0"/>
        <w:jc w:val="center"/>
        <w:outlineLvl w:val="0"/>
        <w:rPr>
          <w:rStyle w:val="29"/>
          <w:rFonts w:hint="eastAsia" w:ascii="宋体" w:hAnsi="宋体" w:eastAsia="宋体" w:cs="宋体"/>
          <w:b/>
          <w:bCs/>
          <w:color w:val="auto"/>
          <w:sz w:val="44"/>
          <w:szCs w:val="44"/>
          <w:highlight w:val="none"/>
          <w:lang w:eastAsia="zh-CN"/>
        </w:rPr>
      </w:pPr>
      <w:r>
        <w:rPr>
          <w:rFonts w:hint="eastAsia" w:ascii="仿宋_GB2312" w:hAnsi="仿宋_GB2312" w:eastAsia="仿宋_GB2312" w:cs="仿宋_GB2312"/>
          <w:kern w:val="2"/>
          <w:sz w:val="32"/>
          <w:szCs w:val="32"/>
          <w:lang w:val="en-US" w:eastAsia="zh-CN" w:bidi="ar-SA"/>
        </w:rPr>
        <w:br w:type="page"/>
      </w:r>
      <w:bookmarkStart w:id="69" w:name="_Toc15396614"/>
      <w:bookmarkStart w:id="70" w:name="_Toc3958"/>
      <w:r>
        <w:rPr>
          <w:rStyle w:val="29"/>
          <w:rFonts w:hint="eastAsia" w:ascii="方正小标宋_GBK" w:hAnsi="方正小标宋_GBK" w:eastAsia="方正小标宋_GBK" w:cs="方正小标宋_GBK"/>
          <w:b w:val="0"/>
          <w:bCs w:val="0"/>
          <w:sz w:val="44"/>
          <w:szCs w:val="44"/>
        </w:rPr>
        <w:t>第四部分 附件</w:t>
      </w:r>
      <w:bookmarkEnd w:id="69"/>
      <w:bookmarkEnd w:id="70"/>
    </w:p>
    <w:p>
      <w:pPr>
        <w:pageBreakBefore w:val="0"/>
        <w:kinsoku/>
        <w:wordWrap/>
        <w:overflowPunct/>
        <w:topLinePunct w:val="0"/>
        <w:bidi w:val="0"/>
        <w:spacing w:line="560" w:lineRule="exact"/>
        <w:ind w:left="0" w:leftChars="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p>
    <w:p>
      <w:pPr>
        <w:pStyle w:val="3"/>
        <w:pageBreakBefore w:val="0"/>
        <w:kinsoku/>
        <w:wordWrap/>
        <w:overflowPunct/>
        <w:topLinePunct w:val="0"/>
        <w:bidi w:val="0"/>
        <w:spacing w:before="0" w:after="0" w:line="560" w:lineRule="exact"/>
        <w:ind w:left="0" w:leftChars="0"/>
        <w:jc w:val="center"/>
        <w:rPr>
          <w:rFonts w:hint="eastAsia"/>
        </w:rPr>
      </w:pPr>
      <w:bookmarkStart w:id="71" w:name="_Toc16057"/>
      <w:bookmarkStart w:id="72" w:name="_Toc79163632"/>
      <w:bookmarkStart w:id="73" w:name="_Toc79163882"/>
      <w:r>
        <w:rPr>
          <w:rFonts w:hint="eastAsia"/>
          <w:lang w:eastAsia="zh-CN"/>
        </w:rPr>
        <w:t>壤塘县尕多乡人民政府</w:t>
      </w:r>
      <w:r>
        <w:rPr>
          <w:rFonts w:hint="eastAsia"/>
        </w:rPr>
        <w:t>202</w:t>
      </w:r>
      <w:r>
        <w:rPr>
          <w:rFonts w:hint="eastAsia"/>
          <w:lang w:val="en-US" w:eastAsia="zh-CN"/>
        </w:rPr>
        <w:t>2</w:t>
      </w:r>
      <w:r>
        <w:rPr>
          <w:rFonts w:hint="eastAsia"/>
        </w:rPr>
        <w:t>年部门整体支出绩效评价报告</w:t>
      </w:r>
      <w:bookmarkEnd w:id="71"/>
      <w:bookmarkEnd w:id="72"/>
      <w:bookmarkEnd w:id="73"/>
    </w:p>
    <w:p>
      <w:pPr>
        <w:pageBreakBefore w:val="0"/>
        <w:widowControl/>
        <w:kinsoku/>
        <w:wordWrap/>
        <w:overflowPunct/>
        <w:topLinePunct w:val="0"/>
        <w:bidi w:val="0"/>
        <w:adjustRightInd w:val="0"/>
        <w:snapToGrid w:val="0"/>
        <w:spacing w:line="560" w:lineRule="exact"/>
        <w:ind w:left="0" w:leftChars="0"/>
        <w:contextualSpacing/>
        <w:jc w:val="left"/>
        <w:rPr>
          <w:rFonts w:ascii="黑体" w:hAnsi="宋体" w:eastAsia="黑体" w:cs="宋体"/>
          <w:color w:val="000000"/>
          <w:kern w:val="0"/>
          <w:sz w:val="24"/>
          <w:szCs w:val="32"/>
          <w:shd w:val="clear" w:color="auto" w:fill="FFFFFF"/>
        </w:rPr>
      </w:pP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74" w:name="_Toc4157"/>
      <w:r>
        <w:rPr>
          <w:rFonts w:hint="eastAsia" w:ascii="黑体" w:hAnsi="黑体" w:eastAsia="黑体" w:cs="黑体"/>
          <w:b w:val="0"/>
          <w:bCs w:val="0"/>
        </w:rPr>
        <w:t>一、部门（单位）概况</w:t>
      </w:r>
      <w:bookmarkEnd w:id="74"/>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（一）机构组成</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壤塘县尕多乡人民政府</w:t>
      </w:r>
      <w:r>
        <w:rPr>
          <w:rFonts w:hint="default" w:ascii="仿宋_GB2312" w:hAnsi="Calibri" w:eastAsia="仿宋_GB2312" w:cs="仿宋"/>
          <w:color w:val="000000"/>
          <w:kern w:val="0"/>
          <w:sz w:val="32"/>
          <w:szCs w:val="32"/>
          <w:lang w:val="en-US" w:eastAsia="zh-CN" w:bidi="ar-SA"/>
        </w:rPr>
        <w:t>属一级预算单位，下设</w:t>
      </w:r>
      <w:r>
        <w:rPr>
          <w:rFonts w:hint="eastAsia" w:ascii="仿宋_GB2312" w:hAnsi="Calibri" w:eastAsia="仿宋_GB2312" w:cs="仿宋"/>
          <w:color w:val="000000"/>
          <w:kern w:val="0"/>
          <w:sz w:val="32"/>
          <w:szCs w:val="32"/>
          <w:lang w:val="en-US" w:eastAsia="zh-CN" w:bidi="ar-SA"/>
        </w:rPr>
        <w:t>党委、人大、政府、便民服务中心、财政所5</w:t>
      </w:r>
      <w:r>
        <w:rPr>
          <w:rFonts w:hint="default" w:ascii="仿宋_GB2312" w:hAnsi="Calibri" w:eastAsia="仿宋_GB2312" w:cs="仿宋"/>
          <w:color w:val="000000"/>
          <w:kern w:val="0"/>
          <w:sz w:val="32"/>
          <w:szCs w:val="32"/>
          <w:lang w:val="en-US" w:eastAsia="zh-CN" w:bidi="ar-SA"/>
        </w:rPr>
        <w:t>个中心组成。</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（二）机构职能</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1.执行本级人民代表大会的决议和上级国家行政机关的决定和命令，在辖区内发布决定和命令；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2.按照国家宪法和法律，行使对本辖区内的行政及民政事务的管理；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3.制定本单位的经济和社会发展规划，并组织实施；组织和领导行政经济体制改革，协调本行政区域村民委员会与各经济组织之间的关系；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4.组织规划财政管理的各项收入，管理乡范围内的各项财政支出和行政筹集、分配和使用的资金；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5.负责管理对外经济技术交流与合作，开展经济信息预测工作，推广科学技术成果；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6.对本单位各项社会建设进行宏观管理，抓好环境卫生整治工作；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7.加强基本农田水利建设和道路、桥梁等的建设，加强土地的统一管理、统筹规划，协助有关部门做好地质灾害的防治工作;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8.负责农村土地承包管理、农民负担监督管理、农村集体资产财务管理；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9.充分发挥行政职能，组织和开展本单位的文化、教育、卫生、民政和科技等工作；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10.根据经济发展需要，建立经济、技术咨询服务机构，向经济组织和农牧民提供全面服务。 </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（三）人员概况</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本单位为行政机构，总编制32人，其中，行政编制29人，事业编制7人。现有在编人员28人，其中，行政编制18人，事业编制10人，工勤0人。</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75" w:name="_Toc21814"/>
      <w:r>
        <w:rPr>
          <w:rFonts w:hint="eastAsia" w:ascii="黑体" w:hAnsi="黑体" w:eastAsia="黑体" w:cs="黑体"/>
          <w:b w:val="0"/>
          <w:bCs w:val="0"/>
        </w:rPr>
        <w:t>二、</w:t>
      </w:r>
      <w:r>
        <w:rPr>
          <w:rFonts w:hint="eastAsia" w:ascii="黑体" w:hAnsi="黑体" w:eastAsia="黑体" w:cs="黑体"/>
          <w:b w:val="0"/>
          <w:bCs w:val="0"/>
          <w:lang w:eastAsia="zh-CN"/>
        </w:rPr>
        <w:t>部门</w:t>
      </w:r>
      <w:r>
        <w:rPr>
          <w:rFonts w:hint="eastAsia" w:ascii="黑体" w:hAnsi="黑体" w:eastAsia="黑体" w:cs="黑体"/>
          <w:b w:val="0"/>
          <w:bCs w:val="0"/>
        </w:rPr>
        <w:t>资金收支情况</w:t>
      </w:r>
      <w:bookmarkEnd w:id="75"/>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（一）部门财政资金收入情况</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总收入2920.96万元；其中一般公共预算财政拨款收入为2571.74万元，上年结转359.4万元。</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eastAsia="zh-CN"/>
        </w:rPr>
      </w:pPr>
      <w:r>
        <w:rPr>
          <w:rFonts w:hint="eastAsia" w:ascii="楷体_GB2312" w:hAnsi="楷体_GB2312" w:eastAsia="楷体_GB2312" w:cs="楷体_GB2312"/>
          <w:lang w:val="en-US" w:eastAsia="zh-CN"/>
        </w:rPr>
        <w:t>（二）部门财政资金支出情况</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2022</w:t>
      </w:r>
      <w:r>
        <w:rPr>
          <w:rFonts w:hint="eastAsia" w:ascii="仿宋_GB2312" w:hAnsi="Calibri" w:eastAsia="仿宋_GB2312" w:cs="仿宋"/>
          <w:color w:val="000000"/>
          <w:kern w:val="0"/>
          <w:sz w:val="32"/>
          <w:szCs w:val="32"/>
          <w:lang w:val="zh-CN" w:eastAsia="zh-CN" w:bidi="ar-SA"/>
        </w:rPr>
        <w:t>年本单位决算支出</w:t>
      </w:r>
      <w:r>
        <w:rPr>
          <w:rFonts w:hint="eastAsia" w:ascii="仿宋_GB2312" w:hAnsi="Calibri" w:eastAsia="仿宋_GB2312" w:cs="仿宋"/>
          <w:color w:val="000000"/>
          <w:kern w:val="0"/>
          <w:sz w:val="32"/>
          <w:szCs w:val="32"/>
          <w:lang w:val="en-US" w:eastAsia="zh-CN" w:bidi="ar-SA"/>
        </w:rPr>
        <w:t>2920.96</w:t>
      </w:r>
      <w:r>
        <w:rPr>
          <w:rFonts w:hint="eastAsia" w:ascii="仿宋_GB2312" w:hAnsi="Calibri" w:eastAsia="仿宋_GB2312" w:cs="仿宋"/>
          <w:color w:val="000000"/>
          <w:kern w:val="0"/>
          <w:sz w:val="32"/>
          <w:szCs w:val="32"/>
          <w:lang w:val="zh-CN" w:eastAsia="zh-CN" w:bidi="ar-SA"/>
        </w:rPr>
        <w:t>万元，按功能分类，主要用于</w:t>
      </w:r>
      <w:r>
        <w:rPr>
          <w:rFonts w:hint="eastAsia" w:ascii="仿宋_GB2312" w:hAnsi="Calibri" w:eastAsia="仿宋_GB2312" w:cs="仿宋"/>
          <w:color w:val="000000"/>
          <w:kern w:val="0"/>
          <w:sz w:val="32"/>
          <w:szCs w:val="32"/>
          <w:lang w:val="en-US" w:eastAsia="zh-CN" w:bidi="ar-SA"/>
        </w:rPr>
        <w:t>一般公共预算财政拨款支出2920.96万元，主要用于以下方面:一般公共服务（类）201支出：465.59万元，占15.94%；</w:t>
      </w:r>
    </w:p>
    <w:p>
      <w:pPr>
        <w:pageBreakBefore w:val="0"/>
        <w:kinsoku/>
        <w:wordWrap/>
        <w:overflowPunct/>
        <w:topLinePunct w:val="0"/>
        <w:bidi w:val="0"/>
        <w:spacing w:line="560" w:lineRule="exact"/>
        <w:ind w:left="0" w:leftChars="0" w:firstLine="640" w:firstLineChars="200"/>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国防支出（类）203支出：4.99万元，占0.17%；公共安全支出（类）204支出：4万元，占0.14%；社会保障和就业（类）208支出：116.64万元，占3.99%；卫生健康（类)210支出：48.53万元，占1.66%；节能环保（类)211支出：5万元，占0.17%；农林水（类）213支出：2222.69万元，占76.09%</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交通运输（类）214支出：1万元，占0.03%；住房保障支出（类）221支出：49.52万元，占1.79%；灾害防治及应急管理支出（类）224支出：3万元，占0.1%。</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val="en-US" w:eastAsia="zh-CN"/>
        </w:rPr>
      </w:pPr>
      <w:bookmarkStart w:id="76" w:name="_Toc4979"/>
      <w:r>
        <w:rPr>
          <w:rFonts w:hint="eastAsia" w:ascii="黑体" w:hAnsi="黑体" w:eastAsia="黑体" w:cs="黑体"/>
          <w:b w:val="0"/>
          <w:bCs w:val="0"/>
          <w:lang w:val="en-US" w:eastAsia="zh-CN"/>
        </w:rPr>
        <w:t>三、部门整体预算绩效管理情况</w:t>
      </w:r>
      <w:bookmarkEnd w:id="76"/>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eastAsia="zh-CN"/>
        </w:rPr>
      </w:pPr>
      <w:r>
        <w:rPr>
          <w:rFonts w:hint="eastAsia" w:ascii="楷体_GB2312" w:hAnsi="楷体_GB2312" w:eastAsia="楷体_GB2312" w:cs="楷体_GB2312"/>
          <w:lang w:val="zh-CN" w:eastAsia="zh-CN"/>
        </w:rPr>
        <w:t>（一）部门预算管理</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2022年本单位的绩效目标制定、目标完成、预决算编制等均按照县财政局下达的相关文件指标进行了编制，均按相关要求严格执行预算范围内开支，并完成所有预定目标。</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按照综合预算的原则，壤塘县尕多乡人民政府所有收入和支出均纳入部门预算管理，2022年年初预算收入790.4万元。</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壤塘县尕多乡人民政府2022年收支总预算2920.96万元，其中：基本支出817.82万元，项目支出2103.14万元。  </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（二）专项预算管理</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2022年本单位严格执行专项资金管理办法，实施专款专用原则根据各项目进展、完成情况，合理规划、科学分配专项资金。完成专项预算绩效目标，无违规记录。</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（三）结果应用情况</w:t>
      </w:r>
    </w:p>
    <w:p>
      <w:pPr>
        <w:pageBreakBefore w:val="0"/>
        <w:kinsoku/>
        <w:wordWrap/>
        <w:overflowPunct/>
        <w:topLinePunct w:val="0"/>
        <w:bidi w:val="0"/>
        <w:spacing w:line="560" w:lineRule="exact"/>
        <w:ind w:left="0" w:leftChars="0" w:firstLine="643" w:firstLineChars="200"/>
        <w:rPr>
          <w:rFonts w:hint="eastAsia" w:ascii="仿宋_GB2312" w:hAnsi="Calibri" w:eastAsia="仿宋_GB2312" w:cs="仿宋"/>
          <w:b/>
          <w:bCs/>
          <w:color w:val="000000"/>
          <w:kern w:val="0"/>
          <w:sz w:val="32"/>
          <w:szCs w:val="32"/>
          <w:lang w:val="zh-CN" w:eastAsia="zh-CN" w:bidi="ar-SA"/>
        </w:rPr>
      </w:pPr>
      <w:r>
        <w:rPr>
          <w:rFonts w:hint="eastAsia" w:ascii="仿宋_GB2312" w:hAnsi="Calibri" w:eastAsia="仿宋_GB2312" w:cs="仿宋"/>
          <w:b/>
          <w:bCs/>
          <w:color w:val="000000"/>
          <w:kern w:val="0"/>
          <w:sz w:val="32"/>
          <w:szCs w:val="32"/>
          <w:lang w:val="en-US" w:eastAsia="zh-CN" w:bidi="ar-SA"/>
        </w:rPr>
        <w:t>1、</w:t>
      </w:r>
      <w:r>
        <w:rPr>
          <w:rFonts w:hint="eastAsia" w:ascii="仿宋_GB2312" w:hAnsi="Calibri" w:eastAsia="仿宋_GB2312" w:cs="仿宋"/>
          <w:b/>
          <w:bCs/>
          <w:color w:val="000000"/>
          <w:kern w:val="0"/>
          <w:sz w:val="32"/>
          <w:szCs w:val="32"/>
          <w:lang w:val="zh-CN" w:eastAsia="zh-CN" w:bidi="ar-SA"/>
        </w:rPr>
        <w:t>信息公开</w:t>
      </w:r>
    </w:p>
    <w:p>
      <w:pPr>
        <w:keepNext w:val="0"/>
        <w:keepLines w:val="0"/>
        <w:pageBreakBefore w:val="0"/>
        <w:shd w:val="clear" w:color="auto" w:fill="FFFFFF"/>
        <w:kinsoku/>
        <w:wordWrap/>
        <w:overflowPunct/>
        <w:topLinePunct w:val="0"/>
        <w:autoSpaceDE/>
        <w:autoSpaceDN/>
        <w:bidi w:val="0"/>
        <w:spacing w:line="560" w:lineRule="exact"/>
        <w:ind w:left="0" w:leftChars="0" w:firstLine="640" w:firstLineChars="200"/>
        <w:jc w:val="both"/>
        <w:textAlignment w:val="auto"/>
        <w:rPr>
          <w:rFonts w:hint="eastAsia" w:ascii="仿宋" w:hAnsi="仿宋" w:eastAsia="仿宋" w:cs="仿宋"/>
          <w:sz w:val="32"/>
          <w:szCs w:val="32"/>
          <w:lang w:val="zh-CN"/>
        </w:rPr>
      </w:pPr>
      <w:r>
        <w:rPr>
          <w:rFonts w:hint="eastAsia" w:ascii="仿宋_GB2312" w:hAnsi="Calibri" w:eastAsia="仿宋_GB2312" w:cs="仿宋"/>
          <w:color w:val="000000"/>
          <w:kern w:val="0"/>
          <w:sz w:val="32"/>
          <w:szCs w:val="32"/>
          <w:lang w:val="zh-CN" w:eastAsia="zh-CN" w:bidi="ar-SA"/>
        </w:rPr>
        <w:t>按时进行信息公开，</w:t>
      </w:r>
      <w:r>
        <w:rPr>
          <w:rFonts w:hint="eastAsia" w:ascii="仿宋" w:hAnsi="仿宋" w:eastAsia="仿宋" w:cs="仿宋"/>
          <w:sz w:val="32"/>
          <w:szCs w:val="32"/>
          <w:lang w:val="zh-CN"/>
        </w:rPr>
        <w:t>公开的数据，不存在虚列支出的问题，按照实际支出填报。</w:t>
      </w:r>
    </w:p>
    <w:p>
      <w:pPr>
        <w:pageBreakBefore w:val="0"/>
        <w:numPr>
          <w:ilvl w:val="0"/>
          <w:numId w:val="2"/>
        </w:numPr>
        <w:kinsoku/>
        <w:wordWrap/>
        <w:overflowPunct/>
        <w:topLinePunct w:val="0"/>
        <w:bidi w:val="0"/>
        <w:spacing w:line="560" w:lineRule="exact"/>
        <w:ind w:left="0" w:leftChars="0" w:firstLine="643" w:firstLineChars="200"/>
        <w:rPr>
          <w:rFonts w:hint="eastAsia" w:ascii="仿宋_GB2312" w:hAnsi="Calibri" w:eastAsia="仿宋_GB2312" w:cs="仿宋"/>
          <w:b/>
          <w:bCs/>
          <w:color w:val="000000"/>
          <w:kern w:val="0"/>
          <w:sz w:val="32"/>
          <w:szCs w:val="32"/>
          <w:lang w:val="zh-CN" w:eastAsia="zh-CN" w:bidi="ar-SA"/>
        </w:rPr>
      </w:pPr>
      <w:r>
        <w:rPr>
          <w:rFonts w:hint="eastAsia" w:ascii="仿宋_GB2312" w:hAnsi="Calibri" w:eastAsia="仿宋_GB2312" w:cs="仿宋"/>
          <w:b/>
          <w:bCs/>
          <w:color w:val="000000"/>
          <w:kern w:val="0"/>
          <w:sz w:val="32"/>
          <w:szCs w:val="32"/>
          <w:lang w:val="zh-CN" w:eastAsia="zh-CN" w:bidi="ar-SA"/>
        </w:rPr>
        <w:t>绩效评价及依法接受财政监督情况</w:t>
      </w:r>
    </w:p>
    <w:p>
      <w:pPr>
        <w:pageBreakBefore w:val="0"/>
        <w:kinsoku/>
        <w:wordWrap/>
        <w:overflowPunct/>
        <w:topLinePunct w:val="0"/>
        <w:bidi w:val="0"/>
        <w:spacing w:line="560" w:lineRule="exact"/>
        <w:ind w:left="0" w:leftChars="0"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日常业务经费和机关运行经费包括“三公”经费严格按照部门当年预算执行，无因公出国（境）费用发生，公务接待严格按照相关规定执行，公务用车运行维护费按照厉行节约的要求均未超标准、超范围。各项支出都在县财政的监管下执行，手续齐全、合理、合法。</w:t>
      </w:r>
    </w:p>
    <w:p>
      <w:pPr>
        <w:pageBreakBefore w:val="0"/>
        <w:kinsoku/>
        <w:wordWrap/>
        <w:overflowPunct/>
        <w:topLinePunct w:val="0"/>
        <w:bidi w:val="0"/>
        <w:spacing w:line="560" w:lineRule="exact"/>
        <w:ind w:left="0" w:leftChars="0" w:firstLine="643" w:firstLineChars="200"/>
        <w:rPr>
          <w:rFonts w:hint="eastAsia" w:ascii="仿宋_GB2312" w:hAnsi="Calibri" w:eastAsia="仿宋_GB2312" w:cs="仿宋"/>
          <w:b/>
          <w:bCs/>
          <w:color w:val="000000"/>
          <w:kern w:val="0"/>
          <w:sz w:val="32"/>
          <w:szCs w:val="32"/>
          <w:lang w:val="zh-CN" w:eastAsia="zh-CN" w:bidi="ar-SA"/>
        </w:rPr>
      </w:pPr>
      <w:r>
        <w:rPr>
          <w:rFonts w:hint="eastAsia" w:ascii="仿宋_GB2312" w:hAnsi="Calibri" w:eastAsia="仿宋_GB2312" w:cs="仿宋"/>
          <w:b/>
          <w:bCs/>
          <w:color w:val="000000"/>
          <w:kern w:val="0"/>
          <w:sz w:val="32"/>
          <w:szCs w:val="32"/>
          <w:lang w:val="en-US" w:eastAsia="zh-CN" w:bidi="ar-SA"/>
        </w:rPr>
        <w:t>3、</w:t>
      </w:r>
      <w:r>
        <w:rPr>
          <w:rFonts w:hint="eastAsia" w:ascii="仿宋_GB2312" w:hAnsi="Calibri" w:eastAsia="仿宋_GB2312" w:cs="仿宋"/>
          <w:b/>
          <w:bCs/>
          <w:color w:val="000000"/>
          <w:kern w:val="0"/>
          <w:sz w:val="32"/>
          <w:szCs w:val="32"/>
          <w:lang w:val="zh-CN" w:eastAsia="zh-CN" w:bidi="ar-SA"/>
        </w:rPr>
        <w:t>整体绩效</w:t>
      </w:r>
    </w:p>
    <w:p>
      <w:pPr>
        <w:pageBreakBefore w:val="0"/>
        <w:kinsoku/>
        <w:wordWrap/>
        <w:overflowPunct/>
        <w:topLinePunct w:val="0"/>
        <w:bidi w:val="0"/>
        <w:spacing w:line="560" w:lineRule="exact"/>
        <w:ind w:left="0" w:leftChars="0" w:firstLine="640" w:firstLineChars="200"/>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全面推进各项重点工作，较好地完成了各项目标任务。整体支出绩效评价指标体系自评得分93分，部门整体支出绩效为“优秀”。</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77" w:name="_Toc17459"/>
      <w:r>
        <w:rPr>
          <w:rFonts w:hint="eastAsia" w:ascii="黑体" w:hAnsi="黑体" w:eastAsia="黑体" w:cs="黑体"/>
          <w:b w:val="0"/>
          <w:bCs w:val="0"/>
        </w:rPr>
        <w:t>四、评价结论及建议</w:t>
      </w:r>
      <w:bookmarkEnd w:id="77"/>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（一）评价结论</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科学合理编制预算，严格执行预算。科学合理编制预算，</w:t>
      </w:r>
      <w:r>
        <w:rPr>
          <w:rFonts w:hint="eastAsia" w:ascii="仿宋_GB2312" w:hAnsi="Calibri" w:eastAsia="仿宋_GB2312" w:cs="仿宋"/>
          <w:color w:val="000000"/>
          <w:kern w:val="0"/>
          <w:sz w:val="32"/>
          <w:szCs w:val="32"/>
          <w:lang w:val="en-US" w:eastAsia="zh-CN" w:bidi="ar-SA"/>
        </w:rPr>
        <w:t>保证完整性、真实性、合法性。</w:t>
      </w:r>
      <w:r>
        <w:rPr>
          <w:rFonts w:hint="eastAsia" w:ascii="仿宋_GB2312" w:hAnsi="Calibri" w:eastAsia="仿宋_GB2312" w:cs="仿宋"/>
          <w:color w:val="000000"/>
          <w:kern w:val="0"/>
          <w:sz w:val="32"/>
          <w:szCs w:val="32"/>
          <w:lang w:val="zh-CN" w:eastAsia="zh-CN" w:bidi="ar-SA"/>
        </w:rPr>
        <w:t>可见附件</w:t>
      </w:r>
      <w:r>
        <w:rPr>
          <w:rFonts w:hint="eastAsia" w:ascii="仿宋_GB2312" w:hAnsi="Calibri" w:eastAsia="仿宋_GB2312" w:cs="仿宋"/>
          <w:color w:val="000000"/>
          <w:kern w:val="0"/>
          <w:sz w:val="32"/>
          <w:szCs w:val="32"/>
          <w:lang w:val="en-US" w:eastAsia="zh-CN" w:bidi="ar-SA"/>
        </w:rPr>
        <w:t>。</w:t>
      </w:r>
    </w:p>
    <w:tbl>
      <w:tblPr>
        <w:tblStyle w:val="17"/>
        <w:tblW w:w="9420" w:type="dxa"/>
        <w:tblInd w:w="0" w:type="dxa"/>
        <w:shd w:val="clear" w:color="auto" w:fill="auto"/>
        <w:tblLayout w:type="autofit"/>
        <w:tblCellMar>
          <w:top w:w="0" w:type="dxa"/>
          <w:left w:w="0" w:type="dxa"/>
          <w:bottom w:w="0" w:type="dxa"/>
          <w:right w:w="0" w:type="dxa"/>
        </w:tblCellMar>
      </w:tblPr>
      <w:tblGrid>
        <w:gridCol w:w="750"/>
        <w:gridCol w:w="1215"/>
        <w:gridCol w:w="1215"/>
        <w:gridCol w:w="540"/>
        <w:gridCol w:w="1680"/>
        <w:gridCol w:w="1680"/>
        <w:gridCol w:w="1680"/>
        <w:gridCol w:w="660"/>
      </w:tblGrid>
      <w:tr>
        <w:tblPrEx>
          <w:shd w:val="clear" w:color="auto" w:fill="auto"/>
          <w:tblCellMar>
            <w:top w:w="0" w:type="dxa"/>
            <w:left w:w="0" w:type="dxa"/>
            <w:bottom w:w="0" w:type="dxa"/>
            <w:right w:w="0" w:type="dxa"/>
          </w:tblCellMar>
        </w:tblPrEx>
        <w:trPr>
          <w:trHeight w:val="807" w:hRule="atLeast"/>
        </w:trPr>
        <w:tc>
          <w:tcPr>
            <w:tcW w:w="942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壤塘县尕多乡2022年度部门整体支出绩效评价指标体系表</w:t>
            </w:r>
          </w:p>
        </w:tc>
      </w:tr>
      <w:tr>
        <w:tblPrEx>
          <w:tblCellMar>
            <w:top w:w="0" w:type="dxa"/>
            <w:left w:w="0" w:type="dxa"/>
            <w:bottom w:w="0" w:type="dxa"/>
            <w:right w:w="0" w:type="dxa"/>
          </w:tblCellMar>
        </w:tblPrEx>
        <w:trPr>
          <w:trHeight w:val="52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分值</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指标解释</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评分标准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得分说明</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自评得分</w:t>
            </w:r>
          </w:p>
        </w:tc>
      </w:tr>
      <w:tr>
        <w:tblPrEx>
          <w:tblCellMar>
            <w:top w:w="0" w:type="dxa"/>
            <w:left w:w="0" w:type="dxa"/>
            <w:bottom w:w="0" w:type="dxa"/>
            <w:right w:w="0" w:type="dxa"/>
          </w:tblCellMar>
        </w:tblPrEx>
        <w:trPr>
          <w:trHeight w:val="122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（10分）</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预算管理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预算编制（5分）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预算安排准确性</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反映部门（单位）年初预算安排的准确性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指标得分=（预算资金总来源-中期评估调整取消资金-预算结余注销资金）/预算资金总来源*指标分值，预算资金总来源是指年初预算与执行中追加预算（不含当年中央、省专款）总和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2022年年初预算790.40万元为元，调整预算数为2571.74万元，增加预算数为1781.34万元，今年一般公共财政拨款收入2571.74万元，其中包含上年度一般公共财政拨款2571.74万元、政府性基金预算财政拨款0万元，年末支出决算数为2920.97元。预算安排较为准确。</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执行进度（5分）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部门总体执行进度</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部门（单位）按要求严格预算管理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部门总体执行进度达96%以上，不扣分；达92%以上，按80%打分；达88%以上，按60%打分；未达到88%，不得分。</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部门总体执行进度=财政拨款执行数÷财政拨款调整预算数，财政拨款包括当年一般公共预算财政拨款数和政府性基金预算财政拨款数、上年结转一般公共预算财政拨款数和政府性基金预算财政拨款数以及通过收回的存量资金再安排的预算数。调整预算数不包括年终时已进入政府采购程序的项目和跨年度执行的基建项目。</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本单位</w:t>
            </w:r>
            <w:r>
              <w:rPr>
                <w:rFonts w:hint="eastAsia" w:ascii="宋体" w:hAnsi="宋体" w:eastAsia="宋体" w:cs="宋体"/>
                <w:i w:val="0"/>
                <w:color w:val="000000"/>
                <w:kern w:val="0"/>
                <w:sz w:val="15"/>
                <w:szCs w:val="15"/>
                <w:u w:val="none"/>
                <w:lang w:val="en-US" w:eastAsia="zh-CN" w:bidi="ar"/>
              </w:rPr>
              <w:t>财政拨款执行数为2920.97万元，财政拨款预算调整数合计为2920.97万元，其中一般公共财政拨款收入2571.74万元，年末结转结余04元。总体执行进度为100%。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r>
      <w:tr>
        <w:tblPrEx>
          <w:tblCellMar>
            <w:top w:w="0" w:type="dxa"/>
            <w:left w:w="0" w:type="dxa"/>
            <w:bottom w:w="0" w:type="dxa"/>
            <w:right w:w="0" w:type="dxa"/>
          </w:tblCellMar>
        </w:tblPrEx>
        <w:trPr>
          <w:trHeight w:val="122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（10分）</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目标管理</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绩效目标（10分）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目标填报</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考核部门是否按要求编制专项资金、部门专项类项目绩效目标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应编制绩效目标的专项类项目、专项资金未按要求申报绩效目标，发现1个项目扣0.5分；填报内容不规范，发现1处扣0.5分。直至扣完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壤塘县尕多乡蔬菜基地排水泄涝基础设施建设项目、尕多乡综合会议室内部装修和设备采购、尕多乡尕多村标准室内篮球场建设（村集体经济）、2022年尕多村砂石资源规范化加工设备采购项目等均按要求编制项目绩效目标。</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目标量化</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考核部门申报绩效目标的量化程度</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专项类项目、专项资金设定的产出指标均应量化，效果指标中应至少50%以上量化指标。发现1个项目未达到要求扣0.5分，直至扣完。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壤塘县尕多乡蔬菜基地排水泄涝基础设施建设项目、尕多乡综合会议室内部装修和设备采购、尕多乡尕多村标准室内篮球场建设（村集体经济）、2022年尕多村砂石资源规范化加工设备采购项目等，完成率达97%</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目标匹配</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考核部门申报的绩效目标是否与部门职能职责相关</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专项类项目、专项资金设定的绩效目标与部门职能职责不一致的，发现一个项目扣1分，直至扣完。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尕多乡政府所申报的绩效目标与部门职责相一致，匹配度很高。</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4.3</w:t>
            </w:r>
          </w:p>
        </w:tc>
      </w:tr>
      <w:tr>
        <w:tblPrEx>
          <w:tblCellMar>
            <w:top w:w="0" w:type="dxa"/>
            <w:left w:w="0" w:type="dxa"/>
            <w:bottom w:w="0" w:type="dxa"/>
            <w:right w:w="0" w:type="dxa"/>
          </w:tblCellMar>
        </w:tblPrEx>
        <w:trPr>
          <w:trHeight w:val="122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（10分）</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部门管理</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基础管理（4分）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管理制度健全性</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部门（单位）为加强预算管理、推进厉行节约、规范财务行为而制定的管理制度是否健全完整</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是否已制定或具有预算资金管理办法、厉行节约管理措施、内部财务管理制度、会计核算制度等管理制度；相关管理制度是否合法、合规、完整；相关管理制度是否得到有效执行。定性评价。</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壤塘县尕多乡人民政府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资金使用合规性</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部门（单位）使用预算资金是否符合相关的预算财务管理制度的规定</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是否符合国家财经法规和财务管理制度规定以及有关专项资金管理办法的规定；资金的拨付是否有完整的审批程序和手续；项目的重大开支是否经过评估论证；是否符合部门预算批复的用途；是否存在截留、挤占、挪用、虚列支出等情况。发现一个问题点扣0.25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1.所有经费开支</w:t>
            </w:r>
            <w:r>
              <w:rPr>
                <w:rFonts w:hint="eastAsia" w:ascii="宋体" w:hAnsi="宋体" w:cs="宋体"/>
                <w:i w:val="0"/>
                <w:color w:val="000000"/>
                <w:kern w:val="0"/>
                <w:sz w:val="15"/>
                <w:szCs w:val="15"/>
                <w:u w:val="none"/>
                <w:lang w:val="en-US" w:eastAsia="zh-CN" w:bidi="ar"/>
              </w:rPr>
              <w:t>由</w:t>
            </w:r>
            <w:r>
              <w:rPr>
                <w:rFonts w:hint="eastAsia" w:ascii="宋体" w:hAnsi="宋体" w:eastAsia="宋体" w:cs="宋体"/>
                <w:i w:val="0"/>
                <w:color w:val="000000"/>
                <w:kern w:val="0"/>
                <w:sz w:val="15"/>
                <w:szCs w:val="15"/>
                <w:u w:val="none"/>
                <w:lang w:val="en-US" w:eastAsia="zh-CN" w:bidi="ar"/>
              </w:rPr>
              <w:t>财务审批制度，重大资金支出（日常公用经费在1万元及以上）由党组会、职工大会、村两委会议研究决定。</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2.在报销经费时，经办人使用统一规范的审批单，在审批单上写明用途、经办人员、股室负责人、财务负责人、单位领导、金额、报销日期等内容</w:t>
            </w:r>
            <w:r>
              <w:rPr>
                <w:rFonts w:hint="eastAsia" w:ascii="宋体" w:hAnsi="宋体" w:cs="宋体"/>
                <w:i w:val="0"/>
                <w:color w:val="000000"/>
                <w:kern w:val="0"/>
                <w:sz w:val="15"/>
                <w:szCs w:val="15"/>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财务监控有效性</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考察部门是否对部门内部、各所属单位，专项资金分配的区（市）县或项目实施主体进行工作监督和定期考核。</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对部门内部、下属单位、分配的专项资金①制定明确的财务监控监督措施，得1分；②监控、监督措施执行有效，得1分。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财务科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行政成本（1分）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“三公”经费控制</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当年“三公”经费预算与当年决算比，反映“三公”经费控制情况</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部门“三公”经费决算数一项超预算扣0.5分，两项扣1分。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年初“三公”经费公务用车运行维护费5万元，公务用车运行维护费5万元，未超过预算支出数。</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政府采购（1分）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采购规范性</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考察政府采购项目 的采购程序、 采购方式的规范性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采购方式、程序中每一点不规范，扣 0. 5 分，直至扣完。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2022年尕多乡人民政府采购工程支出542.47万元，严格按照《四川省政府集中采购目录及标准》的通知执行。</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资产管理（2分）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固定资产在用率</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部门实际在用固定资产总额与所有固定资产总额的比率， 用以反映和考核部门固定资产使用效率及程度。</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固定资产在用率=（实际在用固定资产总额/所有固定资产总额）×100%。 固定资产在用率达到 95%以上得满分。 相较95%，每降低 5个百分点扣1分，直至扣完。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2022年12月31日，壤塘县尕多乡人民政府《行政单位资产管理系统》固定资产总计378.37万元，在用的固定资产总计378.37万元，固定资产在用率达100%。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信息公开（2分）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信息公开</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除涉密单位和信息外，考核部门（单位）是否按财政要求及时完成预算、决算、绩效等信息公开工作</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一项公开工作未完成的扣1分，直至扣完。</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信息公开。壤塘县尕多乡已经按财政要求及时完成预算、决算、绩效等信息公开工作，信息公开在壤塘县门户网站中。</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r>
      <w:tr>
        <w:tblPrEx>
          <w:tblCellMar>
            <w:top w:w="0" w:type="dxa"/>
            <w:left w:w="0" w:type="dxa"/>
            <w:bottom w:w="0" w:type="dxa"/>
            <w:right w:w="0" w:type="dxa"/>
          </w:tblCellMar>
        </w:tblPrEx>
        <w:trPr>
          <w:trHeight w:val="122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（70分）</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履职效能</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重点任务一</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任务完成率</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得分=分值×实际完成任务量/绩效目标设定任务量×100%。实际完成任务量大于绩效目标设定任务量得满分。</w:t>
            </w:r>
          </w:p>
        </w:tc>
        <w:tc>
          <w:tcPr>
            <w:tcW w:w="16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1.履职效能指标设定，由部门根据职能职责、年度工作计划等梳理年度重点工作任务。各项重点任务分值，由部门根据任务重要性在总权重分值（70分）中分配。</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2.重点任务指标设定，应根据相关重点任务实际情况，设置具体三级指标。其中，</w:t>
            </w:r>
            <w:r>
              <w:rPr>
                <w:rFonts w:hint="eastAsia" w:ascii="宋体" w:hAnsi="宋体" w:eastAsia="宋体" w:cs="宋体"/>
                <w:i w:val="0"/>
                <w:color w:val="000000"/>
                <w:kern w:val="0"/>
                <w:sz w:val="15"/>
                <w:szCs w:val="15"/>
                <w:u w:val="none"/>
                <w:lang w:val="en-US" w:eastAsia="zh-CN" w:bidi="ar"/>
              </w:rPr>
              <w:t>任务完成率和满意度指标是共性指标，每一项重点任务均应设定，共性指标分值应占该重点任务重分值的40%（任务完成率和满意度指标各占20%，如该重点任务不适合做满意度调查，可不设满意度指标，满意度分值合并到任务完成率指标）。关键绩效指标为个性指标，根据具体任务实际确定，每项重点任务至少设定2个关键业绩指标，量化指标不少于1个，个性指标分值应占该重点任务重分值的60%，由部门按指标重要性进行分配。</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r>
              <w:rPr>
                <w:rFonts w:hint="eastAsia" w:ascii="宋体" w:hAnsi="宋体" w:cs="宋体"/>
                <w:i w:val="0"/>
                <w:color w:val="000000"/>
                <w:kern w:val="0"/>
                <w:sz w:val="15"/>
                <w:szCs w:val="15"/>
                <w:u w:val="none"/>
                <w:lang w:val="en-US" w:eastAsia="zh-CN" w:bidi="ar"/>
              </w:rPr>
              <w:t>申请</w:t>
            </w:r>
            <w:r>
              <w:rPr>
                <w:rFonts w:hint="eastAsia" w:ascii="宋体" w:hAnsi="宋体" w:eastAsia="宋体" w:cs="宋体"/>
                <w:i w:val="0"/>
                <w:color w:val="000000"/>
                <w:kern w:val="0"/>
                <w:sz w:val="15"/>
                <w:szCs w:val="15"/>
                <w:u w:val="none"/>
                <w:lang w:val="en-US" w:eastAsia="zh-CN" w:bidi="ar"/>
              </w:rPr>
              <w:t>五保户</w:t>
            </w:r>
            <w:r>
              <w:rPr>
                <w:rFonts w:hint="eastAsia" w:ascii="宋体" w:hAnsi="宋体" w:cs="宋体"/>
                <w:i w:val="0"/>
                <w:color w:val="000000"/>
                <w:kern w:val="0"/>
                <w:sz w:val="15"/>
                <w:szCs w:val="15"/>
                <w:u w:val="none"/>
                <w:lang w:val="en-US" w:eastAsia="zh-CN" w:bidi="ar"/>
              </w:rPr>
              <w:t>等人员的救助，对其</w:t>
            </w:r>
            <w:r>
              <w:rPr>
                <w:rFonts w:hint="eastAsia" w:ascii="宋体" w:hAnsi="宋体" w:eastAsia="宋体" w:cs="宋体"/>
                <w:i w:val="0"/>
                <w:color w:val="000000"/>
                <w:kern w:val="0"/>
                <w:sz w:val="15"/>
                <w:szCs w:val="15"/>
                <w:u w:val="none"/>
                <w:lang w:val="en-US" w:eastAsia="zh-CN" w:bidi="ar"/>
              </w:rPr>
              <w:t>生产生活，做到应保尽保。</w:t>
            </w:r>
            <w:r>
              <w:rPr>
                <w:rFonts w:hint="eastAsia" w:ascii="宋体" w:hAnsi="宋体" w:cs="宋体"/>
                <w:i w:val="0"/>
                <w:color w:val="000000"/>
                <w:kern w:val="0"/>
                <w:sz w:val="15"/>
                <w:szCs w:val="15"/>
                <w:u w:val="none"/>
                <w:lang w:val="en-US" w:eastAsia="zh-CN" w:bidi="ar"/>
              </w:rPr>
              <w:t>兑现</w:t>
            </w:r>
            <w:r>
              <w:rPr>
                <w:rFonts w:hint="eastAsia" w:ascii="宋体" w:hAnsi="宋体" w:eastAsia="宋体" w:cs="宋体"/>
                <w:i w:val="0"/>
                <w:color w:val="000000"/>
                <w:kern w:val="0"/>
                <w:sz w:val="15"/>
                <w:szCs w:val="15"/>
                <w:u w:val="none"/>
                <w:lang w:val="en-US" w:eastAsia="zh-CN" w:bidi="ar"/>
              </w:rPr>
              <w:t>各项惠农资金，及时足额兑现到农户手中，确保各项资金不折不扣落实到位。加大农村劳动力技能培训，坚持把开展职业技能培训作为扩大农牧民劳动力就业、提升劳务经济水平的主要举措，先后邀请相关专家和技术人员，举办各类培训9次。</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9.2</w:t>
            </w:r>
          </w:p>
        </w:tc>
      </w:tr>
      <w:tr>
        <w:tblPrEx>
          <w:tblCellMar>
            <w:top w:w="0" w:type="dxa"/>
            <w:left w:w="0" w:type="dxa"/>
            <w:bottom w:w="0" w:type="dxa"/>
            <w:right w:w="0" w:type="dxa"/>
          </w:tblCellMar>
        </w:tblPrEx>
        <w:trPr>
          <w:trHeight w:val="96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服务对象(受益)对象满意度</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根据满意度调查评分</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关键绩效指标一</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关键绩效指标二</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66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w:t>
            </w:r>
          </w:p>
        </w:tc>
      </w:tr>
      <w:tr>
        <w:tblPrEx>
          <w:tblCellMar>
            <w:top w:w="0" w:type="dxa"/>
            <w:left w:w="0" w:type="dxa"/>
            <w:bottom w:w="0" w:type="dxa"/>
            <w:right w:w="0" w:type="dxa"/>
          </w:tblCellMar>
        </w:tblPrEx>
        <w:trPr>
          <w:trHeight w:val="122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重点任务一</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任务完成率</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得分=分值×实际完成任务量/绩效目标设定任务量×100%。实际完成任务量大于绩效目标设定任务量得满分。</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联系群众拉家常、了解群众诉求</w:t>
            </w:r>
            <w:r>
              <w:rPr>
                <w:rFonts w:hint="eastAsia" w:ascii="宋体" w:hAnsi="宋体" w:eastAsia="宋体" w:cs="宋体"/>
                <w:i w:val="0"/>
                <w:color w:val="000000"/>
                <w:kern w:val="0"/>
                <w:sz w:val="15"/>
                <w:szCs w:val="15"/>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9.2</w:t>
            </w:r>
          </w:p>
        </w:tc>
      </w:tr>
      <w:tr>
        <w:tblPrEx>
          <w:tblCellMar>
            <w:top w:w="0" w:type="dxa"/>
            <w:left w:w="0" w:type="dxa"/>
            <w:bottom w:w="0" w:type="dxa"/>
            <w:right w:w="0" w:type="dxa"/>
          </w:tblCellMar>
        </w:tblPrEx>
        <w:trPr>
          <w:trHeight w:val="96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服务对象或受益对象满意度</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根据满意度调查评分</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群众满意度较高</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9.3</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关键绩效指标一</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开展</w:t>
            </w:r>
            <w:r>
              <w:rPr>
                <w:rFonts w:hint="eastAsia" w:ascii="宋体" w:hAnsi="宋体" w:eastAsia="宋体" w:cs="宋体"/>
                <w:i w:val="0"/>
                <w:color w:val="000000"/>
                <w:kern w:val="0"/>
                <w:sz w:val="15"/>
                <w:szCs w:val="15"/>
                <w:u w:val="none"/>
                <w:lang w:val="en-US" w:eastAsia="zh-CN" w:bidi="ar"/>
              </w:rPr>
              <w:t>农牧民群众技能培训，</w:t>
            </w:r>
            <w:r>
              <w:rPr>
                <w:rFonts w:hint="eastAsia" w:ascii="宋体" w:hAnsi="宋体" w:cs="宋体"/>
                <w:i w:val="0"/>
                <w:color w:val="000000"/>
                <w:kern w:val="0"/>
                <w:sz w:val="15"/>
                <w:szCs w:val="15"/>
                <w:u w:val="none"/>
                <w:lang w:val="en-US" w:eastAsia="zh-CN" w:bidi="ar"/>
              </w:rPr>
              <w:t>提升</w:t>
            </w:r>
            <w:r>
              <w:rPr>
                <w:rFonts w:hint="eastAsia" w:ascii="宋体" w:hAnsi="宋体" w:eastAsia="宋体" w:cs="宋体"/>
                <w:i w:val="0"/>
                <w:color w:val="000000"/>
                <w:kern w:val="0"/>
                <w:sz w:val="15"/>
                <w:szCs w:val="15"/>
                <w:u w:val="none"/>
                <w:lang w:val="en-US" w:eastAsia="zh-CN" w:bidi="ar"/>
              </w:rPr>
              <w:t>农牧民就业率。</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w:t>
            </w:r>
          </w:p>
        </w:tc>
      </w:tr>
      <w:tr>
        <w:tblPrEx>
          <w:tblCellMar>
            <w:top w:w="0" w:type="dxa"/>
            <w:left w:w="0" w:type="dxa"/>
            <w:bottom w:w="0" w:type="dxa"/>
            <w:right w:w="0" w:type="dxa"/>
          </w:tblCellMar>
        </w:tblPrEx>
        <w:trPr>
          <w:trHeight w:val="2905"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5"/>
                <w:szCs w:val="15"/>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关键绩效指标二</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16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left"/>
              <w:rPr>
                <w:rFonts w:hint="eastAsia" w:ascii="宋体" w:hAnsi="宋体" w:eastAsia="宋体" w:cs="宋体"/>
                <w:i w:val="0"/>
                <w:color w:val="000000"/>
                <w:sz w:val="15"/>
                <w:szCs w:val="15"/>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所有惠民工程都及时拨付到位，工程进度也按照合同顺利</w:t>
            </w:r>
            <w:r>
              <w:rPr>
                <w:rFonts w:hint="eastAsia" w:ascii="宋体" w:hAnsi="宋体" w:cs="宋体"/>
                <w:i w:val="0"/>
                <w:color w:val="000000"/>
                <w:kern w:val="0"/>
                <w:sz w:val="15"/>
                <w:szCs w:val="15"/>
                <w:u w:val="none"/>
                <w:lang w:val="en-US" w:eastAsia="zh-CN" w:bidi="ar"/>
              </w:rPr>
              <w:t>实施</w:t>
            </w:r>
            <w:r>
              <w:rPr>
                <w:rFonts w:hint="eastAsia" w:ascii="宋体" w:hAnsi="宋体" w:eastAsia="宋体" w:cs="宋体"/>
                <w:i w:val="0"/>
                <w:color w:val="000000"/>
                <w:kern w:val="0"/>
                <w:sz w:val="15"/>
                <w:szCs w:val="15"/>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r>
      <w:tr>
        <w:tblPrEx>
          <w:tblCellMar>
            <w:top w:w="0" w:type="dxa"/>
            <w:left w:w="0" w:type="dxa"/>
            <w:bottom w:w="0" w:type="dxa"/>
            <w:right w:w="0" w:type="dxa"/>
          </w:tblCellMar>
        </w:tblPrEx>
        <w:trPr>
          <w:trHeight w:val="878" w:hRule="atLeast"/>
        </w:trPr>
        <w:tc>
          <w:tcPr>
            <w:tcW w:w="31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bidi w:val="0"/>
              <w:spacing w:line="560" w:lineRule="exact"/>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suppressLineNumbers w:val="0"/>
              <w:kinsoku/>
              <w:wordWrap/>
              <w:overflowPunct/>
              <w:topLinePunct w:val="0"/>
              <w:bidi w:val="0"/>
              <w:spacing w:line="560" w:lineRule="exact"/>
              <w:ind w:left="0" w:leftChars="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3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8"/>
                <w:szCs w:val="18"/>
                <w:u w:val="none"/>
              </w:rPr>
            </w:pPr>
          </w:p>
        </w:tc>
        <w:tc>
          <w:tcPr>
            <w:tcW w:w="16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line="560" w:lineRule="exact"/>
              <w:ind w:left="0" w:leftChars="0"/>
              <w:jc w:val="center"/>
              <w:rPr>
                <w:rFonts w:hint="eastAsia" w:ascii="宋体" w:hAnsi="宋体" w:eastAsia="宋体" w:cs="宋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suppressLineNumbers w:val="0"/>
              <w:kinsoku/>
              <w:wordWrap/>
              <w:overflowPunct/>
              <w:topLinePunct w:val="0"/>
              <w:bidi w:val="0"/>
              <w:spacing w:line="560" w:lineRule="exact"/>
              <w:ind w:left="0" w:leftChars="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r>
    </w:tbl>
    <w:p>
      <w:pPr>
        <w:pageBreakBefore w:val="0"/>
        <w:kinsoku/>
        <w:wordWrap/>
        <w:overflowPunct/>
        <w:topLinePunct w:val="0"/>
        <w:bidi w:val="0"/>
        <w:spacing w:line="560" w:lineRule="exact"/>
        <w:ind w:left="0" w:leftChars="0"/>
        <w:rPr>
          <w:rFonts w:hint="eastAsia" w:ascii="仿宋_GB2312" w:hAnsi="Calibri" w:eastAsia="仿宋_GB2312" w:cs="仿宋"/>
          <w:color w:val="000000"/>
          <w:kern w:val="0"/>
          <w:sz w:val="32"/>
          <w:szCs w:val="32"/>
          <w:lang w:val="en-US" w:eastAsia="zh-CN" w:bidi="ar-SA"/>
        </w:rPr>
      </w:pP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（二）存在问题</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1、预算编制不够精确；</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2、对绩效运行监控还不到位；</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3</w:t>
      </w:r>
      <w:r>
        <w:rPr>
          <w:rFonts w:hint="eastAsia" w:ascii="仿宋_GB2312" w:hAnsi="Calibri" w:eastAsia="仿宋_GB2312" w:cs="仿宋"/>
          <w:color w:val="000000"/>
          <w:kern w:val="0"/>
          <w:sz w:val="32"/>
          <w:szCs w:val="32"/>
          <w:lang w:val="zh-CN" w:eastAsia="zh-CN" w:bidi="ar-SA"/>
        </w:rPr>
        <w:t>、预算编制不够精确，因前期准备工作不完善或不可抗力因素影响，部分财政资金紧张，存在中期调整取消资金的情况，预算执行进度有待进一步提高；</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4</w:t>
      </w:r>
      <w:r>
        <w:rPr>
          <w:rFonts w:hint="eastAsia" w:ascii="仿宋_GB2312" w:hAnsi="Calibri" w:eastAsia="仿宋_GB2312" w:cs="仿宋"/>
          <w:color w:val="000000"/>
          <w:kern w:val="0"/>
          <w:sz w:val="32"/>
          <w:szCs w:val="32"/>
          <w:lang w:val="zh-CN" w:eastAsia="zh-CN" w:bidi="ar-SA"/>
        </w:rPr>
        <w:t>、办公用品耗材使用量大，存在一定浪费的情况。</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5.</w:t>
      </w:r>
      <w:r>
        <w:rPr>
          <w:rFonts w:hint="eastAsia" w:ascii="仿宋_GB2312" w:hAnsi="Calibri" w:eastAsia="仿宋_GB2312" w:cs="仿宋"/>
          <w:color w:val="000000"/>
          <w:kern w:val="0"/>
          <w:sz w:val="32"/>
          <w:szCs w:val="32"/>
          <w:lang w:val="zh-CN" w:eastAsia="zh-CN" w:bidi="ar-SA"/>
        </w:rPr>
        <w:t>账务处理和管理制度待加强完善规范，资产管理待加强。</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（三）改进建议</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1、加强编制预算工作的能力，统筹计划，以减少预决算差额；</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2、我们将进一步提高预算绩效管理认识，强化以“绩效为中心、对支出结果负责、对社会公众负责”的理念，优化预算绩效管理方式，强化绩效结果运用；</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3、</w:t>
      </w:r>
      <w:r>
        <w:rPr>
          <w:rFonts w:hint="eastAsia" w:ascii="仿宋_GB2312" w:hAnsi="Calibri" w:eastAsia="仿宋_GB2312" w:cs="仿宋"/>
          <w:color w:val="000000"/>
          <w:kern w:val="0"/>
          <w:sz w:val="32"/>
          <w:szCs w:val="32"/>
          <w:lang w:val="zh-CN" w:eastAsia="zh-CN" w:bidi="ar-SA"/>
        </w:rPr>
        <w:t>强调成本效益，硬化责任约束，健全绩效管理反馈体系，提高财政资金的配置效率和使用效益，提升部门的绩效管理水准；</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4</w:t>
      </w:r>
      <w:r>
        <w:rPr>
          <w:rFonts w:hint="eastAsia" w:ascii="仿宋_GB2312" w:hAnsi="Calibri" w:eastAsia="仿宋_GB2312" w:cs="仿宋"/>
          <w:color w:val="000000"/>
          <w:kern w:val="0"/>
          <w:sz w:val="32"/>
          <w:szCs w:val="32"/>
          <w:lang w:val="zh-CN" w:eastAsia="zh-CN" w:bidi="ar-SA"/>
        </w:rPr>
        <w:t>、加强编制预算工作的能力，统筹计划，以减少预决算差额，进一步提高预算绩效管理认识，强化以“绩效为中心、对支出结果负责、对社会公众负责”的理念，优化预算绩效管理方式，强化绩效结果运用；</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w:t>
      </w:r>
      <w:r>
        <w:rPr>
          <w:rFonts w:hint="eastAsia" w:ascii="仿宋_GB2312" w:hAnsi="Calibri" w:eastAsia="仿宋_GB2312" w:cs="仿宋"/>
          <w:color w:val="000000"/>
          <w:kern w:val="0"/>
          <w:sz w:val="32"/>
          <w:szCs w:val="32"/>
          <w:lang w:val="zh-CN" w:eastAsia="zh-CN" w:bidi="ar-SA"/>
        </w:rPr>
        <w:t>、强调成本效益，硬化责任约束，健全绩效管理反馈体系，提高财政资金的配置效率和使用效益，提升部门的绩效管理水准；</w:t>
      </w:r>
      <w:r>
        <w:rPr>
          <w:rFonts w:hint="eastAsia" w:ascii="仿宋_GB2312" w:hAnsi="Calibri" w:eastAsia="仿宋_GB2312" w:cs="仿宋"/>
          <w:color w:val="000000"/>
          <w:kern w:val="0"/>
          <w:sz w:val="32"/>
          <w:szCs w:val="32"/>
          <w:lang w:val="en-US" w:eastAsia="zh-CN" w:bidi="ar-SA"/>
        </w:rPr>
        <w:t xml:space="preserve">            </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6、加强资金使用的计划性，建立支出进度监控机制，严格执行</w:t>
      </w:r>
      <w:r>
        <w:rPr>
          <w:rFonts w:hint="eastAsia" w:ascii="仿宋_GB2312" w:hAnsi="Calibri" w:eastAsia="仿宋_GB2312" w:cs="仿宋"/>
          <w:color w:val="000000"/>
          <w:kern w:val="0"/>
          <w:sz w:val="32"/>
          <w:szCs w:val="32"/>
          <w:lang w:val="zh-CN" w:eastAsia="zh-CN" w:bidi="ar-SA"/>
        </w:rPr>
        <w:t>相关采购支付流程，加快进度。</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p>
    <w:p>
      <w:pPr>
        <w:pageBreakBefore w:val="0"/>
        <w:kinsoku/>
        <w:wordWrap/>
        <w:overflowPunct/>
        <w:topLinePunct w:val="0"/>
        <w:bidi w:val="0"/>
        <w:spacing w:line="560" w:lineRule="exact"/>
        <w:ind w:left="0" w:leftChars="0"/>
        <w:jc w:val="left"/>
        <w:outlineLvl w:val="0"/>
        <w:rPr>
          <w:rFonts w:hint="eastAsia" w:ascii="黑体" w:hAnsi="黑体" w:eastAsia="黑体" w:cs="黑体"/>
          <w:b w:val="0"/>
          <w:bCs w:val="0"/>
          <w:kern w:val="2"/>
          <w:sz w:val="32"/>
          <w:szCs w:val="32"/>
          <w:lang w:val="en-US" w:eastAsia="zh-CN" w:bidi="ar-SA"/>
        </w:rPr>
      </w:pPr>
      <w:bookmarkStart w:id="78" w:name="_Toc79163633"/>
      <w:bookmarkStart w:id="79" w:name="_Toc79163883"/>
      <w:bookmarkStart w:id="80" w:name="_Toc30396"/>
    </w:p>
    <w:p>
      <w:pPr>
        <w:pStyle w:val="2"/>
        <w:rPr>
          <w:rFonts w:hint="eastAsia" w:ascii="黑体" w:hAnsi="黑体" w:eastAsia="黑体" w:cs="黑体"/>
          <w:b w:val="0"/>
          <w:bCs w:val="0"/>
          <w:kern w:val="2"/>
          <w:sz w:val="32"/>
          <w:szCs w:val="32"/>
          <w:lang w:val="en-US" w:eastAsia="zh-CN" w:bidi="ar-SA"/>
        </w:rPr>
      </w:pPr>
    </w:p>
    <w:p>
      <w:pPr>
        <w:pStyle w:val="2"/>
        <w:rPr>
          <w:rFonts w:hint="eastAsia" w:ascii="黑体" w:hAnsi="黑体" w:eastAsia="黑体" w:cs="黑体"/>
          <w:b w:val="0"/>
          <w:bCs w:val="0"/>
          <w:kern w:val="2"/>
          <w:sz w:val="32"/>
          <w:szCs w:val="32"/>
          <w:lang w:val="en-US" w:eastAsia="zh-CN" w:bidi="ar-SA"/>
        </w:rPr>
      </w:pPr>
      <w:bookmarkStart w:id="107" w:name="_GoBack"/>
      <w:bookmarkEnd w:id="107"/>
    </w:p>
    <w:p>
      <w:pPr>
        <w:pageBreakBefore w:val="0"/>
        <w:kinsoku/>
        <w:wordWrap/>
        <w:overflowPunct/>
        <w:topLinePunct w:val="0"/>
        <w:bidi w:val="0"/>
        <w:spacing w:line="560" w:lineRule="exact"/>
        <w:ind w:left="0" w:leftChars="0"/>
        <w:jc w:val="left"/>
        <w:outlineLvl w:val="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附件2</w:t>
      </w:r>
      <w:bookmarkEnd w:id="78"/>
      <w:bookmarkEnd w:id="79"/>
      <w:bookmarkEnd w:id="80"/>
    </w:p>
    <w:p>
      <w:pPr>
        <w:pageBreakBefore w:val="0"/>
        <w:kinsoku/>
        <w:wordWrap/>
        <w:overflowPunct/>
        <w:topLinePunct w:val="0"/>
        <w:bidi w:val="0"/>
        <w:spacing w:line="560" w:lineRule="exact"/>
        <w:ind w:left="0" w:leftChars="0" w:firstLine="640" w:firstLineChars="200"/>
        <w:rPr>
          <w:rFonts w:ascii="仿宋_GB2312" w:hAnsi="仿宋_GB2312" w:eastAsia="仿宋_GB2312" w:cs="仿宋_GB2312"/>
          <w:sz w:val="32"/>
          <w:szCs w:val="32"/>
          <w:highlight w:val="yellow"/>
        </w:rPr>
      </w:pPr>
    </w:p>
    <w:p>
      <w:pPr>
        <w:pStyle w:val="3"/>
        <w:pageBreakBefore w:val="0"/>
        <w:kinsoku/>
        <w:wordWrap/>
        <w:overflowPunct/>
        <w:topLinePunct w:val="0"/>
        <w:bidi w:val="0"/>
        <w:spacing w:before="0" w:after="0" w:line="560" w:lineRule="exact"/>
        <w:ind w:left="0" w:leftChars="0"/>
        <w:jc w:val="center"/>
        <w:rPr>
          <w:rFonts w:hint="eastAsia" w:ascii="方正小标宋_GBK" w:hAnsi="方正小标宋_GBK" w:eastAsia="方正小标宋_GBK" w:cs="方正小标宋_GBK"/>
          <w:b w:val="0"/>
          <w:bCs w:val="0"/>
          <w:lang w:val="zh-CN"/>
        </w:rPr>
      </w:pPr>
      <w:bookmarkStart w:id="81" w:name="_Toc15160"/>
      <w:r>
        <w:rPr>
          <w:rFonts w:hint="eastAsia" w:ascii="方正小标宋_GBK" w:hAnsi="方正小标宋_GBK" w:eastAsia="方正小标宋_GBK" w:cs="方正小标宋_GBK"/>
          <w:b w:val="0"/>
          <w:bCs w:val="0"/>
          <w:lang w:eastAsia="zh-CN"/>
        </w:rPr>
        <w:t>壤塘县尕多乡项目202</w:t>
      </w:r>
      <w:r>
        <w:rPr>
          <w:rFonts w:hint="eastAsia" w:ascii="方正小标宋_GBK" w:hAnsi="方正小标宋_GBK" w:eastAsia="方正小标宋_GBK" w:cs="方正小标宋_GBK"/>
          <w:b w:val="0"/>
          <w:bCs w:val="0"/>
          <w:lang w:val="en-US" w:eastAsia="zh-CN"/>
        </w:rPr>
        <w:t>2</w:t>
      </w:r>
      <w:r>
        <w:rPr>
          <w:rFonts w:hint="eastAsia" w:ascii="方正小标宋_GBK" w:hAnsi="方正小标宋_GBK" w:eastAsia="方正小标宋_GBK" w:cs="方正小标宋_GBK"/>
          <w:b w:val="0"/>
          <w:bCs w:val="0"/>
        </w:rPr>
        <w:t>年</w:t>
      </w:r>
      <w:r>
        <w:rPr>
          <w:rFonts w:hint="eastAsia" w:ascii="方正小标宋_GBK" w:hAnsi="方正小标宋_GBK" w:eastAsia="方正小标宋_GBK" w:cs="方正小标宋_GBK"/>
          <w:b w:val="0"/>
          <w:bCs w:val="0"/>
          <w:lang w:val="zh-CN"/>
        </w:rPr>
        <w:t>绩效评价报告</w:t>
      </w:r>
      <w:bookmarkEnd w:id="81"/>
    </w:p>
    <w:p>
      <w:pPr>
        <w:pageBreakBefore w:val="0"/>
        <w:kinsoku/>
        <w:wordWrap/>
        <w:overflowPunct/>
        <w:topLinePunct w:val="0"/>
        <w:bidi w:val="0"/>
        <w:spacing w:line="560" w:lineRule="exact"/>
        <w:ind w:left="0" w:leftChars="0"/>
        <w:rPr>
          <w:lang w:val="zh-CN"/>
        </w:rPr>
      </w:pPr>
    </w:p>
    <w:p>
      <w:pPr>
        <w:pStyle w:val="5"/>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val="zh-CN"/>
        </w:rPr>
      </w:pPr>
      <w:bookmarkStart w:id="82" w:name="_Toc6699"/>
      <w:r>
        <w:rPr>
          <w:rFonts w:hint="eastAsia" w:ascii="黑体" w:hAnsi="黑体" w:eastAsia="黑体" w:cs="黑体"/>
          <w:b w:val="0"/>
          <w:bCs w:val="0"/>
        </w:rPr>
        <w:t>一、</w:t>
      </w:r>
      <w:r>
        <w:rPr>
          <w:rFonts w:hint="eastAsia" w:ascii="黑体" w:hAnsi="黑体" w:eastAsia="黑体" w:cs="黑体"/>
          <w:b w:val="0"/>
          <w:bCs w:val="0"/>
          <w:lang w:val="zh-CN"/>
        </w:rPr>
        <w:t>项目概况</w:t>
      </w:r>
      <w:bookmarkEnd w:id="82"/>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（一）项目基本情况</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1.</w:t>
      </w:r>
      <w:r>
        <w:rPr>
          <w:rFonts w:hint="eastAsia" w:ascii="仿宋_GB2312" w:hAnsi="Calibri" w:eastAsia="仿宋_GB2312" w:cs="仿宋"/>
          <w:color w:val="000000"/>
          <w:kern w:val="0"/>
          <w:sz w:val="32"/>
          <w:szCs w:val="32"/>
          <w:lang w:val="en-US" w:eastAsia="zh-CN" w:bidi="ar-SA"/>
        </w:rPr>
        <w:t>尕多乡刑木达村基础设施建设项目，</w:t>
      </w:r>
      <w:r>
        <w:rPr>
          <w:rFonts w:hint="eastAsia" w:ascii="仿宋_GB2312" w:hAnsi="Calibri" w:eastAsia="仿宋_GB2312" w:cs="仿宋"/>
          <w:color w:val="000000"/>
          <w:kern w:val="0"/>
          <w:sz w:val="32"/>
          <w:szCs w:val="32"/>
          <w:lang w:val="zh-CN" w:eastAsia="zh-CN" w:bidi="ar-SA"/>
        </w:rPr>
        <w:t>不能满足当前百姓需求，为改善排水沟、挡墙的基础设施，村民强烈要求对排水沟进行建设。</w:t>
      </w:r>
      <w:r>
        <w:rPr>
          <w:rFonts w:hint="eastAsia" w:ascii="仿宋_GB2312" w:hAnsi="Calibri" w:eastAsia="仿宋_GB2312" w:cs="仿宋"/>
          <w:color w:val="000000"/>
          <w:kern w:val="0"/>
          <w:sz w:val="32"/>
          <w:szCs w:val="32"/>
          <w:lang w:val="en-US" w:eastAsia="zh-CN" w:bidi="ar-SA"/>
        </w:rPr>
        <w:t>120万元来建设2</w:t>
      </w:r>
      <w:r>
        <w:rPr>
          <w:rFonts w:hint="eastAsia" w:ascii="仿宋_GB2312" w:hAnsi="Calibri" w:eastAsia="仿宋_GB2312" w:cs="仿宋"/>
          <w:color w:val="000000"/>
          <w:kern w:val="0"/>
          <w:sz w:val="32"/>
          <w:szCs w:val="32"/>
          <w:lang w:val="zh-CN" w:eastAsia="zh-CN" w:bidi="ar-SA"/>
        </w:rPr>
        <w:t>02</w:t>
      </w:r>
      <w:r>
        <w:rPr>
          <w:rFonts w:hint="eastAsia" w:ascii="仿宋_GB2312" w:hAnsi="Calibri" w:eastAsia="仿宋_GB2312" w:cs="仿宋"/>
          <w:color w:val="000000"/>
          <w:kern w:val="0"/>
          <w:sz w:val="32"/>
          <w:szCs w:val="32"/>
          <w:lang w:val="en-US" w:eastAsia="zh-CN" w:bidi="ar-SA"/>
        </w:rPr>
        <w:t>2</w:t>
      </w:r>
      <w:r>
        <w:rPr>
          <w:rFonts w:hint="eastAsia" w:ascii="仿宋_GB2312" w:hAnsi="Calibri" w:eastAsia="仿宋_GB2312" w:cs="仿宋"/>
          <w:color w:val="000000"/>
          <w:kern w:val="0"/>
          <w:sz w:val="32"/>
          <w:szCs w:val="32"/>
          <w:lang w:val="zh-CN" w:eastAsia="zh-CN" w:bidi="ar-SA"/>
        </w:rPr>
        <w:t>年壤塘县尕多乡尕多村脱贫攻坚基础设施提升改造建设项目，</w:t>
      </w:r>
      <w:r>
        <w:rPr>
          <w:rFonts w:hint="eastAsia" w:ascii="仿宋_GB2312" w:hAnsi="Calibri" w:eastAsia="仿宋_GB2312" w:cs="仿宋"/>
          <w:color w:val="000000"/>
          <w:kern w:val="0"/>
          <w:sz w:val="32"/>
          <w:szCs w:val="32"/>
          <w:lang w:val="en-US" w:eastAsia="zh-CN" w:bidi="ar-SA"/>
        </w:rPr>
        <w:t>34万元来2022年尕多村砂石资源规范化加工设备采购</w:t>
      </w:r>
      <w:r>
        <w:rPr>
          <w:rFonts w:hint="eastAsia" w:ascii="仿宋_GB2312" w:hAnsi="Calibri" w:eastAsia="仿宋_GB2312" w:cs="仿宋"/>
          <w:color w:val="000000"/>
          <w:kern w:val="0"/>
          <w:sz w:val="32"/>
          <w:szCs w:val="32"/>
          <w:lang w:val="zh-CN" w:eastAsia="zh-CN" w:bidi="ar-SA"/>
        </w:rPr>
        <w:t>项</w:t>
      </w:r>
      <w:r>
        <w:rPr>
          <w:rFonts w:hint="eastAsia" w:ascii="仿宋_GB2312" w:hAnsi="Calibri" w:eastAsia="仿宋_GB2312" w:cs="仿宋"/>
          <w:color w:val="000000"/>
          <w:kern w:val="0"/>
          <w:sz w:val="32"/>
          <w:szCs w:val="32"/>
          <w:lang w:val="en-US" w:eastAsia="zh-CN" w:bidi="ar-SA"/>
        </w:rPr>
        <w:t>目，40万元来建设</w:t>
      </w:r>
      <w:r>
        <w:rPr>
          <w:rFonts w:hint="eastAsia" w:ascii="仿宋_GB2312" w:hAnsi="Calibri" w:eastAsia="仿宋_GB2312" w:cs="仿宋"/>
          <w:color w:val="000000"/>
          <w:kern w:val="0"/>
          <w:sz w:val="32"/>
          <w:szCs w:val="32"/>
          <w:lang w:val="zh-CN" w:eastAsia="zh-CN" w:bidi="ar-SA"/>
        </w:rPr>
        <w:t>2022年尕多乡果蔬产业示范园建设项目，该几笔项目已立项、符合资金管理办法。</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2.</w:t>
      </w:r>
      <w:r>
        <w:rPr>
          <w:rFonts w:hint="eastAsia" w:ascii="仿宋_GB2312" w:hAnsi="Calibri" w:eastAsia="仿宋_GB2312" w:cs="仿宋"/>
          <w:color w:val="000000"/>
          <w:kern w:val="0"/>
          <w:sz w:val="32"/>
          <w:szCs w:val="32"/>
          <w:lang w:val="zh-CN" w:eastAsia="zh-CN" w:bidi="ar-SA"/>
        </w:rPr>
        <w:t>项目资金申报相符性。尕多乡实施的以上三个项目申报内容是与具体实施内容一致、申报目标合理可行，项目资金申报相符，做到了专款专用。</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3．资金计划及到位情况。</w:t>
      </w:r>
    </w:p>
    <w:p>
      <w:pPr>
        <w:pageBreakBefore w:val="0"/>
        <w:kinsoku/>
        <w:wordWrap/>
        <w:overflowPunct/>
        <w:topLinePunct w:val="0"/>
        <w:bidi w:val="0"/>
        <w:spacing w:line="560" w:lineRule="exact"/>
        <w:ind w:left="0" w:leftChars="0" w:firstLine="640" w:firstLineChars="200"/>
        <w:rPr>
          <w:rFonts w:hint="default"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2022年尕多村砂石资源规范化加工设备采购项目</w:t>
      </w:r>
      <w:r>
        <w:rPr>
          <w:rFonts w:hint="eastAsia" w:ascii="仿宋_GB2312" w:hAnsi="Calibri" w:eastAsia="仿宋_GB2312" w:cs="仿宋"/>
          <w:color w:val="000000"/>
          <w:kern w:val="0"/>
          <w:sz w:val="32"/>
          <w:szCs w:val="32"/>
          <w:lang w:val="zh-CN" w:eastAsia="zh-CN" w:bidi="ar-SA"/>
        </w:rPr>
        <w:t>资金计划及到位情况。该项目总投资</w:t>
      </w:r>
      <w:r>
        <w:rPr>
          <w:rFonts w:hint="eastAsia" w:ascii="仿宋_GB2312" w:hAnsi="Calibri" w:eastAsia="仿宋_GB2312" w:cs="仿宋"/>
          <w:color w:val="000000"/>
          <w:kern w:val="0"/>
          <w:sz w:val="32"/>
          <w:szCs w:val="32"/>
          <w:lang w:val="en-US" w:eastAsia="zh-CN" w:bidi="ar-SA"/>
        </w:rPr>
        <w:t>34万</w:t>
      </w:r>
      <w:r>
        <w:rPr>
          <w:rFonts w:hint="eastAsia" w:ascii="仿宋_GB2312" w:hAnsi="Calibri" w:eastAsia="仿宋_GB2312" w:cs="仿宋"/>
          <w:color w:val="000000"/>
          <w:kern w:val="0"/>
          <w:sz w:val="32"/>
          <w:szCs w:val="32"/>
          <w:lang w:val="zh-CN" w:eastAsia="zh-CN" w:bidi="ar-SA"/>
        </w:rPr>
        <w:t>元，资金来源为</w:t>
      </w:r>
      <w:r>
        <w:rPr>
          <w:rFonts w:hint="eastAsia" w:ascii="仿宋_GB2312" w:hAnsi="Calibri" w:eastAsia="仿宋_GB2312" w:cs="仿宋"/>
          <w:color w:val="000000"/>
          <w:kern w:val="0"/>
          <w:sz w:val="32"/>
          <w:szCs w:val="32"/>
          <w:lang w:val="en-US" w:eastAsia="zh-CN" w:bidi="ar-SA"/>
        </w:rPr>
        <w:t>中央财政衔接推进乡村振兴补助资金</w:t>
      </w:r>
      <w:r>
        <w:rPr>
          <w:rFonts w:hint="eastAsia" w:ascii="仿宋_GB2312" w:hAnsi="Calibri" w:eastAsia="仿宋_GB2312" w:cs="仿宋"/>
          <w:color w:val="000000"/>
          <w:kern w:val="0"/>
          <w:sz w:val="32"/>
          <w:szCs w:val="32"/>
          <w:lang w:val="zh-CN" w:eastAsia="zh-CN" w:bidi="ar-SA"/>
        </w:rPr>
        <w:t>。该项目实际支付</w:t>
      </w:r>
      <w:r>
        <w:rPr>
          <w:rFonts w:hint="eastAsia" w:ascii="仿宋_GB2312" w:hAnsi="Calibri" w:eastAsia="仿宋_GB2312" w:cs="仿宋"/>
          <w:color w:val="000000"/>
          <w:kern w:val="0"/>
          <w:sz w:val="32"/>
          <w:szCs w:val="32"/>
          <w:lang w:val="en-US" w:eastAsia="zh-CN" w:bidi="ar-SA"/>
        </w:rPr>
        <w:t>33.9万元</w:t>
      </w:r>
      <w:r>
        <w:rPr>
          <w:rFonts w:hint="eastAsia" w:ascii="仿宋_GB2312" w:hAnsi="Calibri" w:eastAsia="仿宋_GB2312" w:cs="仿宋"/>
          <w:color w:val="000000"/>
          <w:kern w:val="0"/>
          <w:sz w:val="32"/>
          <w:szCs w:val="32"/>
          <w:lang w:val="zh-CN" w:eastAsia="zh-CN" w:bidi="ar-SA"/>
        </w:rPr>
        <w:t>。所有款项的支付合规合法，资金支付与预算相符，结余资金</w:t>
      </w:r>
      <w:r>
        <w:rPr>
          <w:rFonts w:hint="eastAsia" w:ascii="仿宋_GB2312" w:hAnsi="Calibri" w:eastAsia="仿宋_GB2312" w:cs="仿宋"/>
          <w:color w:val="000000"/>
          <w:kern w:val="0"/>
          <w:sz w:val="32"/>
          <w:szCs w:val="32"/>
          <w:lang w:val="en-US" w:eastAsia="zh-CN" w:bidi="ar-SA"/>
        </w:rPr>
        <w:t xml:space="preserve"> 0.1万</w:t>
      </w:r>
      <w:r>
        <w:rPr>
          <w:rFonts w:hint="eastAsia" w:ascii="仿宋_GB2312" w:hAnsi="Calibri" w:eastAsia="仿宋_GB2312" w:cs="仿宋"/>
          <w:color w:val="000000"/>
          <w:kern w:val="0"/>
          <w:sz w:val="32"/>
          <w:szCs w:val="32"/>
          <w:lang w:val="zh-CN" w:eastAsia="zh-CN" w:bidi="ar-SA"/>
        </w:rPr>
        <w:t>元，结余资金已退回财政。</w:t>
      </w:r>
      <w:r>
        <w:rPr>
          <w:rFonts w:hint="eastAsia" w:ascii="仿宋_GB2312" w:hAnsi="Calibri" w:eastAsia="仿宋_GB2312" w:cs="仿宋"/>
          <w:color w:val="000000"/>
          <w:kern w:val="0"/>
          <w:sz w:val="32"/>
          <w:szCs w:val="32"/>
          <w:lang w:val="en-US" w:eastAsia="zh-CN" w:bidi="ar-SA"/>
        </w:rPr>
        <w:t>尕多乡刑木达村基础设施建设项目</w:t>
      </w:r>
      <w:r>
        <w:rPr>
          <w:rFonts w:hint="eastAsia" w:ascii="仿宋_GB2312" w:hAnsi="Calibri" w:eastAsia="仿宋_GB2312" w:cs="仿宋"/>
          <w:color w:val="000000"/>
          <w:kern w:val="0"/>
          <w:sz w:val="32"/>
          <w:szCs w:val="32"/>
          <w:lang w:val="zh-CN" w:eastAsia="zh-CN" w:bidi="ar-SA"/>
        </w:rPr>
        <w:t>总投资</w:t>
      </w:r>
      <w:r>
        <w:rPr>
          <w:rFonts w:hint="eastAsia" w:ascii="仿宋_GB2312" w:hAnsi="Calibri" w:eastAsia="仿宋_GB2312" w:cs="仿宋"/>
          <w:color w:val="000000"/>
          <w:kern w:val="0"/>
          <w:sz w:val="32"/>
          <w:szCs w:val="32"/>
          <w:lang w:val="en-US" w:eastAsia="zh-CN" w:bidi="ar-SA"/>
        </w:rPr>
        <w:t>120万</w:t>
      </w:r>
      <w:r>
        <w:rPr>
          <w:rFonts w:hint="eastAsia" w:ascii="仿宋_GB2312" w:hAnsi="Calibri" w:eastAsia="仿宋_GB2312" w:cs="仿宋"/>
          <w:color w:val="000000"/>
          <w:kern w:val="0"/>
          <w:sz w:val="32"/>
          <w:szCs w:val="32"/>
          <w:lang w:val="zh-CN" w:eastAsia="zh-CN" w:bidi="ar-SA"/>
        </w:rPr>
        <w:t>元，资金来源为</w:t>
      </w:r>
      <w:r>
        <w:rPr>
          <w:rFonts w:hint="eastAsia" w:ascii="仿宋_GB2312" w:hAnsi="Calibri" w:eastAsia="仿宋_GB2312" w:cs="仿宋"/>
          <w:color w:val="000000"/>
          <w:kern w:val="0"/>
          <w:sz w:val="32"/>
          <w:szCs w:val="32"/>
          <w:lang w:val="en-US" w:eastAsia="zh-CN" w:bidi="ar-SA"/>
        </w:rPr>
        <w:t>中央财政衔接推进乡村振兴补助资</w:t>
      </w:r>
      <w:r>
        <w:rPr>
          <w:rFonts w:hint="eastAsia" w:ascii="仿宋_GB2312" w:hAnsi="Calibri" w:eastAsia="仿宋_GB2312" w:cs="仿宋"/>
          <w:color w:val="000000"/>
          <w:kern w:val="0"/>
          <w:sz w:val="32"/>
          <w:szCs w:val="32"/>
          <w:lang w:val="zh-CN" w:eastAsia="zh-CN" w:bidi="ar-SA"/>
        </w:rPr>
        <w:t>金使用情况。该项目实际支付</w:t>
      </w:r>
      <w:r>
        <w:rPr>
          <w:rFonts w:hint="eastAsia" w:ascii="仿宋_GB2312" w:hAnsi="Calibri" w:eastAsia="仿宋_GB2312" w:cs="仿宋"/>
          <w:color w:val="000000"/>
          <w:kern w:val="0"/>
          <w:sz w:val="32"/>
          <w:szCs w:val="32"/>
          <w:lang w:val="en-US" w:eastAsia="zh-CN" w:bidi="ar-SA"/>
        </w:rPr>
        <w:t>117.83万</w:t>
      </w:r>
      <w:r>
        <w:rPr>
          <w:rFonts w:hint="eastAsia" w:ascii="仿宋_GB2312" w:hAnsi="Calibri" w:eastAsia="仿宋_GB2312" w:cs="仿宋"/>
          <w:color w:val="000000"/>
          <w:kern w:val="0"/>
          <w:sz w:val="32"/>
          <w:szCs w:val="32"/>
          <w:lang w:val="zh-CN" w:eastAsia="zh-CN" w:bidi="ar-SA"/>
        </w:rPr>
        <w:t>元，所有款项的支付合规合法，资金支付与预算相符。结余资金</w:t>
      </w:r>
      <w:r>
        <w:rPr>
          <w:rFonts w:hint="eastAsia" w:ascii="仿宋_GB2312" w:hAnsi="Calibri" w:eastAsia="仿宋_GB2312" w:cs="仿宋"/>
          <w:color w:val="000000"/>
          <w:kern w:val="0"/>
          <w:sz w:val="32"/>
          <w:szCs w:val="32"/>
          <w:lang w:val="en-US" w:eastAsia="zh-CN" w:bidi="ar-SA"/>
        </w:rPr>
        <w:t xml:space="preserve"> 2.17万</w:t>
      </w:r>
      <w:r>
        <w:rPr>
          <w:rFonts w:hint="eastAsia" w:ascii="仿宋_GB2312" w:hAnsi="Calibri" w:eastAsia="仿宋_GB2312" w:cs="仿宋"/>
          <w:color w:val="000000"/>
          <w:kern w:val="0"/>
          <w:sz w:val="32"/>
          <w:szCs w:val="32"/>
          <w:lang w:val="zh-CN" w:eastAsia="zh-CN" w:bidi="ar-SA"/>
        </w:rPr>
        <w:t>元，结余资金</w:t>
      </w:r>
      <w:r>
        <w:rPr>
          <w:rFonts w:hint="eastAsia" w:ascii="仿宋_GB2312" w:hAnsi="Calibri" w:eastAsia="仿宋_GB2312" w:cs="仿宋"/>
          <w:color w:val="000000"/>
          <w:kern w:val="0"/>
          <w:sz w:val="32"/>
          <w:szCs w:val="32"/>
          <w:lang w:val="en-US" w:eastAsia="zh-CN" w:bidi="ar-SA"/>
        </w:rPr>
        <w:t>审计结果未出，暂</w:t>
      </w:r>
      <w:r>
        <w:rPr>
          <w:rFonts w:hint="eastAsia" w:ascii="仿宋_GB2312" w:hAnsi="Calibri" w:eastAsia="仿宋_GB2312" w:cs="仿宋"/>
          <w:color w:val="000000"/>
          <w:kern w:val="0"/>
          <w:sz w:val="32"/>
          <w:szCs w:val="32"/>
          <w:lang w:val="zh-CN" w:eastAsia="zh-CN" w:bidi="ar-SA"/>
        </w:rPr>
        <w:t>已退回财政。资金计划及到位情况。2022年尕多乡果蔬产业示范园建设项目总投资</w:t>
      </w:r>
      <w:r>
        <w:rPr>
          <w:rFonts w:hint="eastAsia" w:ascii="仿宋_GB2312" w:hAnsi="Calibri" w:eastAsia="仿宋_GB2312" w:cs="仿宋"/>
          <w:color w:val="000000"/>
          <w:kern w:val="0"/>
          <w:sz w:val="32"/>
          <w:szCs w:val="32"/>
          <w:lang w:val="en-US" w:eastAsia="zh-CN" w:bidi="ar-SA"/>
        </w:rPr>
        <w:t>40万</w:t>
      </w:r>
      <w:r>
        <w:rPr>
          <w:rFonts w:hint="eastAsia" w:ascii="仿宋_GB2312" w:hAnsi="Calibri" w:eastAsia="仿宋_GB2312" w:cs="仿宋"/>
          <w:color w:val="000000"/>
          <w:kern w:val="0"/>
          <w:sz w:val="32"/>
          <w:szCs w:val="32"/>
          <w:lang w:val="zh-CN" w:eastAsia="zh-CN" w:bidi="ar-SA"/>
        </w:rPr>
        <w:t>元，资金来源为</w:t>
      </w:r>
      <w:r>
        <w:rPr>
          <w:rFonts w:hint="eastAsia" w:ascii="仿宋_GB2312" w:hAnsi="Calibri" w:eastAsia="仿宋_GB2312" w:cs="仿宋"/>
          <w:color w:val="000000"/>
          <w:kern w:val="0"/>
          <w:sz w:val="32"/>
          <w:szCs w:val="32"/>
          <w:lang w:val="en-US" w:eastAsia="zh-CN" w:bidi="ar-SA"/>
        </w:rPr>
        <w:t>2022年中央财政衔接推进乡村振兴补助资金</w:t>
      </w:r>
      <w:r>
        <w:rPr>
          <w:rFonts w:hint="eastAsia" w:ascii="仿宋_GB2312" w:hAnsi="Calibri" w:eastAsia="仿宋_GB2312" w:cs="仿宋"/>
          <w:color w:val="000000"/>
          <w:kern w:val="0"/>
          <w:sz w:val="32"/>
          <w:szCs w:val="32"/>
          <w:lang w:val="zh-CN" w:eastAsia="zh-CN" w:bidi="ar-SA"/>
        </w:rPr>
        <w:t>。实际支付</w:t>
      </w:r>
      <w:r>
        <w:rPr>
          <w:rFonts w:hint="eastAsia" w:ascii="仿宋_GB2312" w:hAnsi="Calibri" w:eastAsia="仿宋_GB2312" w:cs="仿宋"/>
          <w:color w:val="000000"/>
          <w:kern w:val="0"/>
          <w:sz w:val="32"/>
          <w:szCs w:val="32"/>
          <w:lang w:val="en-US" w:eastAsia="zh-CN" w:bidi="ar-SA"/>
        </w:rPr>
        <w:t>39.79万</w:t>
      </w:r>
      <w:r>
        <w:rPr>
          <w:rFonts w:hint="eastAsia" w:ascii="仿宋_GB2312" w:hAnsi="Calibri" w:eastAsia="仿宋_GB2312" w:cs="仿宋"/>
          <w:color w:val="000000"/>
          <w:kern w:val="0"/>
          <w:sz w:val="32"/>
          <w:szCs w:val="32"/>
          <w:lang w:val="zh-CN" w:eastAsia="zh-CN" w:bidi="ar-SA"/>
        </w:rPr>
        <w:t>元，所有款项的支付合规合法，资金支付与预算相符。结余资金</w:t>
      </w:r>
      <w:r>
        <w:rPr>
          <w:rFonts w:hint="eastAsia" w:ascii="仿宋_GB2312" w:hAnsi="Calibri" w:eastAsia="仿宋_GB2312" w:cs="仿宋"/>
          <w:color w:val="000000"/>
          <w:kern w:val="0"/>
          <w:sz w:val="32"/>
          <w:szCs w:val="32"/>
          <w:lang w:val="en-US" w:eastAsia="zh-CN" w:bidi="ar-SA"/>
        </w:rPr>
        <w:t xml:space="preserve"> 0.21万</w:t>
      </w:r>
      <w:r>
        <w:rPr>
          <w:rFonts w:hint="eastAsia" w:ascii="仿宋_GB2312" w:hAnsi="Calibri" w:eastAsia="仿宋_GB2312" w:cs="仿宋"/>
          <w:color w:val="000000"/>
          <w:kern w:val="0"/>
          <w:sz w:val="32"/>
          <w:szCs w:val="32"/>
          <w:lang w:val="zh-CN" w:eastAsia="zh-CN" w:bidi="ar-SA"/>
        </w:rPr>
        <w:t>元，结余资金已退回财政。</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（二）项目绩效目标</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1、2022年尕多村砂石资源规范化加工设备采购项目</w:t>
      </w:r>
      <w:r>
        <w:rPr>
          <w:rFonts w:hint="eastAsia" w:ascii="仿宋_GB2312" w:hAnsi="Calibri" w:eastAsia="仿宋_GB2312" w:cs="仿宋"/>
          <w:color w:val="000000"/>
          <w:kern w:val="0"/>
          <w:sz w:val="32"/>
          <w:szCs w:val="32"/>
          <w:lang w:val="zh-CN" w:eastAsia="zh-CN" w:bidi="ar-SA"/>
        </w:rPr>
        <w:t>，项目建设完成绩效目标，</w:t>
      </w:r>
      <w:r>
        <w:rPr>
          <w:rFonts w:hint="eastAsia" w:ascii="仿宋_GB2312" w:hAnsi="Calibri" w:eastAsia="仿宋_GB2312" w:cs="仿宋"/>
          <w:color w:val="000000"/>
          <w:kern w:val="0"/>
          <w:sz w:val="32"/>
          <w:szCs w:val="32"/>
          <w:lang w:val="en-US" w:eastAsia="zh-CN" w:bidi="ar-SA"/>
        </w:rPr>
        <w:t>增加尕多村集体经济收入来源，</w:t>
      </w:r>
      <w:r>
        <w:rPr>
          <w:rFonts w:hint="eastAsia" w:ascii="仿宋_GB2312" w:hAnsi="Calibri" w:eastAsia="仿宋_GB2312" w:cs="仿宋"/>
          <w:color w:val="000000"/>
          <w:kern w:val="0"/>
          <w:sz w:val="32"/>
          <w:szCs w:val="32"/>
          <w:lang w:val="zh-CN" w:eastAsia="zh-CN" w:bidi="ar-SA"/>
        </w:rPr>
        <w:t>改善农牧民群众生产生活条件。</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2、尕多乡刑木达村基础设施建设项目，实施完成后将进一步提升当地排水系统，有效保障汛期雨水排放，减少汛期对群众造成的经济损失。</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w:t>
      </w:r>
      <w:r>
        <w:rPr>
          <w:rFonts w:hint="eastAsia" w:ascii="仿宋_GB2312" w:hAnsi="Calibri" w:eastAsia="仿宋_GB2312" w:cs="仿宋"/>
          <w:color w:val="000000"/>
          <w:kern w:val="0"/>
          <w:sz w:val="32"/>
          <w:szCs w:val="32"/>
          <w:lang w:val="zh-CN" w:eastAsia="zh-CN" w:bidi="ar-SA"/>
        </w:rPr>
        <w:t>2022年尕多乡果蔬产业示范园建设项目，</w:t>
      </w:r>
      <w:r>
        <w:rPr>
          <w:rFonts w:hint="eastAsia" w:ascii="仿宋_GB2312" w:hAnsi="Calibri" w:eastAsia="仿宋_GB2312" w:cs="仿宋"/>
          <w:color w:val="000000"/>
          <w:kern w:val="0"/>
          <w:sz w:val="32"/>
          <w:szCs w:val="32"/>
          <w:lang w:val="en-US" w:eastAsia="zh-CN" w:bidi="ar-SA"/>
        </w:rPr>
        <w:t>实施完成后</w:t>
      </w:r>
      <w:r>
        <w:rPr>
          <w:rFonts w:hint="eastAsia" w:ascii="仿宋_GB2312" w:hAnsi="Calibri" w:eastAsia="仿宋_GB2312" w:cs="仿宋"/>
          <w:color w:val="000000"/>
          <w:kern w:val="0"/>
          <w:sz w:val="32"/>
          <w:szCs w:val="32"/>
          <w:lang w:val="zh-CN" w:eastAsia="zh-CN" w:bidi="ar-SA"/>
        </w:rPr>
        <w:t>结合我县天气预报，随时及时的干预，减低冰雹灾害，提高蔬菜的品质和产量，同时可以进一步改善该瑟谷村基础设施条件和公共服务配套培养专业技术工人的需要；</w:t>
      </w:r>
      <w:r>
        <w:rPr>
          <w:rFonts w:hint="eastAsia" w:ascii="仿宋_GB2312" w:hAnsi="Calibri" w:eastAsia="仿宋_GB2312" w:cs="仿宋"/>
          <w:color w:val="000000"/>
          <w:kern w:val="0"/>
          <w:sz w:val="32"/>
          <w:szCs w:val="32"/>
          <w:lang w:val="en-US" w:eastAsia="zh-CN" w:bidi="ar-SA"/>
        </w:rPr>
        <w:t>发挥我乡连片土地资源优势，发展村集体经济。</w:t>
      </w:r>
      <w:r>
        <w:rPr>
          <w:rFonts w:hint="eastAsia" w:ascii="仿宋_GB2312" w:hAnsi="Calibri" w:eastAsia="仿宋_GB2312" w:cs="仿宋"/>
          <w:color w:val="000000"/>
          <w:kern w:val="0"/>
          <w:sz w:val="32"/>
          <w:szCs w:val="32"/>
          <w:lang w:val="zh-CN" w:eastAsia="zh-CN" w:bidi="ar-SA"/>
        </w:rPr>
        <w:t>是巩固脱贫攻坚成果的需要，也是助力乡村振兴的需要。</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（三）项目自评步骤及方法</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成立了项目指挥部、基础设施项目配备了监理，乡上安排有专人负责。</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83" w:name="_Toc30223"/>
      <w:r>
        <w:rPr>
          <w:rFonts w:hint="eastAsia" w:ascii="黑体" w:hAnsi="黑体" w:eastAsia="黑体" w:cs="黑体"/>
          <w:b w:val="0"/>
          <w:bCs w:val="0"/>
        </w:rPr>
        <w:t>二、项目资金申报及使用情况</w:t>
      </w:r>
      <w:bookmarkEnd w:id="83"/>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（一）项目资金申报及批复情况</w:t>
      </w:r>
    </w:p>
    <w:p>
      <w:pPr>
        <w:pageBreakBefore w:val="0"/>
        <w:kinsoku/>
        <w:wordWrap/>
        <w:overflowPunct/>
        <w:topLinePunct w:val="0"/>
        <w:bidi w:val="0"/>
        <w:spacing w:line="560" w:lineRule="exact"/>
        <w:ind w:left="0" w:leftChars="0"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项目资金</w:t>
      </w:r>
      <w:r>
        <w:rPr>
          <w:rFonts w:hint="eastAsia" w:ascii="仿宋_GB2312" w:hAnsi="Calibri" w:eastAsia="仿宋_GB2312" w:cs="仿宋"/>
          <w:color w:val="000000"/>
          <w:kern w:val="0"/>
          <w:sz w:val="32"/>
          <w:szCs w:val="32"/>
          <w:lang w:val="en-US" w:eastAsia="zh-CN" w:bidi="ar-SA"/>
        </w:rPr>
        <w:t>由尕多乡党委政府</w:t>
      </w:r>
      <w:r>
        <w:rPr>
          <w:rFonts w:hint="eastAsia" w:ascii="仿宋_GB2312" w:hAnsi="Calibri" w:eastAsia="仿宋_GB2312" w:cs="仿宋"/>
          <w:color w:val="000000"/>
          <w:kern w:val="0"/>
          <w:sz w:val="32"/>
          <w:szCs w:val="32"/>
          <w:lang w:val="zh-CN" w:eastAsia="zh-CN" w:bidi="ar-SA"/>
        </w:rPr>
        <w:t>申报</w:t>
      </w:r>
      <w:r>
        <w:rPr>
          <w:rFonts w:hint="eastAsia" w:ascii="仿宋_GB2312" w:hAnsi="Calibri" w:eastAsia="仿宋_GB2312" w:cs="仿宋"/>
          <w:color w:val="000000"/>
          <w:kern w:val="0"/>
          <w:sz w:val="32"/>
          <w:szCs w:val="32"/>
          <w:lang w:val="en-US" w:eastAsia="zh-CN" w:bidi="ar-SA"/>
        </w:rPr>
        <w:t>后报发改局立项</w:t>
      </w:r>
      <w:r>
        <w:rPr>
          <w:rFonts w:hint="eastAsia" w:ascii="仿宋_GB2312" w:hAnsi="Calibri" w:eastAsia="仿宋_GB2312" w:cs="仿宋"/>
          <w:color w:val="000000"/>
          <w:kern w:val="0"/>
          <w:sz w:val="32"/>
          <w:szCs w:val="32"/>
          <w:lang w:val="zh-CN" w:eastAsia="zh-CN" w:bidi="ar-SA"/>
        </w:rPr>
        <w:t>批复，</w:t>
      </w:r>
      <w:r>
        <w:rPr>
          <w:rFonts w:hint="eastAsia" w:ascii="仿宋_GB2312" w:hAnsi="Calibri" w:eastAsia="仿宋_GB2312" w:cs="仿宋"/>
          <w:color w:val="000000"/>
          <w:kern w:val="0"/>
          <w:sz w:val="32"/>
          <w:szCs w:val="32"/>
          <w:lang w:val="en-US" w:eastAsia="zh-CN" w:bidi="ar-SA"/>
        </w:rPr>
        <w:t>财政局</w:t>
      </w:r>
      <w:r>
        <w:rPr>
          <w:rFonts w:hint="eastAsia" w:ascii="仿宋_GB2312" w:hAnsi="Calibri" w:eastAsia="仿宋_GB2312" w:cs="仿宋"/>
          <w:color w:val="000000"/>
          <w:kern w:val="0"/>
          <w:sz w:val="32"/>
          <w:szCs w:val="32"/>
          <w:lang w:val="zh-CN" w:eastAsia="zh-CN" w:bidi="ar-SA"/>
        </w:rPr>
        <w:t>预算调整。</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（二）资金计划、到位及使用情况（可用表格形式反映）</w:t>
      </w:r>
    </w:p>
    <w:p>
      <w:pPr>
        <w:pageBreakBefore w:val="0"/>
        <w:kinsoku/>
        <w:wordWrap/>
        <w:overflowPunct/>
        <w:topLinePunct w:val="0"/>
        <w:bidi w:val="0"/>
        <w:spacing w:line="560" w:lineRule="exact"/>
        <w:ind w:left="0" w:leftChars="0" w:firstLine="643"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b/>
          <w:bCs/>
          <w:color w:val="000000"/>
          <w:kern w:val="0"/>
          <w:sz w:val="32"/>
          <w:szCs w:val="32"/>
          <w:lang w:val="zh-CN" w:eastAsia="zh-CN" w:bidi="ar-SA"/>
        </w:rPr>
        <w:t>1．资金计划及到位情况</w:t>
      </w:r>
      <w:r>
        <w:rPr>
          <w:rFonts w:hint="eastAsia" w:ascii="仿宋_GB2312" w:hAnsi="Calibri" w:eastAsia="仿宋_GB2312" w:cs="仿宋"/>
          <w:color w:val="000000"/>
          <w:kern w:val="0"/>
          <w:sz w:val="32"/>
          <w:szCs w:val="32"/>
          <w:lang w:val="zh-CN" w:eastAsia="zh-CN" w:bidi="ar-SA"/>
        </w:rPr>
        <w:t>。“</w:t>
      </w:r>
      <w:r>
        <w:rPr>
          <w:rFonts w:hint="eastAsia" w:ascii="仿宋_GB2312" w:hAnsi="Calibri" w:eastAsia="仿宋_GB2312" w:cs="仿宋"/>
          <w:color w:val="000000"/>
          <w:kern w:val="0"/>
          <w:sz w:val="32"/>
          <w:szCs w:val="32"/>
          <w:lang w:val="en-US" w:eastAsia="zh-CN" w:bidi="ar-SA"/>
        </w:rPr>
        <w:t>2022年尕多村砂石资源规范化加工设备采购项目</w:t>
      </w:r>
      <w:r>
        <w:rPr>
          <w:rFonts w:hint="eastAsia" w:ascii="仿宋_GB2312" w:hAnsi="Calibri" w:eastAsia="仿宋_GB2312" w:cs="仿宋"/>
          <w:color w:val="000000"/>
          <w:kern w:val="0"/>
          <w:sz w:val="32"/>
          <w:szCs w:val="32"/>
          <w:lang w:val="zh-CN" w:eastAsia="zh-CN" w:bidi="ar-SA"/>
        </w:rPr>
        <w:t>”</w:t>
      </w:r>
      <w:r>
        <w:rPr>
          <w:rFonts w:hint="eastAsia" w:ascii="仿宋_GB2312" w:hAnsi="Calibri" w:eastAsia="仿宋_GB2312" w:cs="仿宋"/>
          <w:color w:val="000000"/>
          <w:kern w:val="0"/>
          <w:sz w:val="32"/>
          <w:szCs w:val="32"/>
          <w:lang w:val="en-US" w:eastAsia="zh-CN" w:bidi="ar-SA"/>
        </w:rPr>
        <w:t>总投资34万元和“尕多乡刑木达村基础设施建设项目”总投资120万元、“</w:t>
      </w:r>
      <w:r>
        <w:rPr>
          <w:rFonts w:hint="eastAsia" w:ascii="仿宋_GB2312" w:hAnsi="Calibri" w:eastAsia="仿宋_GB2312" w:cs="仿宋"/>
          <w:color w:val="000000"/>
          <w:kern w:val="0"/>
          <w:sz w:val="32"/>
          <w:szCs w:val="32"/>
          <w:lang w:val="zh-CN" w:eastAsia="zh-CN" w:bidi="ar-SA"/>
        </w:rPr>
        <w:t>2022年尕多乡果蔬产业示范园建设项目</w:t>
      </w:r>
      <w:r>
        <w:rPr>
          <w:rFonts w:hint="eastAsia" w:ascii="仿宋_GB2312" w:hAnsi="Calibri" w:eastAsia="仿宋_GB2312" w:cs="仿宋"/>
          <w:color w:val="000000"/>
          <w:kern w:val="0"/>
          <w:sz w:val="32"/>
          <w:szCs w:val="32"/>
          <w:lang w:val="en-US" w:eastAsia="zh-CN" w:bidi="ar-SA"/>
        </w:rPr>
        <w:t>”总投资40万元</w:t>
      </w:r>
      <w:r>
        <w:rPr>
          <w:rFonts w:hint="eastAsia" w:ascii="仿宋_GB2312" w:hAnsi="Calibri" w:eastAsia="仿宋_GB2312" w:cs="仿宋"/>
          <w:color w:val="000000"/>
          <w:kern w:val="0"/>
          <w:sz w:val="32"/>
          <w:szCs w:val="32"/>
          <w:lang w:val="zh-CN" w:eastAsia="zh-CN" w:bidi="ar-SA"/>
        </w:rPr>
        <w:t>资金都来源为</w:t>
      </w:r>
      <w:r>
        <w:rPr>
          <w:rFonts w:hint="eastAsia" w:ascii="仿宋_GB2312" w:hAnsi="Calibri" w:eastAsia="仿宋_GB2312" w:cs="仿宋"/>
          <w:color w:val="000000"/>
          <w:kern w:val="0"/>
          <w:sz w:val="32"/>
          <w:szCs w:val="32"/>
          <w:lang w:val="en-US" w:eastAsia="zh-CN" w:bidi="ar-SA"/>
        </w:rPr>
        <w:t>2022年中央财政衔接推进乡村振兴补助资金</w:t>
      </w:r>
      <w:r>
        <w:rPr>
          <w:rFonts w:hint="eastAsia" w:ascii="仿宋_GB2312" w:hAnsi="Calibri" w:eastAsia="仿宋_GB2312" w:cs="仿宋"/>
          <w:color w:val="000000"/>
          <w:kern w:val="0"/>
          <w:sz w:val="32"/>
          <w:szCs w:val="32"/>
          <w:lang w:val="zh-CN" w:eastAsia="zh-CN" w:bidi="ar-SA"/>
        </w:rPr>
        <w:t>。</w:t>
      </w:r>
    </w:p>
    <w:p>
      <w:pPr>
        <w:pageBreakBefore w:val="0"/>
        <w:kinsoku/>
        <w:wordWrap/>
        <w:overflowPunct/>
        <w:topLinePunct w:val="0"/>
        <w:bidi w:val="0"/>
        <w:spacing w:line="560" w:lineRule="exact"/>
        <w:ind w:left="0" w:leftChars="0" w:firstLine="643"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b/>
          <w:bCs/>
          <w:color w:val="000000"/>
          <w:kern w:val="0"/>
          <w:sz w:val="32"/>
          <w:szCs w:val="32"/>
          <w:lang w:val="en-US" w:eastAsia="zh-CN" w:bidi="ar-SA"/>
        </w:rPr>
        <w:t>2.</w:t>
      </w:r>
      <w:r>
        <w:rPr>
          <w:rFonts w:hint="eastAsia" w:ascii="仿宋_GB2312" w:hAnsi="Calibri" w:eastAsia="仿宋_GB2312" w:cs="仿宋"/>
          <w:b/>
          <w:bCs/>
          <w:color w:val="000000"/>
          <w:kern w:val="0"/>
          <w:sz w:val="32"/>
          <w:szCs w:val="32"/>
          <w:lang w:val="zh-CN" w:eastAsia="zh-CN" w:bidi="ar-SA"/>
        </w:rPr>
        <w:t>资金使用情况。</w:t>
      </w:r>
      <w:r>
        <w:rPr>
          <w:rFonts w:hint="eastAsia" w:ascii="仿宋_GB2312" w:hAnsi="Calibri" w:eastAsia="仿宋_GB2312" w:cs="仿宋"/>
          <w:color w:val="000000"/>
          <w:kern w:val="0"/>
          <w:sz w:val="32"/>
          <w:szCs w:val="32"/>
          <w:lang w:val="zh-CN" w:eastAsia="zh-CN" w:bidi="ar-SA"/>
        </w:rPr>
        <w:t>“</w:t>
      </w:r>
      <w:r>
        <w:rPr>
          <w:rFonts w:hint="eastAsia" w:ascii="仿宋_GB2312" w:hAnsi="Calibri" w:eastAsia="仿宋_GB2312" w:cs="仿宋"/>
          <w:color w:val="000000"/>
          <w:kern w:val="0"/>
          <w:sz w:val="32"/>
          <w:szCs w:val="32"/>
          <w:lang w:val="en-US" w:eastAsia="zh-CN" w:bidi="ar-SA"/>
        </w:rPr>
        <w:t>2022年尕多村砂石资源规范化加工设备采购项目</w:t>
      </w:r>
      <w:r>
        <w:rPr>
          <w:rFonts w:hint="eastAsia" w:ascii="仿宋_GB2312" w:hAnsi="Calibri" w:eastAsia="仿宋_GB2312" w:cs="仿宋"/>
          <w:color w:val="000000"/>
          <w:kern w:val="0"/>
          <w:sz w:val="32"/>
          <w:szCs w:val="32"/>
          <w:lang w:val="zh-CN" w:eastAsia="zh-CN" w:bidi="ar-SA"/>
        </w:rPr>
        <w:t>”，实际支付</w:t>
      </w:r>
      <w:r>
        <w:rPr>
          <w:rFonts w:hint="eastAsia" w:ascii="仿宋_GB2312" w:hAnsi="Calibri" w:eastAsia="仿宋_GB2312" w:cs="仿宋"/>
          <w:color w:val="000000"/>
          <w:kern w:val="0"/>
          <w:sz w:val="32"/>
          <w:szCs w:val="32"/>
          <w:lang w:val="en-US" w:eastAsia="zh-CN" w:bidi="ar-SA"/>
        </w:rPr>
        <w:t>33.9万</w:t>
      </w:r>
      <w:r>
        <w:rPr>
          <w:rFonts w:hint="eastAsia" w:ascii="仿宋_GB2312" w:hAnsi="Calibri" w:eastAsia="仿宋_GB2312" w:cs="仿宋"/>
          <w:color w:val="000000"/>
          <w:kern w:val="0"/>
          <w:sz w:val="32"/>
          <w:szCs w:val="32"/>
          <w:lang w:val="zh-CN" w:eastAsia="zh-CN" w:bidi="ar-SA"/>
        </w:rPr>
        <w:t>元。“</w:t>
      </w:r>
      <w:r>
        <w:rPr>
          <w:rFonts w:hint="eastAsia" w:ascii="仿宋_GB2312" w:hAnsi="Calibri" w:eastAsia="仿宋_GB2312" w:cs="仿宋"/>
          <w:color w:val="000000"/>
          <w:kern w:val="0"/>
          <w:sz w:val="32"/>
          <w:szCs w:val="32"/>
          <w:lang w:val="en-US" w:eastAsia="zh-CN" w:bidi="ar-SA"/>
        </w:rPr>
        <w:t>尕多乡刑木达村基础设施建设项目</w:t>
      </w:r>
      <w:r>
        <w:rPr>
          <w:rFonts w:hint="eastAsia" w:ascii="仿宋_GB2312" w:hAnsi="Calibri" w:eastAsia="仿宋_GB2312" w:cs="仿宋"/>
          <w:color w:val="000000"/>
          <w:kern w:val="0"/>
          <w:sz w:val="32"/>
          <w:szCs w:val="32"/>
          <w:lang w:val="zh-CN" w:eastAsia="zh-CN" w:bidi="ar-SA"/>
        </w:rPr>
        <w:t>”</w:t>
      </w:r>
      <w:r>
        <w:rPr>
          <w:rFonts w:hint="eastAsia" w:ascii="仿宋_GB2312" w:hAnsi="Calibri" w:eastAsia="仿宋_GB2312" w:cs="仿宋"/>
          <w:color w:val="000000"/>
          <w:kern w:val="0"/>
          <w:sz w:val="32"/>
          <w:szCs w:val="32"/>
          <w:lang w:val="en-US" w:eastAsia="zh-CN" w:bidi="ar-SA"/>
        </w:rPr>
        <w:t>，实际支付117.83万元。“</w:t>
      </w:r>
      <w:r>
        <w:rPr>
          <w:rFonts w:hint="eastAsia" w:ascii="仿宋_GB2312" w:hAnsi="Calibri" w:eastAsia="仿宋_GB2312" w:cs="仿宋"/>
          <w:color w:val="000000"/>
          <w:kern w:val="0"/>
          <w:sz w:val="32"/>
          <w:szCs w:val="32"/>
          <w:lang w:val="zh-CN" w:eastAsia="zh-CN" w:bidi="ar-SA"/>
        </w:rPr>
        <w:t>2022年尕多乡果蔬产业示范园建设项目</w:t>
      </w:r>
      <w:r>
        <w:rPr>
          <w:rFonts w:hint="eastAsia" w:ascii="仿宋_GB2312" w:hAnsi="Calibri" w:eastAsia="仿宋_GB2312" w:cs="仿宋"/>
          <w:color w:val="000000"/>
          <w:kern w:val="0"/>
          <w:sz w:val="32"/>
          <w:szCs w:val="32"/>
          <w:lang w:val="en-US" w:eastAsia="zh-CN" w:bidi="ar-SA"/>
        </w:rPr>
        <w:t>”</w:t>
      </w:r>
      <w:r>
        <w:rPr>
          <w:rFonts w:hint="eastAsia" w:ascii="仿宋_GB2312" w:hAnsi="Calibri" w:eastAsia="仿宋_GB2312" w:cs="仿宋"/>
          <w:color w:val="000000"/>
          <w:kern w:val="0"/>
          <w:sz w:val="32"/>
          <w:szCs w:val="32"/>
          <w:lang w:val="zh-CN" w:eastAsia="zh-CN" w:bidi="ar-SA"/>
        </w:rPr>
        <w:t>，</w:t>
      </w:r>
      <w:r>
        <w:rPr>
          <w:rFonts w:hint="eastAsia" w:ascii="仿宋_GB2312" w:hAnsi="Calibri" w:eastAsia="仿宋_GB2312" w:cs="仿宋"/>
          <w:color w:val="000000"/>
          <w:kern w:val="0"/>
          <w:sz w:val="32"/>
          <w:szCs w:val="32"/>
          <w:lang w:val="en-US" w:eastAsia="zh-CN" w:bidi="ar-SA"/>
        </w:rPr>
        <w:t>实际支付39.79万元。</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（三）项目财务管理情况</w:t>
      </w:r>
    </w:p>
    <w:p>
      <w:pPr>
        <w:pageBreakBefore w:val="0"/>
        <w:kinsoku/>
        <w:wordWrap/>
        <w:overflowPunct/>
        <w:topLinePunct w:val="0"/>
        <w:bidi w:val="0"/>
        <w:adjustRightInd w:val="0"/>
        <w:snapToGrid w:val="0"/>
        <w:spacing w:line="560" w:lineRule="exact"/>
        <w:ind w:left="0" w:leftChars="0"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总体评价各项目实施单位财务管理制度健全，并严格执行财务管理制度，账务处理及时，会计核算规范。</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84" w:name="_Toc15967"/>
      <w:r>
        <w:rPr>
          <w:rFonts w:hint="eastAsia" w:ascii="黑体" w:hAnsi="黑体" w:eastAsia="黑体" w:cs="黑体"/>
          <w:b w:val="0"/>
          <w:bCs w:val="0"/>
        </w:rPr>
        <w:t>三、项目实施及管理情况</w:t>
      </w:r>
      <w:bookmarkEnd w:id="84"/>
    </w:p>
    <w:p>
      <w:pPr>
        <w:pageBreakBefore w:val="0"/>
        <w:kinsoku/>
        <w:wordWrap/>
        <w:overflowPunct/>
        <w:topLinePunct w:val="0"/>
        <w:bidi w:val="0"/>
        <w:adjustRightInd w:val="0"/>
        <w:snapToGrid w:val="0"/>
        <w:spacing w:line="560" w:lineRule="exact"/>
        <w:ind w:left="0" w:leftChars="0"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（一）项目组织架构及实施流程</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（二）项目管理情况</w:t>
      </w:r>
    </w:p>
    <w:p>
      <w:pPr>
        <w:pageBreakBefore w:val="0"/>
        <w:kinsoku/>
        <w:wordWrap/>
        <w:overflowPunct/>
        <w:topLinePunct w:val="0"/>
        <w:bidi w:val="0"/>
        <w:adjustRightInd w:val="0"/>
        <w:snapToGrid w:val="0"/>
        <w:spacing w:line="560" w:lineRule="exact"/>
        <w:ind w:left="0" w:leftChars="0" w:firstLine="720"/>
        <w:rPr>
          <w:rFonts w:ascii="仿宋_GB2312" w:hAnsi="宋体" w:eastAsia="仿宋_GB2312"/>
          <w:sz w:val="32"/>
          <w:szCs w:val="32"/>
          <w:lang w:val="zh-CN"/>
        </w:rPr>
      </w:pP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三</w:t>
      </w:r>
      <w:r>
        <w:rPr>
          <w:rFonts w:hint="eastAsia" w:ascii="楷体_GB2312" w:hAnsi="楷体_GB2312" w:eastAsia="楷体_GB2312" w:cs="楷体_GB231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说明项目主管部门为加强项目管理所采取的监管手段、监管程序、监管工作开展情况及实现的效果等。</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val="zh-CN"/>
        </w:rPr>
      </w:pPr>
      <w:bookmarkStart w:id="85" w:name="_Toc16105"/>
      <w:r>
        <w:rPr>
          <w:rFonts w:hint="eastAsia" w:ascii="黑体" w:hAnsi="黑体" w:eastAsia="黑体" w:cs="黑体"/>
          <w:b w:val="0"/>
          <w:bCs w:val="0"/>
        </w:rPr>
        <w:t>四、项目绩效情况</w:t>
      </w:r>
      <w:bookmarkEnd w:id="85"/>
      <w:r>
        <w:rPr>
          <w:rFonts w:hint="eastAsia" w:ascii="黑体" w:hAnsi="黑体" w:eastAsia="黑体" w:cs="黑体"/>
          <w:b w:val="0"/>
          <w:bCs w:val="0"/>
          <w:lang w:val="zh-CN"/>
        </w:rPr>
        <w:tab/>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（一）项目完成情况</w:t>
      </w:r>
    </w:p>
    <w:p>
      <w:pPr>
        <w:pageBreakBefore w:val="0"/>
        <w:kinsoku/>
        <w:wordWrap/>
        <w:overflowPunct/>
        <w:topLinePunct w:val="0"/>
        <w:bidi w:val="0"/>
        <w:adjustRightInd w:val="0"/>
        <w:snapToGrid w:val="0"/>
        <w:spacing w:line="560" w:lineRule="exact"/>
        <w:ind w:left="0" w:leftChars="0" w:firstLine="720"/>
        <w:rPr>
          <w:rFonts w:ascii="楷体_GB2312" w:hAnsi="宋体" w:eastAsia="楷体_GB2312"/>
          <w:b/>
          <w:sz w:val="32"/>
          <w:szCs w:val="32"/>
          <w:lang w:val="zh-CN"/>
        </w:rPr>
      </w:pPr>
      <w:r>
        <w:rPr>
          <w:rFonts w:hint="eastAsia" w:ascii="仿宋_GB2312" w:hAnsi="宋体" w:eastAsia="仿宋_GB2312"/>
          <w:sz w:val="32"/>
          <w:szCs w:val="32"/>
          <w:lang w:val="zh-CN"/>
        </w:rPr>
        <w:t>两个项目完成数量、质量、时效、成本等情况，项目计划完成目标，对评价时点的任务量完成、质量标准、进度计划、成本控制目标的实现程度进行评价，并进行分析说明。</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（二）项目效益情况</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的实施改善了尕多乡基础设施薄弱、农业产业发展力不足的问题，农业产业项目实施有效增加了农牧民群众增收渠道，使乡域整体经济效益、社会效益、生态效益都已逐步呈现，群众获得感和满意度明显提升，发展现代化农业条件日趋完善，可持续发展能力显著提升，为下一步乡村振兴和全面小康奠定了坚实的基础。</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86" w:name="_Toc10379"/>
      <w:r>
        <w:rPr>
          <w:rFonts w:hint="eastAsia" w:ascii="黑体" w:hAnsi="黑体" w:eastAsia="黑体" w:cs="黑体"/>
          <w:b w:val="0"/>
          <w:bCs w:val="0"/>
        </w:rPr>
        <w:t>五、评价结论及建议</w:t>
      </w:r>
      <w:bookmarkEnd w:id="86"/>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（一）评价结论</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项目的实施改善了尕多乡基础设施薄弱、农业产业发展力不足的问题，农业产业项目实施有效增加了农牧民群众增收渠道，使乡域整体经济效益、社会效益、生态效益都已逐步呈现，群众获得感和满意度明显提升，发展现代化农业条件日趋完善，可持续发展能力显著提升，为下一步乡村振兴和全面小康奠定了坚实的基础。</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（二）存在的问题</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en-US" w:eastAsia="zh-CN"/>
        </w:rPr>
        <w:t>1、部分老板没按</w:t>
      </w:r>
      <w:r>
        <w:rPr>
          <w:rFonts w:hint="eastAsia" w:ascii="仿宋_GB2312" w:hAnsi="宋体" w:eastAsia="仿宋_GB2312"/>
          <w:sz w:val="32"/>
          <w:szCs w:val="32"/>
          <w:lang w:val="zh-CN" w:eastAsia="zh-CN"/>
        </w:rPr>
        <w:t>计划上报工程进度缓。</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zh-CN" w:eastAsia="zh-CN"/>
        </w:rPr>
        <w:t>2、项目实施后报销资料提供缓慢，集中在年底报销，账务处理不及时。</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（三）相关建议</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1、乡镇工作人员及时督促年初积极制定实施项目内容，上报县财政。</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2、乡镇督促各村项目验收后积极提供资料，实报实销，提高账务处理度。</w:t>
      </w:r>
    </w:p>
    <w:p>
      <w:pPr>
        <w:pStyle w:val="8"/>
        <w:pageBreakBefore w:val="0"/>
        <w:kinsoku/>
        <w:wordWrap/>
        <w:overflowPunct/>
        <w:topLinePunct w:val="0"/>
        <w:bidi w:val="0"/>
        <w:spacing w:beforeLines="0" w:line="560" w:lineRule="exact"/>
        <w:ind w:left="0" w:leftChars="0"/>
        <w:rPr>
          <w:rFonts w:hint="eastAsia" w:ascii="仿宋_GB2312" w:hAnsi="宋体" w:eastAsia="仿宋_GB2312"/>
          <w:sz w:val="32"/>
          <w:szCs w:val="32"/>
          <w:lang w:val="en-US" w:eastAsia="zh-CN"/>
        </w:rPr>
      </w:pPr>
    </w:p>
    <w:p>
      <w:pPr>
        <w:pStyle w:val="8"/>
        <w:pageBreakBefore w:val="0"/>
        <w:kinsoku/>
        <w:wordWrap/>
        <w:overflowPunct/>
        <w:topLinePunct w:val="0"/>
        <w:bidi w:val="0"/>
        <w:spacing w:beforeLines="0" w:line="560" w:lineRule="exact"/>
        <w:ind w:left="0" w:leftChars="0"/>
        <w:rPr>
          <w:rFonts w:hint="eastAsia" w:ascii="仿宋_GB2312" w:hAnsi="宋体" w:eastAsia="仿宋_GB2312"/>
          <w:sz w:val="32"/>
          <w:szCs w:val="32"/>
          <w:lang w:val="en-US" w:eastAsia="zh-CN"/>
        </w:rPr>
      </w:pPr>
    </w:p>
    <w:p>
      <w:pPr>
        <w:pStyle w:val="8"/>
        <w:pageBreakBefore w:val="0"/>
        <w:kinsoku/>
        <w:wordWrap/>
        <w:overflowPunct/>
        <w:topLinePunct w:val="0"/>
        <w:bidi w:val="0"/>
        <w:spacing w:beforeLines="0" w:line="560" w:lineRule="exact"/>
        <w:ind w:left="0" w:leftChars="0"/>
        <w:rPr>
          <w:rFonts w:hint="eastAsia" w:ascii="仿宋_GB2312" w:hAnsi="宋体" w:eastAsia="仿宋_GB2312"/>
          <w:sz w:val="32"/>
          <w:szCs w:val="32"/>
          <w:lang w:val="en-US" w:eastAsia="zh-CN"/>
        </w:rPr>
      </w:pPr>
    </w:p>
    <w:p>
      <w:pPr>
        <w:pStyle w:val="8"/>
        <w:pageBreakBefore w:val="0"/>
        <w:kinsoku/>
        <w:wordWrap/>
        <w:overflowPunct/>
        <w:topLinePunct w:val="0"/>
        <w:bidi w:val="0"/>
        <w:spacing w:beforeLines="0" w:line="560" w:lineRule="exact"/>
        <w:ind w:left="0" w:leftChars="0"/>
        <w:rPr>
          <w:rFonts w:hint="eastAsia" w:ascii="仿宋_GB2312" w:hAnsi="宋体" w:eastAsia="仿宋_GB2312"/>
          <w:sz w:val="32"/>
          <w:szCs w:val="32"/>
          <w:lang w:val="en-US" w:eastAsia="zh-CN"/>
        </w:rPr>
      </w:pPr>
    </w:p>
    <w:p>
      <w:pPr>
        <w:pStyle w:val="8"/>
        <w:pageBreakBefore w:val="0"/>
        <w:kinsoku/>
        <w:wordWrap/>
        <w:overflowPunct/>
        <w:topLinePunct w:val="0"/>
        <w:bidi w:val="0"/>
        <w:spacing w:beforeLines="0" w:line="560" w:lineRule="exact"/>
        <w:ind w:left="0" w:leftChars="0"/>
        <w:rPr>
          <w:rFonts w:hint="eastAsia" w:ascii="仿宋_GB2312" w:hAnsi="宋体" w:eastAsia="仿宋_GB2312"/>
          <w:sz w:val="32"/>
          <w:szCs w:val="32"/>
          <w:lang w:val="en-US" w:eastAsia="zh-CN"/>
        </w:rPr>
      </w:pPr>
    </w:p>
    <w:p>
      <w:pPr>
        <w:pStyle w:val="3"/>
        <w:pageBreakBefore w:val="0"/>
        <w:kinsoku/>
        <w:wordWrap/>
        <w:overflowPunct/>
        <w:topLinePunct w:val="0"/>
        <w:bidi w:val="0"/>
        <w:spacing w:before="0" w:after="0" w:line="560" w:lineRule="exact"/>
        <w:ind w:left="0" w:leftChars="0"/>
        <w:jc w:val="center"/>
        <w:rPr>
          <w:rFonts w:hint="eastAsia" w:ascii="方正小标宋_GBK" w:hAnsi="方正小标宋_GBK" w:eastAsia="方正小标宋_GBK" w:cs="方正小标宋_GBK"/>
          <w:b w:val="0"/>
          <w:bCs w:val="0"/>
        </w:rPr>
      </w:pPr>
      <w:bookmarkStart w:id="87" w:name="_Toc721"/>
      <w:r>
        <w:rPr>
          <w:rFonts w:hint="eastAsia" w:ascii="方正小标宋_GBK" w:hAnsi="方正小标宋_GBK" w:eastAsia="方正小标宋_GBK" w:cs="方正小标宋_GBK"/>
          <w:b w:val="0"/>
          <w:bCs w:val="0"/>
          <w:lang w:eastAsia="zh-CN"/>
        </w:rPr>
        <w:t>尕多乡刑木达村基础设施建设项目支出</w:t>
      </w:r>
      <w:r>
        <w:rPr>
          <w:rFonts w:hint="eastAsia" w:ascii="方正小标宋_GBK" w:hAnsi="方正小标宋_GBK" w:eastAsia="方正小标宋_GBK" w:cs="方正小标宋_GBK"/>
          <w:b w:val="0"/>
          <w:bCs w:val="0"/>
        </w:rPr>
        <w:t>绩效</w:t>
      </w:r>
    </w:p>
    <w:p>
      <w:pPr>
        <w:pStyle w:val="3"/>
        <w:pageBreakBefore w:val="0"/>
        <w:kinsoku/>
        <w:wordWrap/>
        <w:overflowPunct/>
        <w:topLinePunct w:val="0"/>
        <w:bidi w:val="0"/>
        <w:spacing w:before="0" w:after="0" w:line="560" w:lineRule="exact"/>
        <w:ind w:left="0" w:leftChars="0"/>
        <w:jc w:val="center"/>
        <w:rPr>
          <w:rFonts w:hint="eastAsia" w:ascii="方正小标宋_GBK" w:hAnsi="方正小标宋_GBK" w:eastAsia="方正小标宋_GBK" w:cs="方正小标宋_GBK"/>
          <w:b w:val="0"/>
          <w:bCs w:val="0"/>
          <w:kern w:val="2"/>
          <w:sz w:val="32"/>
          <w:szCs w:val="32"/>
          <w:lang w:val="en-US" w:eastAsia="zh-CN" w:bidi="ar-SA"/>
        </w:rPr>
      </w:pPr>
      <w:r>
        <w:rPr>
          <w:rFonts w:hint="eastAsia" w:ascii="方正小标宋_GBK" w:hAnsi="方正小标宋_GBK" w:eastAsia="方正小标宋_GBK" w:cs="方正小标宋_GBK"/>
          <w:b w:val="0"/>
          <w:bCs w:val="0"/>
        </w:rPr>
        <w:t>自评报告</w:t>
      </w:r>
      <w:bookmarkEnd w:id="87"/>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val="zh-CN" w:eastAsia="zh-CN"/>
        </w:rPr>
      </w:pPr>
      <w:bookmarkStart w:id="88" w:name="_Toc25517"/>
      <w:r>
        <w:rPr>
          <w:rFonts w:hint="eastAsia" w:ascii="黑体" w:hAnsi="黑体" w:eastAsia="黑体" w:cs="黑体"/>
          <w:b w:val="0"/>
          <w:bCs w:val="0"/>
          <w:lang w:val="en-US" w:eastAsia="zh-CN"/>
        </w:rPr>
        <w:t>一、</w:t>
      </w:r>
      <w:r>
        <w:rPr>
          <w:rFonts w:hint="eastAsia" w:ascii="黑体" w:hAnsi="黑体" w:eastAsia="黑体" w:cs="黑体"/>
          <w:b w:val="0"/>
          <w:bCs w:val="0"/>
          <w:lang w:val="zh-CN" w:eastAsia="zh-CN"/>
        </w:rPr>
        <w:t>项目概况</w:t>
      </w:r>
      <w:bookmarkEnd w:id="88"/>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val="en-US" w:eastAsia="zh-CN"/>
        </w:rPr>
        <w:t>一</w:t>
      </w:r>
      <w:r>
        <w:rPr>
          <w:rFonts w:hint="eastAsia" w:ascii="楷体_GB2312" w:hAnsi="楷体_GB2312" w:eastAsia="楷体_GB2312" w:cs="楷体_GB2312"/>
        </w:rPr>
        <w:t>）项目申报及批复情况</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该项目根据《壤塘县发展和改革局关于审批尕多乡刑木达村基础设施建设项目实施方案的批复》</w:t>
      </w:r>
      <w:r>
        <w:rPr>
          <w:rFonts w:hint="eastAsia" w:ascii="仿宋_GB2312" w:hAnsi="宋体" w:eastAsia="仿宋_GB2312"/>
          <w:sz w:val="32"/>
          <w:szCs w:val="32"/>
          <w:lang w:val="zh-CN" w:eastAsia="zh-CN"/>
        </w:rPr>
        <w:t>壤发改行审〔202</w:t>
      </w: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eastAsia="zh-CN"/>
        </w:rPr>
        <w:t>〕</w:t>
      </w:r>
      <w:r>
        <w:rPr>
          <w:rFonts w:hint="eastAsia" w:ascii="仿宋_GB2312" w:hAnsi="宋体" w:eastAsia="仿宋_GB2312"/>
          <w:sz w:val="32"/>
          <w:szCs w:val="32"/>
          <w:lang w:val="en-US" w:eastAsia="zh-CN"/>
        </w:rPr>
        <w:t>23</w:t>
      </w:r>
      <w:r>
        <w:rPr>
          <w:rFonts w:hint="eastAsia" w:ascii="仿宋_GB2312" w:hAnsi="宋体" w:eastAsia="仿宋_GB2312"/>
          <w:sz w:val="32"/>
          <w:szCs w:val="32"/>
          <w:lang w:val="zh-CN" w:eastAsia="zh-CN"/>
        </w:rPr>
        <w:t>号</w:t>
      </w:r>
      <w:r>
        <w:rPr>
          <w:rFonts w:hint="eastAsia" w:ascii="仿宋_GB2312" w:hAnsi="宋体" w:eastAsia="仿宋_GB2312"/>
          <w:sz w:val="32"/>
          <w:szCs w:val="32"/>
          <w:lang w:val="en-US" w:eastAsia="zh-CN"/>
        </w:rPr>
        <w:t>予以批准建设，根据《关于下达2022年中央财政衔接推进乡村振兴补助资金预算的通知》阿州财农</w:t>
      </w:r>
      <w:r>
        <w:rPr>
          <w:rFonts w:hint="eastAsia" w:ascii="仿宋_GB2312" w:hAnsi="宋体" w:eastAsia="仿宋_GB2312"/>
          <w:sz w:val="32"/>
          <w:szCs w:val="32"/>
          <w:lang w:val="zh-CN" w:eastAsia="zh-CN"/>
        </w:rPr>
        <w:t>〔202</w:t>
      </w: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eastAsia="zh-CN"/>
        </w:rPr>
        <w:t>〕</w:t>
      </w:r>
      <w:r>
        <w:rPr>
          <w:rFonts w:hint="eastAsia" w:ascii="仿宋_GB2312" w:hAnsi="宋体" w:eastAsia="仿宋_GB2312"/>
          <w:sz w:val="32"/>
          <w:szCs w:val="32"/>
          <w:lang w:val="en-US" w:eastAsia="zh-CN"/>
        </w:rPr>
        <w:t>8号文件安排资金120万元。</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r>
        <w:rPr>
          <w:rFonts w:hint="eastAsia" w:ascii="楷体_GB2312" w:hAnsi="楷体_GB2312" w:eastAsia="楷体_GB2312" w:cs="楷体_GB2312"/>
        </w:rPr>
        <w:t>（二）项目建设任务完成情况</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该项目建设主要内容包括：排水沟600米、防洪沟200米、挡墙400米。</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项目于2022年4月开工建设，2022年10月竣工验收，验收合格。</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rPr>
      </w:pPr>
      <w:r>
        <w:rPr>
          <w:rFonts w:hint="eastAsia" w:ascii="楷体_GB2312" w:hAnsi="楷体_GB2312" w:eastAsia="楷体_GB2312" w:cs="楷体_GB2312"/>
        </w:rPr>
        <w:t>（三）项目资金申报相符性</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项目申报内容与具体实施内容相符，申报目标合理可行。</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rPr>
      </w:pPr>
      <w:bookmarkStart w:id="89" w:name="_Toc4738"/>
      <w:r>
        <w:rPr>
          <w:rFonts w:hint="eastAsia" w:ascii="黑体" w:hAnsi="黑体" w:eastAsia="黑体" w:cs="黑体"/>
          <w:b w:val="0"/>
          <w:bCs w:val="0"/>
        </w:rPr>
        <w:t>二、项目实施</w:t>
      </w:r>
      <w:bookmarkEnd w:id="89"/>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（一）项目组织实施情况</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eastAsia="zh-CN"/>
        </w:rPr>
        <w:t>尕多乡刑木达村基础设施建设项目</w:t>
      </w:r>
      <w:r>
        <w:rPr>
          <w:rFonts w:hint="eastAsia" w:ascii="仿宋_GB2312" w:hAnsi="宋体" w:eastAsia="仿宋_GB2312"/>
          <w:sz w:val="32"/>
          <w:szCs w:val="32"/>
          <w:lang w:val="en-US" w:eastAsia="zh-CN"/>
        </w:rPr>
        <w:t>严格按照国家相关法律法规和招投标程序进行公开招标。</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该项目施工单位：四川至臻建设工程有限责任公司，中标价：111.159875万元；设计单位：中塍勘察设计有限公司，合同价：4..67万元；监理单位：四川盛羌建设工程有限公司，合同价：3.67万元。</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（二）资金计划、到位及使用情况</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b/>
          <w:bCs/>
          <w:sz w:val="32"/>
          <w:szCs w:val="32"/>
          <w:lang w:val="en-US" w:eastAsia="zh-CN"/>
        </w:rPr>
        <w:t>1、资金计划及到位情况</w:t>
      </w:r>
      <w:r>
        <w:rPr>
          <w:rFonts w:hint="eastAsia" w:ascii="仿宋_GB2312" w:hAnsi="宋体" w:eastAsia="仿宋_GB2312"/>
          <w:sz w:val="32"/>
          <w:szCs w:val="32"/>
          <w:lang w:val="en-US" w:eastAsia="zh-CN"/>
        </w:rPr>
        <w:t>。该项目总投资120万元，资金来源为中央财政衔接推进乡村振兴补助资金。</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b/>
          <w:bCs/>
          <w:sz w:val="32"/>
          <w:szCs w:val="32"/>
          <w:lang w:val="en-US" w:eastAsia="zh-CN"/>
        </w:rPr>
        <w:t>2、资金使用情况。</w:t>
      </w:r>
      <w:r>
        <w:rPr>
          <w:rFonts w:hint="eastAsia" w:ascii="仿宋_GB2312" w:hAnsi="宋体" w:eastAsia="仿宋_GB2312"/>
          <w:sz w:val="32"/>
          <w:szCs w:val="32"/>
          <w:lang w:val="en-US" w:eastAsia="zh-CN"/>
        </w:rPr>
        <w:t>该项目实际支付117..825078万元，其中：建安投资107.825078万元，待摊投资10万元（其中，设计费4.67元，清单编制费0.66万元，图审费0.4万元，监理费3.67元，需求论证0.6万元）。所有款项的支付合规合法，资金支付与预算相符。</w:t>
      </w:r>
    </w:p>
    <w:p>
      <w:pPr>
        <w:pageBreakBefore w:val="0"/>
        <w:kinsoku/>
        <w:wordWrap/>
        <w:overflowPunct/>
        <w:topLinePunct w:val="0"/>
        <w:bidi w:val="0"/>
        <w:adjustRightInd w:val="0"/>
        <w:snapToGrid w:val="0"/>
        <w:spacing w:line="560" w:lineRule="exact"/>
        <w:ind w:left="0" w:leftChars="0"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该项目概算投资120万元，实际到位为120万元，实际完成支出为117..825078万元（截至目前项目审计结果未出）。</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val="zh-CN"/>
        </w:rPr>
      </w:pPr>
      <w:bookmarkStart w:id="90" w:name="_Toc28794"/>
      <w:r>
        <w:rPr>
          <w:rFonts w:hint="eastAsia" w:ascii="黑体" w:hAnsi="黑体" w:eastAsia="黑体" w:cs="黑体"/>
          <w:b w:val="0"/>
          <w:bCs w:val="0"/>
        </w:rPr>
        <w:t>三、项目绩效情况</w:t>
      </w:r>
      <w:bookmarkEnd w:id="90"/>
      <w:r>
        <w:rPr>
          <w:rFonts w:hint="eastAsia" w:ascii="黑体" w:hAnsi="黑体" w:eastAsia="黑体" w:cs="黑体"/>
          <w:b w:val="0"/>
          <w:bCs w:val="0"/>
          <w:lang w:val="zh-CN"/>
        </w:rPr>
        <w:tab/>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该项目实施内容为：新建标准室内篮球场1个及配套基础设施。项目于2022年4月开工建设，2022年10月竣工验收，验收合格。项目工期要求为8月完工，因疫情影响申请将工期推迟至10月，项目概算总投资120万元，实际支付117..825078万元（</w:t>
      </w:r>
      <w:r>
        <w:rPr>
          <w:rFonts w:hint="eastAsia" w:ascii="仿宋_GB2312" w:hAnsi="宋体" w:eastAsia="仿宋_GB2312"/>
          <w:sz w:val="32"/>
          <w:szCs w:val="32"/>
          <w:lang w:val="en-US" w:eastAsia="zh-CN"/>
        </w:rPr>
        <w:t>截至目前</w:t>
      </w:r>
      <w:r>
        <w:rPr>
          <w:rFonts w:hint="eastAsia" w:ascii="方正仿宋_GB2312" w:hAnsi="方正仿宋_GB2312" w:eastAsia="方正仿宋_GB2312" w:cs="方正仿宋_GB2312"/>
          <w:sz w:val="32"/>
          <w:szCs w:val="32"/>
          <w:lang w:val="en-US" w:eastAsia="zh-CN"/>
        </w:rPr>
        <w:t>项目审计结果未出）。</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该项目实施完成后将进一步提升当地基础设施条件，改善当地群众生产生活及出行条件，同时项目实施过程中群众参与务工增加收入，为有效衔接乡村振兴和后续旅游发展奠定良好基础。</w:t>
      </w:r>
    </w:p>
    <w:p>
      <w:pPr>
        <w:pStyle w:val="4"/>
        <w:pageBreakBefore w:val="0"/>
        <w:kinsoku/>
        <w:wordWrap/>
        <w:overflowPunct/>
        <w:topLinePunct w:val="0"/>
        <w:bidi w:val="0"/>
        <w:spacing w:before="0" w:after="0" w:line="560" w:lineRule="exact"/>
        <w:ind w:left="0" w:leftChars="0" w:firstLine="640" w:firstLineChars="200"/>
        <w:rPr>
          <w:rFonts w:hint="eastAsia" w:ascii="黑体" w:hAnsi="黑体" w:eastAsia="黑体" w:cs="黑体"/>
          <w:b w:val="0"/>
          <w:bCs w:val="0"/>
          <w:lang w:val="zh-CN"/>
        </w:rPr>
      </w:pPr>
      <w:bookmarkStart w:id="91" w:name="_Toc15129"/>
      <w:r>
        <w:rPr>
          <w:rFonts w:hint="eastAsia" w:ascii="黑体" w:hAnsi="黑体" w:eastAsia="黑体" w:cs="黑体"/>
          <w:b w:val="0"/>
          <w:bCs w:val="0"/>
          <w:lang w:val="zh-CN"/>
        </w:rPr>
        <w:t>四、问题及建议</w:t>
      </w:r>
      <w:bookmarkEnd w:id="91"/>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rPr>
      </w:pPr>
      <w:r>
        <w:rPr>
          <w:rFonts w:hint="eastAsia" w:ascii="楷体_GB2312" w:hAnsi="楷体_GB2312" w:eastAsia="楷体_GB2312" w:cs="楷体_GB2312"/>
          <w:lang w:val="zh-CN"/>
        </w:rPr>
        <w:t>（一）存在的问题</w:t>
      </w:r>
    </w:p>
    <w:p>
      <w:pPr>
        <w:pStyle w:val="8"/>
        <w:keepNext w:val="0"/>
        <w:keepLines w:val="0"/>
        <w:pageBreakBefore w:val="0"/>
        <w:widowControl w:val="0"/>
        <w:kinsoku/>
        <w:wordWrap/>
        <w:overflowPunct/>
        <w:topLinePunct w:val="0"/>
        <w:autoSpaceDE/>
        <w:autoSpaceDN/>
        <w:bidi w:val="0"/>
        <w:spacing w:beforeLines="0" w:line="560" w:lineRule="exact"/>
        <w:ind w:left="0" w:leftChars="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无</w:t>
      </w:r>
    </w:p>
    <w:p>
      <w:pPr>
        <w:pStyle w:val="5"/>
        <w:pageBreakBefore w:val="0"/>
        <w:kinsoku/>
        <w:wordWrap/>
        <w:overflowPunct/>
        <w:topLinePunct w:val="0"/>
        <w:bidi w:val="0"/>
        <w:spacing w:before="0" w:after="0" w:line="560" w:lineRule="exact"/>
        <w:ind w:left="0" w:leftChars="0" w:firstLine="643" w:firstLineChars="200"/>
        <w:rPr>
          <w:rFonts w:hint="eastAsia" w:ascii="楷体_GB2312" w:hAnsi="楷体_GB2312" w:eastAsia="楷体_GB2312" w:cs="楷体_GB2312"/>
          <w:lang w:val="zh-CN" w:eastAsia="zh-CN"/>
        </w:rPr>
      </w:pPr>
      <w:r>
        <w:rPr>
          <w:rFonts w:hint="eastAsia" w:ascii="楷体_GB2312" w:hAnsi="楷体_GB2312" w:eastAsia="楷体_GB2312" w:cs="楷体_GB2312"/>
          <w:lang w:val="zh-CN" w:eastAsia="zh-CN"/>
        </w:rPr>
        <w:t>（二）相关建议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无</w:t>
      </w:r>
    </w:p>
    <w:p>
      <w:pPr>
        <w:pageBreakBefore w:val="0"/>
        <w:widowControl/>
        <w:kinsoku/>
        <w:wordWrap/>
        <w:overflowPunct/>
        <w:topLinePunct w:val="0"/>
        <w:bidi w:val="0"/>
        <w:spacing w:line="560" w:lineRule="exact"/>
        <w:ind w:left="0" w:leftChars="0"/>
        <w:jc w:val="left"/>
        <w:rPr>
          <w:rStyle w:val="29"/>
          <w:rFonts w:ascii="黑体" w:hAnsi="黑体" w:eastAsia="黑体"/>
          <w:b w:val="0"/>
          <w:color w:val="auto"/>
          <w:highlight w:val="none"/>
        </w:rPr>
      </w:pPr>
      <w:r>
        <w:rPr>
          <w:rStyle w:val="29"/>
          <w:rFonts w:ascii="黑体" w:hAnsi="黑体" w:eastAsia="黑体"/>
          <w:b w:val="0"/>
          <w:color w:val="auto"/>
          <w:highlight w:val="none"/>
        </w:rPr>
        <w:br w:type="page"/>
      </w:r>
    </w:p>
    <w:p>
      <w:pPr>
        <w:pStyle w:val="3"/>
        <w:pageBreakBefore w:val="0"/>
        <w:kinsoku/>
        <w:wordWrap/>
        <w:overflowPunct/>
        <w:topLinePunct w:val="0"/>
        <w:bidi w:val="0"/>
        <w:spacing w:before="0" w:after="0" w:line="560" w:lineRule="exact"/>
        <w:ind w:left="0" w:leftChars="0"/>
        <w:jc w:val="center"/>
        <w:rPr>
          <w:rFonts w:hint="eastAsia" w:ascii="方正小标宋_GBK" w:hAnsi="方正小标宋_GBK" w:eastAsia="方正小标宋_GBK" w:cs="方正小标宋_GBK"/>
          <w:b w:val="0"/>
          <w:bCs w:val="0"/>
        </w:rPr>
      </w:pPr>
      <w:bookmarkStart w:id="92" w:name="_Toc15396618"/>
      <w:bookmarkStart w:id="93" w:name="_Toc470"/>
      <w:r>
        <w:rPr>
          <w:rFonts w:hint="eastAsia" w:ascii="方正小标宋_GBK" w:hAnsi="方正小标宋_GBK" w:eastAsia="方正小标宋_GBK" w:cs="方正小标宋_GBK"/>
          <w:b w:val="0"/>
          <w:bCs w:val="0"/>
        </w:rPr>
        <w:t>第五部分 附表</w:t>
      </w:r>
      <w:bookmarkEnd w:id="68"/>
      <w:bookmarkEnd w:id="92"/>
      <w:bookmarkEnd w:id="93"/>
      <w:bookmarkStart w:id="94" w:name="_Toc15396619"/>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一、收入支出决算总表</w:t>
      </w:r>
      <w:bookmarkEnd w:id="94"/>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95" w:name="_Toc15396620"/>
      <w:r>
        <w:rPr>
          <w:rFonts w:hint="eastAsia" w:ascii="方正仿宋_GB2312" w:hAnsi="方正仿宋_GB2312" w:eastAsia="方正仿宋_GB2312" w:cs="方正仿宋_GB2312"/>
          <w:sz w:val="32"/>
          <w:szCs w:val="32"/>
          <w:lang w:val="en-US" w:eastAsia="zh-CN"/>
        </w:rPr>
        <w:t>二、收入决算表</w:t>
      </w:r>
      <w:bookmarkEnd w:id="95"/>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96" w:name="_Toc15396621"/>
      <w:r>
        <w:rPr>
          <w:rFonts w:hint="eastAsia" w:ascii="方正仿宋_GB2312" w:hAnsi="方正仿宋_GB2312" w:eastAsia="方正仿宋_GB2312" w:cs="方正仿宋_GB2312"/>
          <w:sz w:val="32"/>
          <w:szCs w:val="32"/>
          <w:lang w:val="en-US" w:eastAsia="zh-CN"/>
        </w:rPr>
        <w:t>三、支出决算表</w:t>
      </w:r>
      <w:bookmarkEnd w:id="96"/>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97" w:name="_Toc15396622"/>
      <w:r>
        <w:rPr>
          <w:rFonts w:hint="eastAsia" w:ascii="方正仿宋_GB2312" w:hAnsi="方正仿宋_GB2312" w:eastAsia="方正仿宋_GB2312" w:cs="方正仿宋_GB2312"/>
          <w:sz w:val="32"/>
          <w:szCs w:val="32"/>
          <w:lang w:val="en-US" w:eastAsia="zh-CN"/>
        </w:rPr>
        <w:t>四、财政拨款收入支出决算总表</w:t>
      </w:r>
      <w:bookmarkEnd w:id="97"/>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98" w:name="_Toc15396623"/>
      <w:r>
        <w:rPr>
          <w:rFonts w:hint="eastAsia" w:ascii="方正仿宋_GB2312" w:hAnsi="方正仿宋_GB2312" w:eastAsia="方正仿宋_GB2312" w:cs="方正仿宋_GB2312"/>
          <w:sz w:val="32"/>
          <w:szCs w:val="32"/>
          <w:lang w:val="en-US" w:eastAsia="zh-CN"/>
        </w:rPr>
        <w:t>五、财政拨款支出决算明细表</w:t>
      </w:r>
      <w:bookmarkEnd w:id="98"/>
      <w:bookmarkStart w:id="99" w:name="_Toc15396624"/>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六、一般公共预算财政拨款支出决算表</w:t>
      </w:r>
      <w:bookmarkEnd w:id="99"/>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0" w:name="_Toc15396625"/>
      <w:r>
        <w:rPr>
          <w:rFonts w:hint="eastAsia" w:ascii="方正仿宋_GB2312" w:hAnsi="方正仿宋_GB2312" w:eastAsia="方正仿宋_GB2312" w:cs="方正仿宋_GB2312"/>
          <w:sz w:val="32"/>
          <w:szCs w:val="32"/>
          <w:lang w:val="en-US" w:eastAsia="zh-CN"/>
        </w:rPr>
        <w:t>七、一般公共预算财政拨款支出决算明细表</w:t>
      </w:r>
      <w:bookmarkEnd w:id="100"/>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1" w:name="_Toc15396626"/>
      <w:r>
        <w:rPr>
          <w:rFonts w:hint="eastAsia" w:ascii="方正仿宋_GB2312" w:hAnsi="方正仿宋_GB2312" w:eastAsia="方正仿宋_GB2312" w:cs="方正仿宋_GB2312"/>
          <w:sz w:val="32"/>
          <w:szCs w:val="32"/>
          <w:lang w:val="en-US" w:eastAsia="zh-CN"/>
        </w:rPr>
        <w:t>八、一般公共预算财政拨款基本支出决算表</w:t>
      </w:r>
      <w:bookmarkEnd w:id="101"/>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2" w:name="_Toc15396627"/>
      <w:r>
        <w:rPr>
          <w:rFonts w:hint="eastAsia" w:ascii="方正仿宋_GB2312" w:hAnsi="方正仿宋_GB2312" w:eastAsia="方正仿宋_GB2312" w:cs="方正仿宋_GB2312"/>
          <w:sz w:val="32"/>
          <w:szCs w:val="32"/>
          <w:lang w:val="en-US" w:eastAsia="zh-CN"/>
        </w:rPr>
        <w:t>九、一般公共预算财政拨款项目支出决算表</w:t>
      </w:r>
      <w:bookmarkEnd w:id="102"/>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3" w:name="_Toc15396628"/>
      <w:r>
        <w:rPr>
          <w:rFonts w:hint="eastAsia" w:ascii="方正仿宋_GB2312" w:hAnsi="方正仿宋_GB2312" w:eastAsia="方正仿宋_GB2312" w:cs="方正仿宋_GB2312"/>
          <w:sz w:val="32"/>
          <w:szCs w:val="32"/>
          <w:lang w:val="en-US" w:eastAsia="zh-CN"/>
        </w:rPr>
        <w:t>十、</w:t>
      </w:r>
      <w:bookmarkEnd w:id="103"/>
      <w:r>
        <w:rPr>
          <w:rFonts w:hint="eastAsia" w:ascii="方正仿宋_GB2312" w:hAnsi="方正仿宋_GB2312" w:eastAsia="方正仿宋_GB2312" w:cs="方正仿宋_GB2312"/>
          <w:sz w:val="32"/>
          <w:szCs w:val="32"/>
          <w:lang w:val="en-US" w:eastAsia="zh-CN"/>
        </w:rPr>
        <w:t>政府性基金预算财政拨款收入支出决算表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4" w:name="_Toc15396629"/>
      <w:r>
        <w:rPr>
          <w:rFonts w:hint="eastAsia" w:ascii="方正仿宋_GB2312" w:hAnsi="方正仿宋_GB2312" w:eastAsia="方正仿宋_GB2312" w:cs="方正仿宋_GB2312"/>
          <w:sz w:val="32"/>
          <w:szCs w:val="32"/>
          <w:lang w:val="en-US" w:eastAsia="zh-CN"/>
        </w:rPr>
        <w:t>十一、</w:t>
      </w:r>
      <w:bookmarkEnd w:id="104"/>
      <w:r>
        <w:rPr>
          <w:rFonts w:hint="eastAsia" w:ascii="方正仿宋_GB2312" w:hAnsi="方正仿宋_GB2312" w:eastAsia="方正仿宋_GB2312" w:cs="方正仿宋_GB2312"/>
          <w:sz w:val="32"/>
          <w:szCs w:val="32"/>
          <w:lang w:val="en-US" w:eastAsia="zh-CN"/>
        </w:rPr>
        <w:t>国有资本经营预算财政拨款收入支出决算表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5" w:name="_Toc15396630"/>
      <w:r>
        <w:rPr>
          <w:rFonts w:hint="eastAsia" w:ascii="方正仿宋_GB2312" w:hAnsi="方正仿宋_GB2312" w:eastAsia="方正仿宋_GB2312" w:cs="方正仿宋_GB2312"/>
          <w:sz w:val="32"/>
          <w:szCs w:val="32"/>
          <w:lang w:val="en-US" w:eastAsia="zh-CN"/>
        </w:rPr>
        <w:t>十二、</w:t>
      </w:r>
      <w:bookmarkEnd w:id="105"/>
      <w:r>
        <w:rPr>
          <w:rFonts w:hint="eastAsia" w:ascii="方正仿宋_GB2312" w:hAnsi="方正仿宋_GB2312" w:eastAsia="方正仿宋_GB2312" w:cs="方正仿宋_GB2312"/>
          <w:sz w:val="32"/>
          <w:szCs w:val="32"/>
          <w:lang w:val="en-US" w:eastAsia="zh-CN"/>
        </w:rPr>
        <w:t>国有资本经营预算财政拨款支出决算表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720"/>
        <w:textAlignment w:val="auto"/>
        <w:rPr>
          <w:rFonts w:hint="eastAsia" w:ascii="方正仿宋_GB2312" w:hAnsi="方正仿宋_GB2312" w:eastAsia="方正仿宋_GB2312" w:cs="方正仿宋_GB2312"/>
          <w:sz w:val="32"/>
          <w:szCs w:val="32"/>
          <w:lang w:val="en-US" w:eastAsia="zh-CN"/>
        </w:rPr>
      </w:pPr>
      <w:bookmarkStart w:id="106" w:name="_Toc15396631"/>
      <w:r>
        <w:rPr>
          <w:rFonts w:hint="eastAsia" w:ascii="方正仿宋_GB2312" w:hAnsi="方正仿宋_GB2312" w:eastAsia="方正仿宋_GB2312" w:cs="方正仿宋_GB2312"/>
          <w:sz w:val="32"/>
          <w:szCs w:val="32"/>
          <w:lang w:val="en-US" w:eastAsia="zh-CN"/>
        </w:rPr>
        <w:t>十三、</w:t>
      </w:r>
      <w:bookmarkEnd w:id="106"/>
      <w:r>
        <w:rPr>
          <w:rFonts w:hint="eastAsia" w:ascii="方正仿宋_GB2312" w:hAnsi="方正仿宋_GB2312" w:eastAsia="方正仿宋_GB2312" w:cs="方正仿宋_GB2312"/>
          <w:sz w:val="32"/>
          <w:szCs w:val="32"/>
          <w:lang w:val="en-US" w:eastAsia="zh-CN"/>
        </w:rPr>
        <w:t>财政拨款“三公”经费支出决算表</w:t>
      </w:r>
    </w:p>
    <w:sectPr>
      <w:footerReference r:id="rId6" w:type="first"/>
      <w:footerReference r:id="rId5" w:type="default"/>
      <w:pgSz w:w="11906" w:h="16838"/>
      <w:pgMar w:top="2098" w:right="1474" w:bottom="1984" w:left="1587"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2010601030101010101"/>
    <w:charset w:val="86"/>
    <w:family w:val="script"/>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-237490</wp:posOffset>
              </wp:positionV>
              <wp:extent cx="1457960" cy="536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457960" cy="536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8.7pt;height:42.25pt;width:114.8pt;mso-position-horizontal:outside;mso-position-horizontal-relative:margin;z-index:251659264;mso-width-relative:page;mso-height-relative:page;" filled="f" stroked="f" coordsize="21600,21600" o:gfxdata="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QtOjNcAAAAHAQAA&#10;DwAAAAAAAAABACAAAAAiAAAAZHJzL2Rvd25yZXYueG1sUEsBAhQAFAAAAAgAh07iQGtx72oaAgAA&#10;FAQAAA4AAAAAAAAAAQAgAAAAJgEAAGRycy9lMm9Eb2MueG1sUEsFBgAAAAAGAAYAWQEAALIFAAAA&#10;AA==&#10;">
              <v:fill on="f" focussize="0,0"/>
              <v:stroke on="f" weight="0.5pt"/>
              <v:imagedata o:title=""/>
              <o:lock v:ext="edit" aspectratio="f"/>
              <v:textbox inset="0mm,0mm,0mm,0mm">
                <w:txbxContent>
                  <w:p>
                    <w:pPr>
                      <w:pStyle w:val="8"/>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-237490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7pt;height:144pt;width:144pt;mso-position-horizontal:outside;mso-position-horizontal-relative:margin;mso-wrap-style:none;z-index:251660288;mso-width-relative:page;mso-height-relative:page;" filled="f" stroked="f" coordsize="21600,21600" o:gfxdata="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O4fzNYAAAAIAQAADwAAAAAAAAAB&#10;ACAAAAAiAAAAZHJzL2Rvd25yZXYueG1sUEsBAhQAFAAAAAgAh07iQM9tdHoSAgAAFQQAAA4AAAAA&#10;AAAAAQAgAAAAJQEAAGRycy9lMm9Eb2MueG1sUEsFBgAAAAAGAAYAWQEAAKk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A0D1EE"/>
    <w:multiLevelType w:val="singleLevel"/>
    <w:tmpl w:val="C2A0D1EE"/>
    <w:lvl w:ilvl="0" w:tentative="0">
      <w:start w:val="2"/>
      <w:numFmt w:val="decimal"/>
      <w:suff w:val="nothing"/>
      <w:lvlText w:val="（%1）"/>
      <w:lvlJc w:val="left"/>
    </w:lvl>
  </w:abstractNum>
  <w:abstractNum w:abstractNumId="1">
    <w:nsid w:val="238512E3"/>
    <w:multiLevelType w:val="singleLevel"/>
    <w:tmpl w:val="238512E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M2I4NDEwNDBjZmQ2YzJmYjE1MjhmYjE4Yzg3M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80DEA"/>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25A4C19"/>
    <w:rsid w:val="02905436"/>
    <w:rsid w:val="03D4480F"/>
    <w:rsid w:val="04A245D8"/>
    <w:rsid w:val="05693765"/>
    <w:rsid w:val="06493254"/>
    <w:rsid w:val="066E0107"/>
    <w:rsid w:val="07655BDB"/>
    <w:rsid w:val="07996F6E"/>
    <w:rsid w:val="0808348C"/>
    <w:rsid w:val="0812117B"/>
    <w:rsid w:val="084B4917"/>
    <w:rsid w:val="09CA1E14"/>
    <w:rsid w:val="0A2032A3"/>
    <w:rsid w:val="0AA65BC2"/>
    <w:rsid w:val="0B637C17"/>
    <w:rsid w:val="0B6F6B9A"/>
    <w:rsid w:val="0CE7531D"/>
    <w:rsid w:val="0D7B2919"/>
    <w:rsid w:val="0DD61181"/>
    <w:rsid w:val="0E3D043D"/>
    <w:rsid w:val="0F201757"/>
    <w:rsid w:val="0F98263C"/>
    <w:rsid w:val="101860EC"/>
    <w:rsid w:val="10C055FF"/>
    <w:rsid w:val="11475208"/>
    <w:rsid w:val="116764E1"/>
    <w:rsid w:val="118107EC"/>
    <w:rsid w:val="126F6289"/>
    <w:rsid w:val="138240D6"/>
    <w:rsid w:val="13D50BC4"/>
    <w:rsid w:val="145119C1"/>
    <w:rsid w:val="158A5AD2"/>
    <w:rsid w:val="159B3BBC"/>
    <w:rsid w:val="159B5B93"/>
    <w:rsid w:val="15A1798E"/>
    <w:rsid w:val="15A44789"/>
    <w:rsid w:val="15E23B2A"/>
    <w:rsid w:val="16962474"/>
    <w:rsid w:val="16BB723D"/>
    <w:rsid w:val="16F53BA0"/>
    <w:rsid w:val="17A97F5B"/>
    <w:rsid w:val="1810727A"/>
    <w:rsid w:val="1AA33419"/>
    <w:rsid w:val="1BE8440E"/>
    <w:rsid w:val="1C8818BB"/>
    <w:rsid w:val="1CAD0FCD"/>
    <w:rsid w:val="1D155CEE"/>
    <w:rsid w:val="1EE01C1D"/>
    <w:rsid w:val="1EF95861"/>
    <w:rsid w:val="1FF35744"/>
    <w:rsid w:val="2127409F"/>
    <w:rsid w:val="21535E34"/>
    <w:rsid w:val="215F4162"/>
    <w:rsid w:val="22A0431B"/>
    <w:rsid w:val="22FB7C02"/>
    <w:rsid w:val="23233E6E"/>
    <w:rsid w:val="237D45DE"/>
    <w:rsid w:val="23860B96"/>
    <w:rsid w:val="240371BF"/>
    <w:rsid w:val="248F2B42"/>
    <w:rsid w:val="254867A3"/>
    <w:rsid w:val="25C20B96"/>
    <w:rsid w:val="26A036BE"/>
    <w:rsid w:val="28113A67"/>
    <w:rsid w:val="28DC0163"/>
    <w:rsid w:val="29FD04D3"/>
    <w:rsid w:val="2B4E1F73"/>
    <w:rsid w:val="2B984CD3"/>
    <w:rsid w:val="2BAB3C34"/>
    <w:rsid w:val="2C310D5E"/>
    <w:rsid w:val="2C8A61B5"/>
    <w:rsid w:val="2CF734B1"/>
    <w:rsid w:val="2D5C55DD"/>
    <w:rsid w:val="2DF04E50"/>
    <w:rsid w:val="2EFD0612"/>
    <w:rsid w:val="2F040D46"/>
    <w:rsid w:val="2F496348"/>
    <w:rsid w:val="300E44B6"/>
    <w:rsid w:val="319F7F4E"/>
    <w:rsid w:val="321E7391"/>
    <w:rsid w:val="32C8241A"/>
    <w:rsid w:val="32DF2835"/>
    <w:rsid w:val="3304709D"/>
    <w:rsid w:val="34B447A0"/>
    <w:rsid w:val="362B7A26"/>
    <w:rsid w:val="36AA5135"/>
    <w:rsid w:val="376D39B2"/>
    <w:rsid w:val="378C2260"/>
    <w:rsid w:val="37E16F03"/>
    <w:rsid w:val="38D469F0"/>
    <w:rsid w:val="39446819"/>
    <w:rsid w:val="39BF6AE0"/>
    <w:rsid w:val="39CA726C"/>
    <w:rsid w:val="3BBC1332"/>
    <w:rsid w:val="3BBF06B8"/>
    <w:rsid w:val="3C161D0F"/>
    <w:rsid w:val="3D0410BD"/>
    <w:rsid w:val="3D0524F0"/>
    <w:rsid w:val="3D98207C"/>
    <w:rsid w:val="3DFC200A"/>
    <w:rsid w:val="3E78745D"/>
    <w:rsid w:val="3EFC39EC"/>
    <w:rsid w:val="41C861EA"/>
    <w:rsid w:val="449415FA"/>
    <w:rsid w:val="44E268DA"/>
    <w:rsid w:val="454D22BB"/>
    <w:rsid w:val="45774B22"/>
    <w:rsid w:val="471552FC"/>
    <w:rsid w:val="47206AD6"/>
    <w:rsid w:val="48D109F5"/>
    <w:rsid w:val="49607DC4"/>
    <w:rsid w:val="497D3AE1"/>
    <w:rsid w:val="499D6AB8"/>
    <w:rsid w:val="4A627F82"/>
    <w:rsid w:val="4ACD0D7D"/>
    <w:rsid w:val="4AEC49E3"/>
    <w:rsid w:val="4B024FA4"/>
    <w:rsid w:val="4B0E749A"/>
    <w:rsid w:val="4B4F25DA"/>
    <w:rsid w:val="4BE068DB"/>
    <w:rsid w:val="4D577224"/>
    <w:rsid w:val="4D7D5330"/>
    <w:rsid w:val="4EAB630A"/>
    <w:rsid w:val="4ECE2238"/>
    <w:rsid w:val="4FB3346A"/>
    <w:rsid w:val="4FF65D1C"/>
    <w:rsid w:val="513B1D87"/>
    <w:rsid w:val="5227772D"/>
    <w:rsid w:val="52C1570C"/>
    <w:rsid w:val="537E6D0A"/>
    <w:rsid w:val="54016058"/>
    <w:rsid w:val="54A63A8F"/>
    <w:rsid w:val="552B4864"/>
    <w:rsid w:val="56CC59CF"/>
    <w:rsid w:val="57D23DC6"/>
    <w:rsid w:val="57F501AE"/>
    <w:rsid w:val="58140BC2"/>
    <w:rsid w:val="58643257"/>
    <w:rsid w:val="596C613A"/>
    <w:rsid w:val="5A435381"/>
    <w:rsid w:val="5A5228CE"/>
    <w:rsid w:val="5A6B3832"/>
    <w:rsid w:val="5A9A2374"/>
    <w:rsid w:val="5AF92295"/>
    <w:rsid w:val="5BCE19FA"/>
    <w:rsid w:val="5C3C2318"/>
    <w:rsid w:val="5CC75E98"/>
    <w:rsid w:val="5CD71FC4"/>
    <w:rsid w:val="5D303D64"/>
    <w:rsid w:val="5DF91682"/>
    <w:rsid w:val="5F060110"/>
    <w:rsid w:val="5FBC2AB6"/>
    <w:rsid w:val="61F943C0"/>
    <w:rsid w:val="62A558E9"/>
    <w:rsid w:val="63215254"/>
    <w:rsid w:val="638B21AD"/>
    <w:rsid w:val="649B71B0"/>
    <w:rsid w:val="665D7B81"/>
    <w:rsid w:val="68447333"/>
    <w:rsid w:val="69A73190"/>
    <w:rsid w:val="6A0148AA"/>
    <w:rsid w:val="6B081E9C"/>
    <w:rsid w:val="6B4179A9"/>
    <w:rsid w:val="6B764F38"/>
    <w:rsid w:val="6C4A05C8"/>
    <w:rsid w:val="6E7E3605"/>
    <w:rsid w:val="6FA6675D"/>
    <w:rsid w:val="6FE925B8"/>
    <w:rsid w:val="6FF5CC65"/>
    <w:rsid w:val="70B37E14"/>
    <w:rsid w:val="715C0E4B"/>
    <w:rsid w:val="71642FFD"/>
    <w:rsid w:val="72734D90"/>
    <w:rsid w:val="72B21E27"/>
    <w:rsid w:val="72BE26D8"/>
    <w:rsid w:val="7345090E"/>
    <w:rsid w:val="73A500A0"/>
    <w:rsid w:val="73AD73D5"/>
    <w:rsid w:val="73B6EB34"/>
    <w:rsid w:val="744731E5"/>
    <w:rsid w:val="76E3355F"/>
    <w:rsid w:val="778769C8"/>
    <w:rsid w:val="77A1654D"/>
    <w:rsid w:val="79EE5BA4"/>
    <w:rsid w:val="7A2719A7"/>
    <w:rsid w:val="7A7564D3"/>
    <w:rsid w:val="7A894339"/>
    <w:rsid w:val="7CB22D41"/>
    <w:rsid w:val="7CBD20C9"/>
    <w:rsid w:val="7DBA61FF"/>
    <w:rsid w:val="7E6C4C7B"/>
    <w:rsid w:val="7EA0110E"/>
    <w:rsid w:val="7EEF11D3"/>
    <w:rsid w:val="7F227EEE"/>
    <w:rsid w:val="7F2E34EF"/>
    <w:rsid w:val="7F95534E"/>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4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7">
    <w:name w:val="index 6"/>
    <w:next w:val="1"/>
    <w:qFormat/>
    <w:uiPriority w:val="0"/>
    <w:pPr>
      <w:widowControl w:val="0"/>
      <w:ind w:left="2100"/>
      <w:jc w:val="center"/>
    </w:pPr>
    <w:rPr>
      <w:rFonts w:ascii="等线" w:hAnsi="Times New Roman" w:eastAsia="等线" w:cs="Times New Roman"/>
      <w:kern w:val="2"/>
      <w:sz w:val="32"/>
      <w:szCs w:val="32"/>
      <w:lang w:val="en-US" w:eastAsia="zh-CN" w:bidi="ar-SA"/>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2"/>
    <w:semiHidden/>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4"/>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3"/>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8"/>
    <w:qFormat/>
    <w:locked/>
    <w:uiPriority w:val="99"/>
    <w:rPr>
      <w:rFonts w:ascii="仿宋_GB2312" w:hAnsi="Times New Roman" w:eastAsia="仿宋_GB2312"/>
      <w:sz w:val="24"/>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2"/>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37">
    <w:name w:val="列出段落1"/>
    <w:basedOn w:val="1"/>
    <w:qFormat/>
    <w:uiPriority w:val="34"/>
    <w:pPr>
      <w:ind w:firstLine="420" w:firstLineChars="200"/>
    </w:pPr>
    <w:rPr>
      <w:rFonts w:ascii="Calibri" w:hAnsi="Calibri" w:eastAsia="宋体" w:cs="Times New Roman"/>
    </w:rPr>
  </w:style>
  <w:style w:type="character" w:customStyle="1" w:styleId="38">
    <w:name w:val="font01"/>
    <w:basedOn w:val="18"/>
    <w:qFormat/>
    <w:uiPriority w:val="0"/>
    <w:rPr>
      <w:rFonts w:hint="eastAsia" w:ascii="宋体" w:hAnsi="宋体" w:eastAsia="宋体" w:cs="宋体"/>
      <w:color w:val="000000"/>
      <w:sz w:val="18"/>
      <w:szCs w:val="18"/>
      <w:u w:val="none"/>
    </w:rPr>
  </w:style>
  <w:style w:type="paragraph" w:customStyle="1" w:styleId="39">
    <w:name w:val="WPSOffice手动目录 1"/>
    <w:qFormat/>
    <w:uiPriority w:val="0"/>
    <w:pPr>
      <w:ind w:leftChars="0"/>
    </w:pPr>
    <w:rPr>
      <w:rFonts w:ascii="Calibri" w:hAnsi="Calibri" w:eastAsia="宋体" w:cs="Times New Roman"/>
      <w:sz w:val="20"/>
      <w:szCs w:val="20"/>
    </w:rPr>
  </w:style>
  <w:style w:type="paragraph" w:customStyle="1" w:styleId="40">
    <w:name w:val="WPSOffice手动目录 2"/>
    <w:qFormat/>
    <w:uiPriority w:val="0"/>
    <w:pPr>
      <w:ind w:leftChars="200"/>
    </w:pPr>
    <w:rPr>
      <w:rFonts w:ascii="Calibri" w:hAnsi="Calibri" w:eastAsia="宋体" w:cs="Times New Roman"/>
      <w:sz w:val="20"/>
      <w:szCs w:val="20"/>
    </w:rPr>
  </w:style>
  <w:style w:type="character" w:customStyle="1" w:styleId="41">
    <w:name w:val="标题 4 Char"/>
    <w:link w:val="6"/>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8468;&#20214;&#33609;&#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8468;&#20214;&#33609;&#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8468;&#20214;&#33609;&#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8468;&#20214;&#33609;&#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38468;&#20214;&#33609;&#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收入、支出决算总体变动情况图</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233373367362258"/>
          <c:y val="0.0317460317460317"/>
        </c:manualLayout>
      </c:layout>
      <c:overlay val="0"/>
      <c:spPr>
        <a:noFill/>
        <a:ln>
          <a:noFill/>
        </a:ln>
        <a:effectLst/>
      </c:spPr>
    </c:title>
    <c:autoTitleDeleted val="0"/>
    <c:plotArea>
      <c:layout/>
      <c:barChart>
        <c:barDir val="col"/>
        <c:grouping val="clustered"/>
        <c:varyColors val="0"/>
        <c:ser>
          <c:idx val="0"/>
          <c:order val="0"/>
          <c:tx>
            <c:strRef>
              <c:f>[工作簿1]Sheet1!$A$6</c:f>
              <c:strCache>
                <c:ptCount val="1"/>
                <c:pt idx="0">
                  <c:v>2021年</c:v>
                </c:pt>
              </c:strCache>
            </c:strRef>
          </c:tx>
          <c:spPr>
            <a:gradFill>
              <a:gsLst>
                <a:gs pos="0">
                  <a:srgbClr val="14CD68"/>
                </a:gs>
                <a:gs pos="100000">
                  <a:srgbClr val="035C7D"/>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[工作簿1]Sheet1!$B$5:$C$5</c:f>
              <c:strCache>
                <c:ptCount val="2"/>
                <c:pt idx="0">
                  <c:v>收入</c:v>
                </c:pt>
                <c:pt idx="1">
                  <c:v>支出</c:v>
                </c:pt>
              </c:strCache>
            </c:strRef>
          </c:cat>
          <c:val>
            <c:numRef>
              <c:f>[工作簿1]Sheet1!$B$6:$C$6</c:f>
              <c:numCache>
                <c:formatCode>General</c:formatCode>
                <c:ptCount val="2"/>
                <c:pt idx="0">
                  <c:v>1831.98</c:v>
                </c:pt>
                <c:pt idx="1">
                  <c:v>2125.71</c:v>
                </c:pt>
              </c:numCache>
            </c:numRef>
          </c:val>
        </c:ser>
        <c:ser>
          <c:idx val="1"/>
          <c:order val="1"/>
          <c:tx>
            <c:strRef>
              <c:f>[工作簿1]Sheet1!$A$7</c:f>
              <c:strCache>
                <c:ptCount val="1"/>
                <c:pt idx="0">
                  <c:v>2022年</c:v>
                </c:pt>
              </c:strCache>
            </c:strRef>
          </c:tx>
          <c:spPr>
            <a:solidFill>
              <a:schemeClr val="accent1">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[工作簿1]Sheet1!$B$5:$C$5</c:f>
              <c:strCache>
                <c:ptCount val="2"/>
                <c:pt idx="0">
                  <c:v>收入</c:v>
                </c:pt>
                <c:pt idx="1">
                  <c:v>支出</c:v>
                </c:pt>
              </c:strCache>
            </c:strRef>
          </c:cat>
          <c:val>
            <c:numRef>
              <c:f>[工作簿1]Sheet1!$B$7:$C$7</c:f>
              <c:numCache>
                <c:formatCode>General</c:formatCode>
                <c:ptCount val="2"/>
                <c:pt idx="0">
                  <c:v>2571.74</c:v>
                </c:pt>
                <c:pt idx="1">
                  <c:v>2920.96</c:v>
                </c:pt>
              </c:numCache>
            </c:numRef>
          </c:val>
        </c:ser>
        <c:dLbls>
          <c:showLegendKey val="0"/>
          <c:showVal val="1"/>
          <c:showCatName val="0"/>
          <c:showSerName val="0"/>
          <c:showPercent val="0"/>
          <c:showBubbleSize val="0"/>
        </c:dLbls>
        <c:gapWidth val="219"/>
        <c:overlap val="-27"/>
        <c:axId val="146566270"/>
        <c:axId val="114268249"/>
      </c:barChart>
      <c:catAx>
        <c:axId val="1465662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268249"/>
        <c:crosses val="autoZero"/>
        <c:auto val="1"/>
        <c:lblAlgn val="ctr"/>
        <c:lblOffset val="100"/>
        <c:noMultiLvlLbl val="0"/>
      </c:catAx>
      <c:valAx>
        <c:axId val="1142682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56627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cap="all" spc="150" baseline="0">
              <a:solidFill>
                <a:schemeClr val="tx1">
                  <a:lumMod val="50000"/>
                  <a:lumOff val="50000"/>
                </a:schemeClr>
              </a:solidFill>
              <a:latin typeface="+mn-lt"/>
              <a:ea typeface="+mn-ea"/>
              <a:cs typeface="+mn-cs"/>
            </a:defRPr>
          </a:pPr>
        </a:p>
      </c:txPr>
    </c:title>
    <c:autoTitleDeleted val="0"/>
    <c:plotArea>
      <c:layout/>
      <c:pieChart>
        <c:varyColors val="1"/>
        <c:ser>
          <c:idx val="0"/>
          <c:order val="0"/>
          <c:tx>
            <c:strRef>
              <c:f>[附件草图.xlsx]Sheet1!$B$19</c:f>
              <c:strCache>
                <c:ptCount val="1"/>
                <c:pt idx="0">
                  <c:v>收入决算结构表</c:v>
                </c:pt>
              </c:strCache>
            </c:strRef>
          </c:tx>
          <c:spPr/>
          <c:explosion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Pt>
            <c:idx val="2"/>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[附件草图.xlsx]Sheet1!$A$20:$A$22</c:f>
              <c:strCache>
                <c:ptCount val="3"/>
                <c:pt idx="0">
                  <c:v>一般公共预算财政拨款收入</c:v>
                </c:pt>
                <c:pt idx="1">
                  <c:v>其他收入</c:v>
                </c:pt>
                <c:pt idx="2">
                  <c:v>政府性基金预算财政拨款收入</c:v>
                </c:pt>
              </c:strCache>
            </c:strRef>
          </c:cat>
          <c:val>
            <c:numRef>
              <c:f>[附件草图.xlsx]Sheet1!$B$20:$B$22</c:f>
              <c:numCache>
                <c:formatCode>General</c:formatCode>
                <c:ptCount val="3"/>
                <c:pt idx="0">
                  <c:v>2571.74</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[附件草图.xlsx]Sheet1!$B$27</c:f>
              <c:strCache>
                <c:ptCount val="1"/>
                <c:pt idx="0">
                  <c:v>支出决算结构表</c:v>
                </c:pt>
              </c:strCache>
            </c:strRef>
          </c:tx>
          <c:spPr/>
          <c:explosion val="0"/>
          <c:dPt>
            <c:idx val="0"/>
            <c:bubble3D val="0"/>
            <c:spPr>
              <a:solidFill>
                <a:schemeClr val="accent2"/>
              </a:solidFill>
              <a:ln>
                <a:noFill/>
              </a:ln>
              <a:effectLst>
                <a:outerShdw blurRad="254000" sx="102000" sy="102000" algn="ctr" rotWithShape="0">
                  <a:prstClr val="black">
                    <a:alpha val="20000"/>
                  </a:prstClr>
                </a:outerShdw>
              </a:effectLst>
            </c:spPr>
          </c:dPt>
          <c:dPt>
            <c:idx val="1"/>
            <c:bubble3D val="0"/>
            <c:spPr>
              <a:solidFill>
                <a:schemeClr val="accent4"/>
              </a:solidFill>
              <a:ln>
                <a:noFill/>
              </a:ln>
              <a:effectLst>
                <a:outerShdw blurRad="254000" sx="102000" sy="102000" algn="ctr" rotWithShape="0">
                  <a:prstClr val="black">
                    <a:alpha val="20000"/>
                  </a:prstClr>
                </a:outerShdw>
              </a:effectLst>
            </c:spPr>
          </c:dPt>
          <c:dPt>
            <c:idx val="2"/>
            <c:bubble3D val="0"/>
            <c:spPr>
              <a:solidFill>
                <a:schemeClr val="accent6"/>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[附件草图.xlsx]Sheet1!$A$28:$A$30</c:f>
              <c:strCache>
                <c:ptCount val="3"/>
                <c:pt idx="0">
                  <c:v>项目支出</c:v>
                </c:pt>
                <c:pt idx="1">
                  <c:v>基本支出</c:v>
                </c:pt>
                <c:pt idx="2">
                  <c:v>其他支出</c:v>
                </c:pt>
              </c:strCache>
            </c:strRef>
          </c:cat>
          <c:val>
            <c:numRef>
              <c:f>[附件草图.xlsx]Sheet1!$B$28:$B$30</c:f>
              <c:numCache>
                <c:formatCode>General</c:formatCode>
                <c:ptCount val="3"/>
                <c:pt idx="0">
                  <c:v>2103.14</c:v>
                </c:pt>
                <c:pt idx="1">
                  <c:v>817.82</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变动情况图</a:t>
            </a:r>
          </a:p>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tx>
            <c:strRef>
              <c:f>[附件草图.xlsx]Sheet1!$A$43</c:f>
              <c:strCache>
                <c:ptCount val="1"/>
                <c:pt idx="0">
                  <c:v>财政拨款收入</c:v>
                </c:pt>
              </c:strCache>
            </c:strRef>
          </c:tx>
          <c:spPr>
            <a:solidFill>
              <a:schemeClr val="accent6"/>
            </a:solidFill>
            <a:ln>
              <a:noFill/>
            </a:ln>
            <a:effectLst/>
          </c:spPr>
          <c:invertIfNegative val="0"/>
          <c:dLbls>
            <c:delete val="1"/>
          </c:dLbls>
          <c:cat>
            <c:strRef>
              <c:f>[附件草图.xlsx]Sheet1!$B$42:$C$42</c:f>
              <c:strCache>
                <c:ptCount val="2"/>
                <c:pt idx="0">
                  <c:v>2021年</c:v>
                </c:pt>
                <c:pt idx="1">
                  <c:v>2022年</c:v>
                </c:pt>
              </c:strCache>
            </c:strRef>
          </c:cat>
          <c:val>
            <c:numRef>
              <c:f>[附件草图.xlsx]Sheet1!$B$43:$C$43</c:f>
              <c:numCache>
                <c:formatCode>General</c:formatCode>
                <c:ptCount val="2"/>
                <c:pt idx="0">
                  <c:v>1831.98</c:v>
                </c:pt>
                <c:pt idx="1">
                  <c:v>2571.74</c:v>
                </c:pt>
              </c:numCache>
            </c:numRef>
          </c:val>
        </c:ser>
        <c:ser>
          <c:idx val="1"/>
          <c:order val="1"/>
          <c:tx>
            <c:strRef>
              <c:f>[附件草图.xlsx]Sheet1!$A$44</c:f>
              <c:strCache>
                <c:ptCount val="1"/>
                <c:pt idx="0">
                  <c:v>财政拨款支出</c:v>
                </c:pt>
              </c:strCache>
            </c:strRef>
          </c:tx>
          <c:spPr>
            <a:solidFill>
              <a:schemeClr val="accent5"/>
            </a:solidFill>
            <a:ln>
              <a:noFill/>
            </a:ln>
            <a:effectLst/>
          </c:spPr>
          <c:invertIfNegative val="0"/>
          <c:dLbls>
            <c:delete val="1"/>
          </c:dLbls>
          <c:cat>
            <c:strRef>
              <c:f>[附件草图.xlsx]Sheet1!$B$42:$C$42</c:f>
              <c:strCache>
                <c:ptCount val="2"/>
                <c:pt idx="0">
                  <c:v>2021年</c:v>
                </c:pt>
                <c:pt idx="1">
                  <c:v>2022年</c:v>
                </c:pt>
              </c:strCache>
            </c:strRef>
          </c:cat>
          <c:val>
            <c:numRef>
              <c:f>[附件草图.xlsx]Sheet1!$B$44:$C$44</c:f>
              <c:numCache>
                <c:formatCode>General</c:formatCode>
                <c:ptCount val="2"/>
                <c:pt idx="0">
                  <c:v>2125.71</c:v>
                </c:pt>
                <c:pt idx="1">
                  <c:v>2920.96</c:v>
                </c:pt>
              </c:numCache>
            </c:numRef>
          </c:val>
        </c:ser>
        <c:dLbls>
          <c:showLegendKey val="0"/>
          <c:showVal val="0"/>
          <c:showCatName val="0"/>
          <c:showSerName val="0"/>
          <c:showPercent val="0"/>
          <c:showBubbleSize val="0"/>
        </c:dLbls>
        <c:gapWidth val="150"/>
        <c:overlap val="0"/>
        <c:axId val="114109703"/>
        <c:axId val="782257316"/>
      </c:barChart>
      <c:catAx>
        <c:axId val="1141097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2257316"/>
        <c:crosses val="autoZero"/>
        <c:auto val="1"/>
        <c:lblAlgn val="ctr"/>
        <c:lblOffset val="100"/>
        <c:noMultiLvlLbl val="0"/>
      </c:catAx>
      <c:valAx>
        <c:axId val="782257316"/>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1097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gradFill flip="none">
      <a:gsLst>
        <a:gs pos="0">
          <a:schemeClr val="lt1"/>
        </a:gs>
        <a:gs pos="39000">
          <a:schemeClr val="lt1"/>
        </a:gs>
        <a:gs pos="100000">
          <a:schemeClr val="lt1">
            <a:lumMod val="75000"/>
          </a:schemeClr>
        </a:gs>
      </a:gsLst>
      <a:path path="circle"/>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cap="all" spc="5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[附件草图.xlsx]Sheet1!$B$48</c:f>
              <c:strCache>
                <c:ptCount val="1"/>
                <c:pt idx="0">
                  <c:v>一般公共预算财政拨款支出</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[附件草图.xlsx]Sheet1!$A$49:$A$50</c:f>
              <c:strCache>
                <c:ptCount val="2"/>
                <c:pt idx="0">
                  <c:v>2021年</c:v>
                </c:pt>
                <c:pt idx="1">
                  <c:v>2022年</c:v>
                </c:pt>
              </c:strCache>
            </c:strRef>
          </c:cat>
          <c:val>
            <c:numRef>
              <c:f>[附件草图.xlsx]Sheet1!$B$49:$B$50</c:f>
              <c:numCache>
                <c:formatCode>General</c:formatCode>
                <c:ptCount val="2"/>
                <c:pt idx="0">
                  <c:v>2107.03</c:v>
                </c:pt>
                <c:pt idx="1">
                  <c:v>2920.96</c:v>
                </c:pt>
              </c:numCache>
            </c:numRef>
          </c:val>
        </c:ser>
        <c:dLbls>
          <c:showLegendKey val="0"/>
          <c:showVal val="1"/>
          <c:showCatName val="0"/>
          <c:showSerName val="0"/>
          <c:showPercent val="0"/>
          <c:showBubbleSize val="0"/>
        </c:dLbls>
        <c:gapWidth val="355"/>
        <c:overlap val="-70"/>
        <c:axId val="896053016"/>
        <c:axId val="334320692"/>
      </c:barChart>
      <c:catAx>
        <c:axId val="8960530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4320692"/>
        <c:crosses val="autoZero"/>
        <c:auto val="1"/>
        <c:lblAlgn val="ctr"/>
        <c:lblOffset val="100"/>
        <c:noMultiLvlLbl val="0"/>
      </c:catAx>
      <c:valAx>
        <c:axId val="33432069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05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[附件草图.xlsx]Sheet1!$B$54</c:f>
              <c:strCache>
                <c:ptCount val="1"/>
                <c:pt idx="0">
                  <c:v>一般公共预算财政拨款支出决算占比图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[附件草图.xlsx]Sheet1!$A$55:$A$64</c:f>
              <c:strCache>
                <c:ptCount val="10"/>
                <c:pt idx="0">
                  <c:v>一般公共服务支出</c:v>
                </c:pt>
                <c:pt idx="1">
                  <c:v>国防支出</c:v>
                </c:pt>
                <c:pt idx="2">
                  <c:v>公共安全支出</c:v>
                </c:pt>
                <c:pt idx="3">
                  <c:v>社会保障和就业支出</c:v>
                </c:pt>
                <c:pt idx="4">
                  <c:v>卫生健康支出</c:v>
                </c:pt>
                <c:pt idx="5">
                  <c:v>节能环保支出</c:v>
                </c:pt>
                <c:pt idx="6">
                  <c:v>农林水支出</c:v>
                </c:pt>
                <c:pt idx="7">
                  <c:v>交通运输支出</c:v>
                </c:pt>
                <c:pt idx="8">
                  <c:v>住房保障支出</c:v>
                </c:pt>
                <c:pt idx="9">
                  <c:v>灾害防治及应急管理支出</c:v>
                </c:pt>
              </c:strCache>
            </c:strRef>
          </c:cat>
          <c:val>
            <c:numRef>
              <c:f>[附件草图.xlsx]Sheet1!$B$55:$B$64</c:f>
              <c:numCache>
                <c:formatCode>#,##0.00</c:formatCode>
                <c:ptCount val="10"/>
                <c:pt idx="0">
                  <c:v>465.59</c:v>
                </c:pt>
                <c:pt idx="1">
                  <c:v>4.99</c:v>
                </c:pt>
                <c:pt idx="2">
                  <c:v>4</c:v>
                </c:pt>
                <c:pt idx="3">
                  <c:v>116.64</c:v>
                </c:pt>
                <c:pt idx="4">
                  <c:v>48.53</c:v>
                </c:pt>
                <c:pt idx="5">
                  <c:v>5</c:v>
                </c:pt>
                <c:pt idx="6">
                  <c:v>2222.69</c:v>
                </c:pt>
                <c:pt idx="7">
                  <c:v>1</c:v>
                </c:pt>
                <c:pt idx="8">
                  <c:v>49.52</c:v>
                </c:pt>
                <c:pt idx="9">
                  <c:v>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8"/>
          <c:dPt>
            <c:idx val="0"/>
            <c:bubble3D val="0"/>
            <c:spPr>
              <a:solidFill>
                <a:schemeClr val="accent2"/>
              </a:solidFill>
              <a:ln>
                <a:no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explosion val="80"/>
            <c:spPr>
              <a:solidFill>
                <a:schemeClr val="accent4"/>
              </a:solidFill>
              <a:ln>
                <a:no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2"/>
            <c:bubble3D val="0"/>
            <c:explosion val="5"/>
            <c:spPr>
              <a:solidFill>
                <a:schemeClr val="accent6"/>
              </a:solidFill>
              <a:ln>
                <a:no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Lbls>
            <c:dLbl>
              <c:idx val="0"/>
              <c:layout>
                <c:manualLayout>
                  <c:x val="0.207697624184155"/>
                  <c:y val="0.21008950449225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因公出国（境） 0%</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632559880325577"/>
                  <c:y val="-0.31424743235790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257473553073048"/>
                  <c:y val="0.24421165173638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Sheet1!$A$2:$A$4</c:f>
              <c:strCache>
                <c:ptCount val="3"/>
                <c:pt idx="0">
                  <c:v>因公出国（境） 0</c:v>
                </c:pt>
                <c:pt idx="1">
                  <c:v>公务用车运行维护费</c:v>
                </c:pt>
                <c:pt idx="2">
                  <c:v>公务接待费</c:v>
                </c:pt>
              </c:strCache>
            </c:strRef>
          </c:cat>
          <c:val>
            <c:numRef>
              <c:f>Sheet1!$B$2:$B$4</c:f>
              <c:numCache>
                <c:formatCode>General</c:formatCode>
                <c:ptCount val="3"/>
                <c:pt idx="0">
                  <c:v>0</c:v>
                </c:pt>
                <c:pt idx="1">
                  <c:v>9.02</c:v>
                </c:pt>
                <c:pt idx="2">
                  <c:v>0</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12</TotalTime>
  <ScaleCrop>false</ScaleCrop>
  <LinksUpToDate>false</LinksUpToDate>
  <CharactersWithSpaces>8692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2026-07-27T06:36:00Z</cp:lastPrinted>
  <dcterms:modified xsi:type="dcterms:W3CDTF">2026-07-27T10:45:35Z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0772727DE74C4BF2BB8F79CDE76DBF35_12</vt:lpwstr>
  </property>
</Properties>
</file>