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43D7A">
      <w:pPr>
        <w:pStyle w:val="2"/>
        <w:spacing w:line="264" w:lineRule="auto"/>
      </w:pPr>
    </w:p>
    <w:p w14:paraId="3CDD9BDF">
      <w:pPr>
        <w:pStyle w:val="2"/>
        <w:spacing w:line="264" w:lineRule="auto"/>
      </w:pPr>
    </w:p>
    <w:p w14:paraId="5B62EC9A">
      <w:pPr>
        <w:pStyle w:val="2"/>
        <w:spacing w:line="264" w:lineRule="auto"/>
      </w:pPr>
    </w:p>
    <w:p w14:paraId="2F207B16">
      <w:pPr>
        <w:spacing w:before="221" w:line="242" w:lineRule="auto"/>
        <w:ind w:left="3038" w:right="886" w:hanging="3039"/>
        <w:outlineLvl w:val="0"/>
        <w:rPr>
          <w:rFonts w:ascii="黑体" w:hAnsi="黑体" w:eastAsia="黑体" w:cs="黑体"/>
          <w:sz w:val="68"/>
          <w:szCs w:val="68"/>
        </w:rPr>
      </w:pPr>
      <w:r>
        <w:rPr>
          <w:rFonts w:ascii="黑体" w:hAnsi="黑体" w:eastAsia="黑体" w:cs="黑体"/>
          <w:spacing w:val="54"/>
          <w:sz w:val="68"/>
          <w:szCs w:val="68"/>
        </w:rPr>
        <w:t>吾伊乡人民政府2024年部</w:t>
      </w:r>
      <w:r>
        <w:rPr>
          <w:rFonts w:ascii="黑体" w:hAnsi="黑体" w:eastAsia="黑体" w:cs="黑体"/>
          <w:sz w:val="68"/>
          <w:szCs w:val="68"/>
        </w:rPr>
        <w:t xml:space="preserve"> </w:t>
      </w:r>
      <w:r>
        <w:rPr>
          <w:rFonts w:ascii="黑体" w:hAnsi="黑体" w:eastAsia="黑体" w:cs="黑体"/>
          <w:spacing w:val="22"/>
          <w:sz w:val="68"/>
          <w:szCs w:val="68"/>
        </w:rPr>
        <w:t>门预算</w:t>
      </w:r>
    </w:p>
    <w:p w14:paraId="6292E37E">
      <w:pPr>
        <w:pStyle w:val="2"/>
      </w:pPr>
    </w:p>
    <w:p w14:paraId="14272E60">
      <w:pPr>
        <w:pStyle w:val="2"/>
      </w:pPr>
    </w:p>
    <w:p w14:paraId="663846E3">
      <w:pPr>
        <w:pStyle w:val="2"/>
      </w:pPr>
    </w:p>
    <w:p w14:paraId="5EB462D6">
      <w:pPr>
        <w:pStyle w:val="2"/>
      </w:pPr>
    </w:p>
    <w:p w14:paraId="5812210A">
      <w:pPr>
        <w:pStyle w:val="2"/>
      </w:pPr>
    </w:p>
    <w:p w14:paraId="53471120">
      <w:pPr>
        <w:pStyle w:val="2"/>
      </w:pPr>
    </w:p>
    <w:p w14:paraId="3DE196D8">
      <w:pPr>
        <w:pStyle w:val="2"/>
      </w:pPr>
    </w:p>
    <w:p w14:paraId="17DF169C">
      <w:pPr>
        <w:pStyle w:val="2"/>
      </w:pPr>
    </w:p>
    <w:p w14:paraId="34FBD51A">
      <w:pPr>
        <w:pStyle w:val="2"/>
      </w:pPr>
    </w:p>
    <w:p w14:paraId="690FFDD8">
      <w:pPr>
        <w:pStyle w:val="2"/>
      </w:pPr>
    </w:p>
    <w:p w14:paraId="67EE5CBF">
      <w:pPr>
        <w:pStyle w:val="2"/>
      </w:pPr>
    </w:p>
    <w:p w14:paraId="75412264">
      <w:pPr>
        <w:pStyle w:val="2"/>
      </w:pPr>
    </w:p>
    <w:p w14:paraId="34F92597">
      <w:pPr>
        <w:pStyle w:val="2"/>
      </w:pPr>
    </w:p>
    <w:p w14:paraId="12BEA316">
      <w:pPr>
        <w:pStyle w:val="2"/>
      </w:pPr>
    </w:p>
    <w:p w14:paraId="50EEC8B9">
      <w:pPr>
        <w:pStyle w:val="2"/>
      </w:pPr>
    </w:p>
    <w:p w14:paraId="5158F4BD">
      <w:pPr>
        <w:pStyle w:val="2"/>
      </w:pPr>
    </w:p>
    <w:p w14:paraId="3C1C93B9">
      <w:pPr>
        <w:pStyle w:val="2"/>
      </w:pPr>
    </w:p>
    <w:p w14:paraId="46B4F869">
      <w:pPr>
        <w:pStyle w:val="2"/>
      </w:pPr>
    </w:p>
    <w:p w14:paraId="6A5F3A84">
      <w:pPr>
        <w:pStyle w:val="2"/>
        <w:spacing w:line="241" w:lineRule="auto"/>
      </w:pPr>
    </w:p>
    <w:p w14:paraId="516D9946">
      <w:pPr>
        <w:pStyle w:val="2"/>
        <w:spacing w:line="241" w:lineRule="auto"/>
      </w:pPr>
    </w:p>
    <w:p w14:paraId="18420C67">
      <w:pPr>
        <w:pStyle w:val="2"/>
        <w:spacing w:line="241" w:lineRule="auto"/>
      </w:pPr>
    </w:p>
    <w:p w14:paraId="61449383">
      <w:pPr>
        <w:pStyle w:val="2"/>
        <w:spacing w:line="241" w:lineRule="auto"/>
      </w:pPr>
    </w:p>
    <w:p w14:paraId="46577BEA">
      <w:pPr>
        <w:pStyle w:val="2"/>
        <w:spacing w:line="241" w:lineRule="auto"/>
      </w:pPr>
    </w:p>
    <w:p w14:paraId="49338F30">
      <w:pPr>
        <w:pStyle w:val="2"/>
        <w:spacing w:line="241" w:lineRule="auto"/>
      </w:pPr>
    </w:p>
    <w:p w14:paraId="740B823C">
      <w:pPr>
        <w:pStyle w:val="2"/>
        <w:spacing w:line="241" w:lineRule="auto"/>
      </w:pPr>
    </w:p>
    <w:p w14:paraId="165974C8">
      <w:pPr>
        <w:pStyle w:val="2"/>
        <w:spacing w:line="241" w:lineRule="auto"/>
      </w:pPr>
    </w:p>
    <w:p w14:paraId="0D43B003">
      <w:pPr>
        <w:pStyle w:val="2"/>
        <w:spacing w:line="282" w:lineRule="auto"/>
      </w:pPr>
      <w:bookmarkStart w:id="0" w:name="_GoBack"/>
      <w:bookmarkEnd w:id="0"/>
    </w:p>
    <w:p w14:paraId="3B8323F4">
      <w:pPr>
        <w:pStyle w:val="2"/>
        <w:spacing w:line="282" w:lineRule="auto"/>
      </w:pPr>
    </w:p>
    <w:p w14:paraId="0C4B62D4">
      <w:pPr>
        <w:pStyle w:val="2"/>
        <w:spacing w:line="282" w:lineRule="auto"/>
      </w:pPr>
    </w:p>
    <w:p w14:paraId="288A9435">
      <w:pPr>
        <w:pStyle w:val="2"/>
        <w:spacing w:line="282" w:lineRule="auto"/>
      </w:pPr>
    </w:p>
    <w:p w14:paraId="6C291293">
      <w:pPr>
        <w:pStyle w:val="2"/>
        <w:spacing w:line="282" w:lineRule="auto"/>
      </w:pPr>
    </w:p>
    <w:p w14:paraId="36978B40">
      <w:pPr>
        <w:spacing w:before="143" w:line="222" w:lineRule="auto"/>
        <w:ind w:left="3445"/>
        <w:rPr>
          <w:rFonts w:ascii="黑体" w:hAnsi="黑体" w:eastAsia="黑体" w:cs="黑体"/>
          <w:sz w:val="44"/>
          <w:szCs w:val="44"/>
        </w:rPr>
      </w:pPr>
      <w:r>
        <w:rPr>
          <w:rFonts w:ascii="黑体" w:hAnsi="黑体" w:eastAsia="黑体" w:cs="黑体"/>
          <w:b/>
          <w:bCs/>
          <w:spacing w:val="-41"/>
          <w:sz w:val="44"/>
          <w:szCs w:val="44"/>
        </w:rPr>
        <w:t>目</w:t>
      </w:r>
      <w:r>
        <w:rPr>
          <w:rFonts w:ascii="黑体" w:hAnsi="黑体" w:eastAsia="黑体" w:cs="黑体"/>
          <w:spacing w:val="1"/>
          <w:sz w:val="44"/>
          <w:szCs w:val="44"/>
        </w:rPr>
        <w:t xml:space="preserve">  </w:t>
      </w:r>
      <w:r>
        <w:rPr>
          <w:rFonts w:ascii="黑体" w:hAnsi="黑体" w:eastAsia="黑体" w:cs="黑体"/>
          <w:b/>
          <w:bCs/>
          <w:spacing w:val="-41"/>
          <w:sz w:val="44"/>
          <w:szCs w:val="44"/>
        </w:rPr>
        <w:t>录</w:t>
      </w:r>
    </w:p>
    <w:p w14:paraId="05BCA079">
      <w:pPr>
        <w:pStyle w:val="2"/>
        <w:spacing w:line="274" w:lineRule="auto"/>
      </w:pPr>
    </w:p>
    <w:p w14:paraId="45EA44A4">
      <w:pPr>
        <w:pStyle w:val="2"/>
        <w:spacing w:line="274" w:lineRule="auto"/>
      </w:pPr>
    </w:p>
    <w:p w14:paraId="36A8DBB6">
      <w:pPr>
        <w:pStyle w:val="2"/>
        <w:spacing w:line="274" w:lineRule="auto"/>
      </w:pPr>
    </w:p>
    <w:p w14:paraId="6191BC6A">
      <w:pPr>
        <w:spacing w:before="101" w:line="222" w:lineRule="auto"/>
        <w:ind w:left="293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z w:val="31"/>
          <w:szCs w:val="31"/>
        </w:rPr>
        <w:t>一</w:t>
      </w:r>
      <w:r>
        <w:rPr>
          <w:rFonts w:ascii="黑体" w:hAnsi="黑体" w:eastAsia="黑体" w:cs="黑体"/>
          <w:spacing w:val="-69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z w:val="31"/>
          <w:szCs w:val="31"/>
        </w:rPr>
        <w:t>、</w:t>
      </w:r>
      <w:r>
        <w:rPr>
          <w:rFonts w:ascii="黑体" w:hAnsi="黑体" w:eastAsia="黑体" w:cs="黑体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z w:val="31"/>
          <w:szCs w:val="31"/>
        </w:rPr>
        <w:t>基本职能及主要工作</w:t>
      </w:r>
    </w:p>
    <w:p w14:paraId="362F3282">
      <w:pPr>
        <w:spacing w:before="248" w:line="221" w:lineRule="auto"/>
        <w:ind w:left="41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(</w:t>
      </w:r>
      <w:r>
        <w:rPr>
          <w:rFonts w:ascii="仿宋" w:hAnsi="仿宋" w:eastAsia="仿宋" w:cs="仿宋"/>
          <w:spacing w:val="-8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</w:rPr>
        <w:t>一)部门职能简介</w:t>
      </w:r>
    </w:p>
    <w:p w14:paraId="32FD96E1">
      <w:pPr>
        <w:spacing w:line="221" w:lineRule="auto"/>
        <w:ind w:left="28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二、部门预算单位构成</w:t>
      </w:r>
    </w:p>
    <w:p w14:paraId="06C87FA1">
      <w:pPr>
        <w:spacing w:before="257" w:line="221" w:lineRule="auto"/>
        <w:ind w:left="28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三、收支预算情况说明</w:t>
      </w:r>
    </w:p>
    <w:p w14:paraId="1DE8E2D8">
      <w:pPr>
        <w:spacing w:before="257" w:line="222" w:lineRule="auto"/>
        <w:ind w:left="41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4"/>
          <w:sz w:val="31"/>
          <w:szCs w:val="31"/>
        </w:rPr>
        <w:t>(一)收入预算情况</w:t>
      </w:r>
    </w:p>
    <w:p w14:paraId="03E0DE59">
      <w:pPr>
        <w:spacing w:before="247" w:line="222" w:lineRule="auto"/>
        <w:ind w:left="41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4"/>
          <w:sz w:val="31"/>
          <w:szCs w:val="31"/>
        </w:rPr>
        <w:t>(二)支出预算情况</w:t>
      </w:r>
    </w:p>
    <w:p w14:paraId="2539194D">
      <w:pPr>
        <w:spacing w:before="259" w:line="221" w:lineRule="auto"/>
        <w:ind w:left="28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四 、财政拨款收支预算情况说明</w:t>
      </w:r>
    </w:p>
    <w:p w14:paraId="202C285A">
      <w:pPr>
        <w:spacing w:before="249" w:line="221" w:lineRule="auto"/>
        <w:ind w:left="28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五、</w:t>
      </w:r>
      <w:r>
        <w:rPr>
          <w:rFonts w:ascii="黑体" w:hAnsi="黑体" w:eastAsia="黑体" w:cs="黑体"/>
          <w:spacing w:val="-6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3"/>
          <w:sz w:val="31"/>
          <w:szCs w:val="31"/>
        </w:rPr>
        <w:t>一般公共预算当年拨款情况说明</w:t>
      </w:r>
    </w:p>
    <w:p w14:paraId="315EB9F7">
      <w:pPr>
        <w:spacing w:before="258" w:line="640" w:lineRule="exact"/>
        <w:ind w:left="41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position w:val="24"/>
          <w:sz w:val="31"/>
          <w:szCs w:val="31"/>
        </w:rPr>
        <w:t>(一)一般公共预算当年拨款规模变化情况</w:t>
      </w:r>
    </w:p>
    <w:p w14:paraId="17287CD5">
      <w:pPr>
        <w:spacing w:before="1" w:line="221" w:lineRule="auto"/>
        <w:ind w:left="41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(二)一般公共预算当年拨款结构情况</w:t>
      </w:r>
    </w:p>
    <w:p w14:paraId="3569EF8E">
      <w:pPr>
        <w:spacing w:before="247" w:line="222" w:lineRule="auto"/>
        <w:ind w:left="41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(三)一般公共预算当年拨款具体使用情况</w:t>
      </w:r>
    </w:p>
    <w:p w14:paraId="2085D849">
      <w:pPr>
        <w:spacing w:before="255" w:line="221" w:lineRule="auto"/>
        <w:ind w:left="293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z w:val="31"/>
          <w:szCs w:val="31"/>
        </w:rPr>
        <w:t>六、</w:t>
      </w:r>
      <w:r>
        <w:rPr>
          <w:rFonts w:ascii="黑体" w:hAnsi="黑体" w:eastAsia="黑体" w:cs="黑体"/>
          <w:spacing w:val="-76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z w:val="31"/>
          <w:szCs w:val="31"/>
        </w:rPr>
        <w:t>一般公共预算基本支出情况说明</w:t>
      </w:r>
    </w:p>
    <w:p w14:paraId="5165E4C4">
      <w:pPr>
        <w:spacing w:before="239" w:line="640" w:lineRule="exact"/>
        <w:ind w:left="29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8"/>
          <w:position w:val="24"/>
          <w:sz w:val="31"/>
          <w:szCs w:val="31"/>
        </w:rPr>
        <w:t>七、</w:t>
      </w:r>
      <w:r>
        <w:rPr>
          <w:rFonts w:ascii="黑体" w:hAnsi="黑体" w:eastAsia="黑体" w:cs="黑体"/>
          <w:spacing w:val="120"/>
          <w:position w:val="24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8"/>
          <w:position w:val="24"/>
          <w:sz w:val="31"/>
          <w:szCs w:val="31"/>
        </w:rPr>
        <w:t>“三公”经费财政拨款预算安排情况说明</w:t>
      </w:r>
    </w:p>
    <w:p w14:paraId="3A058A81">
      <w:pPr>
        <w:spacing w:before="1" w:line="220" w:lineRule="auto"/>
        <w:ind w:left="40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"/>
          <w:sz w:val="31"/>
          <w:szCs w:val="31"/>
        </w:rPr>
        <w:t>八、政府性基金预算支出情况说明</w:t>
      </w:r>
    </w:p>
    <w:p w14:paraId="28F5C13B">
      <w:pPr>
        <w:spacing w:before="249" w:line="632" w:lineRule="exact"/>
        <w:ind w:left="29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3"/>
          <w:position w:val="24"/>
          <w:sz w:val="31"/>
          <w:szCs w:val="31"/>
        </w:rPr>
        <w:t>九、其他重要事项的情况说明</w:t>
      </w:r>
    </w:p>
    <w:p w14:paraId="3AAF8431">
      <w:pPr>
        <w:spacing w:line="221" w:lineRule="auto"/>
        <w:ind w:left="29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8"/>
          <w:sz w:val="31"/>
          <w:szCs w:val="31"/>
        </w:rPr>
        <w:t>十</w:t>
      </w:r>
      <w:r>
        <w:rPr>
          <w:rFonts w:ascii="黑体" w:hAnsi="黑体" w:eastAsia="黑体" w:cs="黑体"/>
          <w:spacing w:val="-18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8"/>
          <w:sz w:val="31"/>
          <w:szCs w:val="31"/>
        </w:rPr>
        <w:t>、名称解释</w:t>
      </w:r>
    </w:p>
    <w:p w14:paraId="3CFA2FE6">
      <w:pPr>
        <w:spacing w:line="221" w:lineRule="auto"/>
        <w:rPr>
          <w:rFonts w:ascii="黑体" w:hAnsi="黑体" w:eastAsia="黑体" w:cs="黑体"/>
          <w:sz w:val="31"/>
          <w:szCs w:val="31"/>
        </w:rPr>
        <w:sectPr>
          <w:pgSz w:w="12340" w:h="17140"/>
          <w:pgMar w:top="1456" w:right="1851" w:bottom="0" w:left="1851" w:header="0" w:footer="0" w:gutter="0"/>
          <w:cols w:space="720" w:num="1"/>
        </w:sectPr>
      </w:pPr>
    </w:p>
    <w:p w14:paraId="30BC5163">
      <w:pPr>
        <w:pStyle w:val="2"/>
        <w:spacing w:line="254" w:lineRule="auto"/>
      </w:pPr>
    </w:p>
    <w:p w14:paraId="3D8EE77B">
      <w:pPr>
        <w:pStyle w:val="2"/>
        <w:spacing w:line="254" w:lineRule="auto"/>
      </w:pPr>
    </w:p>
    <w:p w14:paraId="4B004A8D">
      <w:pPr>
        <w:pStyle w:val="2"/>
        <w:spacing w:line="254" w:lineRule="auto"/>
      </w:pPr>
    </w:p>
    <w:p w14:paraId="615FD95A">
      <w:pPr>
        <w:spacing w:before="101" w:line="222" w:lineRule="auto"/>
        <w:ind w:left="836"/>
        <w:outlineLvl w:val="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"/>
          <w:sz w:val="31"/>
          <w:szCs w:val="31"/>
        </w:rPr>
        <w:t>一</w:t>
      </w:r>
      <w:r>
        <w:rPr>
          <w:rFonts w:ascii="黑体" w:hAnsi="黑体" w:eastAsia="黑体" w:cs="黑体"/>
          <w:spacing w:val="-83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"/>
          <w:sz w:val="31"/>
          <w:szCs w:val="31"/>
        </w:rPr>
        <w:t>、基本职能及主要工作</w:t>
      </w:r>
    </w:p>
    <w:p w14:paraId="55B4E608">
      <w:pPr>
        <w:spacing w:before="240" w:line="222" w:lineRule="auto"/>
        <w:ind w:left="130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17"/>
          <w:sz w:val="31"/>
          <w:szCs w:val="31"/>
        </w:rPr>
        <w:t>(一)吾伊乡人民政府职能简介</w:t>
      </w:r>
    </w:p>
    <w:p w14:paraId="61AFC8C3">
      <w:pPr>
        <w:spacing w:before="275" w:line="587" w:lineRule="exact"/>
        <w:ind w:left="831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 主要职能执行本级人民代表大会的决议和上级国家</w:t>
      </w:r>
    </w:p>
    <w:p w14:paraId="1DC3CA69">
      <w:pPr>
        <w:spacing w:line="219" w:lineRule="auto"/>
        <w:ind w:left="231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行政机关的决定和命令，在辖区内发布决定和命令；</w:t>
      </w:r>
    </w:p>
    <w:p w14:paraId="254EF271">
      <w:pPr>
        <w:spacing w:before="174" w:line="589" w:lineRule="exact"/>
        <w:ind w:left="831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 按照国家宪法和法律，行使对本辖区内的行政及民</w:t>
      </w:r>
    </w:p>
    <w:p w14:paraId="41858C19">
      <w:pPr>
        <w:spacing w:line="220" w:lineRule="auto"/>
        <w:ind w:left="231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政事务的管理。</w:t>
      </w:r>
    </w:p>
    <w:p w14:paraId="65472C0B">
      <w:pPr>
        <w:spacing w:before="180" w:line="340" w:lineRule="auto"/>
        <w:ind w:left="231" w:right="284" w:firstLine="599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3、 制定经济和社会发展规划，并组织实施；组织和领导行政经济体制改革，协调本行政区域村民委员会与各经济组织之间的关系；</w:t>
      </w:r>
    </w:p>
    <w:p w14:paraId="00E92FB9">
      <w:pPr>
        <w:spacing w:before="181" w:line="558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 组织规划财政管理的各项收入，管理范围内的</w:t>
      </w:r>
    </w:p>
    <w:p w14:paraId="21C56E38">
      <w:pPr>
        <w:spacing w:before="1" w:line="220" w:lineRule="auto"/>
        <w:ind w:left="231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各项财政支出和行政筹集、分配和使用的资金；</w:t>
      </w:r>
    </w:p>
    <w:p w14:paraId="6E6B6787">
      <w:pPr>
        <w:spacing w:before="188" w:line="570" w:lineRule="exact"/>
        <w:ind w:left="831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5、负责管理对外经济技术交流与合作，开展经济信息</w:t>
      </w:r>
    </w:p>
    <w:p w14:paraId="5520C5A9">
      <w:pPr>
        <w:spacing w:line="220" w:lineRule="auto"/>
        <w:ind w:left="231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预测工作，推广科学技术成果；</w:t>
      </w:r>
    </w:p>
    <w:p w14:paraId="79818235">
      <w:pPr>
        <w:spacing w:before="182" w:line="579" w:lineRule="exact"/>
        <w:ind w:left="831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6、 对各项社会建设进行宏观管理，抓好环境卫生</w:t>
      </w:r>
    </w:p>
    <w:p w14:paraId="5F56B783">
      <w:pPr>
        <w:spacing w:line="220" w:lineRule="auto"/>
        <w:ind w:left="231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整治工作；</w:t>
      </w:r>
    </w:p>
    <w:p w14:paraId="07328622">
      <w:pPr>
        <w:spacing w:before="185" w:line="338" w:lineRule="auto"/>
        <w:ind w:left="231" w:right="290" w:firstLine="599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7、 加强基本农田水利建设和道路、桥梁等的建设，加 强土地的统一管理、统筹规划，协助有关部门做好地质灾害</w:t>
      </w:r>
    </w:p>
    <w:p w14:paraId="39EE4CC2">
      <w:pPr>
        <w:spacing w:line="220" w:lineRule="auto"/>
        <w:ind w:left="231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的防治工作；</w:t>
      </w:r>
    </w:p>
    <w:p w14:paraId="583DE883">
      <w:pPr>
        <w:spacing w:before="173" w:line="580" w:lineRule="exact"/>
        <w:ind w:left="831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8、 负责农村土地承包管理、农民负担监督管理、农村</w:t>
      </w:r>
    </w:p>
    <w:p w14:paraId="6D67FE4A">
      <w:pPr>
        <w:spacing w:before="1" w:line="221" w:lineRule="auto"/>
        <w:ind w:left="231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集体资产财务管理；</w:t>
      </w:r>
    </w:p>
    <w:p w14:paraId="5E897D56">
      <w:pPr>
        <w:spacing w:before="1" w:line="221" w:lineRule="auto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737D9D6F">
      <w:pPr>
        <w:spacing w:before="186" w:line="221" w:lineRule="auto"/>
        <w:ind w:left="831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sectPr>
          <w:pgSz w:w="12520" w:h="17270"/>
          <w:pgMar w:top="1467" w:right="1878" w:bottom="0" w:left="1878" w:header="0" w:footer="0" w:gutter="0"/>
          <w:cols w:space="720" w:num="1"/>
        </w:sect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9、充分发挥行政职能，组织和开展文化、教育、</w:t>
      </w:r>
    </w:p>
    <w:p w14:paraId="2CEEDE9A">
      <w:pPr>
        <w:spacing w:before="283" w:line="220" w:lineRule="auto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卫生、民政和科技等工作；</w:t>
      </w:r>
    </w:p>
    <w:p w14:paraId="6D4D4B89">
      <w:pPr>
        <w:spacing w:before="201" w:line="570" w:lineRule="exact"/>
        <w:ind w:left="882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10、根据经济发展需要，建立经济、技术咨询服务机构向经济组织和农牧民提供全面服务。</w:t>
      </w:r>
    </w:p>
    <w:p w14:paraId="079752C0">
      <w:pPr>
        <w:spacing w:before="330" w:line="222" w:lineRule="auto"/>
        <w:ind w:left="668"/>
        <w:outlineLvl w:val="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3"/>
          <w:sz w:val="31"/>
          <w:szCs w:val="31"/>
        </w:rPr>
        <w:t>二、部门预算单位构成</w:t>
      </w:r>
    </w:p>
    <w:p w14:paraId="0ED1FAD1">
      <w:pPr>
        <w:spacing w:before="258" w:line="650" w:lineRule="exact"/>
        <w:ind w:left="8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position w:val="25"/>
          <w:sz w:val="31"/>
          <w:szCs w:val="31"/>
        </w:rPr>
        <w:t>吾伊乡人民政府属一级预算单位，下属二级预算单</w:t>
      </w:r>
      <w:r>
        <w:rPr>
          <w:rFonts w:ascii="仿宋" w:hAnsi="仿宋" w:eastAsia="仿宋" w:cs="仿宋"/>
          <w:spacing w:val="7"/>
          <w:position w:val="25"/>
          <w:sz w:val="31"/>
          <w:szCs w:val="31"/>
        </w:rPr>
        <w:t>位0</w:t>
      </w:r>
    </w:p>
    <w:p w14:paraId="0C04025E">
      <w:pPr>
        <w:spacing w:before="2" w:line="220" w:lineRule="auto"/>
        <w:ind w:left="2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1"/>
          <w:sz w:val="31"/>
          <w:szCs w:val="31"/>
        </w:rPr>
        <w:t>个，行政单位3个(党委、政府、人大);参照公</w:t>
      </w:r>
      <w:r>
        <w:rPr>
          <w:rFonts w:ascii="仿宋" w:hAnsi="仿宋" w:eastAsia="仿宋" w:cs="仿宋"/>
          <w:spacing w:val="30"/>
          <w:sz w:val="31"/>
          <w:szCs w:val="31"/>
        </w:rPr>
        <w:t>务员法管</w:t>
      </w:r>
    </w:p>
    <w:p w14:paraId="45C8BB50"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pgSz w:w="12170" w:h="17020"/>
          <w:pgMar w:top="1446" w:right="1825" w:bottom="0" w:left="1825" w:header="0" w:footer="0" w:gutter="0"/>
          <w:cols w:space="720" w:num="1"/>
        </w:sectPr>
      </w:pPr>
    </w:p>
    <w:p w14:paraId="1F74BE03">
      <w:pPr>
        <w:spacing w:before="157" w:line="221" w:lineRule="auto"/>
        <w:ind w:left="5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理的事业单位0个；其他事业单位1个。</w:t>
      </w:r>
    </w:p>
    <w:p w14:paraId="234FFC52">
      <w:pPr>
        <w:spacing w:before="256" w:line="221" w:lineRule="auto"/>
        <w:ind w:left="681"/>
        <w:outlineLvl w:val="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8"/>
          <w:sz w:val="31"/>
          <w:szCs w:val="31"/>
        </w:rPr>
        <w:t>三</w:t>
      </w:r>
      <w:r>
        <w:rPr>
          <w:rFonts w:ascii="黑体" w:hAnsi="黑体" w:eastAsia="黑体" w:cs="黑体"/>
          <w:spacing w:val="-37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8"/>
          <w:sz w:val="31"/>
          <w:szCs w:val="31"/>
        </w:rPr>
        <w:t>、收支预算情况说明</w:t>
      </w:r>
    </w:p>
    <w:p w14:paraId="6E040DB4">
      <w:pPr>
        <w:spacing w:before="260" w:line="375" w:lineRule="auto"/>
        <w:ind w:left="56" w:right="236" w:firstLine="9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按照综合预算的原则，吾伊乡人民政府所有收入和支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出均纳入部门预算管理。收入包括：</w:t>
      </w:r>
      <w:r>
        <w:rPr>
          <w:rFonts w:ascii="仿宋" w:hAnsi="仿宋" w:eastAsia="仿宋" w:cs="仿宋"/>
          <w:spacing w:val="10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一般公共预算拨款收入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875.37万元，支出包括：</w:t>
      </w:r>
      <w:r>
        <w:rPr>
          <w:rFonts w:ascii="仿宋" w:hAnsi="仿宋" w:eastAsia="仿宋" w:cs="仿宋"/>
          <w:spacing w:val="1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一般公共服务支出45</w:t>
      </w:r>
      <w:r>
        <w:rPr>
          <w:rFonts w:ascii="仿宋" w:hAnsi="仿宋" w:eastAsia="仿宋" w:cs="仿宋"/>
          <w:spacing w:val="4"/>
          <w:sz w:val="31"/>
          <w:szCs w:val="31"/>
        </w:rPr>
        <w:t>2.47万元，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社会保障和就业支出121.62元，卫生健康43.26</w:t>
      </w:r>
      <w:r>
        <w:rPr>
          <w:rFonts w:ascii="仿宋" w:hAnsi="仿宋" w:eastAsia="仿宋" w:cs="仿宋"/>
          <w:spacing w:val="-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万元，农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林水支出191万元，住房保障支出67.01万元。吾伊乡人民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政府2023年收支总预算875.37万元，比2023年收支</w:t>
      </w:r>
      <w:r>
        <w:rPr>
          <w:rFonts w:ascii="仿宋" w:hAnsi="仿宋" w:eastAsia="仿宋" w:cs="仿宋"/>
          <w:spacing w:val="15"/>
          <w:sz w:val="31"/>
          <w:szCs w:val="31"/>
        </w:rPr>
        <w:t>预算总</w:t>
      </w:r>
    </w:p>
    <w:p w14:paraId="2DBFDF6C">
      <w:pPr>
        <w:spacing w:line="219" w:lineRule="auto"/>
        <w:ind w:left="5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数增加10.24万元，主要原因：在职人员增加。</w:t>
      </w:r>
    </w:p>
    <w:p w14:paraId="484D971F">
      <w:pPr>
        <w:spacing w:before="253" w:line="227" w:lineRule="auto"/>
        <w:ind w:left="83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25"/>
          <w:sz w:val="31"/>
          <w:szCs w:val="31"/>
        </w:rPr>
        <w:t>(一)收入预算情况</w:t>
      </w:r>
    </w:p>
    <w:p w14:paraId="01B0208A">
      <w:pPr>
        <w:spacing w:before="241" w:line="630" w:lineRule="exact"/>
        <w:ind w:left="67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position w:val="23"/>
          <w:sz w:val="31"/>
          <w:szCs w:val="31"/>
        </w:rPr>
        <w:t>吾伊乡人民政府2024年收入预算875.37万元，</w:t>
      </w:r>
      <w:r>
        <w:rPr>
          <w:rFonts w:ascii="仿宋" w:hAnsi="仿宋" w:eastAsia="仿宋" w:cs="仿宋"/>
          <w:spacing w:val="123"/>
          <w:position w:val="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position w:val="23"/>
          <w:sz w:val="31"/>
          <w:szCs w:val="31"/>
        </w:rPr>
        <w:t>一般公</w:t>
      </w:r>
    </w:p>
    <w:p w14:paraId="07765E50">
      <w:pPr>
        <w:spacing w:before="1" w:line="221" w:lineRule="auto"/>
        <w:ind w:left="5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共预算拨款收入875.37万元，占100%;</w:t>
      </w:r>
    </w:p>
    <w:p w14:paraId="172A59EA">
      <w:pPr>
        <w:spacing w:before="255" w:line="227" w:lineRule="auto"/>
        <w:ind w:left="83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21"/>
          <w:sz w:val="31"/>
          <w:szCs w:val="31"/>
        </w:rPr>
        <w:t>(二)支出预算情况</w:t>
      </w:r>
    </w:p>
    <w:p w14:paraId="5DB1623D">
      <w:pPr>
        <w:spacing w:before="252" w:line="368" w:lineRule="auto"/>
        <w:ind w:left="56" w:right="332" w:firstLine="62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吾伊乡人民政府2024年支出预算875.37万元，</w:t>
      </w:r>
      <w:r>
        <w:rPr>
          <w:rFonts w:ascii="仿宋" w:hAnsi="仿宋" w:eastAsia="仿宋" w:cs="仿宋"/>
          <w:spacing w:val="19"/>
          <w:sz w:val="31"/>
          <w:szCs w:val="31"/>
        </w:rPr>
        <w:t>其中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22"/>
          <w:sz w:val="31"/>
          <w:szCs w:val="31"/>
        </w:rPr>
        <w:t>基本支出859.42万元，占98.17%;项目支出15.95</w:t>
      </w:r>
      <w:r>
        <w:rPr>
          <w:rFonts w:ascii="仿宋" w:hAnsi="仿宋" w:eastAsia="仿宋" w:cs="仿宋"/>
          <w:spacing w:val="21"/>
          <w:sz w:val="31"/>
          <w:szCs w:val="31"/>
        </w:rPr>
        <w:t>万元，</w:t>
      </w:r>
    </w:p>
    <w:p w14:paraId="1E8CEEB0">
      <w:pPr>
        <w:spacing w:before="1" w:line="220" w:lineRule="auto"/>
        <w:ind w:left="56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z w:val="31"/>
          <w:szCs w:val="31"/>
        </w:rPr>
        <w:t>占1.83%。</w:t>
      </w:r>
    </w:p>
    <w:p w14:paraId="68EBEAE8">
      <w:pPr>
        <w:spacing w:before="270" w:line="221" w:lineRule="auto"/>
        <w:ind w:left="681"/>
        <w:outlineLvl w:val="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4"/>
          <w:sz w:val="31"/>
          <w:szCs w:val="31"/>
        </w:rPr>
        <w:t>四、</w:t>
      </w:r>
      <w:r>
        <w:rPr>
          <w:rFonts w:ascii="黑体" w:hAnsi="黑体" w:eastAsia="黑体" w:cs="黑体"/>
          <w:spacing w:val="-55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4"/>
          <w:sz w:val="31"/>
          <w:szCs w:val="31"/>
        </w:rPr>
        <w:t>财政拨款收支预算情况说明</w:t>
      </w:r>
    </w:p>
    <w:p w14:paraId="7DC85DA7">
      <w:pPr>
        <w:spacing w:before="281" w:line="367" w:lineRule="auto"/>
        <w:ind w:left="56" w:right="217" w:firstLine="87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吾伊乡人民政府2024年财政拨款收支总预算</w:t>
      </w:r>
      <w:r>
        <w:rPr>
          <w:rFonts w:ascii="仿宋" w:hAnsi="仿宋" w:eastAsia="仿宋" w:cs="仿宋"/>
          <w:spacing w:val="21"/>
          <w:sz w:val="31"/>
          <w:szCs w:val="31"/>
        </w:rPr>
        <w:t>875.37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万元，比2023年财政拨款收支总预算增加10.24万元，主要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原因：在职人员增加。收入包括：本年一般公共预算拨款收</w:t>
      </w:r>
    </w:p>
    <w:p w14:paraId="55C1279F">
      <w:pPr>
        <w:spacing w:before="1" w:line="225" w:lineRule="auto"/>
        <w:ind w:left="5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入875.37</w:t>
      </w:r>
      <w:r>
        <w:rPr>
          <w:rFonts w:ascii="仿宋" w:hAnsi="仿宋" w:eastAsia="仿宋" w:cs="仿宋"/>
          <w:spacing w:val="-3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万元。</w:t>
      </w:r>
    </w:p>
    <w:p w14:paraId="58864FE4">
      <w:pPr>
        <w:spacing w:before="256" w:line="222" w:lineRule="auto"/>
        <w:ind w:left="1036"/>
        <w:rPr>
          <w:rFonts w:ascii="仿宋" w:hAnsi="仿宋" w:eastAsia="仿宋" w:cs="仿宋"/>
          <w:sz w:val="31"/>
          <w:szCs w:val="31"/>
        </w:rPr>
        <w:sectPr>
          <w:pgSz w:w="12220" w:h="17060"/>
          <w:pgMar w:top="1450" w:right="1833" w:bottom="0" w:left="1833" w:header="0" w:footer="0" w:gutter="0"/>
          <w:cols w:space="720" w:num="1"/>
        </w:sectPr>
      </w:pPr>
      <w:r>
        <w:rPr>
          <w:rFonts w:ascii="仿宋" w:hAnsi="仿宋" w:eastAsia="仿宋" w:cs="仿宋"/>
          <w:spacing w:val="-2"/>
          <w:sz w:val="31"/>
          <w:szCs w:val="31"/>
        </w:rPr>
        <w:t>支出包括：一般公共服务支出452.47</w:t>
      </w:r>
    </w:p>
    <w:p w14:paraId="5132FD85">
      <w:pPr>
        <w:spacing w:before="202" w:line="620" w:lineRule="exac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position w:val="23"/>
          <w:sz w:val="31"/>
          <w:szCs w:val="31"/>
        </w:rPr>
        <w:t>万元，社会保障和就业支出121.62元，卫</w:t>
      </w:r>
      <w:r>
        <w:rPr>
          <w:rFonts w:ascii="仿宋" w:hAnsi="仿宋" w:eastAsia="仿宋" w:cs="仿宋"/>
          <w:spacing w:val="17"/>
          <w:position w:val="23"/>
          <w:sz w:val="31"/>
          <w:szCs w:val="31"/>
        </w:rPr>
        <w:t>生健康43.26</w:t>
      </w:r>
      <w:r>
        <w:rPr>
          <w:rFonts w:ascii="仿宋" w:hAnsi="仿宋" w:eastAsia="仿宋" w:cs="仿宋"/>
          <w:spacing w:val="-32"/>
          <w:position w:val="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position w:val="23"/>
          <w:sz w:val="31"/>
          <w:szCs w:val="31"/>
        </w:rPr>
        <w:t>万</w:t>
      </w:r>
    </w:p>
    <w:p w14:paraId="564021F4">
      <w:pPr>
        <w:spacing w:before="1" w:line="220" w:lineRule="auto"/>
        <w:ind w:left="20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元，农林水支出191万元，住房保障支出67.</w:t>
      </w:r>
      <w:r>
        <w:rPr>
          <w:rFonts w:ascii="仿宋" w:hAnsi="仿宋" w:eastAsia="仿宋" w:cs="仿宋"/>
          <w:spacing w:val="13"/>
          <w:sz w:val="31"/>
          <w:szCs w:val="31"/>
        </w:rPr>
        <w:t>01万元。</w:t>
      </w:r>
    </w:p>
    <w:p w14:paraId="2B736514">
      <w:pPr>
        <w:spacing w:before="256" w:line="221" w:lineRule="auto"/>
        <w:ind w:left="817"/>
        <w:outlineLvl w:val="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"/>
          <w:sz w:val="31"/>
          <w:szCs w:val="31"/>
        </w:rPr>
        <w:t>五、</w:t>
      </w:r>
      <w:r>
        <w:rPr>
          <w:rFonts w:ascii="黑体" w:hAnsi="黑体" w:eastAsia="黑体" w:cs="黑体"/>
          <w:spacing w:val="-61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"/>
          <w:sz w:val="31"/>
          <w:szCs w:val="31"/>
        </w:rPr>
        <w:t>一般公共预算当年拨款情况说明</w:t>
      </w:r>
    </w:p>
    <w:p w14:paraId="353D9E32">
      <w:pPr>
        <w:spacing w:before="258" w:line="225" w:lineRule="auto"/>
        <w:ind w:left="95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14"/>
          <w:sz w:val="31"/>
          <w:szCs w:val="31"/>
        </w:rPr>
        <w:t>(一)一般公共预算当年拨款规模变化情况</w:t>
      </w:r>
    </w:p>
    <w:p w14:paraId="048E4E4D">
      <w:pPr>
        <w:spacing w:before="236" w:line="376" w:lineRule="auto"/>
        <w:ind w:left="203" w:right="234" w:firstLine="60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吾伊乡人民政府2024年一般公共预算当年拨款875.37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万元，比2023年预算数增加10.24万元，主要原因：在职人</w:t>
      </w:r>
    </w:p>
    <w:p w14:paraId="35BA9C97">
      <w:pPr>
        <w:spacing w:line="223" w:lineRule="auto"/>
        <w:ind w:left="20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2"/>
          <w:sz w:val="31"/>
          <w:szCs w:val="31"/>
        </w:rPr>
        <w:t>员增加。</w:t>
      </w:r>
    </w:p>
    <w:p w14:paraId="30748CFB">
      <w:pPr>
        <w:spacing w:before="249" w:line="225" w:lineRule="auto"/>
        <w:ind w:left="95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15"/>
          <w:sz w:val="31"/>
          <w:szCs w:val="31"/>
        </w:rPr>
        <w:t>(二)一般公共预算当年拨款结构情况</w:t>
      </w:r>
    </w:p>
    <w:p w14:paraId="5A184B1C">
      <w:pPr>
        <w:spacing w:before="269" w:line="372" w:lineRule="auto"/>
        <w:ind w:left="203" w:right="168" w:firstLine="60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一般公共服务支出452.47万元，占51.7%;农林水支出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</w:rPr>
        <w:t>191万元，占21.8%;社会保障和就业支出121.62万元，占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13.9%;卫生健康43.26万元，占4.9%;住房保障支出67.01</w:t>
      </w:r>
    </w:p>
    <w:p w14:paraId="37165203">
      <w:pPr>
        <w:spacing w:before="2" w:line="225" w:lineRule="auto"/>
        <w:ind w:left="20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万元，占7.7%。</w:t>
      </w:r>
    </w:p>
    <w:p w14:paraId="79D7C144">
      <w:pPr>
        <w:spacing w:before="249" w:line="225" w:lineRule="auto"/>
        <w:ind w:left="93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16"/>
          <w:sz w:val="31"/>
          <w:szCs w:val="31"/>
        </w:rPr>
        <w:t>(三)一般公共预算当年拨款具体使用情况</w:t>
      </w:r>
    </w:p>
    <w:p w14:paraId="3BCAE39D">
      <w:pPr>
        <w:spacing w:before="1" w:line="222" w:lineRule="auto"/>
        <w:ind w:left="20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6"/>
          <w:sz w:val="31"/>
          <w:szCs w:val="31"/>
        </w:rPr>
        <w:t>1. 一</w:t>
      </w:r>
      <w:r>
        <w:rPr>
          <w:rFonts w:ascii="仿宋" w:hAnsi="仿宋" w:eastAsia="仿宋" w:cs="仿宋"/>
          <w:spacing w:val="-8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6"/>
          <w:sz w:val="31"/>
          <w:szCs w:val="31"/>
        </w:rPr>
        <w:t>般公共服务(类)宣传事务(款)</w:t>
      </w:r>
      <w:r>
        <w:rPr>
          <w:rFonts w:ascii="仿宋" w:hAnsi="仿宋" w:eastAsia="仿宋" w:cs="仿宋"/>
          <w:spacing w:val="35"/>
          <w:sz w:val="31"/>
          <w:szCs w:val="31"/>
        </w:rPr>
        <w:t>行政运行(项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目)2024年预算数为452.47万元，主要用于：</w:t>
      </w:r>
      <w:r>
        <w:rPr>
          <w:rFonts w:hint="eastAsia" w:ascii="仿宋" w:hAnsi="仿宋" w:eastAsia="仿宋" w:cs="仿宋"/>
          <w:spacing w:val="13"/>
          <w:sz w:val="31"/>
          <w:szCs w:val="31"/>
          <w:lang w:val="en-US" w:eastAsia="zh-CN"/>
        </w:rPr>
        <w:t>在职职工</w:t>
      </w:r>
      <w:r>
        <w:rPr>
          <w:rFonts w:ascii="仿宋" w:hAnsi="仿宋" w:eastAsia="仿宋" w:cs="仿宋"/>
          <w:spacing w:val="3"/>
          <w:sz w:val="31"/>
          <w:szCs w:val="31"/>
        </w:rPr>
        <w:t>的基本工资及日常公用经费。</w:t>
      </w:r>
    </w:p>
    <w:p w14:paraId="078596C6">
      <w:pPr>
        <w:spacing w:before="284" w:line="610" w:lineRule="exact"/>
        <w:ind w:left="9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position w:val="22"/>
          <w:sz w:val="31"/>
          <w:szCs w:val="31"/>
        </w:rPr>
        <w:t>2.</w:t>
      </w:r>
      <w:r>
        <w:rPr>
          <w:rFonts w:ascii="仿宋" w:hAnsi="仿宋" w:eastAsia="仿宋" w:cs="仿宋"/>
          <w:spacing w:val="-21"/>
          <w:position w:val="2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position w:val="22"/>
          <w:sz w:val="31"/>
          <w:szCs w:val="31"/>
        </w:rPr>
        <w:t>社会保障和就业支出(类)2024年预算数</w:t>
      </w:r>
      <w:r>
        <w:rPr>
          <w:rFonts w:ascii="仿宋" w:hAnsi="仿宋" w:eastAsia="仿宋" w:cs="仿宋"/>
          <w:spacing w:val="17"/>
          <w:position w:val="22"/>
          <w:sz w:val="31"/>
          <w:szCs w:val="31"/>
        </w:rPr>
        <w:t>为121.62</w:t>
      </w:r>
    </w:p>
    <w:p w14:paraId="2C174C94">
      <w:pPr>
        <w:spacing w:before="1" w:line="220" w:lineRule="auto"/>
        <w:ind w:left="20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万元，主要用于职业年金和养老保险的缴纳。</w:t>
      </w:r>
    </w:p>
    <w:p w14:paraId="564AC8DF">
      <w:pPr>
        <w:spacing w:before="221" w:line="658" w:lineRule="exact"/>
        <w:ind w:left="9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position w:val="26"/>
          <w:sz w:val="31"/>
          <w:szCs w:val="31"/>
        </w:rPr>
        <w:t>3.</w:t>
      </w:r>
      <w:r>
        <w:rPr>
          <w:rFonts w:ascii="仿宋" w:hAnsi="仿宋" w:eastAsia="仿宋" w:cs="仿宋"/>
          <w:spacing w:val="-48"/>
          <w:position w:val="2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position w:val="26"/>
          <w:sz w:val="31"/>
          <w:szCs w:val="31"/>
        </w:rPr>
        <w:t>卫生健康支出2024年预算数为43</w:t>
      </w:r>
      <w:r>
        <w:rPr>
          <w:rFonts w:ascii="仿宋" w:hAnsi="仿宋" w:eastAsia="仿宋" w:cs="仿宋"/>
          <w:spacing w:val="13"/>
          <w:position w:val="26"/>
          <w:sz w:val="31"/>
          <w:szCs w:val="31"/>
        </w:rPr>
        <w:t>.26万元，主要用</w:t>
      </w:r>
    </w:p>
    <w:p w14:paraId="29EC6FBA">
      <w:pPr>
        <w:spacing w:before="2" w:line="220" w:lineRule="auto"/>
        <w:ind w:left="20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于职工医疗保险的缴纳。</w:t>
      </w:r>
    </w:p>
    <w:p w14:paraId="6BFB4A5A">
      <w:pPr>
        <w:spacing w:before="250" w:line="630" w:lineRule="exact"/>
        <w:ind w:left="9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5"/>
          <w:position w:val="23"/>
          <w:sz w:val="31"/>
          <w:szCs w:val="31"/>
        </w:rPr>
        <w:t>4. 农林水支出2024年预算数为191万元，主要用于</w:t>
      </w:r>
    </w:p>
    <w:p w14:paraId="03192859">
      <w:pPr>
        <w:spacing w:before="1" w:line="221" w:lineRule="auto"/>
        <w:ind w:left="20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事业人员工资及村干部工资，村级公务费及村级维护</w:t>
      </w:r>
      <w:r>
        <w:rPr>
          <w:rFonts w:ascii="仿宋" w:hAnsi="仿宋" w:eastAsia="仿宋" w:cs="仿宋"/>
          <w:spacing w:val="6"/>
          <w:sz w:val="31"/>
          <w:szCs w:val="31"/>
        </w:rPr>
        <w:t>费的使</w:t>
      </w:r>
    </w:p>
    <w:p w14:paraId="2A9A01B1"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pgSz w:w="12310" w:h="17120"/>
          <w:pgMar w:top="1455" w:right="1846" w:bottom="0" w:left="1846" w:header="0" w:footer="0" w:gutter="0"/>
          <w:cols w:space="720" w:num="1"/>
        </w:sectPr>
      </w:pPr>
    </w:p>
    <w:p w14:paraId="06806E3A">
      <w:pPr>
        <w:spacing w:before="103" w:line="224" w:lineRule="auto"/>
        <w:rPr>
          <w:rFonts w:ascii="仿宋" w:hAnsi="仿宋" w:eastAsia="仿宋" w:cs="仿宋"/>
          <w:sz w:val="38"/>
          <w:szCs w:val="38"/>
        </w:rPr>
      </w:pPr>
      <w:r>
        <w:rPr>
          <w:rFonts w:ascii="仿宋" w:hAnsi="仿宋" w:eastAsia="仿宋" w:cs="仿宋"/>
          <w:spacing w:val="-38"/>
          <w:sz w:val="38"/>
          <w:szCs w:val="38"/>
        </w:rPr>
        <w:t>用。</w:t>
      </w:r>
    </w:p>
    <w:p w14:paraId="523B36E4">
      <w:pPr>
        <w:spacing w:before="221" w:line="642" w:lineRule="exact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position w:val="24"/>
          <w:sz w:val="31"/>
          <w:szCs w:val="31"/>
        </w:rPr>
        <w:t>5. 住房保障支出2024年预算数为67.01万元，主要用</w:t>
      </w:r>
    </w:p>
    <w:p w14:paraId="7E8534C9"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于职工住房公积金的缴纳。</w:t>
      </w:r>
    </w:p>
    <w:p w14:paraId="37814E9B">
      <w:pPr>
        <w:spacing w:before="254" w:line="221" w:lineRule="auto"/>
        <w:ind w:left="664"/>
        <w:outlineLvl w:val="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z w:val="31"/>
          <w:szCs w:val="31"/>
        </w:rPr>
        <w:t>六、</w:t>
      </w:r>
      <w:r>
        <w:rPr>
          <w:rFonts w:ascii="黑体" w:hAnsi="黑体" w:eastAsia="黑体" w:cs="黑体"/>
          <w:spacing w:val="-47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z w:val="31"/>
          <w:szCs w:val="31"/>
        </w:rPr>
        <w:t>一般公共预算基本支出情况说明</w:t>
      </w:r>
    </w:p>
    <w:p w14:paraId="6773847F">
      <w:pPr>
        <w:spacing w:before="263" w:line="375" w:lineRule="auto"/>
        <w:ind w:right="48" w:firstLine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 xml:space="preserve">吾伊乡人民政府2024年一般公共预算基本支出859.42 </w:t>
      </w:r>
      <w:r>
        <w:rPr>
          <w:rFonts w:ascii="仿宋" w:hAnsi="仿宋" w:eastAsia="仿宋" w:cs="仿宋"/>
          <w:spacing w:val="11"/>
          <w:sz w:val="31"/>
          <w:szCs w:val="31"/>
        </w:rPr>
        <w:t>万元，其中：人员经费770.42万元，主要包括：基本工资、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津贴补贴、奖金、其他社会保障缴费、绩效工资</w:t>
      </w:r>
      <w:r>
        <w:rPr>
          <w:rFonts w:ascii="仿宋" w:hAnsi="仿宋" w:eastAsia="仿宋" w:cs="仿宋"/>
          <w:spacing w:val="8"/>
          <w:sz w:val="31"/>
          <w:szCs w:val="31"/>
        </w:rPr>
        <w:t>、机关事业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单位基本养老保险缴费、职业年金缴费、其他工资福利</w:t>
      </w:r>
      <w:r>
        <w:rPr>
          <w:rFonts w:ascii="仿宋" w:hAnsi="仿宋" w:eastAsia="仿宋" w:cs="仿宋"/>
          <w:sz w:val="31"/>
          <w:szCs w:val="31"/>
        </w:rPr>
        <w:t xml:space="preserve">支出、 </w:t>
      </w:r>
      <w:r>
        <w:rPr>
          <w:rFonts w:ascii="仿宋" w:hAnsi="仿宋" w:eastAsia="仿宋" w:cs="仿宋"/>
          <w:spacing w:val="9"/>
          <w:sz w:val="31"/>
          <w:szCs w:val="31"/>
        </w:rPr>
        <w:t>离休费、奖励金、住房公积金、其他对个人和家庭的补</w:t>
      </w:r>
      <w:r>
        <w:rPr>
          <w:rFonts w:ascii="仿宋" w:hAnsi="仿宋" w:eastAsia="仿宋" w:cs="仿宋"/>
          <w:spacing w:val="8"/>
          <w:sz w:val="31"/>
          <w:szCs w:val="31"/>
        </w:rPr>
        <w:t>助支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出。公用经费89万元，主要包括：办公费、印刷费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、手续 </w:t>
      </w:r>
      <w:r>
        <w:rPr>
          <w:rFonts w:ascii="仿宋" w:hAnsi="仿宋" w:eastAsia="仿宋" w:cs="仿宋"/>
          <w:spacing w:val="12"/>
          <w:sz w:val="31"/>
          <w:szCs w:val="31"/>
        </w:rPr>
        <w:t>费、水费、电费、邮电费、差旅费、维修(护)费、租赁费、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会议费、培训费、劳务费、工会经费、福利费、其他交通工</w:t>
      </w:r>
    </w:p>
    <w:p w14:paraId="6A63A2CF"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具运行维护费、其他商品和服务支出。</w:t>
      </w:r>
    </w:p>
    <w:p w14:paraId="40D0C30F">
      <w:pPr>
        <w:spacing w:before="256" w:line="221" w:lineRule="auto"/>
        <w:ind w:left="6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七</w:t>
      </w:r>
      <w:r>
        <w:rPr>
          <w:rFonts w:ascii="黑体" w:hAnsi="黑体" w:eastAsia="黑体" w:cs="黑体"/>
          <w:spacing w:val="-84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3"/>
          <w:sz w:val="31"/>
          <w:szCs w:val="31"/>
        </w:rPr>
        <w:t>、</w:t>
      </w:r>
      <w:r>
        <w:rPr>
          <w:rFonts w:ascii="黑体" w:hAnsi="黑体" w:eastAsia="黑体" w:cs="黑体"/>
          <w:spacing w:val="-3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3"/>
          <w:sz w:val="31"/>
          <w:szCs w:val="31"/>
        </w:rPr>
        <w:t>“三公”经费财政拨款预算安排情况说明</w:t>
      </w:r>
    </w:p>
    <w:p w14:paraId="4C028A06">
      <w:pPr>
        <w:spacing w:before="293" w:line="365" w:lineRule="auto"/>
        <w:ind w:right="104" w:firstLine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吾伊乡人民政府2024年“三公”经费财政拨款预</w:t>
      </w:r>
      <w:r>
        <w:rPr>
          <w:rFonts w:ascii="仿宋" w:hAnsi="仿宋" w:eastAsia="仿宋" w:cs="仿宋"/>
          <w:spacing w:val="21"/>
          <w:sz w:val="31"/>
          <w:szCs w:val="31"/>
        </w:rPr>
        <w:t>算数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5"/>
          <w:sz w:val="31"/>
          <w:szCs w:val="31"/>
        </w:rPr>
        <w:t>16.5万元，其中：因公出国(境)经费0万元，公务接待费</w:t>
      </w:r>
    </w:p>
    <w:p w14:paraId="2D31CB3C">
      <w:pPr>
        <w:spacing w:before="1" w:line="219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0万元，公务用车购置及运行维护费16.5万元。</w:t>
      </w:r>
    </w:p>
    <w:p w14:paraId="3E3DB120">
      <w:pPr>
        <w:spacing w:before="256" w:line="356" w:lineRule="auto"/>
        <w:ind w:right="151" w:firstLine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1"/>
          <w:sz w:val="31"/>
          <w:szCs w:val="31"/>
        </w:rPr>
        <w:t>(</w:t>
      </w:r>
      <w:r>
        <w:rPr>
          <w:rFonts w:ascii="仿宋" w:hAnsi="仿宋" w:eastAsia="仿宋" w:cs="仿宋"/>
          <w:spacing w:val="-7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1"/>
          <w:sz w:val="31"/>
          <w:szCs w:val="31"/>
        </w:rPr>
        <w:t>一)2024年因公出国(境)经费0万元。较2023年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1"/>
          <w:sz w:val="31"/>
          <w:szCs w:val="31"/>
        </w:rPr>
        <w:t>预算经费0万元增长0%,主要原因：无因公出国(境)经</w:t>
      </w:r>
    </w:p>
    <w:p w14:paraId="5288F3F0">
      <w:pPr>
        <w:spacing w:before="2" w:line="223" w:lineRule="auto"/>
        <w:rPr>
          <w:rFonts w:ascii="仿宋" w:hAnsi="仿宋" w:eastAsia="仿宋" w:cs="仿宋"/>
          <w:sz w:val="38"/>
          <w:szCs w:val="38"/>
        </w:rPr>
      </w:pPr>
      <w:r>
        <w:rPr>
          <w:rFonts w:ascii="仿宋" w:hAnsi="仿宋" w:eastAsia="仿宋" w:cs="仿宋"/>
          <w:spacing w:val="-46"/>
          <w:sz w:val="38"/>
          <w:szCs w:val="38"/>
        </w:rPr>
        <w:t>费。</w:t>
      </w:r>
    </w:p>
    <w:p w14:paraId="2FAC660A">
      <w:pPr>
        <w:spacing w:before="223" w:line="640" w:lineRule="exact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2"/>
          <w:position w:val="24"/>
          <w:sz w:val="31"/>
          <w:szCs w:val="31"/>
        </w:rPr>
        <w:t>(二)2024年公务接待费经费0万元。较2</w:t>
      </w:r>
      <w:r>
        <w:rPr>
          <w:rFonts w:ascii="仿宋" w:hAnsi="仿宋" w:eastAsia="仿宋" w:cs="仿宋"/>
          <w:spacing w:val="31"/>
          <w:position w:val="24"/>
          <w:sz w:val="31"/>
          <w:szCs w:val="31"/>
        </w:rPr>
        <w:t>023年预算</w:t>
      </w:r>
    </w:p>
    <w:p w14:paraId="6B08C8ED"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经费0万元增长0%,主要原因：本年度无公务接待费经费。</w:t>
      </w:r>
    </w:p>
    <w:p w14:paraId="01B7DFE2"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pgSz w:w="11910" w:h="16840"/>
          <w:pgMar w:top="1431" w:right="1786" w:bottom="0" w:left="1680" w:header="0" w:footer="0" w:gutter="0"/>
          <w:cols w:space="720" w:num="1"/>
        </w:sectPr>
      </w:pPr>
    </w:p>
    <w:p w14:paraId="304FD81B">
      <w:pPr>
        <w:spacing w:before="185" w:line="375" w:lineRule="auto"/>
        <w:ind w:left="135" w:right="186" w:firstLine="7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(三)2024年公务用车购置及运行维护费16.5万元。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较2023年预算经费16.5万元减少0%,主要原因：规范公务</w:t>
      </w:r>
    </w:p>
    <w:p w14:paraId="35363342">
      <w:pPr>
        <w:spacing w:line="219" w:lineRule="auto"/>
        <w:ind w:left="1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用车，公务用车购置及运行维护费减少。</w:t>
      </w:r>
    </w:p>
    <w:p w14:paraId="1D609E4F">
      <w:pPr>
        <w:spacing w:before="251" w:line="221" w:lineRule="auto"/>
        <w:ind w:left="889"/>
        <w:outlineLvl w:val="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八、政府性基金预算支出情况说明</w:t>
      </w:r>
    </w:p>
    <w:p w14:paraId="4F03B277">
      <w:pPr>
        <w:spacing w:before="271" w:line="370" w:lineRule="auto"/>
        <w:ind w:left="135" w:right="252" w:firstLine="7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吾伊乡人民政府2024年政府性基金预算拨款安排的支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9"/>
          <w:sz w:val="31"/>
          <w:szCs w:val="31"/>
        </w:rPr>
        <w:t>出0万元。较2023年预算经费0万元增长0%,主</w:t>
      </w:r>
      <w:r>
        <w:rPr>
          <w:rFonts w:ascii="仿宋" w:hAnsi="仿宋" w:eastAsia="仿宋" w:cs="仿宋"/>
          <w:spacing w:val="28"/>
          <w:sz w:val="31"/>
          <w:szCs w:val="31"/>
        </w:rPr>
        <w:t>要原因：</w:t>
      </w:r>
    </w:p>
    <w:p w14:paraId="5B73D864">
      <w:pPr>
        <w:spacing w:line="222" w:lineRule="auto"/>
        <w:ind w:left="1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无此项经费安排。</w:t>
      </w:r>
    </w:p>
    <w:p w14:paraId="61681E1F">
      <w:pPr>
        <w:spacing w:before="243" w:line="628" w:lineRule="exact"/>
        <w:ind w:left="77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3"/>
          <w:position w:val="24"/>
          <w:sz w:val="31"/>
          <w:szCs w:val="31"/>
        </w:rPr>
        <w:t>九、其他重要事项的情况说明</w:t>
      </w:r>
    </w:p>
    <w:p w14:paraId="7BD68864">
      <w:pPr>
        <w:spacing w:before="1" w:line="225" w:lineRule="auto"/>
        <w:ind w:left="88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23"/>
          <w:sz w:val="31"/>
          <w:szCs w:val="31"/>
        </w:rPr>
        <w:t>(一)机关运行经费</w:t>
      </w:r>
    </w:p>
    <w:p w14:paraId="2BAE0263">
      <w:pPr>
        <w:spacing w:before="235" w:line="651" w:lineRule="exact"/>
        <w:ind w:left="139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position w:val="25"/>
          <w:sz w:val="31"/>
          <w:szCs w:val="31"/>
        </w:rPr>
        <w:t>吾伊乡人民政府2024年机关运行经费财政拨款预</w:t>
      </w:r>
    </w:p>
    <w:p w14:paraId="62551369">
      <w:pPr>
        <w:spacing w:before="1" w:line="221" w:lineRule="auto"/>
        <w:ind w:left="1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算为89万元，比2023年预算减少17.9</w:t>
      </w:r>
      <w:r>
        <w:rPr>
          <w:rFonts w:ascii="仿宋" w:hAnsi="仿宋" w:eastAsia="仿宋" w:cs="仿宋"/>
          <w:spacing w:val="12"/>
          <w:sz w:val="31"/>
          <w:szCs w:val="31"/>
        </w:rPr>
        <w:t>6万元，减少16.79%。</w:t>
      </w:r>
    </w:p>
    <w:p w14:paraId="25AD9795">
      <w:pPr>
        <w:spacing w:before="235" w:line="227" w:lineRule="auto"/>
        <w:ind w:left="58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24"/>
          <w:sz w:val="31"/>
          <w:szCs w:val="31"/>
        </w:rPr>
        <w:t>(二)政府采购情况</w:t>
      </w:r>
    </w:p>
    <w:p w14:paraId="02A87751">
      <w:pPr>
        <w:spacing w:before="261" w:line="222" w:lineRule="auto"/>
        <w:ind w:left="139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2024年吾伊乡人民政府安排政府采购预算0万元。</w:t>
      </w:r>
    </w:p>
    <w:p w14:paraId="5E7C4CBF">
      <w:pPr>
        <w:spacing w:before="230" w:line="223" w:lineRule="auto"/>
        <w:ind w:left="58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19"/>
          <w:sz w:val="31"/>
          <w:szCs w:val="31"/>
        </w:rPr>
        <w:t>(三)国有资产占有使用情况</w:t>
      </w:r>
    </w:p>
    <w:p w14:paraId="7B1AEBA9">
      <w:pPr>
        <w:spacing w:before="281" w:line="219" w:lineRule="auto"/>
        <w:ind w:left="139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9"/>
          <w:sz w:val="31"/>
          <w:szCs w:val="31"/>
        </w:rPr>
        <w:t>公务用车实有量3辆，其中其他用车2辆。</w:t>
      </w:r>
    </w:p>
    <w:p w14:paraId="11187F77">
      <w:pPr>
        <w:spacing w:before="242" w:line="227" w:lineRule="auto"/>
        <w:ind w:left="58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20"/>
          <w:sz w:val="31"/>
          <w:szCs w:val="31"/>
        </w:rPr>
        <w:t>(四)绩效目标设置情况</w:t>
      </w:r>
    </w:p>
    <w:p w14:paraId="168A8898">
      <w:pPr>
        <w:spacing w:before="240" w:line="367" w:lineRule="auto"/>
        <w:ind w:left="135" w:right="161" w:firstLine="97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9"/>
          <w:sz w:val="31"/>
          <w:szCs w:val="31"/>
        </w:rPr>
        <w:t>2024年吾伊乡人民政府通用项目和专用项目均按要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求实行绩效目标管理，涉及一般公共预算当年拨款15.95万</w:t>
      </w:r>
    </w:p>
    <w:p w14:paraId="1412201D">
      <w:pPr>
        <w:spacing w:line="228" w:lineRule="auto"/>
        <w:ind w:left="135"/>
        <w:rPr>
          <w:rFonts w:ascii="幼圆" w:hAnsi="幼圆" w:eastAsia="幼圆" w:cs="幼圆"/>
          <w:sz w:val="31"/>
          <w:szCs w:val="31"/>
        </w:rPr>
      </w:pPr>
      <w:r>
        <w:rPr>
          <w:rFonts w:ascii="幼圆" w:hAnsi="幼圆" w:eastAsia="幼圆" w:cs="幼圆"/>
          <w:spacing w:val="-14"/>
          <w:sz w:val="31"/>
          <w:szCs w:val="31"/>
        </w:rPr>
        <w:t>元。</w:t>
      </w:r>
    </w:p>
    <w:p w14:paraId="04FE8384">
      <w:pPr>
        <w:spacing w:before="266" w:line="222" w:lineRule="auto"/>
        <w:ind w:left="77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z w:val="31"/>
          <w:szCs w:val="31"/>
        </w:rPr>
        <w:t>十、名词解释</w:t>
      </w:r>
    </w:p>
    <w:p w14:paraId="7D4FEC1B">
      <w:pPr>
        <w:spacing w:before="237" w:line="649" w:lineRule="exact"/>
        <w:ind w:left="88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position w:val="25"/>
          <w:sz w:val="31"/>
          <w:szCs w:val="31"/>
        </w:rPr>
        <w:t>(一)财政拨款收入：指由财政拨款形成的部门收入。</w:t>
      </w:r>
    </w:p>
    <w:p w14:paraId="012B9D7B">
      <w:pPr>
        <w:spacing w:before="2" w:line="220" w:lineRule="auto"/>
        <w:ind w:left="1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按现行管理制度，部门预算中反映的财政拨款仅包括一</w:t>
      </w:r>
      <w:r>
        <w:rPr>
          <w:rFonts w:ascii="仿宋" w:hAnsi="仿宋" w:eastAsia="仿宋" w:cs="仿宋"/>
          <w:spacing w:val="6"/>
          <w:sz w:val="31"/>
          <w:szCs w:val="31"/>
        </w:rPr>
        <w:t>般公</w:t>
      </w:r>
    </w:p>
    <w:p w14:paraId="5BAB0E20"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pgSz w:w="12230" w:h="17060"/>
          <w:pgMar w:top="1450" w:right="1834" w:bottom="0" w:left="1834" w:header="0" w:footer="0" w:gutter="0"/>
          <w:cols w:space="720" w:num="1"/>
        </w:sectPr>
      </w:pPr>
    </w:p>
    <w:p w14:paraId="2E28A3A7">
      <w:pPr>
        <w:spacing w:before="177" w:line="220" w:lineRule="auto"/>
        <w:ind w:left="10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共预算拨款和政府性基金预算拨款。</w:t>
      </w:r>
    </w:p>
    <w:p w14:paraId="4701C5B6">
      <w:pPr>
        <w:spacing w:before="271" w:line="620" w:lineRule="exact"/>
        <w:ind w:left="87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position w:val="23"/>
          <w:sz w:val="31"/>
          <w:szCs w:val="31"/>
        </w:rPr>
        <w:t>(二)事业收入：指所属事业单位开展专业业务活动及</w:t>
      </w:r>
    </w:p>
    <w:p w14:paraId="19D2BF5F">
      <w:pPr>
        <w:spacing w:before="1" w:line="220" w:lineRule="auto"/>
        <w:ind w:left="10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sz w:val="31"/>
          <w:szCs w:val="31"/>
        </w:rPr>
        <w:t>辅助活动所取得的收入。</w:t>
      </w:r>
    </w:p>
    <w:p w14:paraId="4659DEFA">
      <w:pPr>
        <w:spacing w:before="275" w:line="390" w:lineRule="auto"/>
        <w:ind w:left="108" w:right="189" w:firstLine="76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(三)事业单位经营收入：指所属事业单位在专业业务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</w:rPr>
        <w:t>活动及其辅助活动之外开展非独立核算经营活动取得</w:t>
      </w:r>
      <w:r>
        <w:rPr>
          <w:rFonts w:ascii="仿宋" w:hAnsi="仿宋" w:eastAsia="仿宋" w:cs="仿宋"/>
          <w:spacing w:val="19"/>
          <w:sz w:val="31"/>
          <w:szCs w:val="31"/>
        </w:rPr>
        <w:t>的收</w:t>
      </w:r>
    </w:p>
    <w:p w14:paraId="033810CE">
      <w:pPr>
        <w:spacing w:line="236" w:lineRule="auto"/>
        <w:ind w:left="108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-8"/>
          <w:sz w:val="22"/>
          <w:szCs w:val="22"/>
        </w:rPr>
        <w:t>入</w:t>
      </w:r>
      <w:r>
        <w:rPr>
          <w:rFonts w:ascii="仿宋" w:hAnsi="仿宋" w:eastAsia="仿宋" w:cs="仿宋"/>
          <w:spacing w:val="14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-8"/>
          <w:sz w:val="22"/>
          <w:szCs w:val="22"/>
        </w:rPr>
        <w:t>。</w:t>
      </w:r>
    </w:p>
    <w:p w14:paraId="6AFCA293">
      <w:pPr>
        <w:spacing w:before="304" w:line="368" w:lineRule="auto"/>
        <w:ind w:left="108" w:right="172" w:firstLine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(四)其他收入：指除上述“财政拨款收入”、</w:t>
      </w:r>
      <w:r>
        <w:rPr>
          <w:rFonts w:ascii="仿宋" w:hAnsi="仿宋" w:eastAsia="仿宋" w:cs="仿宋"/>
          <w:spacing w:val="1"/>
          <w:sz w:val="31"/>
          <w:szCs w:val="31"/>
        </w:rPr>
        <w:t>“事业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收入”、“事业单位经营收入”等以外的收入，主要是所属</w:t>
      </w:r>
    </w:p>
    <w:p w14:paraId="7E078493">
      <w:pPr>
        <w:spacing w:before="1" w:line="219" w:lineRule="auto"/>
        <w:ind w:left="10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行政事业单位按规定动用的售房收入、存款利息收入等。</w:t>
      </w:r>
    </w:p>
    <w:p w14:paraId="220BE1DF">
      <w:pPr>
        <w:spacing w:before="251" w:line="370" w:lineRule="auto"/>
        <w:ind w:left="108" w:right="169" w:firstLine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(五)用事业基金弥补收支差额：指所属事业单位在预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计用当年的“财政拨款收入”、“事业收入”、“事业单位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经营收入”、“其他收入”不足以安排当年支出的情况下，</w:t>
      </w:r>
    </w:p>
    <w:p w14:paraId="0A8006B3">
      <w:pPr>
        <w:spacing w:before="1" w:line="221" w:lineRule="auto"/>
        <w:ind w:left="10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使用以前年度积累的事业基金弥补本年度收支缺口的资金。</w:t>
      </w:r>
    </w:p>
    <w:p w14:paraId="1A30C197">
      <w:pPr>
        <w:spacing w:before="243" w:line="371" w:lineRule="auto"/>
        <w:ind w:left="108" w:right="174" w:firstLine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(六)上年结转：指所属行政事业单位以前年度尚未完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成、结转至本年按原规定用途继续使用的资金</w:t>
      </w:r>
      <w:r>
        <w:rPr>
          <w:rFonts w:ascii="仿宋" w:hAnsi="仿宋" w:eastAsia="仿宋" w:cs="仿宋"/>
          <w:spacing w:val="5"/>
          <w:sz w:val="31"/>
          <w:szCs w:val="31"/>
        </w:rPr>
        <w:t>和以前年度已</w:t>
      </w:r>
    </w:p>
    <w:p w14:paraId="5F20047B">
      <w:pPr>
        <w:spacing w:before="1" w:line="222" w:lineRule="auto"/>
        <w:ind w:left="10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完成项目剩余资金经批准用于新用途使用的资金。</w:t>
      </w:r>
    </w:p>
    <w:p w14:paraId="2083353D"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pgSz w:w="12210" w:h="17050"/>
          <w:pgMar w:top="1449" w:right="1831" w:bottom="0" w:left="1831" w:header="0" w:footer="0" w:gutter="0"/>
          <w:cols w:space="720" w:num="1"/>
        </w:sectPr>
      </w:pPr>
    </w:p>
    <w:p w14:paraId="174B0E79">
      <w:pPr>
        <w:pStyle w:val="2"/>
      </w:pPr>
    </w:p>
    <w:sectPr>
      <w:headerReference r:id="rId5" w:type="default"/>
      <w:pgSz w:w="11910" w:h="16840"/>
      <w:pgMar w:top="400" w:right="1284" w:bottom="0" w:left="103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65509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DE2ZmYxODcxZmI0MWRlYjgzZThiNzI0MjEwYmRhMTQifQ=="/>
  </w:docVars>
  <w:rsids>
    <w:rsidRoot w:val="00000000"/>
    <w:rsid w:val="18D6574D"/>
    <w:rsid w:val="1C4576B4"/>
    <w:rsid w:val="2CA14716"/>
    <w:rsid w:val="3D1138F2"/>
    <w:rsid w:val="444A5FF7"/>
    <w:rsid w:val="69F70E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14"/>
      <w:szCs w:val="1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2658</Words>
  <Characters>2980</Characters>
  <TotalTime>2</TotalTime>
  <ScaleCrop>false</ScaleCrop>
  <LinksUpToDate>false</LinksUpToDate>
  <CharactersWithSpaces>3056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2024-01-31T14:26:00Z</dcterms:created>
  <dc:creator>Kingsoft-PDF</dc:creator>
  <cp:lastModifiedBy>爱你三世Q</cp:lastModifiedBy>
  <cp:lastPrinted>2026-07-28T07:27:00Z</cp:lastPrinted>
  <dcterms:modified xsi:type="dcterms:W3CDTF">2026-07-28T08:54:48Z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2024-01-31T14:26:38Z</vt:filetime>
  </property>
  <property fmtid="{D5CDD505-2E9C-101B-9397-08002B2CF9AE}" pid="4" name="UsrData">
    <vt:lpwstr>65b9e815e4703b0020714fbfwl</vt:lpwstr>
  </property>
  <property fmtid="{D5CDD505-2E9C-101B-9397-08002B2CF9AE}" pid="5" name="KSOProductBuildVer">
    <vt:lpwstr>2052-12.1.0.26895</vt:lpwstr>
  </property>
  <property fmtid="{D5CDD505-2E9C-101B-9397-08002B2CF9AE}" pid="6" name="ICV">
    <vt:lpwstr>918EAFA6D7714523B3F0ADC94EBF1E09_13</vt:lpwstr>
  </property>
  <property fmtid="{D5CDD505-2E9C-101B-9397-08002B2CF9AE}" pid="7" name="KSOTemplateDocerSaveRecord">
    <vt:lpwstr>eyJoZGlkIjoiNzVkMGE5ZmRhZTkwMDkwODJiOWRlMzgxY2ZhZGIzN2UiLCJ1c2VySWQiOiIzMjk2ODY2NjcifQ==</vt:lpwstr>
  </property>
</Properties>
</file>