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AD67C">
      <w:pPr>
        <w:pStyle w:val="34"/>
        <w:widowControl w:val="0"/>
        <w:suppressAutoHyphens/>
        <w:spacing w:after="140" w:line="276" w:lineRule="auto"/>
        <w:jc w:val="center"/>
        <w:rPr>
          <w:rFonts w:hint="eastAsia" w:ascii="方正小标宋简体" w:hAnsi="宋体" w:eastAsia="方正小标宋简体" w:cs="Times New Roman"/>
          <w:sz w:val="44"/>
          <w:szCs w:val="44"/>
        </w:rPr>
      </w:pPr>
    </w:p>
    <w:p w14:paraId="25BDF159">
      <w:pPr>
        <w:pStyle w:val="34"/>
        <w:widowControl w:val="0"/>
        <w:suppressAutoHyphens/>
        <w:spacing w:after="140" w:line="276" w:lineRule="auto"/>
        <w:jc w:val="center"/>
        <w:rPr>
          <w:rFonts w:hint="eastAsia" w:ascii="方正小标宋简体" w:hAnsi="宋体" w:eastAsia="方正小标宋简体" w:cs="Times New Roman"/>
          <w:sz w:val="44"/>
          <w:szCs w:val="44"/>
        </w:rPr>
      </w:pPr>
    </w:p>
    <w:p w14:paraId="1C9FAA0A">
      <w:pPr>
        <w:pStyle w:val="34"/>
        <w:widowControl w:val="0"/>
        <w:suppressAutoHyphens/>
        <w:spacing w:after="140" w:line="276" w:lineRule="auto"/>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壤塘县卫生健康局</w:t>
      </w:r>
    </w:p>
    <w:p w14:paraId="344AF6E8">
      <w:pPr>
        <w:pStyle w:val="34"/>
        <w:widowControl w:val="0"/>
        <w:suppressAutoHyphens/>
        <w:spacing w:after="140" w:line="276" w:lineRule="auto"/>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2026年部门预算</w:t>
      </w:r>
    </w:p>
    <w:p w14:paraId="3AEF01BE">
      <w:pPr>
        <w:widowControl w:val="0"/>
        <w:spacing w:line="600" w:lineRule="exact"/>
        <w:ind w:firstLine="640" w:firstLineChars="200"/>
        <w:jc w:val="both"/>
        <w:rPr>
          <w:rFonts w:hint="eastAsia" w:ascii="仿宋" w:hAnsi="仿宋" w:eastAsia="仿宋"/>
          <w:sz w:val="32"/>
        </w:rPr>
      </w:pPr>
    </w:p>
    <w:p w14:paraId="7E22993B">
      <w:pPr>
        <w:widowControl w:val="0"/>
        <w:spacing w:line="600" w:lineRule="exact"/>
        <w:ind w:firstLine="640" w:firstLineChars="200"/>
        <w:jc w:val="both"/>
        <w:rPr>
          <w:rFonts w:hint="eastAsia" w:ascii="仿宋" w:hAnsi="仿宋" w:eastAsia="仿宋"/>
          <w:sz w:val="32"/>
        </w:rPr>
      </w:pPr>
    </w:p>
    <w:p w14:paraId="105D6A04">
      <w:pPr>
        <w:widowControl w:val="0"/>
        <w:spacing w:line="600" w:lineRule="exact"/>
        <w:ind w:firstLine="640" w:firstLineChars="200"/>
        <w:jc w:val="both"/>
        <w:rPr>
          <w:rFonts w:hint="eastAsia" w:ascii="仿宋" w:hAnsi="仿宋" w:eastAsia="仿宋"/>
          <w:sz w:val="32"/>
        </w:rPr>
      </w:pPr>
    </w:p>
    <w:p w14:paraId="2F7BBF9F">
      <w:pPr>
        <w:widowControl w:val="0"/>
        <w:spacing w:line="600" w:lineRule="exact"/>
        <w:ind w:firstLine="640" w:firstLineChars="200"/>
        <w:jc w:val="both"/>
        <w:rPr>
          <w:rFonts w:hint="eastAsia" w:ascii="仿宋" w:hAnsi="仿宋" w:eastAsia="仿宋" w:cs="Times New Roman"/>
          <w:sz w:val="32"/>
          <w:szCs w:val="44"/>
          <w:lang w:bidi="ar"/>
        </w:rPr>
      </w:pPr>
    </w:p>
    <w:p w14:paraId="70E0C4E3">
      <w:pPr>
        <w:widowControl w:val="0"/>
        <w:spacing w:line="600" w:lineRule="exact"/>
        <w:ind w:firstLine="640" w:firstLineChars="200"/>
        <w:jc w:val="both"/>
        <w:rPr>
          <w:rFonts w:hint="eastAsia" w:ascii="仿宋" w:hAnsi="仿宋" w:eastAsia="仿宋" w:cs="Times New Roman"/>
          <w:sz w:val="32"/>
          <w:szCs w:val="44"/>
          <w:lang w:bidi="ar"/>
        </w:rPr>
      </w:pPr>
    </w:p>
    <w:p w14:paraId="75FC081C">
      <w:pPr>
        <w:widowControl w:val="0"/>
        <w:spacing w:line="600" w:lineRule="exact"/>
        <w:ind w:firstLine="640" w:firstLineChars="200"/>
        <w:jc w:val="both"/>
        <w:rPr>
          <w:rFonts w:hint="eastAsia" w:ascii="仿宋" w:hAnsi="仿宋" w:eastAsia="仿宋"/>
          <w:sz w:val="32"/>
        </w:rPr>
        <w:sectPr>
          <w:footerReference r:id="rId5" w:type="first"/>
          <w:footerReference r:id="rId3" w:type="default"/>
          <w:footerReference r:id="rId4" w:type="even"/>
          <w:pgSz w:w="11906" w:h="16838"/>
          <w:pgMar w:top="1440" w:right="1797" w:bottom="1440" w:left="1797" w:header="720" w:footer="720" w:gutter="0"/>
          <w:cols w:space="425" w:num="1"/>
          <w:docGrid w:type="lines" w:linePitch="312" w:charSpace="0"/>
        </w:sectPr>
      </w:pPr>
    </w:p>
    <w:p w14:paraId="0DF7AC78">
      <w:pPr>
        <w:pStyle w:val="3"/>
        <w:widowControl w:val="0"/>
        <w:spacing w:before="340" w:beforeAutospacing="0" w:after="330" w:afterAutospacing="0" w:line="578" w:lineRule="auto"/>
        <w:jc w:val="center"/>
        <w:rPr>
          <w:rFonts w:ascii="黑体" w:hAnsi="黑体" w:eastAsia="黑体"/>
          <w:b w:val="0"/>
          <w:bCs/>
          <w:sz w:val="44"/>
          <w:szCs w:val="32"/>
          <w:lang w:bidi="ar"/>
        </w:rPr>
      </w:pPr>
      <w:bookmarkStart w:id="0" w:name="_Toc236172532"/>
      <w:r>
        <w:rPr>
          <w:rFonts w:ascii="黑体" w:hAnsi="黑体" w:eastAsia="黑体"/>
          <w:b w:val="0"/>
          <w:bCs/>
          <w:sz w:val="44"/>
          <w:szCs w:val="32"/>
          <w:lang w:bidi="ar"/>
        </w:rPr>
        <w:t>目录</w:t>
      </w:r>
      <w:bookmarkEnd w:id="0"/>
    </w:p>
    <w:p w14:paraId="302B86D5">
      <w:pPr>
        <w:widowControl w:val="0"/>
        <w:spacing w:line="600" w:lineRule="exact"/>
        <w:ind w:firstLine="640" w:firstLineChars="200"/>
        <w:jc w:val="both"/>
        <w:rPr>
          <w:rFonts w:hint="eastAsia" w:ascii="仿宋" w:hAnsi="仿宋" w:eastAsia="仿宋" w:cs="Times New Roman"/>
          <w:sz w:val="32"/>
          <w:szCs w:val="32"/>
          <w:lang w:bidi="ar"/>
        </w:rPr>
      </w:pPr>
    </w:p>
    <w:p w14:paraId="2A9F03DB">
      <w:pPr>
        <w:pStyle w:val="59"/>
        <w:tabs>
          <w:tab w:val="right" w:leader="dot" w:pos="8302"/>
        </w:tabs>
        <w:spacing w:line="440" w:lineRule="exact"/>
        <w:rPr>
          <w:rFonts w:ascii="Times New Roman" w:hAnsi="Times New Roman" w:eastAsia="黑体"/>
          <w:sz w:val="24"/>
          <w:szCs w:val="30"/>
          <w:lang w:bidi="th-TH"/>
          <w14:ligatures w14:val="standardContextual"/>
        </w:rPr>
      </w:pPr>
      <w:r>
        <w:rPr>
          <w:rFonts w:hint="eastAsia" w:ascii="Times New Roman" w:hAnsi="Times New Roman" w:eastAsia="黑体" w:cs="Times New Roman"/>
          <w:sz w:val="24"/>
          <w:szCs w:val="32"/>
          <w:lang w:bidi="ar"/>
        </w:rPr>
        <w:fldChar w:fldCharType="begin"/>
      </w:r>
      <w:r>
        <w:rPr>
          <w:rFonts w:hint="eastAsia" w:ascii="Times New Roman" w:hAnsi="Times New Roman" w:eastAsia="黑体" w:cs="Times New Roman"/>
          <w:sz w:val="24"/>
          <w:szCs w:val="32"/>
          <w:lang w:bidi="ar"/>
        </w:rPr>
        <w:instrText xml:space="preserve"> </w:instrText>
      </w:r>
      <w:r>
        <w:rPr>
          <w:rFonts w:ascii="Times New Roman" w:hAnsi="Times New Roman" w:eastAsia="黑体" w:cs="Times New Roman"/>
          <w:sz w:val="24"/>
          <w:szCs w:val="32"/>
          <w:lang w:bidi="ar"/>
        </w:rPr>
        <w:instrText xml:space="preserve">TOC \o "1-2" \h \z \u</w:instrText>
      </w:r>
      <w:r>
        <w:rPr>
          <w:rFonts w:hint="eastAsia" w:ascii="Times New Roman" w:hAnsi="Times New Roman" w:eastAsia="黑体" w:cs="Times New Roman"/>
          <w:sz w:val="24"/>
          <w:szCs w:val="32"/>
          <w:lang w:bidi="ar"/>
        </w:rPr>
        <w:instrText xml:space="preserve"> </w:instrText>
      </w:r>
      <w:r>
        <w:rPr>
          <w:rFonts w:hint="eastAsia" w:ascii="Times New Roman" w:hAnsi="Times New Roman" w:eastAsia="黑体" w:cs="Times New Roman"/>
          <w:sz w:val="24"/>
          <w:szCs w:val="32"/>
          <w:lang w:bidi="ar"/>
        </w:rPr>
        <w:fldChar w:fldCharType="separate"/>
      </w:r>
      <w:r>
        <w:fldChar w:fldCharType="begin"/>
      </w:r>
      <w:r>
        <w:instrText xml:space="preserve"> HYPERLINK \l "_Toc236172533" </w:instrText>
      </w:r>
      <w:r>
        <w:fldChar w:fldCharType="separate"/>
      </w:r>
      <w:r>
        <w:rPr>
          <w:rStyle w:val="242"/>
          <w:rFonts w:hint="eastAsia" w:ascii="Times New Roman" w:hAnsi="Times New Roman" w:eastAsia="黑体"/>
          <w:bCs/>
          <w:color w:val="auto"/>
          <w:sz w:val="24"/>
        </w:rPr>
        <w:t>一、基本职能及主要工作</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_Toc236172533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4</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3163A5A0">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"_Toc236172534" </w:instrText>
      </w:r>
      <w:r>
        <w:fldChar w:fldCharType="separate"/>
      </w:r>
      <w:r>
        <w:rPr>
          <w:rStyle w:val="242"/>
          <w:rFonts w:hint="eastAsia" w:ascii="Times New Roman" w:hAnsi="Times New Roman" w:eastAsia="宋体"/>
          <w:bCs/>
          <w:color w:val="auto"/>
          <w:sz w:val="24"/>
        </w:rPr>
        <w:t>（一）部门职能简介</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_Toc236172534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4</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6D5C663">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"_Toc236172535" </w:instrText>
      </w:r>
      <w:r>
        <w:fldChar w:fldCharType="separate"/>
      </w:r>
      <w:r>
        <w:rPr>
          <w:rStyle w:val="242"/>
          <w:rFonts w:hint="eastAsia" w:ascii="Times New Roman" w:hAnsi="Times New Roman" w:eastAsia="宋体"/>
          <w:bCs/>
          <w:color w:val="auto"/>
          <w:sz w:val="24"/>
        </w:rPr>
        <w:t>（二）2026年重点工作</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_Toc236172535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5</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228A6F1">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"_Toc236172536" </w:instrText>
      </w:r>
      <w:r>
        <w:fldChar w:fldCharType="separate"/>
      </w:r>
      <w:r>
        <w:rPr>
          <w:rStyle w:val="242"/>
          <w:rFonts w:hint="eastAsia" w:ascii="Times New Roman" w:hAnsi="Times New Roman" w:eastAsia="宋体"/>
          <w:bCs/>
          <w:color w:val="auto"/>
          <w:sz w:val="24"/>
        </w:rPr>
        <w:t>（一）年度目标</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_Toc236172536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C9969BB">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"_Toc236172537" </w:instrText>
      </w:r>
      <w:r>
        <w:fldChar w:fldCharType="separate"/>
      </w:r>
      <w:r>
        <w:rPr>
          <w:rStyle w:val="242"/>
          <w:rFonts w:hint="eastAsia" w:ascii="Times New Roman" w:hAnsi="Times New Roman" w:eastAsia="宋体"/>
          <w:bCs/>
          <w:color w:val="auto"/>
          <w:sz w:val="24"/>
        </w:rPr>
        <w:t>（二）重点工作推进</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_Toc236172537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47A0047">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"_Toc236172538" </w:instrText>
      </w:r>
      <w:r>
        <w:fldChar w:fldCharType="separate"/>
      </w:r>
      <w:r>
        <w:rPr>
          <w:rStyle w:val="242"/>
          <w:rFonts w:hint="eastAsia" w:ascii="Times New Roman" w:hAnsi="Times New Roman" w:eastAsia="黑体"/>
          <w:bCs/>
          <w:color w:val="auto"/>
          <w:sz w:val="24"/>
        </w:rPr>
        <w:t>二、部门预算单位构成</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_Toc236172538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8</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4769795C">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"_Toc236172539" </w:instrText>
      </w:r>
      <w:r>
        <w:fldChar w:fldCharType="separate"/>
      </w:r>
      <w:r>
        <w:rPr>
          <w:rStyle w:val="242"/>
          <w:rFonts w:hint="eastAsia" w:ascii="Times New Roman" w:hAnsi="Times New Roman" w:eastAsia="黑体"/>
          <w:bCs/>
          <w:color w:val="auto"/>
          <w:sz w:val="24"/>
        </w:rPr>
        <w:t>三、收支预算情况说明</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_Toc236172539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9</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3461A8E5">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"_Toc236172540" </w:instrText>
      </w:r>
      <w:r>
        <w:fldChar w:fldCharType="separate"/>
      </w:r>
      <w:r>
        <w:rPr>
          <w:rStyle w:val="242"/>
          <w:rFonts w:hint="eastAsia" w:ascii="Times New Roman" w:hAnsi="Times New Roman" w:eastAsia="宋体"/>
          <w:bCs/>
          <w:color w:val="auto"/>
          <w:sz w:val="24"/>
        </w:rPr>
        <w:t>（一）收入预算情况</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_Toc236172540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9</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199374E">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"_Toc236172541" </w:instrText>
      </w:r>
      <w:r>
        <w:fldChar w:fldCharType="separate"/>
      </w:r>
      <w:r>
        <w:rPr>
          <w:rStyle w:val="242"/>
          <w:rFonts w:hint="eastAsia" w:ascii="Times New Roman" w:hAnsi="Times New Roman" w:eastAsia="宋体"/>
          <w:bCs/>
          <w:color w:val="auto"/>
          <w:sz w:val="24"/>
        </w:rPr>
        <w:t>（二）支出预算情况</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_Toc236172541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9</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0DEB6436">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"_Toc236172542" </w:instrText>
      </w:r>
      <w:r>
        <w:fldChar w:fldCharType="separate"/>
      </w:r>
      <w:r>
        <w:rPr>
          <w:rStyle w:val="242"/>
          <w:rFonts w:hint="eastAsia" w:ascii="Times New Roman" w:hAnsi="Times New Roman" w:eastAsia="黑体"/>
          <w:bCs/>
          <w:color w:val="auto"/>
          <w:sz w:val="24"/>
        </w:rPr>
        <w:t>四、财政拨款收支预算情况说明</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_Toc236172542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10</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1A7019ED">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"_Toc236172543" </w:instrText>
      </w:r>
      <w:r>
        <w:fldChar w:fldCharType="separate"/>
      </w:r>
      <w:r>
        <w:rPr>
          <w:rStyle w:val="242"/>
          <w:rFonts w:hint="eastAsia" w:ascii="Times New Roman" w:hAnsi="Times New Roman" w:eastAsia="黑体"/>
          <w:bCs/>
          <w:color w:val="auto"/>
          <w:sz w:val="24"/>
        </w:rPr>
        <w:t>五、一般公共预算当年拨款情况说明</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_Toc236172543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10</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599F5650">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"_Toc236172544" </w:instrText>
      </w:r>
      <w:r>
        <w:fldChar w:fldCharType="separate"/>
      </w:r>
      <w:r>
        <w:rPr>
          <w:rStyle w:val="242"/>
          <w:rFonts w:hint="eastAsia" w:ascii="Times New Roman" w:hAnsi="Times New Roman" w:eastAsia="宋体"/>
          <w:bCs/>
          <w:color w:val="auto"/>
          <w:sz w:val="24"/>
        </w:rPr>
        <w:t>（一）一般公共预算当年拨款规模变化情况</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_Toc236172544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10</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0BF2443">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"_Toc236172545" </w:instrText>
      </w:r>
      <w:r>
        <w:fldChar w:fldCharType="separate"/>
      </w:r>
      <w:r>
        <w:rPr>
          <w:rStyle w:val="242"/>
          <w:rFonts w:hint="eastAsia" w:ascii="Times New Roman" w:hAnsi="Times New Roman" w:eastAsia="宋体"/>
          <w:bCs/>
          <w:color w:val="auto"/>
          <w:sz w:val="24"/>
        </w:rPr>
        <w:t>（二）一般公共预算当年拨款结构情况</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_Toc236172545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10</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FDEF914">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"_Toc236172546" </w:instrText>
      </w:r>
      <w:r>
        <w:fldChar w:fldCharType="separate"/>
      </w:r>
      <w:r>
        <w:rPr>
          <w:rStyle w:val="242"/>
          <w:rFonts w:hint="eastAsia" w:ascii="Times New Roman" w:hAnsi="Times New Roman" w:eastAsia="宋体"/>
          <w:bCs/>
          <w:color w:val="auto"/>
          <w:sz w:val="24"/>
        </w:rPr>
        <w:t>（三）一般公共预算当年拨款具体使用情况</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_Toc236172546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8064CD5">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"_Toc236172547" </w:instrText>
      </w:r>
      <w:r>
        <w:fldChar w:fldCharType="separate"/>
      </w:r>
      <w:r>
        <w:rPr>
          <w:rStyle w:val="242"/>
          <w:rFonts w:hint="eastAsia" w:ascii="Times New Roman" w:hAnsi="Times New Roman" w:eastAsia="黑体"/>
          <w:bCs/>
          <w:color w:val="auto"/>
          <w:sz w:val="24"/>
        </w:rPr>
        <w:t>六、一般公共预算基本支出情况说明</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_Toc236172547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12</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64BE55AD">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"_Toc236172548" </w:instrText>
      </w:r>
      <w:r>
        <w:fldChar w:fldCharType="separate"/>
      </w:r>
      <w:r>
        <w:rPr>
          <w:rStyle w:val="242"/>
          <w:rFonts w:hint="eastAsia" w:ascii="Times New Roman" w:hAnsi="Times New Roman" w:eastAsia="黑体"/>
          <w:bCs/>
          <w:color w:val="auto"/>
          <w:sz w:val="24"/>
        </w:rPr>
        <w:t>七、“三公”经费财政拨款预算安排情况说明</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_Toc236172548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12</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74E9C6EE">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"_Toc236172549" </w:instrText>
      </w:r>
      <w:r>
        <w:fldChar w:fldCharType="separate"/>
      </w:r>
      <w:r>
        <w:rPr>
          <w:rStyle w:val="242"/>
          <w:rFonts w:hint="eastAsia" w:ascii="Times New Roman" w:hAnsi="Times New Roman" w:eastAsia="黑体"/>
          <w:bCs/>
          <w:color w:val="auto"/>
          <w:sz w:val="24"/>
        </w:rPr>
        <w:t>八、政府性基金预算支出情况说明</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_Toc236172549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13</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478186AE">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"_Toc236172550" </w:instrText>
      </w:r>
      <w:r>
        <w:fldChar w:fldCharType="separate"/>
      </w:r>
      <w:r>
        <w:rPr>
          <w:rStyle w:val="242"/>
          <w:rFonts w:hint="eastAsia" w:ascii="Times New Roman" w:hAnsi="Times New Roman" w:eastAsia="黑体"/>
          <w:bCs/>
          <w:color w:val="auto"/>
          <w:sz w:val="24"/>
        </w:rPr>
        <w:t>九、其他重要事项的情况说明</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_Toc236172550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13</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4F18A28B">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"_Toc236172551" </w:instrText>
      </w:r>
      <w:r>
        <w:fldChar w:fldCharType="separate"/>
      </w:r>
      <w:r>
        <w:rPr>
          <w:rStyle w:val="242"/>
          <w:rFonts w:hint="eastAsia" w:ascii="Times New Roman" w:hAnsi="Times New Roman" w:eastAsia="宋体"/>
          <w:bCs/>
          <w:color w:val="auto"/>
          <w:sz w:val="24"/>
        </w:rPr>
        <w:t>（一）机关运行经费</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_Toc236172551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7F208675">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"_Toc236172552" </w:instrText>
      </w:r>
      <w:r>
        <w:fldChar w:fldCharType="separate"/>
      </w:r>
      <w:r>
        <w:rPr>
          <w:rStyle w:val="242"/>
          <w:rFonts w:hint="eastAsia" w:ascii="Times New Roman" w:hAnsi="Times New Roman" w:eastAsia="宋体"/>
          <w:bCs/>
          <w:color w:val="auto"/>
          <w:sz w:val="24"/>
        </w:rPr>
        <w:t>（二）政府采购情况</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_Toc236172552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DD34026">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"_Toc236172553" </w:instrText>
      </w:r>
      <w:r>
        <w:fldChar w:fldCharType="separate"/>
      </w:r>
      <w:r>
        <w:rPr>
          <w:rStyle w:val="242"/>
          <w:rFonts w:hint="eastAsia" w:ascii="Times New Roman" w:hAnsi="Times New Roman" w:eastAsia="宋体"/>
          <w:bCs/>
          <w:color w:val="auto"/>
          <w:sz w:val="24"/>
        </w:rPr>
        <w:t>（三）国有资产占有使用情况</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_Toc236172553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C50BF35">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"_Toc236172554" </w:instrText>
      </w:r>
      <w:r>
        <w:fldChar w:fldCharType="separate"/>
      </w:r>
      <w:r>
        <w:rPr>
          <w:rStyle w:val="242"/>
          <w:rFonts w:hint="eastAsia" w:ascii="Times New Roman" w:hAnsi="Times New Roman" w:eastAsia="宋体"/>
          <w:bCs/>
          <w:color w:val="auto"/>
          <w:sz w:val="24"/>
        </w:rPr>
        <w:t>（四）绩效目标设置情况</w:t>
      </w:r>
      <w:r>
        <w:rPr>
          <w:rFonts w:hint="eastAsia" w:ascii="Times New Roman" w:hAnsi="Times New Roman" w:eastAsia="宋体"/>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_Toc236172554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sz w:val="24"/>
        </w:rPr>
        <w:t>13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0C42015">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"_Toc236172555" </w:instrText>
      </w:r>
      <w:r>
        <w:fldChar w:fldCharType="separate"/>
      </w:r>
      <w:r>
        <w:rPr>
          <w:rStyle w:val="242"/>
          <w:rFonts w:hint="eastAsia" w:ascii="Times New Roman" w:hAnsi="Times New Roman" w:eastAsia="黑体"/>
          <w:bCs/>
          <w:color w:val="auto"/>
          <w:sz w:val="24"/>
        </w:rPr>
        <w:t>十、名称解释</w:t>
      </w:r>
      <w:r>
        <w:rPr>
          <w:rFonts w:hint="eastAsia" w:ascii="Times New Roman" w:hAnsi="Times New Roman" w:eastAsia="黑体"/>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_Toc236172555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sz w:val="24"/>
        </w:rPr>
        <w:t>14</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520E861C">
      <w:pPr>
        <w:widowControl w:val="0"/>
        <w:spacing w:line="440" w:lineRule="exact"/>
        <w:ind w:firstLine="480" w:firstLineChars="200"/>
        <w:jc w:val="both"/>
        <w:rPr>
          <w:rFonts w:ascii="Times New Roman" w:hAnsi="Times New Roman" w:eastAsia="黑体" w:cs="Times New Roman"/>
          <w:sz w:val="24"/>
          <w:szCs w:val="32"/>
          <w:lang w:bidi="ar"/>
        </w:rPr>
      </w:pPr>
      <w:r>
        <w:rPr>
          <w:rFonts w:hint="eastAsia" w:ascii="Times New Roman" w:hAnsi="Times New Roman" w:eastAsia="黑体" w:cs="Times New Roman"/>
          <w:sz w:val="24"/>
          <w:szCs w:val="32"/>
          <w:lang w:bidi="ar"/>
        </w:rPr>
        <w:fldChar w:fldCharType="end"/>
      </w:r>
    </w:p>
    <w:p w14:paraId="09883BA0">
      <w:pPr>
        <w:widowControl w:val="0"/>
        <w:spacing w:line="600" w:lineRule="exact"/>
        <w:ind w:firstLine="640" w:firstLineChars="200"/>
        <w:jc w:val="both"/>
        <w:rPr>
          <w:rFonts w:hint="eastAsia" w:ascii="仿宋" w:hAnsi="仿宋" w:eastAsia="仿宋" w:cs="Times New Roman"/>
          <w:sz w:val="32"/>
          <w:szCs w:val="32"/>
          <w:lang w:bidi="ar"/>
        </w:rPr>
      </w:pPr>
    </w:p>
    <w:p w14:paraId="3DD697E8">
      <w:pPr>
        <w:widowControl w:val="0"/>
        <w:spacing w:line="600" w:lineRule="exact"/>
        <w:ind w:firstLine="640" w:firstLineChars="200"/>
        <w:jc w:val="both"/>
        <w:rPr>
          <w:rFonts w:hint="eastAsia" w:ascii="仿宋" w:hAnsi="仿宋" w:eastAsia="仿宋"/>
          <w:sz w:val="32"/>
        </w:rPr>
        <w:sectPr>
          <w:footerReference r:id="rId6" w:type="default"/>
          <w:pgSz w:w="11906" w:h="16838"/>
          <w:pgMar w:top="1440" w:right="1797" w:bottom="1440" w:left="1797" w:header="720" w:footer="720" w:gutter="0"/>
          <w:cols w:space="425" w:num="1"/>
          <w:docGrid w:type="lines" w:linePitch="312" w:charSpace="0"/>
        </w:sectPr>
      </w:pPr>
    </w:p>
    <w:p w14:paraId="4AAC3C03">
      <w:pPr>
        <w:pStyle w:val="3"/>
        <w:widowControl w:val="0"/>
        <w:spacing w:before="340" w:beforeAutospacing="0" w:after="330" w:afterAutospacing="0" w:line="578" w:lineRule="auto"/>
        <w:jc w:val="center"/>
        <w:rPr>
          <w:rFonts w:ascii="黑体" w:hAnsi="黑体" w:eastAsia="黑体"/>
          <w:b w:val="0"/>
          <w:bCs/>
          <w:sz w:val="44"/>
          <w:szCs w:val="32"/>
        </w:rPr>
      </w:pPr>
      <w:bookmarkStart w:id="1" w:name="_Toc236172533"/>
      <w:r>
        <w:rPr>
          <w:rFonts w:ascii="黑体" w:hAnsi="黑体" w:eastAsia="黑体"/>
          <w:b w:val="0"/>
          <w:bCs/>
          <w:sz w:val="44"/>
          <w:szCs w:val="32"/>
        </w:rPr>
        <w:t>一、基本职能及主要工作</w:t>
      </w:r>
      <w:bookmarkEnd w:id="1"/>
    </w:p>
    <w:p w14:paraId="4C871F60">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2" w:name="_Toc236172534"/>
      <w:r>
        <w:rPr>
          <w:rFonts w:ascii="黑体" w:hAnsi="黑体" w:eastAsia="黑体"/>
          <w:b w:val="0"/>
          <w:bCs/>
          <w:sz w:val="32"/>
          <w:szCs w:val="32"/>
        </w:rPr>
        <w:t>（一）部门职能简介</w:t>
      </w:r>
      <w:bookmarkEnd w:id="2"/>
    </w:p>
    <w:p w14:paraId="76CB7479">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1.贯彻执行党和国家关于卫生计生工作的方针、政策、法律、法规以及省、州、</w:t>
      </w:r>
      <w:r>
        <w:rPr>
          <w:rFonts w:hint="eastAsia" w:ascii="仿宋" w:hAnsi="仿宋" w:eastAsia="仿宋" w:cs="仿宋_GB2312"/>
          <w:kern w:val="0"/>
          <w:sz w:val="32"/>
          <w:szCs w:val="32"/>
          <w:lang w:bidi="ar"/>
        </w:rPr>
        <w:t>县关于卫生计生工作的决策部署，制定全县卫生计生事业发展规划，统筹规划全县卫生计生资源配置，指导全县卫生计生工作。</w:t>
      </w:r>
    </w:p>
    <w:p w14:paraId="7640348C">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2.贯彻实施党和国家医药卫生体制改革政策和国家药物政策及国家基本药物制度，执行国家基本药物目录以及我省药品增补目录，执行基本药物采购、配送、使用的政策措施。贯彻中西医并重的方针，发展我县中藏医事业。</w:t>
      </w:r>
    </w:p>
    <w:p w14:paraId="182CE2F6">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3.贯彻实施职责范围内的职业卫生、放射卫生、环境卫生、学校卫生、公共场所卫生、饮用水卫生管理规范、标准和政策措施，组织开展相关监测、调查、评估和监督。</w:t>
      </w:r>
    </w:p>
    <w:p w14:paraId="0D0BB3D6">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4.负责制定全县卫生应急预案、突发公共卫生事件监测和风险评估，组织和指导全县突发公共卫生事件预防控制和各类突发公共事件的医疗卫生救援。</w:t>
      </w:r>
    </w:p>
    <w:p w14:paraId="14FEE2A0">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5.组织实施促进全县出生人口性别平衡的政策措施，组织监测计划生育发展动态，负责全县计划生育相关数据采集和分析研究，提出发布计划生育安全预警预报信息建议，制定计划生育技术服务管理制度并监督实施，制定优生优育和提高出生人口素质的政策措施并组织实施，推动实施计划生育生殖健康促进计划，降低出生缺陷人口数量。</w:t>
      </w:r>
    </w:p>
    <w:p w14:paraId="1148CB5A">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6.实施“两项制度”，组织建立计划生育利益导向、计划生育特殊困难家庭扶助和促进计划生育家庭发展等机制，负责协调推进有关部门、群众团体履行计划生育工作相关职责，建立与经济社会发展政策的衔接机制，提出稳定低生育水平政策措施。</w:t>
      </w:r>
    </w:p>
    <w:p w14:paraId="30ADEA27">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7.制定我县实施流动人口计划生育服务管理制度并组织落实，推动建立流动人口卫生计生信息共享与公共服务工作机制。</w:t>
      </w:r>
    </w:p>
    <w:p w14:paraId="1AFCA553">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8.负责组织拟订并实施基层卫生和妇幼卫生、计划生育服务发展规划和政策措施，指导全县基层卫生和妇幼卫生、计划生育服务体系建设，推进基本公共卫生计生服务均等化，完善乡村医生管理制度。</w:t>
      </w:r>
    </w:p>
    <w:p w14:paraId="695F1BBE">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9.组织实施全县医疗机构及医疗服务全行业管理办法、及医疗服务、医疗技术、医疗质量、医疗安全管的规范、标准，会同有关部门贯彻执行国家卫生计生专业技术人员准入、资格标准。制定和实施卫生计生专业技术人员执业规则和服务规范，建立医疗服务评价和监督管理体系。</w:t>
      </w:r>
    </w:p>
    <w:p w14:paraId="6F8A91D3">
      <w:pPr>
        <w:widowControl w:val="0"/>
        <w:spacing w:line="600" w:lineRule="exact"/>
        <w:ind w:firstLine="640" w:firstLineChars="200"/>
        <w:jc w:val="both"/>
        <w:rPr>
          <w:rFonts w:hint="eastAsia" w:ascii="仿宋" w:hAnsi="仿宋" w:eastAsia="仿宋" w:cs="Times New Roman"/>
          <w:sz w:val="32"/>
          <w:szCs w:val="32"/>
          <w:lang w:bidi="ar"/>
        </w:rPr>
      </w:pPr>
      <w:r>
        <w:rPr>
          <w:rFonts w:hint="eastAsia" w:ascii="仿宋" w:hAnsi="仿宋" w:eastAsia="仿宋" w:cs="Times New Roman"/>
          <w:kern w:val="0"/>
          <w:sz w:val="32"/>
          <w:szCs w:val="32"/>
          <w:lang w:bidi="ar"/>
        </w:rPr>
        <w:t>10.负责卫生计生政策宣传、全民健康教育、健康促进等工作。依法组织实施统计调查，开展全县人口基础信息库建设。</w:t>
      </w:r>
    </w:p>
    <w:p w14:paraId="00B849E1">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3" w:name="_Toc236172535"/>
      <w:r>
        <w:rPr>
          <w:rFonts w:ascii="黑体" w:hAnsi="黑体" w:eastAsia="黑体"/>
          <w:b w:val="0"/>
          <w:bCs/>
          <w:sz w:val="32"/>
          <w:szCs w:val="32"/>
        </w:rPr>
        <w:t>（二）2026年重点工作</w:t>
      </w:r>
      <w:bookmarkEnd w:id="3"/>
    </w:p>
    <w:p w14:paraId="38F6E7E6">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_GB2312"/>
          <w:sz w:val="32"/>
          <w:szCs w:val="32"/>
          <w:shd w:val="clear" w:color="auto" w:fill="FFFFFF"/>
          <w:lang w:bidi="ar"/>
        </w:rPr>
        <w:t>2026年，将锚定“补短板、强弱项、提效能”核心方向，聚焦高原医疗服务痛点难点，紧扣川甘青结合部区域医疗高地建设目标，为卫生健康事业高质量发展开好局、起好步。</w:t>
      </w:r>
    </w:p>
    <w:p w14:paraId="19087B5D">
      <w:pPr>
        <w:widowControl w:val="0"/>
        <w:spacing w:line="600" w:lineRule="exact"/>
        <w:ind w:firstLine="643" w:firstLineChars="200"/>
        <w:jc w:val="both"/>
        <w:rPr>
          <w:rFonts w:hint="eastAsia" w:ascii="仿宋" w:hAnsi="仿宋" w:eastAsia="仿宋" w:cs="仿宋_GB2312"/>
          <w:sz w:val="32"/>
          <w:szCs w:val="32"/>
          <w:shd w:val="clear" w:color="auto" w:fill="FFFFFF"/>
          <w:lang w:eastAsia="zh-CN" w:bidi="ar"/>
        </w:rPr>
      </w:pPr>
      <w:r>
        <w:rPr>
          <w:rFonts w:hint="eastAsia" w:ascii="仿宋" w:hAnsi="仿宋" w:eastAsia="仿宋" w:cs="仿宋_GB2312"/>
          <w:b/>
          <w:sz w:val="32"/>
          <w:szCs w:val="32"/>
          <w:shd w:val="clear" w:color="auto" w:fill="FFFFFF"/>
          <w:lang w:bidi="ar"/>
        </w:rPr>
        <w:t>基础设施升级，筑牢服务根基。</w:t>
      </w:r>
      <w:r>
        <w:rPr>
          <w:rFonts w:hint="eastAsia" w:ascii="仿宋" w:hAnsi="仿宋" w:eastAsia="仿宋" w:cs="仿宋_GB2312"/>
          <w:sz w:val="32"/>
          <w:szCs w:val="32"/>
          <w:shd w:val="clear" w:color="auto" w:fill="FFFFFF"/>
          <w:lang w:bidi="ar"/>
        </w:rPr>
        <w:t>启动县医院传染病区建设，补齐传染病救治硬件短板；完成重点乡镇卫生院标准化改造，更新基层诊疗设备，提升乡镇级常见病诊疗能力</w:t>
      </w:r>
      <w:r>
        <w:rPr>
          <w:rFonts w:hint="eastAsia" w:ascii="仿宋" w:hAnsi="仿宋" w:eastAsia="仿宋" w:cs="仿宋_GB2312"/>
          <w:sz w:val="32"/>
          <w:szCs w:val="32"/>
          <w:shd w:val="clear" w:color="auto" w:fill="FFFFFF"/>
          <w:lang w:eastAsia="zh-CN" w:bidi="ar"/>
        </w:rPr>
        <w:t>。</w:t>
      </w:r>
    </w:p>
    <w:p w14:paraId="314E1239">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_GB2312"/>
          <w:b/>
          <w:sz w:val="32"/>
          <w:szCs w:val="32"/>
          <w:shd w:val="clear" w:color="auto" w:fill="FFFFFF"/>
          <w:lang w:bidi="ar"/>
        </w:rPr>
        <w:t>优化公共卫生服务，筑牢健康屏障。</w:t>
      </w:r>
      <w:r>
        <w:rPr>
          <w:rFonts w:hint="eastAsia" w:ascii="仿宋" w:hAnsi="仿宋" w:eastAsia="仿宋" w:cs="仿宋_GB2312"/>
          <w:sz w:val="32"/>
          <w:szCs w:val="32"/>
          <w:shd w:val="clear" w:color="auto" w:fill="FFFFFF"/>
          <w:lang w:bidi="ar"/>
        </w:rPr>
        <w:t>深入开展健康宣</w:t>
      </w:r>
      <w:r>
        <w:rPr>
          <w:rFonts w:hint="eastAsia" w:ascii="仿宋" w:hAnsi="仿宋" w:eastAsia="仿宋" w:cs="仿宋_GB2312"/>
          <w:sz w:val="32"/>
          <w:szCs w:val="32"/>
          <w:shd w:val="clear" w:color="auto" w:fill="FFFFFF"/>
          <w:lang w:eastAsia="zh-CN" w:bidi="ar"/>
        </w:rPr>
        <w:t>传</w:t>
      </w:r>
      <w:r>
        <w:rPr>
          <w:rFonts w:hint="eastAsia" w:ascii="仿宋" w:hAnsi="仿宋" w:eastAsia="仿宋" w:cs="仿宋_GB2312"/>
          <w:sz w:val="32"/>
          <w:szCs w:val="32"/>
          <w:shd w:val="clear" w:color="auto" w:fill="FFFFFF"/>
          <w:lang w:bidi="ar"/>
        </w:rPr>
        <w:t>“进牧区”活动，制作宣传资料，通过流动宣讲、短视频等形式普及防病知识，提升群众健康素养。规范老年人、孕产妇、高血压及糖尿病患者等重点人群健康管理，开展免费体检、定期随访、康复指导等服务，动态完善电子健康档案，实现健康管理精准化、常态化。</w:t>
      </w:r>
    </w:p>
    <w:p w14:paraId="07A470E8">
      <w:pPr>
        <w:widowControl w:val="0"/>
        <w:spacing w:line="600" w:lineRule="exact"/>
        <w:ind w:firstLine="643" w:firstLineChars="200"/>
        <w:jc w:val="both"/>
        <w:rPr>
          <w:rFonts w:hint="eastAsia" w:ascii="仿宋" w:hAnsi="仿宋" w:eastAsia="仿宋" w:cs="仿宋_GB2312"/>
          <w:sz w:val="32"/>
          <w:szCs w:val="32"/>
          <w:shd w:val="clear" w:color="auto" w:fill="FFFFFF"/>
          <w:lang w:eastAsia="zh-CN" w:bidi="ar"/>
        </w:rPr>
      </w:pPr>
      <w:r>
        <w:rPr>
          <w:rFonts w:hint="eastAsia" w:ascii="仿宋" w:hAnsi="仿宋" w:eastAsia="仿宋" w:cs="仿宋_GB2312"/>
          <w:b/>
          <w:sz w:val="32"/>
          <w:szCs w:val="32"/>
          <w:shd w:val="clear" w:color="auto" w:fill="FFFFFF"/>
          <w:lang w:bidi="ar"/>
        </w:rPr>
        <w:t>提质医疗妇幼服务，增进民生福祉。</w:t>
      </w:r>
      <w:r>
        <w:rPr>
          <w:rFonts w:hint="eastAsia" w:ascii="仿宋" w:hAnsi="仿宋" w:eastAsia="仿宋" w:cs="仿宋_GB2312"/>
          <w:sz w:val="32"/>
          <w:szCs w:val="32"/>
          <w:shd w:val="clear" w:color="auto" w:fill="FFFFFF"/>
          <w:lang w:bidi="ar"/>
        </w:rPr>
        <w:t>健全县乡村三级医疗机构双向转诊机制，推动优质医疗资源下沉与患者合理分流；提升上寨医疗次中心专科能力，新增微创诊疗技术，增强片区急慢性病诊疗能力；建设旅游急诊急救基地，配备适配高原环境的急救设备与车辆，提升旅游应急医疗保障水平。推进婚前医学检查与孕前优生健康检查，提升服务覆盖率与群众参与度</w:t>
      </w:r>
      <w:r>
        <w:rPr>
          <w:rFonts w:hint="eastAsia" w:ascii="仿宋" w:hAnsi="仿宋" w:eastAsia="仿宋" w:cs="仿宋_GB2312"/>
          <w:sz w:val="32"/>
          <w:szCs w:val="32"/>
          <w:shd w:val="clear" w:color="auto" w:fill="FFFFFF"/>
          <w:lang w:eastAsia="zh-CN" w:bidi="ar"/>
        </w:rPr>
        <w:t>。</w:t>
      </w:r>
    </w:p>
    <w:p w14:paraId="0FAAB5FF">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_GB2312"/>
          <w:b/>
          <w:sz w:val="32"/>
          <w:szCs w:val="32"/>
          <w:shd w:val="clear" w:color="auto" w:fill="FFFFFF"/>
          <w:lang w:bidi="ar"/>
        </w:rPr>
        <w:t>强化人才队伍建设，夯实发展支撑。</w:t>
      </w:r>
      <w:r>
        <w:rPr>
          <w:rFonts w:hint="eastAsia" w:ascii="仿宋" w:hAnsi="仿宋" w:eastAsia="仿宋" w:cs="仿宋_GB2312"/>
          <w:sz w:val="32"/>
          <w:szCs w:val="32"/>
          <w:shd w:val="clear" w:color="auto" w:fill="FFFFFF"/>
          <w:lang w:bidi="ar"/>
        </w:rPr>
        <w:t>开展卫生专业技术人员公开招聘，定向补充基层医疗力量，优化人才队伍结构。选派骨干医师赴省州三甲医院进修学习。落实高原人才激励政策，优化基层医务人员薪酬待遇，按海拔梯度完善津贴补贴机制，改善基层工作生活条件，稳定基层医疗队伍。</w:t>
      </w:r>
    </w:p>
    <w:p w14:paraId="2314B827">
      <w:pPr>
        <w:pStyle w:val="3"/>
        <w:widowControl w:val="0"/>
        <w:spacing w:before="340" w:beforeAutospacing="0" w:after="330" w:afterAutospacing="0" w:line="578" w:lineRule="auto"/>
        <w:jc w:val="center"/>
        <w:rPr>
          <w:rFonts w:ascii="黑体" w:hAnsi="黑体" w:eastAsia="黑体"/>
          <w:b w:val="0"/>
          <w:bCs/>
          <w:sz w:val="44"/>
          <w:szCs w:val="32"/>
        </w:rPr>
      </w:pPr>
      <w:bookmarkStart w:id="4" w:name="_Toc236172538"/>
      <w:r>
        <w:rPr>
          <w:rFonts w:ascii="黑体" w:hAnsi="黑体" w:eastAsia="黑体"/>
          <w:b w:val="0"/>
          <w:bCs/>
          <w:sz w:val="44"/>
          <w:szCs w:val="32"/>
        </w:rPr>
        <w:t>二、部门预算单位构成</w:t>
      </w:r>
      <w:bookmarkEnd w:id="4"/>
    </w:p>
    <w:p w14:paraId="6CE972B4">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壤塘县卫生健康局单位属一级预算单位，下属二级预算单位</w:t>
      </w:r>
      <w:r>
        <w:rPr>
          <w:rFonts w:hint="eastAsia" w:ascii="仿宋" w:hAnsi="仿宋" w:eastAsia="仿宋" w:cs="Times New Roman"/>
          <w:kern w:val="2"/>
          <w:sz w:val="32"/>
          <w:szCs w:val="32"/>
        </w:rPr>
        <w:t>17</w:t>
      </w:r>
      <w:r>
        <w:rPr>
          <w:rFonts w:hint="eastAsia" w:ascii="仿宋" w:hAnsi="仿宋" w:eastAsia="仿宋" w:cs="仿宋_GB2312"/>
          <w:kern w:val="2"/>
          <w:sz w:val="32"/>
          <w:szCs w:val="32"/>
        </w:rPr>
        <w:t>个，其中：行政单位</w:t>
      </w:r>
      <w:r>
        <w:rPr>
          <w:rFonts w:hint="eastAsia" w:ascii="仿宋" w:hAnsi="仿宋" w:eastAsia="仿宋" w:cs="Times New Roman"/>
          <w:kern w:val="2"/>
          <w:sz w:val="32"/>
          <w:szCs w:val="32"/>
        </w:rPr>
        <w:t>0</w:t>
      </w:r>
      <w:r>
        <w:rPr>
          <w:rFonts w:hint="eastAsia" w:ascii="仿宋" w:hAnsi="仿宋" w:eastAsia="仿宋" w:cs="仿宋_GB2312"/>
          <w:kern w:val="2"/>
          <w:sz w:val="32"/>
          <w:szCs w:val="32"/>
        </w:rPr>
        <w:t>个；参照公务员法管理的事业单位</w:t>
      </w:r>
      <w:r>
        <w:rPr>
          <w:rFonts w:hint="eastAsia" w:ascii="仿宋" w:hAnsi="仿宋" w:eastAsia="仿宋" w:cs="Times New Roman"/>
          <w:kern w:val="2"/>
          <w:sz w:val="32"/>
          <w:szCs w:val="32"/>
        </w:rPr>
        <w:t>0</w:t>
      </w:r>
      <w:r>
        <w:rPr>
          <w:rFonts w:hint="eastAsia" w:ascii="仿宋" w:hAnsi="仿宋" w:eastAsia="仿宋" w:cs="仿宋_GB2312"/>
          <w:kern w:val="2"/>
          <w:sz w:val="32"/>
          <w:szCs w:val="32"/>
        </w:rPr>
        <w:t>个；其他事业单位</w:t>
      </w:r>
      <w:r>
        <w:rPr>
          <w:rFonts w:hint="eastAsia" w:ascii="仿宋" w:hAnsi="仿宋" w:eastAsia="仿宋" w:cs="Times New Roman"/>
          <w:kern w:val="2"/>
          <w:sz w:val="32"/>
          <w:szCs w:val="32"/>
        </w:rPr>
        <w:t>17</w:t>
      </w:r>
      <w:r>
        <w:rPr>
          <w:rFonts w:hint="eastAsia" w:ascii="仿宋" w:hAnsi="仿宋" w:eastAsia="仿宋" w:cs="仿宋_GB2312"/>
          <w:kern w:val="2"/>
          <w:sz w:val="32"/>
          <w:szCs w:val="32"/>
        </w:rPr>
        <w:t>个。分别是：</w:t>
      </w:r>
    </w:p>
    <w:p w14:paraId="52E2489E">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1、壤塘县疾病预防控制中心；</w:t>
      </w:r>
    </w:p>
    <w:p w14:paraId="4E08BE86">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2、壤塘县妇幼保健计划生育服务中心；</w:t>
      </w:r>
    </w:p>
    <w:p w14:paraId="4081EE73">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3、壤塘县人民医院；</w:t>
      </w:r>
    </w:p>
    <w:p w14:paraId="53A58E76">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4、壤塘县藏医院；</w:t>
      </w:r>
    </w:p>
    <w:p w14:paraId="11573929">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5、壤塘县上寨中心卫生院；</w:t>
      </w:r>
    </w:p>
    <w:p w14:paraId="5A3889C6">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6、壤塘县蒲西卫生院；</w:t>
      </w:r>
    </w:p>
    <w:p w14:paraId="460A4D64">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7、壤塘县宗科乡卫生院；</w:t>
      </w:r>
    </w:p>
    <w:p w14:paraId="1447D4B7">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8、壤塘县石里乡卫生院；</w:t>
      </w:r>
    </w:p>
    <w:p w14:paraId="22B82CBA">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9、壤塘县吾依乡卫生院；</w:t>
      </w:r>
    </w:p>
    <w:p w14:paraId="0E98908C">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10、壤塘县岗木达乡卫生院；</w:t>
      </w:r>
    </w:p>
    <w:p w14:paraId="0DEE0E73">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11、壤塘县上杜柯乡卫生院；</w:t>
      </w:r>
    </w:p>
    <w:p w14:paraId="00ACFF1D">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12、壤塘县南木达乡卫生院；</w:t>
      </w:r>
    </w:p>
    <w:p w14:paraId="07C3AAE5">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13、茸木达乡卫生院；</w:t>
      </w:r>
    </w:p>
    <w:p w14:paraId="787FBEDF">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14、尕多乡卫生院；</w:t>
      </w:r>
    </w:p>
    <w:p w14:paraId="57CA78BE">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15、中壤塘乡卫生院；</w:t>
      </w:r>
    </w:p>
    <w:p w14:paraId="0D86FFB2">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16、上壤塘乡卫生院；</w:t>
      </w:r>
    </w:p>
    <w:p w14:paraId="0F0C0E02">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17、壤塘县岗木达镇社区卫生服务中心。</w:t>
      </w:r>
    </w:p>
    <w:p w14:paraId="5C821AFF">
      <w:pPr>
        <w:pStyle w:val="3"/>
        <w:widowControl w:val="0"/>
        <w:spacing w:before="340" w:beforeAutospacing="0" w:after="330" w:afterAutospacing="0" w:line="578" w:lineRule="auto"/>
        <w:jc w:val="center"/>
        <w:rPr>
          <w:rFonts w:ascii="黑体" w:hAnsi="黑体" w:eastAsia="黑体"/>
          <w:b w:val="0"/>
          <w:bCs/>
          <w:sz w:val="44"/>
          <w:szCs w:val="32"/>
        </w:rPr>
      </w:pPr>
      <w:bookmarkStart w:id="5" w:name="_Toc236172539"/>
      <w:r>
        <w:rPr>
          <w:rFonts w:ascii="黑体" w:hAnsi="黑体" w:eastAsia="黑体"/>
          <w:b w:val="0"/>
          <w:bCs/>
          <w:sz w:val="44"/>
          <w:szCs w:val="32"/>
        </w:rPr>
        <w:t>三、收支预算情况说明</w:t>
      </w:r>
      <w:bookmarkEnd w:id="5"/>
    </w:p>
    <w:p w14:paraId="0652924A">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_GB2312"/>
          <w:kern w:val="0"/>
          <w:sz w:val="32"/>
          <w:szCs w:val="32"/>
          <w:lang w:bidi="ar"/>
        </w:rPr>
        <w:t>按照综合预算的原则，壤塘县卫生健康局所有收入和支出均纳入部门预算管理。收入包括：一般公共预算拨款收入</w:t>
      </w:r>
      <w:r>
        <w:rPr>
          <w:rFonts w:hint="eastAsia" w:ascii="仿宋" w:hAnsi="仿宋" w:eastAsia="仿宋" w:cs="Times New Roman"/>
          <w:kern w:val="0"/>
          <w:sz w:val="32"/>
          <w:szCs w:val="32"/>
          <w:lang w:bidi="ar"/>
        </w:rPr>
        <w:t>565.79万元，事业收入0万元，其他收入0万元，上年结转0万元；支出包括：一般公共服务支出0万元，教育支出0万元，文化体育与传媒支出0万元，社会保障和就业支出62.88</w:t>
      </w:r>
      <w:r>
        <w:rPr>
          <w:rFonts w:hint="eastAsia" w:ascii="仿宋" w:hAnsi="仿宋" w:eastAsia="仿宋" w:cs="仿宋_GB2312"/>
          <w:kern w:val="0"/>
          <w:sz w:val="32"/>
          <w:szCs w:val="32"/>
          <w:lang w:bidi="ar"/>
        </w:rPr>
        <w:t>万元，卫生健康支出</w:t>
      </w:r>
      <w:r>
        <w:rPr>
          <w:rFonts w:hint="eastAsia" w:ascii="仿宋" w:hAnsi="仿宋" w:eastAsia="仿宋" w:cs="Times New Roman"/>
          <w:kern w:val="0"/>
          <w:sz w:val="32"/>
          <w:szCs w:val="32"/>
          <w:lang w:bidi="ar"/>
        </w:rPr>
        <w:t>471.47</w:t>
      </w:r>
      <w:r>
        <w:rPr>
          <w:rFonts w:hint="eastAsia" w:ascii="仿宋" w:hAnsi="仿宋" w:eastAsia="仿宋" w:cs="仿宋_GB2312"/>
          <w:kern w:val="0"/>
          <w:sz w:val="32"/>
          <w:szCs w:val="32"/>
          <w:lang w:bidi="ar"/>
        </w:rPr>
        <w:t>万元，住房保障支出</w:t>
      </w:r>
      <w:r>
        <w:rPr>
          <w:rFonts w:hint="eastAsia" w:ascii="仿宋" w:hAnsi="仿宋" w:eastAsia="仿宋" w:cs="Times New Roman"/>
          <w:kern w:val="0"/>
          <w:sz w:val="32"/>
          <w:szCs w:val="32"/>
          <w:lang w:bidi="ar"/>
        </w:rPr>
        <w:t>31.44</w:t>
      </w:r>
      <w:r>
        <w:rPr>
          <w:rFonts w:hint="eastAsia" w:ascii="仿宋" w:hAnsi="仿宋" w:eastAsia="仿宋" w:cs="仿宋_GB2312"/>
          <w:kern w:val="0"/>
          <w:sz w:val="32"/>
          <w:szCs w:val="32"/>
          <w:lang w:bidi="ar"/>
        </w:rPr>
        <w:t>万元。壤塘县卫生健康局</w:t>
      </w:r>
      <w:r>
        <w:rPr>
          <w:rFonts w:hint="eastAsia" w:ascii="仿宋" w:hAnsi="仿宋" w:eastAsia="仿宋" w:cs="Times New Roman"/>
          <w:kern w:val="0"/>
          <w:sz w:val="32"/>
          <w:szCs w:val="32"/>
          <w:lang w:bidi="ar"/>
        </w:rPr>
        <w:t>2026</w:t>
      </w:r>
      <w:r>
        <w:rPr>
          <w:rFonts w:hint="eastAsia" w:ascii="仿宋" w:hAnsi="仿宋" w:eastAsia="仿宋" w:cs="仿宋_GB2312"/>
          <w:kern w:val="0"/>
          <w:sz w:val="32"/>
          <w:szCs w:val="32"/>
          <w:lang w:bidi="ar"/>
        </w:rPr>
        <w:t>年收支总预算各</w:t>
      </w:r>
      <w:r>
        <w:rPr>
          <w:rFonts w:hint="eastAsia" w:ascii="仿宋" w:hAnsi="仿宋" w:eastAsia="仿宋" w:cs="Times New Roman"/>
          <w:kern w:val="0"/>
          <w:sz w:val="32"/>
          <w:szCs w:val="32"/>
          <w:lang w:bidi="ar"/>
        </w:rPr>
        <w:t>565.79</w:t>
      </w:r>
      <w:r>
        <w:rPr>
          <w:rFonts w:hint="eastAsia" w:ascii="仿宋" w:hAnsi="仿宋" w:eastAsia="仿宋" w:cs="仿宋_GB2312"/>
          <w:kern w:val="0"/>
          <w:sz w:val="32"/>
          <w:szCs w:val="32"/>
          <w:lang w:bidi="ar"/>
        </w:rPr>
        <w:t>万元</w:t>
      </w:r>
      <w:r>
        <w:rPr>
          <w:rFonts w:hint="eastAsia" w:ascii="仿宋" w:hAnsi="仿宋" w:eastAsia="仿宋" w:cs="Times New Roman"/>
          <w:kern w:val="0"/>
          <w:sz w:val="32"/>
          <w:szCs w:val="32"/>
          <w:lang w:bidi="ar"/>
        </w:rPr>
        <w:t>, 比2025</w:t>
      </w:r>
      <w:r>
        <w:rPr>
          <w:rFonts w:hint="eastAsia" w:ascii="仿宋" w:hAnsi="仿宋" w:eastAsia="仿宋" w:cs="仿宋_GB2312"/>
          <w:kern w:val="0"/>
          <w:sz w:val="32"/>
          <w:szCs w:val="32"/>
          <w:lang w:bidi="ar"/>
        </w:rPr>
        <w:t>年收支预算总数各增加</w:t>
      </w:r>
      <w:r>
        <w:rPr>
          <w:rFonts w:hint="eastAsia" w:ascii="仿宋" w:hAnsi="仿宋" w:eastAsia="仿宋" w:cs="Times New Roman"/>
          <w:kern w:val="0"/>
          <w:sz w:val="32"/>
          <w:szCs w:val="32"/>
          <w:lang w:bidi="ar"/>
        </w:rPr>
        <w:t>39.67</w:t>
      </w:r>
      <w:r>
        <w:rPr>
          <w:rFonts w:hint="eastAsia" w:ascii="仿宋" w:hAnsi="仿宋" w:eastAsia="仿宋" w:cs="仿宋_GB2312"/>
          <w:kern w:val="0"/>
          <w:sz w:val="32"/>
          <w:szCs w:val="32"/>
          <w:lang w:bidi="ar"/>
        </w:rPr>
        <w:t>万元，主要原因</w:t>
      </w:r>
      <w:r>
        <w:rPr>
          <w:rFonts w:hint="eastAsia" w:ascii="仿宋" w:hAnsi="仿宋" w:eastAsia="仿宋" w:cs="Times New Roman"/>
          <w:kern w:val="0"/>
          <w:sz w:val="32"/>
          <w:szCs w:val="32"/>
          <w:lang w:bidi="ar"/>
        </w:rPr>
        <w:t>:</w:t>
      </w:r>
      <w:r>
        <w:rPr>
          <w:rFonts w:hint="eastAsia" w:ascii="仿宋" w:hAnsi="仿宋" w:eastAsia="仿宋" w:cs="仿宋_GB2312"/>
          <w:kern w:val="0"/>
          <w:sz w:val="32"/>
          <w:szCs w:val="32"/>
          <w:lang w:bidi="ar"/>
        </w:rPr>
        <w:t>人员工资福利待遇变动。</w:t>
      </w:r>
    </w:p>
    <w:p w14:paraId="28C2D8B5">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6" w:name="_Toc236172540"/>
      <w:r>
        <w:rPr>
          <w:rFonts w:ascii="黑体" w:hAnsi="黑体" w:eastAsia="黑体"/>
          <w:b w:val="0"/>
          <w:bCs/>
          <w:sz w:val="32"/>
          <w:szCs w:val="32"/>
        </w:rPr>
        <w:t>（一）收入预算情况</w:t>
      </w:r>
      <w:bookmarkEnd w:id="6"/>
    </w:p>
    <w:p w14:paraId="26238B2D">
      <w:pPr>
        <w:widowControl w:val="0"/>
        <w:spacing w:line="600" w:lineRule="exact"/>
        <w:ind w:firstLine="640" w:firstLineChars="200"/>
        <w:jc w:val="both"/>
        <w:rPr>
          <w:rFonts w:hint="eastAsia" w:ascii="仿宋" w:hAnsi="仿宋" w:eastAsia="仿宋" w:cs="Times New Roman"/>
          <w:kern w:val="0"/>
          <w:sz w:val="32"/>
          <w:szCs w:val="32"/>
          <w:lang w:bidi="ar"/>
        </w:rPr>
      </w:pPr>
      <w:r>
        <w:rPr>
          <w:rFonts w:hint="eastAsia" w:ascii="仿宋" w:hAnsi="仿宋" w:eastAsia="仿宋" w:cs="Times New Roman"/>
          <w:kern w:val="0"/>
          <w:sz w:val="32"/>
          <w:szCs w:val="32"/>
          <w:lang w:bidi="ar"/>
        </w:rPr>
        <w:t>2026</w:t>
      </w:r>
      <w:r>
        <w:rPr>
          <w:rFonts w:hint="eastAsia" w:ascii="仿宋" w:hAnsi="仿宋" w:eastAsia="仿宋" w:cs="仿宋_GB2312"/>
          <w:kern w:val="0"/>
          <w:sz w:val="32"/>
          <w:szCs w:val="32"/>
          <w:lang w:bidi="ar"/>
        </w:rPr>
        <w:t>年收入预算</w:t>
      </w:r>
      <w:r>
        <w:rPr>
          <w:rFonts w:hint="eastAsia" w:ascii="仿宋" w:hAnsi="仿宋" w:eastAsia="仿宋" w:cs="Times New Roman"/>
          <w:kern w:val="0"/>
          <w:sz w:val="32"/>
          <w:szCs w:val="32"/>
          <w:lang w:bidi="ar"/>
        </w:rPr>
        <w:t>565.79</w:t>
      </w:r>
      <w:r>
        <w:rPr>
          <w:rFonts w:hint="eastAsia" w:ascii="仿宋" w:hAnsi="仿宋" w:eastAsia="仿宋" w:cs="仿宋_GB2312"/>
          <w:kern w:val="0"/>
          <w:sz w:val="32"/>
          <w:szCs w:val="32"/>
          <w:lang w:bidi="ar"/>
        </w:rPr>
        <w:t>万元，其中：上年结转</w:t>
      </w:r>
      <w:r>
        <w:rPr>
          <w:rFonts w:hint="eastAsia" w:ascii="仿宋" w:hAnsi="仿宋" w:eastAsia="仿宋" w:cs="Times New Roman"/>
          <w:kern w:val="0"/>
          <w:sz w:val="32"/>
          <w:szCs w:val="32"/>
          <w:lang w:bidi="ar"/>
        </w:rPr>
        <w:t>0万元，占0%；一般公共预算拨款收入565.79</w:t>
      </w:r>
      <w:r>
        <w:rPr>
          <w:rFonts w:hint="eastAsia" w:ascii="仿宋" w:hAnsi="仿宋" w:eastAsia="仿宋" w:cs="仿宋_GB2312"/>
          <w:kern w:val="0"/>
          <w:sz w:val="32"/>
          <w:szCs w:val="32"/>
          <w:lang w:bidi="ar"/>
        </w:rPr>
        <w:t>万元，占</w:t>
      </w:r>
      <w:r>
        <w:rPr>
          <w:rFonts w:hint="eastAsia" w:ascii="仿宋" w:hAnsi="仿宋" w:eastAsia="仿宋" w:cs="Times New Roman"/>
          <w:kern w:val="0"/>
          <w:sz w:val="32"/>
          <w:szCs w:val="32"/>
          <w:lang w:bidi="ar"/>
        </w:rPr>
        <w:t>100%；事业收入0万元，占0%；其他收入0万元，占0%。</w:t>
      </w:r>
    </w:p>
    <w:p w14:paraId="56005797">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7" w:name="_Toc236172541"/>
      <w:r>
        <w:rPr>
          <w:rFonts w:ascii="黑体" w:hAnsi="黑体" w:eastAsia="黑体"/>
          <w:b w:val="0"/>
          <w:bCs/>
          <w:sz w:val="32"/>
          <w:szCs w:val="32"/>
        </w:rPr>
        <w:t>（二）支出预算情况</w:t>
      </w:r>
      <w:bookmarkEnd w:id="7"/>
    </w:p>
    <w:p w14:paraId="662D32C4">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rPr>
        <w:t>2026</w:t>
      </w:r>
      <w:r>
        <w:rPr>
          <w:rFonts w:hint="eastAsia" w:ascii="仿宋" w:hAnsi="仿宋" w:eastAsia="仿宋" w:cs="仿宋_GB2312"/>
          <w:sz w:val="32"/>
          <w:szCs w:val="32"/>
        </w:rPr>
        <w:t>年支出预算</w:t>
      </w:r>
      <w:r>
        <w:rPr>
          <w:rFonts w:hint="eastAsia" w:ascii="仿宋" w:hAnsi="仿宋" w:eastAsia="仿宋" w:cs="Times New Roman"/>
          <w:sz w:val="32"/>
          <w:szCs w:val="32"/>
        </w:rPr>
        <w:t>565.79</w:t>
      </w:r>
      <w:r>
        <w:rPr>
          <w:rFonts w:hint="eastAsia" w:ascii="仿宋" w:hAnsi="仿宋" w:eastAsia="仿宋" w:cs="仿宋_GB2312"/>
          <w:sz w:val="32"/>
          <w:szCs w:val="32"/>
        </w:rPr>
        <w:t>万元，其中：基本支出</w:t>
      </w:r>
      <w:r>
        <w:rPr>
          <w:rFonts w:hint="eastAsia" w:ascii="仿宋" w:hAnsi="仿宋" w:eastAsia="仿宋" w:cs="Times New Roman"/>
          <w:sz w:val="32"/>
          <w:szCs w:val="32"/>
        </w:rPr>
        <w:t>400.44</w:t>
      </w:r>
      <w:r>
        <w:rPr>
          <w:rFonts w:hint="eastAsia" w:ascii="仿宋" w:hAnsi="仿宋" w:eastAsia="仿宋" w:cs="仿宋_GB2312"/>
          <w:sz w:val="32"/>
          <w:szCs w:val="32"/>
        </w:rPr>
        <w:t>万元，占</w:t>
      </w:r>
      <w:r>
        <w:rPr>
          <w:rFonts w:hint="eastAsia" w:ascii="仿宋" w:hAnsi="仿宋" w:eastAsia="仿宋" w:cs="Times New Roman"/>
          <w:sz w:val="32"/>
          <w:szCs w:val="32"/>
        </w:rPr>
        <w:t>70.78%；项目支出165.35</w:t>
      </w:r>
      <w:r>
        <w:rPr>
          <w:rFonts w:hint="eastAsia" w:ascii="仿宋" w:hAnsi="仿宋" w:eastAsia="仿宋" w:cs="仿宋_GB2312"/>
          <w:sz w:val="32"/>
          <w:szCs w:val="32"/>
        </w:rPr>
        <w:t>万元，占</w:t>
      </w:r>
      <w:r>
        <w:rPr>
          <w:rFonts w:hint="eastAsia" w:ascii="仿宋" w:hAnsi="仿宋" w:eastAsia="仿宋" w:cs="Times New Roman"/>
          <w:sz w:val="32"/>
          <w:szCs w:val="32"/>
        </w:rPr>
        <w:t>29.22%</w:t>
      </w:r>
      <w:r>
        <w:rPr>
          <w:rFonts w:hint="eastAsia" w:ascii="仿宋" w:hAnsi="仿宋" w:eastAsia="仿宋" w:cs="仿宋_GB2312"/>
          <w:kern w:val="2"/>
          <w:sz w:val="32"/>
          <w:szCs w:val="32"/>
        </w:rPr>
        <w:t>。</w:t>
      </w:r>
    </w:p>
    <w:p w14:paraId="393338B2">
      <w:pPr>
        <w:pStyle w:val="3"/>
        <w:widowControl w:val="0"/>
        <w:spacing w:before="340" w:beforeAutospacing="0" w:after="330" w:afterAutospacing="0" w:line="578" w:lineRule="auto"/>
        <w:jc w:val="center"/>
        <w:rPr>
          <w:rFonts w:ascii="黑体" w:hAnsi="黑体" w:eastAsia="黑体"/>
          <w:b w:val="0"/>
          <w:bCs/>
          <w:sz w:val="44"/>
          <w:szCs w:val="32"/>
        </w:rPr>
      </w:pPr>
      <w:bookmarkStart w:id="8" w:name="_Toc236172542"/>
      <w:r>
        <w:rPr>
          <w:rFonts w:ascii="黑体" w:hAnsi="黑体" w:eastAsia="黑体"/>
          <w:b w:val="0"/>
          <w:bCs/>
          <w:sz w:val="44"/>
          <w:szCs w:val="32"/>
        </w:rPr>
        <w:t>四、财政拨款收支预算情况说明</w:t>
      </w:r>
      <w:bookmarkEnd w:id="8"/>
    </w:p>
    <w:p w14:paraId="6F016D28">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kern w:val="0"/>
          <w:sz w:val="32"/>
          <w:szCs w:val="32"/>
          <w:lang w:bidi="ar"/>
        </w:rPr>
        <w:t>2026</w:t>
      </w:r>
      <w:r>
        <w:rPr>
          <w:rFonts w:hint="eastAsia" w:ascii="仿宋" w:hAnsi="仿宋" w:eastAsia="仿宋" w:cs="仿宋_GB2312"/>
          <w:kern w:val="0"/>
          <w:sz w:val="32"/>
          <w:szCs w:val="32"/>
          <w:lang w:bidi="ar"/>
        </w:rPr>
        <w:t>年财政拨款收支总预算各</w:t>
      </w:r>
      <w:r>
        <w:rPr>
          <w:rFonts w:hint="eastAsia" w:ascii="仿宋" w:hAnsi="仿宋" w:eastAsia="仿宋" w:cs="Times New Roman"/>
          <w:kern w:val="0"/>
          <w:sz w:val="32"/>
          <w:szCs w:val="32"/>
          <w:lang w:bidi="ar"/>
        </w:rPr>
        <w:t>565.79</w:t>
      </w:r>
      <w:r>
        <w:rPr>
          <w:rFonts w:hint="eastAsia" w:ascii="仿宋" w:hAnsi="仿宋" w:eastAsia="仿宋" w:cs="仿宋_GB2312"/>
          <w:kern w:val="0"/>
          <w:sz w:val="32"/>
          <w:szCs w:val="32"/>
          <w:lang w:bidi="ar"/>
        </w:rPr>
        <w:t>万元</w:t>
      </w:r>
      <w:r>
        <w:rPr>
          <w:rFonts w:hint="eastAsia" w:ascii="仿宋" w:hAnsi="仿宋" w:eastAsia="仿宋" w:cs="Times New Roman"/>
          <w:kern w:val="0"/>
          <w:sz w:val="32"/>
          <w:szCs w:val="32"/>
          <w:lang w:bidi="ar"/>
        </w:rPr>
        <w:t>,比2025</w:t>
      </w:r>
      <w:r>
        <w:rPr>
          <w:rFonts w:hint="eastAsia" w:ascii="仿宋" w:hAnsi="仿宋" w:eastAsia="仿宋" w:cs="仿宋_GB2312"/>
          <w:kern w:val="0"/>
          <w:sz w:val="32"/>
          <w:szCs w:val="32"/>
          <w:lang w:bidi="ar"/>
        </w:rPr>
        <w:t>年财政拨款收支总预算各增加</w:t>
      </w:r>
      <w:r>
        <w:rPr>
          <w:rFonts w:hint="eastAsia" w:ascii="仿宋" w:hAnsi="仿宋" w:eastAsia="仿宋" w:cs="Times New Roman"/>
          <w:kern w:val="0"/>
          <w:sz w:val="32"/>
          <w:szCs w:val="32"/>
          <w:lang w:bidi="ar"/>
        </w:rPr>
        <w:t>39.67万元，</w:t>
      </w:r>
      <w:r>
        <w:rPr>
          <w:rFonts w:hint="eastAsia" w:ascii="仿宋" w:hAnsi="仿宋" w:eastAsia="仿宋" w:cs="仿宋_GB2312"/>
          <w:kern w:val="0"/>
          <w:sz w:val="32"/>
          <w:szCs w:val="32"/>
          <w:lang w:bidi="ar"/>
        </w:rPr>
        <w:t>主要原因</w:t>
      </w:r>
      <w:r>
        <w:rPr>
          <w:rFonts w:hint="eastAsia" w:ascii="仿宋" w:hAnsi="仿宋" w:eastAsia="仿宋" w:cs="Times New Roman"/>
          <w:kern w:val="0"/>
          <w:sz w:val="32"/>
          <w:szCs w:val="32"/>
          <w:lang w:bidi="ar"/>
        </w:rPr>
        <w:t>:</w:t>
      </w:r>
      <w:r>
        <w:rPr>
          <w:rFonts w:hint="eastAsia" w:ascii="仿宋" w:hAnsi="仿宋" w:eastAsia="仿宋" w:cs="仿宋_GB2312"/>
          <w:kern w:val="0"/>
          <w:sz w:val="32"/>
          <w:szCs w:val="32"/>
          <w:lang w:bidi="ar"/>
        </w:rPr>
        <w:t>人员工资福利待遇变动。收入包括：本年一般公共预算拨款收入</w:t>
      </w:r>
      <w:r>
        <w:rPr>
          <w:rFonts w:hint="eastAsia" w:ascii="仿宋" w:hAnsi="仿宋" w:eastAsia="仿宋" w:cs="Times New Roman"/>
          <w:kern w:val="0"/>
          <w:sz w:val="32"/>
          <w:szCs w:val="32"/>
          <w:lang w:bidi="ar"/>
        </w:rPr>
        <w:t>565.79</w:t>
      </w:r>
      <w:r>
        <w:rPr>
          <w:rFonts w:hint="eastAsia" w:ascii="仿宋" w:hAnsi="仿宋" w:eastAsia="仿宋" w:cs="仿宋_GB2312"/>
          <w:kern w:val="0"/>
          <w:sz w:val="32"/>
          <w:szCs w:val="32"/>
          <w:lang w:bidi="ar"/>
        </w:rPr>
        <w:t>万元，上年结转一般公共预算收入</w:t>
      </w:r>
      <w:r>
        <w:rPr>
          <w:rFonts w:hint="eastAsia" w:ascii="仿宋" w:hAnsi="仿宋" w:eastAsia="仿宋" w:cs="Times New Roman"/>
          <w:kern w:val="0"/>
          <w:sz w:val="32"/>
          <w:szCs w:val="32"/>
          <w:lang w:bidi="ar"/>
        </w:rPr>
        <w:t>0万元，上年结转财政拨款资金0万元</w:t>
      </w:r>
      <w:r>
        <w:rPr>
          <w:rFonts w:hint="eastAsia" w:ascii="仿宋" w:hAnsi="仿宋" w:eastAsia="仿宋" w:cs="仿宋_GB2312"/>
          <w:kern w:val="0"/>
          <w:sz w:val="32"/>
          <w:szCs w:val="32"/>
          <w:lang w:bidi="ar"/>
        </w:rPr>
        <w:t>。</w:t>
      </w:r>
    </w:p>
    <w:p w14:paraId="24C57D36">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_GB2312"/>
          <w:kern w:val="0"/>
          <w:sz w:val="32"/>
          <w:szCs w:val="32"/>
          <w:lang w:bidi="ar"/>
        </w:rPr>
        <w:t>支出包括：一般公共服务支出</w:t>
      </w:r>
      <w:r>
        <w:rPr>
          <w:rFonts w:hint="eastAsia" w:ascii="仿宋" w:hAnsi="仿宋" w:eastAsia="仿宋" w:cs="Times New Roman"/>
          <w:kern w:val="0"/>
          <w:sz w:val="32"/>
          <w:szCs w:val="32"/>
          <w:lang w:bidi="ar"/>
        </w:rPr>
        <w:t>0万元，教育支出0万元，文化体育与传媒支出0万元，社会保障和就业支出62.88</w:t>
      </w:r>
      <w:r>
        <w:rPr>
          <w:rFonts w:hint="eastAsia" w:ascii="仿宋" w:hAnsi="仿宋" w:eastAsia="仿宋" w:cs="仿宋_GB2312"/>
          <w:kern w:val="0"/>
          <w:sz w:val="32"/>
          <w:szCs w:val="32"/>
          <w:lang w:bidi="ar"/>
        </w:rPr>
        <w:t>万元，卫生健康局支出</w:t>
      </w:r>
      <w:r>
        <w:rPr>
          <w:rFonts w:hint="eastAsia" w:ascii="仿宋" w:hAnsi="仿宋" w:eastAsia="仿宋" w:cs="Times New Roman"/>
          <w:kern w:val="0"/>
          <w:sz w:val="32"/>
          <w:szCs w:val="32"/>
          <w:lang w:bidi="ar"/>
        </w:rPr>
        <w:t>471.47</w:t>
      </w:r>
      <w:r>
        <w:rPr>
          <w:rFonts w:hint="eastAsia" w:ascii="仿宋" w:hAnsi="仿宋" w:eastAsia="仿宋" w:cs="仿宋_GB2312"/>
          <w:kern w:val="0"/>
          <w:sz w:val="32"/>
          <w:szCs w:val="32"/>
          <w:lang w:bidi="ar"/>
        </w:rPr>
        <w:t>万元，住房保障支出</w:t>
      </w:r>
      <w:r>
        <w:rPr>
          <w:rFonts w:hint="eastAsia" w:ascii="仿宋" w:hAnsi="仿宋" w:eastAsia="仿宋" w:cs="Times New Roman"/>
          <w:kern w:val="0"/>
          <w:sz w:val="32"/>
          <w:szCs w:val="32"/>
          <w:lang w:bidi="ar"/>
        </w:rPr>
        <w:t>31.44</w:t>
      </w:r>
      <w:r>
        <w:rPr>
          <w:rFonts w:hint="eastAsia" w:ascii="仿宋" w:hAnsi="仿宋" w:eastAsia="仿宋" w:cs="仿宋_GB2312"/>
          <w:kern w:val="0"/>
          <w:sz w:val="32"/>
          <w:szCs w:val="32"/>
          <w:lang w:bidi="ar"/>
        </w:rPr>
        <w:t>万元。</w:t>
      </w:r>
    </w:p>
    <w:p w14:paraId="476146D3">
      <w:pPr>
        <w:pStyle w:val="3"/>
        <w:widowControl w:val="0"/>
        <w:spacing w:before="340" w:beforeAutospacing="0" w:after="330" w:afterAutospacing="0" w:line="578" w:lineRule="auto"/>
        <w:jc w:val="center"/>
        <w:rPr>
          <w:rFonts w:ascii="黑体" w:hAnsi="黑体" w:eastAsia="黑体"/>
          <w:b w:val="0"/>
          <w:bCs/>
          <w:sz w:val="44"/>
          <w:szCs w:val="32"/>
        </w:rPr>
      </w:pPr>
      <w:bookmarkStart w:id="9" w:name="_Toc236172543"/>
      <w:r>
        <w:rPr>
          <w:rFonts w:ascii="黑体" w:hAnsi="黑体" w:eastAsia="黑体"/>
          <w:b w:val="0"/>
          <w:bCs/>
          <w:sz w:val="44"/>
          <w:szCs w:val="32"/>
        </w:rPr>
        <w:t>五、一般公共预算当年拨款情况说明</w:t>
      </w:r>
      <w:bookmarkEnd w:id="9"/>
    </w:p>
    <w:p w14:paraId="79E6EE0E">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0" w:name="_Toc236172544"/>
      <w:r>
        <w:rPr>
          <w:rFonts w:ascii="黑体" w:hAnsi="黑体" w:eastAsia="黑体"/>
          <w:b w:val="0"/>
          <w:bCs/>
          <w:sz w:val="32"/>
          <w:szCs w:val="32"/>
        </w:rPr>
        <w:t>（一）一般公共预算当年拨款规模变化情况</w:t>
      </w:r>
      <w:bookmarkEnd w:id="10"/>
    </w:p>
    <w:p w14:paraId="2B479463">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壤塘县卫生健康局</w:t>
      </w:r>
      <w:r>
        <w:rPr>
          <w:rFonts w:hint="eastAsia" w:ascii="仿宋" w:hAnsi="仿宋" w:eastAsia="仿宋" w:cs="宋体"/>
          <w:sz w:val="32"/>
          <w:szCs w:val="32"/>
        </w:rPr>
        <w:t>2026</w:t>
      </w:r>
      <w:r>
        <w:rPr>
          <w:rFonts w:hint="eastAsia" w:ascii="仿宋" w:hAnsi="仿宋" w:eastAsia="仿宋" w:cs="仿宋_GB2312"/>
          <w:sz w:val="32"/>
          <w:szCs w:val="32"/>
        </w:rPr>
        <w:t>年一般公共预算当年拨款</w:t>
      </w:r>
      <w:r>
        <w:rPr>
          <w:rFonts w:hint="eastAsia" w:ascii="仿宋" w:hAnsi="仿宋" w:eastAsia="仿宋" w:cs="宋体"/>
          <w:sz w:val="32"/>
          <w:szCs w:val="32"/>
        </w:rPr>
        <w:t>565.79</w:t>
      </w:r>
      <w:r>
        <w:rPr>
          <w:rFonts w:hint="eastAsia" w:ascii="仿宋" w:hAnsi="仿宋" w:eastAsia="仿宋" w:cs="仿宋_GB2312"/>
          <w:sz w:val="32"/>
          <w:szCs w:val="32"/>
        </w:rPr>
        <w:t>万元，比</w:t>
      </w:r>
      <w:r>
        <w:rPr>
          <w:rFonts w:hint="eastAsia" w:ascii="仿宋" w:hAnsi="仿宋" w:eastAsia="仿宋" w:cs="Times New Roman"/>
          <w:sz w:val="32"/>
          <w:szCs w:val="32"/>
        </w:rPr>
        <w:t>2025</w:t>
      </w:r>
      <w:r>
        <w:rPr>
          <w:rFonts w:hint="eastAsia" w:ascii="仿宋" w:hAnsi="仿宋" w:eastAsia="仿宋" w:cs="仿宋_GB2312"/>
          <w:sz w:val="32"/>
          <w:szCs w:val="32"/>
        </w:rPr>
        <w:t>年财政拨款收支总预算各增加</w:t>
      </w:r>
      <w:r>
        <w:rPr>
          <w:rFonts w:hint="eastAsia" w:ascii="仿宋" w:hAnsi="仿宋" w:eastAsia="仿宋" w:cs="Times New Roman"/>
          <w:sz w:val="32"/>
          <w:szCs w:val="32"/>
        </w:rPr>
        <w:t>39.67万元，</w:t>
      </w:r>
      <w:r>
        <w:rPr>
          <w:rFonts w:hint="eastAsia" w:ascii="仿宋" w:hAnsi="仿宋" w:eastAsia="仿宋" w:cs="仿宋_GB2312"/>
          <w:sz w:val="32"/>
          <w:szCs w:val="32"/>
        </w:rPr>
        <w:t>主要原因</w:t>
      </w:r>
      <w:r>
        <w:rPr>
          <w:rFonts w:hint="eastAsia" w:ascii="仿宋" w:hAnsi="仿宋" w:eastAsia="仿宋" w:cs="Times New Roman"/>
          <w:sz w:val="32"/>
          <w:szCs w:val="32"/>
        </w:rPr>
        <w:t>:</w:t>
      </w:r>
      <w:r>
        <w:rPr>
          <w:rFonts w:hint="eastAsia" w:ascii="仿宋" w:hAnsi="仿宋" w:eastAsia="仿宋" w:cs="仿宋_GB2312"/>
          <w:sz w:val="32"/>
          <w:szCs w:val="32"/>
        </w:rPr>
        <w:t>人员工资福利待遇变动。</w:t>
      </w:r>
    </w:p>
    <w:p w14:paraId="741452D5">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1" w:name="_Toc236172545"/>
      <w:r>
        <w:rPr>
          <w:rFonts w:ascii="黑体" w:hAnsi="黑体" w:eastAsia="黑体"/>
          <w:b w:val="0"/>
          <w:bCs/>
          <w:sz w:val="32"/>
          <w:szCs w:val="32"/>
        </w:rPr>
        <w:t>（二）一般公共预算当年拨款结构情况</w:t>
      </w:r>
      <w:bookmarkEnd w:id="11"/>
    </w:p>
    <w:p w14:paraId="4ABAB069">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一般公共服务支出</w:t>
      </w:r>
      <w:r>
        <w:rPr>
          <w:rFonts w:hint="eastAsia" w:ascii="仿宋" w:hAnsi="仿宋" w:eastAsia="仿宋" w:cs="Times New Roman"/>
          <w:kern w:val="2"/>
          <w:sz w:val="32"/>
          <w:szCs w:val="32"/>
        </w:rPr>
        <w:t>0万元，占0%</w:t>
      </w:r>
      <w:r>
        <w:rPr>
          <w:rFonts w:hint="eastAsia" w:ascii="仿宋" w:hAnsi="仿宋" w:eastAsia="仿宋" w:cs="仿宋_GB2312"/>
          <w:kern w:val="2"/>
          <w:sz w:val="32"/>
          <w:szCs w:val="32"/>
        </w:rPr>
        <w:t>；教育支出</w:t>
      </w:r>
      <w:r>
        <w:rPr>
          <w:rFonts w:hint="eastAsia" w:ascii="仿宋" w:hAnsi="仿宋" w:eastAsia="仿宋" w:cs="Times New Roman"/>
          <w:kern w:val="2"/>
          <w:sz w:val="32"/>
          <w:szCs w:val="32"/>
        </w:rPr>
        <w:t>0万元，占0%</w:t>
      </w:r>
      <w:r>
        <w:rPr>
          <w:rFonts w:hint="eastAsia" w:ascii="仿宋" w:hAnsi="仿宋" w:eastAsia="仿宋" w:cs="仿宋_GB2312"/>
          <w:kern w:val="2"/>
          <w:sz w:val="32"/>
          <w:szCs w:val="32"/>
        </w:rPr>
        <w:t>；文化体育与传媒支出</w:t>
      </w:r>
      <w:r>
        <w:rPr>
          <w:rFonts w:hint="eastAsia" w:ascii="仿宋" w:hAnsi="仿宋" w:eastAsia="仿宋" w:cs="Times New Roman"/>
          <w:kern w:val="2"/>
          <w:sz w:val="32"/>
          <w:szCs w:val="32"/>
        </w:rPr>
        <w:t>0万元，占0%</w:t>
      </w:r>
      <w:r>
        <w:rPr>
          <w:rFonts w:hint="eastAsia" w:ascii="仿宋" w:hAnsi="仿宋" w:eastAsia="仿宋" w:cs="仿宋_GB2312"/>
          <w:kern w:val="2"/>
          <w:sz w:val="32"/>
          <w:szCs w:val="32"/>
        </w:rPr>
        <w:t>；社会保障和就业支出</w:t>
      </w:r>
      <w:r>
        <w:rPr>
          <w:rFonts w:hint="eastAsia" w:ascii="仿宋" w:hAnsi="仿宋" w:eastAsia="仿宋" w:cs="Times New Roman"/>
          <w:kern w:val="2"/>
          <w:sz w:val="32"/>
          <w:szCs w:val="32"/>
        </w:rPr>
        <w:t>62.88</w:t>
      </w:r>
      <w:r>
        <w:rPr>
          <w:rFonts w:hint="eastAsia" w:ascii="仿宋" w:hAnsi="仿宋" w:eastAsia="仿宋" w:cs="仿宋_GB2312"/>
          <w:kern w:val="2"/>
          <w:sz w:val="32"/>
          <w:szCs w:val="32"/>
        </w:rPr>
        <w:t>万元，占</w:t>
      </w:r>
      <w:r>
        <w:rPr>
          <w:rFonts w:hint="eastAsia" w:ascii="仿宋" w:hAnsi="仿宋" w:eastAsia="仿宋" w:cs="Times New Roman"/>
          <w:kern w:val="2"/>
          <w:sz w:val="32"/>
          <w:szCs w:val="32"/>
        </w:rPr>
        <w:t>11.11%</w:t>
      </w:r>
      <w:r>
        <w:rPr>
          <w:rFonts w:hint="eastAsia" w:ascii="仿宋" w:hAnsi="仿宋" w:eastAsia="仿宋" w:cs="仿宋_GB2312"/>
          <w:kern w:val="2"/>
          <w:sz w:val="32"/>
          <w:szCs w:val="32"/>
        </w:rPr>
        <w:t>；卫生健康支出</w:t>
      </w:r>
      <w:r>
        <w:rPr>
          <w:rFonts w:hint="eastAsia" w:ascii="仿宋" w:hAnsi="仿宋" w:eastAsia="仿宋" w:cs="Times New Roman"/>
          <w:kern w:val="2"/>
          <w:sz w:val="32"/>
          <w:szCs w:val="32"/>
        </w:rPr>
        <w:t>471.47</w:t>
      </w:r>
      <w:r>
        <w:rPr>
          <w:rFonts w:hint="eastAsia" w:ascii="仿宋" w:hAnsi="仿宋" w:eastAsia="仿宋" w:cs="仿宋_GB2312"/>
          <w:kern w:val="2"/>
          <w:sz w:val="32"/>
          <w:szCs w:val="32"/>
        </w:rPr>
        <w:t>万元，占</w:t>
      </w:r>
      <w:r>
        <w:rPr>
          <w:rFonts w:hint="eastAsia" w:ascii="仿宋" w:hAnsi="仿宋" w:eastAsia="仿宋" w:cs="Times New Roman"/>
          <w:kern w:val="2"/>
          <w:sz w:val="32"/>
          <w:szCs w:val="32"/>
        </w:rPr>
        <w:t>83.33%</w:t>
      </w:r>
      <w:r>
        <w:rPr>
          <w:rFonts w:hint="eastAsia" w:ascii="仿宋" w:hAnsi="仿宋" w:eastAsia="仿宋" w:cs="仿宋_GB2312"/>
          <w:kern w:val="2"/>
          <w:sz w:val="32"/>
          <w:szCs w:val="32"/>
        </w:rPr>
        <w:t>；住房保障支出</w:t>
      </w:r>
      <w:r>
        <w:rPr>
          <w:rFonts w:hint="eastAsia" w:ascii="仿宋" w:hAnsi="仿宋" w:eastAsia="仿宋" w:cs="Times New Roman"/>
          <w:kern w:val="2"/>
          <w:sz w:val="32"/>
          <w:szCs w:val="32"/>
        </w:rPr>
        <w:t>31.44</w:t>
      </w:r>
      <w:r>
        <w:rPr>
          <w:rFonts w:hint="eastAsia" w:ascii="仿宋" w:hAnsi="仿宋" w:eastAsia="仿宋" w:cs="仿宋_GB2312"/>
          <w:kern w:val="2"/>
          <w:sz w:val="32"/>
          <w:szCs w:val="32"/>
        </w:rPr>
        <w:t>万元，占</w:t>
      </w:r>
      <w:r>
        <w:rPr>
          <w:rFonts w:hint="eastAsia" w:ascii="仿宋" w:hAnsi="仿宋" w:eastAsia="仿宋" w:cs="Times New Roman"/>
          <w:kern w:val="2"/>
          <w:sz w:val="32"/>
          <w:szCs w:val="32"/>
        </w:rPr>
        <w:t>5.56%</w:t>
      </w:r>
      <w:r>
        <w:rPr>
          <w:rFonts w:hint="eastAsia" w:ascii="仿宋" w:hAnsi="仿宋" w:eastAsia="仿宋" w:cs="仿宋_GB2312"/>
          <w:kern w:val="2"/>
          <w:sz w:val="32"/>
          <w:szCs w:val="32"/>
        </w:rPr>
        <w:t>。</w:t>
      </w:r>
    </w:p>
    <w:p w14:paraId="770E8FDF">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2" w:name="_Toc236172546"/>
      <w:r>
        <w:rPr>
          <w:rFonts w:ascii="黑体" w:hAnsi="黑体" w:eastAsia="黑体"/>
          <w:b w:val="0"/>
          <w:bCs/>
          <w:sz w:val="32"/>
          <w:szCs w:val="32"/>
        </w:rPr>
        <w:t>（三）一般公共预算当年拨款具体使用情况</w:t>
      </w:r>
      <w:bookmarkEnd w:id="12"/>
    </w:p>
    <w:p w14:paraId="55EC43AF">
      <w:pPr>
        <w:pStyle w:val="81"/>
        <w:widowControl w:val="0"/>
        <w:spacing w:beforeAutospacing="0" w:afterAutospacing="0" w:line="600" w:lineRule="exact"/>
        <w:ind w:firstLine="640" w:firstLineChars="200"/>
        <w:jc w:val="both"/>
        <w:rPr>
          <w:rFonts w:hint="eastAsia" w:ascii="仿宋" w:hAnsi="仿宋" w:eastAsia="仿宋" w:cs="Times New Roman"/>
          <w:kern w:val="2"/>
          <w:sz w:val="32"/>
          <w:szCs w:val="32"/>
        </w:rPr>
      </w:pPr>
      <w:r>
        <w:rPr>
          <w:rFonts w:hint="eastAsia" w:ascii="仿宋" w:hAnsi="仿宋" w:eastAsia="仿宋" w:cs="Times New Roman"/>
          <w:kern w:val="2"/>
          <w:sz w:val="32"/>
          <w:szCs w:val="32"/>
        </w:rPr>
        <w:t>1</w:t>
      </w:r>
      <w:r>
        <w:rPr>
          <w:rFonts w:hint="eastAsia" w:ascii="仿宋" w:hAnsi="仿宋" w:eastAsia="仿宋" w:cs="仿宋_GB2312"/>
          <w:kern w:val="2"/>
          <w:sz w:val="32"/>
          <w:szCs w:val="32"/>
        </w:rPr>
        <w:t>．一般公共服务</w:t>
      </w:r>
      <w:r>
        <w:rPr>
          <w:rFonts w:hint="eastAsia" w:ascii="仿宋" w:hAnsi="仿宋" w:eastAsia="仿宋" w:cs="Times New Roman"/>
          <w:kern w:val="2"/>
          <w:sz w:val="32"/>
          <w:szCs w:val="32"/>
        </w:rPr>
        <w:t>2100101（行政运行）2026</w:t>
      </w:r>
      <w:r>
        <w:rPr>
          <w:rFonts w:hint="eastAsia" w:ascii="仿宋" w:hAnsi="仿宋" w:eastAsia="仿宋" w:cs="仿宋_GB2312"/>
          <w:kern w:val="2"/>
          <w:sz w:val="32"/>
          <w:szCs w:val="32"/>
        </w:rPr>
        <w:t>年预算数为</w:t>
      </w:r>
      <w:r>
        <w:rPr>
          <w:rFonts w:hint="eastAsia" w:ascii="仿宋" w:hAnsi="仿宋" w:eastAsia="仿宋" w:cs="Times New Roman"/>
          <w:kern w:val="2"/>
          <w:sz w:val="32"/>
          <w:szCs w:val="32"/>
        </w:rPr>
        <w:t>280.43</w:t>
      </w:r>
      <w:r>
        <w:rPr>
          <w:rFonts w:hint="eastAsia" w:ascii="仿宋" w:hAnsi="仿宋" w:eastAsia="仿宋" w:cs="仿宋_GB2312"/>
          <w:kern w:val="2"/>
          <w:sz w:val="32"/>
          <w:szCs w:val="32"/>
        </w:rPr>
        <w:t>万元，主要用于</w:t>
      </w:r>
      <w:r>
        <w:rPr>
          <w:rFonts w:hint="eastAsia" w:ascii="仿宋" w:hAnsi="仿宋" w:eastAsia="仿宋" w:cs="Times New Roman"/>
          <w:kern w:val="2"/>
          <w:sz w:val="32"/>
          <w:szCs w:val="32"/>
        </w:rPr>
        <w:t xml:space="preserve"> : 在职职工基本工资、绩效工资、津贴补贴、其他社会保障缴费</w:t>
      </w:r>
      <w:r>
        <w:rPr>
          <w:rFonts w:hint="eastAsia" w:ascii="仿宋" w:hAnsi="仿宋" w:eastAsia="仿宋" w:cs="仿宋_GB2312"/>
          <w:kern w:val="2"/>
          <w:sz w:val="32"/>
          <w:szCs w:val="32"/>
        </w:rPr>
        <w:t>以及单位运行经费等支出。</w:t>
      </w:r>
    </w:p>
    <w:p w14:paraId="04B25527">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2</w:t>
      </w:r>
      <w:r>
        <w:rPr>
          <w:rFonts w:hint="eastAsia" w:ascii="仿宋" w:hAnsi="仿宋" w:eastAsia="仿宋" w:cs="仿宋_GB2312"/>
          <w:kern w:val="2"/>
          <w:sz w:val="32"/>
          <w:szCs w:val="32"/>
        </w:rPr>
        <w:t>．</w:t>
      </w:r>
      <w:r>
        <w:rPr>
          <w:rFonts w:hint="eastAsia" w:ascii="仿宋" w:hAnsi="仿宋" w:eastAsia="仿宋" w:cs="Times New Roman"/>
          <w:kern w:val="2"/>
          <w:sz w:val="32"/>
          <w:szCs w:val="32"/>
        </w:rPr>
        <w:t>2080505(机关事业单位基本养老保险缴费支出):2026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41.92</w:t>
      </w:r>
      <w:r>
        <w:rPr>
          <w:rFonts w:hint="eastAsia" w:ascii="仿宋" w:hAnsi="仿宋" w:eastAsia="仿宋" w:cs="仿宋_GB2312"/>
          <w:kern w:val="2"/>
          <w:sz w:val="32"/>
          <w:szCs w:val="32"/>
        </w:rPr>
        <w:t>万元，主要用于在职职工养老保险缴费。</w:t>
      </w:r>
    </w:p>
    <w:p w14:paraId="48796573">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3</w:t>
      </w:r>
      <w:r>
        <w:rPr>
          <w:rFonts w:hint="eastAsia" w:ascii="仿宋" w:hAnsi="仿宋" w:eastAsia="仿宋" w:cs="仿宋_GB2312"/>
          <w:kern w:val="2"/>
          <w:sz w:val="32"/>
          <w:szCs w:val="32"/>
        </w:rPr>
        <w:t>．</w:t>
      </w:r>
      <w:r>
        <w:rPr>
          <w:rFonts w:hint="eastAsia" w:ascii="仿宋" w:hAnsi="仿宋" w:eastAsia="仿宋" w:cs="Times New Roman"/>
          <w:kern w:val="2"/>
          <w:sz w:val="32"/>
          <w:szCs w:val="32"/>
        </w:rPr>
        <w:t>2080506（机关事业单位职业年金缴费支出）:2026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20.96</w:t>
      </w:r>
      <w:r>
        <w:rPr>
          <w:rFonts w:hint="eastAsia" w:ascii="仿宋" w:hAnsi="仿宋" w:eastAsia="仿宋" w:cs="仿宋_GB2312"/>
          <w:kern w:val="2"/>
          <w:sz w:val="32"/>
          <w:szCs w:val="32"/>
        </w:rPr>
        <w:t>万元，主要用于在职职工职业年金缴费。</w:t>
      </w:r>
    </w:p>
    <w:p w14:paraId="7435D407">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4.2100408（基本公共卫生服务）：2026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32.76</w:t>
      </w:r>
      <w:r>
        <w:rPr>
          <w:rFonts w:hint="eastAsia" w:ascii="仿宋" w:hAnsi="仿宋" w:eastAsia="仿宋" w:cs="仿宋_GB2312"/>
          <w:kern w:val="2"/>
          <w:sz w:val="32"/>
          <w:szCs w:val="32"/>
        </w:rPr>
        <w:t>万元，主要用于开展基本公卫工作。</w:t>
      </w:r>
    </w:p>
    <w:p w14:paraId="5013F5EC">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5.2100717（</w:t>
      </w:r>
      <w:r>
        <w:rPr>
          <w:rFonts w:hint="eastAsia" w:ascii="仿宋" w:hAnsi="仿宋" w:eastAsia="仿宋" w:cs="仿宋_GB2312"/>
          <w:kern w:val="2"/>
          <w:sz w:val="32"/>
          <w:szCs w:val="32"/>
        </w:rPr>
        <w:t>计生事业费支）：</w:t>
      </w:r>
      <w:r>
        <w:rPr>
          <w:rFonts w:hint="eastAsia" w:ascii="仿宋" w:hAnsi="仿宋" w:eastAsia="仿宋" w:cs="Times New Roman"/>
          <w:kern w:val="2"/>
          <w:sz w:val="32"/>
          <w:szCs w:val="32"/>
        </w:rPr>
        <w:t>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76.5</w:t>
      </w:r>
      <w:r>
        <w:rPr>
          <w:rFonts w:hint="eastAsia" w:ascii="仿宋" w:hAnsi="仿宋" w:eastAsia="仿宋" w:cs="仿宋_GB2312"/>
          <w:kern w:val="2"/>
          <w:sz w:val="32"/>
          <w:szCs w:val="32"/>
        </w:rPr>
        <w:t>万元，主要用于开展</w:t>
      </w:r>
      <w:r>
        <w:rPr>
          <w:rFonts w:hint="eastAsia" w:ascii="仿宋" w:hAnsi="仿宋" w:eastAsia="仿宋" w:cs="Times New Roman"/>
          <w:kern w:val="2"/>
          <w:sz w:val="32"/>
          <w:szCs w:val="32"/>
        </w:rPr>
        <w:t>2026</w:t>
      </w:r>
      <w:r>
        <w:rPr>
          <w:rFonts w:hint="eastAsia" w:ascii="仿宋" w:hAnsi="仿宋" w:eastAsia="仿宋" w:cs="仿宋_GB2312"/>
          <w:kern w:val="2"/>
          <w:sz w:val="32"/>
          <w:szCs w:val="32"/>
        </w:rPr>
        <w:t>年计划生育工作。</w:t>
      </w:r>
    </w:p>
    <w:p w14:paraId="28CE2F6F">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6.2101902</w:t>
      </w:r>
      <w:r>
        <w:rPr>
          <w:rFonts w:hint="eastAsia" w:ascii="仿宋" w:hAnsi="仿宋" w:eastAsia="仿宋" w:cs="仿宋_GB2312"/>
          <w:kern w:val="2"/>
          <w:sz w:val="32"/>
          <w:szCs w:val="32"/>
        </w:rPr>
        <w:t>（育儿补贴项目）：</w:t>
      </w:r>
      <w:r>
        <w:rPr>
          <w:rFonts w:hint="eastAsia" w:ascii="仿宋" w:hAnsi="仿宋" w:eastAsia="仿宋" w:cs="Times New Roman"/>
          <w:kern w:val="2"/>
          <w:sz w:val="32"/>
          <w:szCs w:val="32"/>
        </w:rPr>
        <w:t>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42.59</w:t>
      </w:r>
      <w:r>
        <w:rPr>
          <w:rFonts w:hint="eastAsia" w:ascii="仿宋" w:hAnsi="仿宋" w:eastAsia="仿宋" w:cs="仿宋_GB2312"/>
          <w:kern w:val="2"/>
          <w:sz w:val="32"/>
          <w:szCs w:val="32"/>
        </w:rPr>
        <w:t>万元，主要用于开展</w:t>
      </w:r>
      <w:r>
        <w:rPr>
          <w:rFonts w:hint="eastAsia" w:ascii="仿宋" w:hAnsi="仿宋" w:eastAsia="仿宋" w:cs="Times New Roman"/>
          <w:kern w:val="2"/>
          <w:sz w:val="32"/>
          <w:szCs w:val="32"/>
        </w:rPr>
        <w:t>2026</w:t>
      </w:r>
      <w:r>
        <w:rPr>
          <w:rFonts w:hint="eastAsia" w:ascii="仿宋" w:hAnsi="仿宋" w:eastAsia="仿宋" w:cs="仿宋_GB2312"/>
          <w:kern w:val="2"/>
          <w:sz w:val="32"/>
          <w:szCs w:val="32"/>
        </w:rPr>
        <w:t>年育儿补贴发放。</w:t>
      </w:r>
    </w:p>
    <w:p w14:paraId="08FE80DB">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7.2109999</w:t>
      </w:r>
      <w:r>
        <w:rPr>
          <w:rFonts w:hint="eastAsia" w:ascii="仿宋" w:hAnsi="仿宋" w:eastAsia="仿宋" w:cs="仿宋_GB2312"/>
          <w:kern w:val="2"/>
          <w:sz w:val="32"/>
          <w:szCs w:val="32"/>
        </w:rPr>
        <w:t>（基本药物补助）：</w:t>
      </w:r>
      <w:r>
        <w:rPr>
          <w:rFonts w:hint="eastAsia" w:ascii="仿宋" w:hAnsi="仿宋" w:eastAsia="仿宋" w:cs="Times New Roman"/>
          <w:kern w:val="2"/>
          <w:sz w:val="32"/>
          <w:szCs w:val="32"/>
        </w:rPr>
        <w:t>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13.5</w:t>
      </w:r>
      <w:r>
        <w:rPr>
          <w:rFonts w:hint="eastAsia" w:ascii="仿宋" w:hAnsi="仿宋" w:eastAsia="仿宋" w:cs="仿宋_GB2312"/>
          <w:kern w:val="2"/>
          <w:sz w:val="32"/>
          <w:szCs w:val="32"/>
        </w:rPr>
        <w:t>万元，主要用于开展</w:t>
      </w:r>
      <w:r>
        <w:rPr>
          <w:rFonts w:hint="eastAsia" w:ascii="仿宋" w:hAnsi="仿宋" w:eastAsia="仿宋" w:cs="Times New Roman"/>
          <w:kern w:val="2"/>
          <w:sz w:val="32"/>
          <w:szCs w:val="32"/>
        </w:rPr>
        <w:t>2026</w:t>
      </w:r>
      <w:r>
        <w:rPr>
          <w:rFonts w:hint="eastAsia" w:ascii="仿宋" w:hAnsi="仿宋" w:eastAsia="仿宋" w:cs="仿宋_GB2312"/>
          <w:kern w:val="2"/>
          <w:sz w:val="32"/>
          <w:szCs w:val="32"/>
        </w:rPr>
        <w:t>年实施基本药物零差价工作。</w:t>
      </w:r>
    </w:p>
    <w:p w14:paraId="26A208A2">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8.2101101（行政单位医疗）：2026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18.34</w:t>
      </w:r>
      <w:r>
        <w:rPr>
          <w:rFonts w:hint="eastAsia" w:ascii="仿宋" w:hAnsi="仿宋" w:eastAsia="仿宋" w:cs="仿宋_GB2312"/>
          <w:kern w:val="2"/>
          <w:sz w:val="32"/>
          <w:szCs w:val="32"/>
        </w:rPr>
        <w:t>万元，主要用于职工基本医疗保险缴费。</w:t>
      </w:r>
    </w:p>
    <w:p w14:paraId="3131F5BC">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9.2101103（公务员医疗补助）：2026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7.36</w:t>
      </w:r>
      <w:r>
        <w:rPr>
          <w:rFonts w:hint="eastAsia" w:ascii="仿宋" w:hAnsi="仿宋" w:eastAsia="仿宋" w:cs="仿宋_GB2312"/>
          <w:kern w:val="2"/>
          <w:sz w:val="32"/>
          <w:szCs w:val="32"/>
        </w:rPr>
        <w:t>万元，主要用于职工公务员医疗补助缴费。</w:t>
      </w:r>
    </w:p>
    <w:p w14:paraId="64AD00B1">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10.住房公积金（2210201）：2026</w:t>
      </w:r>
      <w:r>
        <w:rPr>
          <w:rFonts w:hint="eastAsia" w:ascii="仿宋" w:hAnsi="仿宋" w:eastAsia="仿宋" w:cs="仿宋_GB2312"/>
          <w:kern w:val="2"/>
          <w:sz w:val="32"/>
          <w:szCs w:val="32"/>
        </w:rPr>
        <w:t>年预算财政拨款</w:t>
      </w:r>
      <w:r>
        <w:rPr>
          <w:rFonts w:hint="eastAsia" w:ascii="仿宋" w:hAnsi="仿宋" w:eastAsia="仿宋" w:cs="Times New Roman"/>
          <w:kern w:val="2"/>
          <w:sz w:val="32"/>
          <w:szCs w:val="32"/>
        </w:rPr>
        <w:t>31.44</w:t>
      </w:r>
      <w:r>
        <w:rPr>
          <w:rFonts w:hint="eastAsia" w:ascii="仿宋" w:hAnsi="仿宋" w:eastAsia="仿宋" w:cs="仿宋_GB2312"/>
          <w:kern w:val="2"/>
          <w:sz w:val="32"/>
          <w:szCs w:val="32"/>
        </w:rPr>
        <w:t>万元，主要用于职工住房公积金缴费。</w:t>
      </w:r>
    </w:p>
    <w:p w14:paraId="5C006682">
      <w:pPr>
        <w:pStyle w:val="3"/>
        <w:widowControl w:val="0"/>
        <w:spacing w:before="340" w:beforeAutospacing="0" w:after="330" w:afterAutospacing="0" w:line="578" w:lineRule="auto"/>
        <w:jc w:val="center"/>
        <w:rPr>
          <w:rFonts w:ascii="黑体" w:hAnsi="黑体" w:eastAsia="黑体"/>
          <w:b w:val="0"/>
          <w:bCs/>
          <w:sz w:val="44"/>
          <w:szCs w:val="32"/>
        </w:rPr>
      </w:pPr>
      <w:bookmarkStart w:id="13" w:name="_Toc236172547"/>
      <w:r>
        <w:rPr>
          <w:rFonts w:ascii="黑体" w:hAnsi="黑体" w:eastAsia="黑体"/>
          <w:b w:val="0"/>
          <w:bCs/>
          <w:sz w:val="44"/>
          <w:szCs w:val="32"/>
        </w:rPr>
        <w:t>六、一般公共预算基本支出情况说明</w:t>
      </w:r>
      <w:bookmarkEnd w:id="13"/>
    </w:p>
    <w:p w14:paraId="16696BC3">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卫生健康局2026年一般公共预算基本支出400.44万元，其中：人员经费373.24万元，主要包括：基本工资69.27万元、津贴补贴109.85万元、奖金63.97万元、其他社会保障缴费1.34万元、机关事业单位基本养老保险缴费41.92万元、职业年金缴费20.96万元、职工基本医疗保险缴费</w:t>
      </w:r>
      <w:r>
        <w:rPr>
          <w:rFonts w:hint="eastAsia" w:ascii="仿宋" w:hAnsi="仿宋" w:eastAsia="仿宋" w:cs="Times New Roman"/>
          <w:kern w:val="2"/>
          <w:sz w:val="32"/>
          <w:szCs w:val="32"/>
        </w:rPr>
        <w:t>18.34</w:t>
      </w:r>
      <w:r>
        <w:rPr>
          <w:rFonts w:hint="eastAsia" w:ascii="仿宋" w:hAnsi="仿宋" w:eastAsia="仿宋" w:cs="仿宋_GB2312"/>
          <w:kern w:val="2"/>
          <w:sz w:val="32"/>
          <w:szCs w:val="32"/>
        </w:rPr>
        <w:t>万元、公务员医疗补助缴费</w:t>
      </w:r>
      <w:r>
        <w:rPr>
          <w:rFonts w:hint="eastAsia" w:ascii="仿宋" w:hAnsi="仿宋" w:eastAsia="仿宋" w:cs="Times New Roman"/>
          <w:kern w:val="2"/>
          <w:sz w:val="32"/>
          <w:szCs w:val="32"/>
        </w:rPr>
        <w:t>7.35</w:t>
      </w:r>
      <w:r>
        <w:rPr>
          <w:rFonts w:hint="eastAsia" w:ascii="仿宋" w:hAnsi="仿宋" w:eastAsia="仿宋" w:cs="仿宋_GB2312"/>
          <w:kern w:val="2"/>
          <w:sz w:val="32"/>
          <w:szCs w:val="32"/>
        </w:rPr>
        <w:t>万元、生活补助0.90万元、奖励金0.01万元、住房公积金31.44万元、工会经费3.70万元、其他商品和服务支出4.19万元。</w:t>
      </w:r>
    </w:p>
    <w:p w14:paraId="275A27B2">
      <w:pPr>
        <w:pStyle w:val="81"/>
        <w:widowControl w:val="0"/>
        <w:spacing w:beforeAutospacing="0" w:afterAutospacing="0" w:line="600" w:lineRule="exact"/>
        <w:ind w:firstLine="640" w:firstLineChars="200"/>
        <w:jc w:val="both"/>
        <w:rPr>
          <w:rFonts w:hint="eastAsia" w:ascii="仿宋" w:hAnsi="仿宋" w:eastAsia="仿宋" w:cs="仿宋_GB2312"/>
          <w:kern w:val="2"/>
          <w:sz w:val="32"/>
          <w:szCs w:val="32"/>
        </w:rPr>
      </w:pPr>
      <w:r>
        <w:rPr>
          <w:rFonts w:hint="eastAsia" w:ascii="仿宋" w:hAnsi="仿宋" w:eastAsia="仿宋" w:cs="仿宋_GB2312"/>
          <w:kern w:val="2"/>
          <w:sz w:val="32"/>
          <w:szCs w:val="32"/>
        </w:rPr>
        <w:t>公用经费27.2万元，主要包括：办公费2.62万元、水费0.09万元、电费2.84万元、邮电费2.22万元、取暖费3.97万元、差旅费2.75万元、劳务费4.71万元、公车运行维护费8万元。</w:t>
      </w:r>
    </w:p>
    <w:p w14:paraId="6557C5D8">
      <w:pPr>
        <w:pStyle w:val="3"/>
        <w:widowControl w:val="0"/>
        <w:spacing w:before="340" w:beforeAutospacing="0" w:after="330" w:afterAutospacing="0" w:line="578" w:lineRule="auto"/>
        <w:jc w:val="center"/>
        <w:rPr>
          <w:rFonts w:ascii="黑体" w:hAnsi="黑体" w:eastAsia="黑体"/>
          <w:b w:val="0"/>
          <w:bCs/>
          <w:sz w:val="44"/>
          <w:szCs w:val="32"/>
        </w:rPr>
      </w:pPr>
      <w:bookmarkStart w:id="14" w:name="_Toc236172548"/>
      <w:r>
        <w:rPr>
          <w:rFonts w:ascii="黑体" w:hAnsi="黑体" w:eastAsia="黑体"/>
          <w:b w:val="0"/>
          <w:bCs/>
          <w:sz w:val="44"/>
          <w:szCs w:val="32"/>
        </w:rPr>
        <w:t>七、“三公”经费财政拨款预算安排情况说明</w:t>
      </w:r>
      <w:bookmarkEnd w:id="14"/>
    </w:p>
    <w:p w14:paraId="734DDD89">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壤塘县卫生健康局2026年“三公”经费财政拨款预算数8万元，其中：因公出国（境）经费0万元，公务接待费0万元，公务用车购置及运行维护费8万元。</w:t>
      </w:r>
    </w:p>
    <w:p w14:paraId="0D38CA75">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（一）2026年因公出国（境）经费0万元。</w:t>
      </w:r>
    </w:p>
    <w:p w14:paraId="56BB9D61">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（二）2026年公务接待经费0万元。较2025年预算经费</w:t>
      </w:r>
      <w:r>
        <w:rPr>
          <w:rFonts w:hint="eastAsia" w:ascii="仿宋" w:hAnsi="仿宋" w:eastAsia="仿宋" w:cs="仿宋_GB2312"/>
          <w:sz w:val="32"/>
          <w:szCs w:val="32"/>
        </w:rPr>
        <w:t>无变化。</w:t>
      </w:r>
    </w:p>
    <w:p w14:paraId="769178E3">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（三）2026年公务用车购置及运行维护费8万元。较2025年预算经费</w:t>
      </w:r>
      <w:r>
        <w:rPr>
          <w:rFonts w:hint="eastAsia" w:ascii="仿宋" w:hAnsi="仿宋" w:eastAsia="仿宋" w:cs="仿宋_GB2312"/>
          <w:sz w:val="32"/>
          <w:szCs w:val="32"/>
        </w:rPr>
        <w:t>无变化。</w:t>
      </w:r>
    </w:p>
    <w:p w14:paraId="45D796D3">
      <w:pPr>
        <w:pStyle w:val="3"/>
        <w:widowControl w:val="0"/>
        <w:spacing w:before="340" w:beforeAutospacing="0" w:after="330" w:afterAutospacing="0" w:line="578" w:lineRule="auto"/>
        <w:jc w:val="center"/>
        <w:rPr>
          <w:rFonts w:ascii="黑体" w:hAnsi="黑体" w:eastAsia="黑体"/>
          <w:b w:val="0"/>
          <w:bCs/>
          <w:sz w:val="44"/>
          <w:szCs w:val="32"/>
        </w:rPr>
      </w:pPr>
      <w:bookmarkStart w:id="15" w:name="_Toc236172549"/>
      <w:r>
        <w:rPr>
          <w:rFonts w:ascii="黑体" w:hAnsi="黑体" w:eastAsia="黑体"/>
          <w:b w:val="0"/>
          <w:bCs/>
          <w:sz w:val="44"/>
          <w:szCs w:val="32"/>
        </w:rPr>
        <w:t>八、政府性基金预算支出情况说明</w:t>
      </w:r>
      <w:bookmarkEnd w:id="15"/>
    </w:p>
    <w:p w14:paraId="7AC1E7F4">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壤塘县卫生健康局2026年政府性基金预算拨款安排的支出0万元。较2025年预算经费</w:t>
      </w:r>
      <w:r>
        <w:rPr>
          <w:rFonts w:hint="eastAsia" w:ascii="仿宋" w:hAnsi="仿宋" w:eastAsia="仿宋" w:cs="仿宋_GB2312"/>
          <w:sz w:val="32"/>
          <w:szCs w:val="32"/>
        </w:rPr>
        <w:t>无变化。</w:t>
      </w:r>
    </w:p>
    <w:p w14:paraId="7BEC6A88">
      <w:pPr>
        <w:pStyle w:val="3"/>
        <w:widowControl w:val="0"/>
        <w:spacing w:before="340" w:beforeAutospacing="0" w:after="330" w:afterAutospacing="0" w:line="578" w:lineRule="auto"/>
        <w:ind w:firstLine="880" w:firstLineChars="200"/>
        <w:jc w:val="both"/>
        <w:rPr>
          <w:rFonts w:ascii="黑体" w:hAnsi="黑体" w:eastAsia="黑体"/>
          <w:b w:val="0"/>
          <w:bCs/>
          <w:sz w:val="44"/>
          <w:szCs w:val="32"/>
        </w:rPr>
      </w:pPr>
      <w:bookmarkStart w:id="16" w:name="_Toc236172550"/>
      <w:r>
        <w:rPr>
          <w:rFonts w:ascii="黑体" w:hAnsi="黑体" w:eastAsia="黑体"/>
          <w:b w:val="0"/>
          <w:bCs/>
          <w:sz w:val="44"/>
          <w:szCs w:val="32"/>
        </w:rPr>
        <w:t>九、其他重要事项的情况说明</w:t>
      </w:r>
      <w:bookmarkEnd w:id="16"/>
    </w:p>
    <w:p w14:paraId="63B43661">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7" w:name="_Toc236172551"/>
      <w:r>
        <w:rPr>
          <w:rFonts w:ascii="黑体" w:hAnsi="黑体" w:eastAsia="黑体"/>
          <w:b w:val="0"/>
          <w:bCs/>
          <w:sz w:val="32"/>
          <w:szCs w:val="32"/>
        </w:rPr>
        <w:t>（一）机关运行经费</w:t>
      </w:r>
      <w:bookmarkEnd w:id="17"/>
    </w:p>
    <w:p w14:paraId="37BFDD04">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壤塘县卫生健康局2026年机关运行经费财政拨款预算为280.43万元，比2025年预算</w:t>
      </w:r>
      <w:r>
        <w:rPr>
          <w:rFonts w:hint="eastAsia" w:ascii="仿宋" w:hAnsi="仿宋" w:eastAsia="仿宋" w:cs="仿宋_GB2312"/>
          <w:sz w:val="32"/>
          <w:szCs w:val="32"/>
        </w:rPr>
        <w:t>增加</w:t>
      </w:r>
      <w:r>
        <w:rPr>
          <w:rFonts w:hint="eastAsia" w:ascii="仿宋" w:hAnsi="仿宋" w:eastAsia="仿宋" w:cs="宋体"/>
          <w:sz w:val="32"/>
          <w:szCs w:val="32"/>
        </w:rPr>
        <w:t>14.26</w:t>
      </w:r>
      <w:r>
        <w:rPr>
          <w:rFonts w:hint="eastAsia" w:ascii="仿宋" w:hAnsi="仿宋" w:eastAsia="仿宋" w:cs="仿宋_GB2312"/>
          <w:kern w:val="2"/>
          <w:sz w:val="32"/>
          <w:szCs w:val="32"/>
        </w:rPr>
        <w:t>万元，增长5.36%。</w:t>
      </w:r>
    </w:p>
    <w:p w14:paraId="251696A9">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8" w:name="_Toc236172552"/>
      <w:r>
        <w:rPr>
          <w:rFonts w:ascii="黑体" w:hAnsi="黑体" w:eastAsia="黑体"/>
          <w:b w:val="0"/>
          <w:bCs/>
          <w:sz w:val="32"/>
          <w:szCs w:val="32"/>
        </w:rPr>
        <w:t>（二）政府采购情况</w:t>
      </w:r>
      <w:bookmarkEnd w:id="18"/>
    </w:p>
    <w:p w14:paraId="568EB4CC">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2026年壤塘县卫生健康局安排政府采购预算0万。</w:t>
      </w:r>
    </w:p>
    <w:p w14:paraId="3BBAE7DA">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9" w:name="_Toc236172553"/>
      <w:r>
        <w:rPr>
          <w:rFonts w:ascii="黑体" w:hAnsi="黑体" w:eastAsia="黑体"/>
          <w:b w:val="0"/>
          <w:bCs/>
          <w:sz w:val="32"/>
          <w:szCs w:val="32"/>
        </w:rPr>
        <w:t>（三）国有资产占有使用情况</w:t>
      </w:r>
      <w:bookmarkEnd w:id="19"/>
    </w:p>
    <w:p w14:paraId="0C5D65B3">
      <w:pPr>
        <w:pStyle w:val="81"/>
        <w:widowControl w:val="0"/>
        <w:spacing w:beforeAutospacing="0" w:afterAutospacing="0" w:line="600" w:lineRule="exact"/>
        <w:ind w:firstLine="640" w:firstLineChars="200"/>
        <w:jc w:val="both"/>
        <w:rPr>
          <w:rFonts w:hint="eastAsia" w:ascii="仿宋" w:hAnsi="仿宋" w:eastAsia="仿宋"/>
          <w:sz w:val="32"/>
        </w:rPr>
      </w:pPr>
      <w:bookmarkStart w:id="22" w:name="_GoBack"/>
      <w:bookmarkEnd w:id="22"/>
      <w:r>
        <w:rPr>
          <w:rFonts w:hint="eastAsia" w:ascii="仿宋" w:hAnsi="仿宋" w:eastAsia="仿宋" w:cs="仿宋_GB2312"/>
          <w:kern w:val="2"/>
          <w:sz w:val="32"/>
          <w:szCs w:val="32"/>
        </w:rPr>
        <w:t>2025年12月31日，我单位固定资产790.86万元。</w:t>
      </w:r>
    </w:p>
    <w:p w14:paraId="561C457D">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20" w:name="_Toc236172554"/>
      <w:r>
        <w:rPr>
          <w:rFonts w:ascii="黑体" w:hAnsi="黑体" w:eastAsia="黑体"/>
          <w:b w:val="0"/>
          <w:bCs/>
          <w:sz w:val="32"/>
          <w:szCs w:val="32"/>
        </w:rPr>
        <w:t>（四）绩效目标设置情况</w:t>
      </w:r>
      <w:bookmarkEnd w:id="20"/>
    </w:p>
    <w:p w14:paraId="76132CC9">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_GB2312"/>
          <w:kern w:val="2"/>
          <w:sz w:val="32"/>
          <w:szCs w:val="32"/>
        </w:rPr>
        <w:t>2026年壤塘县卫生健康局通用项目和专用项目均按要求实行绩效目标管理，涉及一般公共预算当年拨款165.35万元。</w:t>
      </w:r>
    </w:p>
    <w:p w14:paraId="1C71AFAF">
      <w:pPr>
        <w:pStyle w:val="3"/>
        <w:widowControl w:val="0"/>
        <w:spacing w:before="340" w:beforeAutospacing="0" w:after="330" w:afterAutospacing="0" w:line="578" w:lineRule="auto"/>
        <w:jc w:val="center"/>
        <w:rPr>
          <w:rFonts w:ascii="黑体" w:hAnsi="黑体" w:eastAsia="黑体"/>
          <w:b w:val="0"/>
          <w:bCs/>
          <w:sz w:val="44"/>
          <w:szCs w:val="32"/>
        </w:rPr>
      </w:pPr>
      <w:bookmarkStart w:id="21" w:name="_Toc236172555"/>
      <w:r>
        <w:rPr>
          <w:rFonts w:ascii="黑体" w:hAnsi="黑体" w:eastAsia="黑体"/>
          <w:b w:val="0"/>
          <w:bCs/>
          <w:sz w:val="44"/>
          <w:szCs w:val="32"/>
        </w:rPr>
        <w:t>十、名称解释</w:t>
      </w:r>
      <w:bookmarkEnd w:id="21"/>
    </w:p>
    <w:p w14:paraId="13AE0635">
      <w:pPr>
        <w:pStyle w:val="81"/>
        <w:widowControl w:val="0"/>
        <w:spacing w:beforeAutospacing="0" w:afterAutospacing="0" w:line="600" w:lineRule="exact"/>
        <w:ind w:firstLine="640" w:firstLineChars="200"/>
        <w:jc w:val="both"/>
        <w:rPr>
          <w:rFonts w:hint="eastAsia" w:ascii="仿宋" w:hAnsi="仿宋" w:eastAsia="仿宋" w:cs="仿宋_GB2312"/>
          <w:kern w:val="2"/>
          <w:sz w:val="32"/>
          <w:szCs w:val="32"/>
        </w:rPr>
      </w:pPr>
      <w:r>
        <w:rPr>
          <w:rFonts w:hint="eastAsia" w:ascii="仿宋" w:hAnsi="仿宋" w:eastAsia="仿宋" w:cs="楷体"/>
          <w:kern w:val="2"/>
          <w:sz w:val="32"/>
          <w:szCs w:val="32"/>
        </w:rPr>
        <w:t>（一）财政拨款收入</w:t>
      </w:r>
      <w:r>
        <w:rPr>
          <w:rFonts w:hint="eastAsia" w:ascii="仿宋" w:hAnsi="仿宋" w:eastAsia="仿宋" w:cs="仿宋_GB2312"/>
          <w:kern w:val="2"/>
          <w:sz w:val="32"/>
          <w:szCs w:val="32"/>
        </w:rPr>
        <w:t>：指由财政拨款形成的部门收入。按现行管理制度，部门预算中反映的财政拨款仅包括一般公共预算拨款和政府性基金预算拨款。</w:t>
      </w:r>
    </w:p>
    <w:p w14:paraId="6CE58103">
      <w:pPr>
        <w:pStyle w:val="81"/>
        <w:widowControl w:val="0"/>
        <w:spacing w:beforeAutospacing="0" w:afterAutospacing="0" w:line="600" w:lineRule="exact"/>
        <w:ind w:firstLine="640" w:firstLineChars="200"/>
        <w:jc w:val="both"/>
        <w:rPr>
          <w:rFonts w:hint="eastAsia" w:ascii="仿宋" w:hAnsi="仿宋" w:eastAsia="仿宋" w:cs="仿宋_GB2312"/>
          <w:kern w:val="2"/>
          <w:sz w:val="32"/>
          <w:szCs w:val="32"/>
        </w:rPr>
      </w:pPr>
      <w:r>
        <w:rPr>
          <w:rFonts w:hint="eastAsia" w:ascii="仿宋" w:hAnsi="仿宋" w:eastAsia="仿宋" w:cs="楷体"/>
          <w:kern w:val="2"/>
          <w:sz w:val="32"/>
          <w:szCs w:val="32"/>
        </w:rPr>
        <w:t>（二）事业收入</w:t>
      </w:r>
      <w:r>
        <w:rPr>
          <w:rFonts w:hint="eastAsia" w:ascii="仿宋" w:hAnsi="仿宋" w:eastAsia="仿宋" w:cs="仿宋_GB2312"/>
          <w:kern w:val="2"/>
          <w:sz w:val="32"/>
          <w:szCs w:val="32"/>
        </w:rPr>
        <w:t>：指所属事业单位开展专业业务活动及辅助活动所取得的收入。</w:t>
      </w:r>
    </w:p>
    <w:p w14:paraId="1D03646D">
      <w:pPr>
        <w:pStyle w:val="81"/>
        <w:widowControl w:val="0"/>
        <w:spacing w:beforeAutospacing="0" w:afterAutospacing="0" w:line="600" w:lineRule="exact"/>
        <w:ind w:firstLine="640" w:firstLineChars="200"/>
        <w:jc w:val="both"/>
        <w:rPr>
          <w:rFonts w:hint="eastAsia" w:ascii="仿宋" w:hAnsi="仿宋" w:eastAsia="仿宋" w:cs="仿宋_GB2312"/>
          <w:kern w:val="2"/>
          <w:sz w:val="32"/>
          <w:szCs w:val="32"/>
        </w:rPr>
      </w:pPr>
      <w:r>
        <w:rPr>
          <w:rFonts w:hint="eastAsia" w:ascii="仿宋" w:hAnsi="仿宋" w:eastAsia="仿宋" w:cs="楷体"/>
          <w:kern w:val="2"/>
          <w:sz w:val="32"/>
          <w:szCs w:val="32"/>
        </w:rPr>
        <w:t>（三）事业单位经营收入</w:t>
      </w:r>
      <w:r>
        <w:rPr>
          <w:rFonts w:hint="eastAsia" w:ascii="仿宋" w:hAnsi="仿宋" w:eastAsia="仿宋" w:cs="仿宋_GB2312"/>
          <w:kern w:val="2"/>
          <w:sz w:val="32"/>
          <w:szCs w:val="32"/>
        </w:rPr>
        <w:t>：指所属事业单位在专业业务活动及其辅助活动之外开展非独立核算经营活动取得的收入。</w:t>
      </w:r>
    </w:p>
    <w:p w14:paraId="2C5AA671">
      <w:pPr>
        <w:pStyle w:val="81"/>
        <w:widowControl w:val="0"/>
        <w:spacing w:beforeAutospacing="0" w:afterAutospacing="0" w:line="600" w:lineRule="exact"/>
        <w:ind w:firstLine="640" w:firstLineChars="200"/>
        <w:jc w:val="both"/>
        <w:rPr>
          <w:rFonts w:hint="eastAsia" w:ascii="仿宋" w:hAnsi="仿宋" w:eastAsia="仿宋" w:cs="仿宋_GB2312"/>
          <w:kern w:val="2"/>
          <w:sz w:val="32"/>
          <w:szCs w:val="32"/>
        </w:rPr>
      </w:pPr>
      <w:r>
        <w:rPr>
          <w:rFonts w:hint="eastAsia" w:ascii="仿宋" w:hAnsi="仿宋" w:eastAsia="仿宋" w:cs="楷体"/>
          <w:kern w:val="2"/>
          <w:sz w:val="32"/>
          <w:szCs w:val="32"/>
        </w:rPr>
        <w:t>（四）其他收入</w:t>
      </w:r>
      <w:r>
        <w:rPr>
          <w:rFonts w:hint="eastAsia" w:ascii="仿宋" w:hAnsi="仿宋" w:eastAsia="仿宋" w:cs="仿宋_GB2312"/>
          <w:kern w:val="2"/>
          <w:sz w:val="32"/>
          <w:szCs w:val="32"/>
        </w:rPr>
        <w:t>：指除上述“财政拨款收入”、“事业收入”、“事业单位经营收入”等以外的收入，主要是所属行政事业单位按规定动用的售房收入、存款利息收入等。</w:t>
      </w:r>
    </w:p>
    <w:p w14:paraId="77883BBC">
      <w:pPr>
        <w:pStyle w:val="81"/>
        <w:widowControl w:val="0"/>
        <w:spacing w:beforeAutospacing="0" w:afterAutospacing="0" w:line="600" w:lineRule="exact"/>
        <w:ind w:firstLine="640" w:firstLineChars="200"/>
        <w:jc w:val="both"/>
        <w:rPr>
          <w:rFonts w:hint="eastAsia" w:ascii="仿宋" w:hAnsi="仿宋" w:eastAsia="仿宋" w:cs="仿宋_GB2312"/>
          <w:kern w:val="2"/>
          <w:sz w:val="32"/>
          <w:szCs w:val="32"/>
        </w:rPr>
      </w:pPr>
      <w:r>
        <w:rPr>
          <w:rFonts w:hint="eastAsia" w:ascii="仿宋" w:hAnsi="仿宋" w:eastAsia="仿宋" w:cs="楷体"/>
          <w:kern w:val="2"/>
          <w:sz w:val="32"/>
          <w:szCs w:val="32"/>
        </w:rPr>
        <w:t>（五）用事业基金弥补收支差额</w:t>
      </w:r>
      <w:r>
        <w:rPr>
          <w:rFonts w:hint="eastAsia" w:ascii="仿宋" w:hAnsi="仿宋" w:eastAsia="仿宋"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p>
    <w:p w14:paraId="58AA1407">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楷体"/>
          <w:kern w:val="2"/>
          <w:sz w:val="32"/>
          <w:szCs w:val="32"/>
        </w:rPr>
        <w:t>（六）上年结转</w:t>
      </w:r>
      <w:r>
        <w:rPr>
          <w:rFonts w:hint="eastAsia" w:ascii="仿宋" w:hAnsi="仿宋" w:eastAsia="仿宋" w:cs="仿宋_GB2312"/>
          <w:kern w:val="2"/>
          <w:sz w:val="32"/>
          <w:szCs w:val="32"/>
        </w:rPr>
        <w:t>：指所属行政事业单位以前年度尚未完成、结转至本年按原规定用途继续使用的资金和以前年度已完成项目剩余资金经批准用于新用途使用的资金。</w:t>
      </w:r>
    </w:p>
    <w:sectPr>
      <w:pgSz w:w="11906" w:h="16838"/>
      <w:pgMar w:top="1440" w:right="1797" w:bottom="1440" w:left="1797"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rdia New">
    <w:panose1 w:val="020B0304020202020204"/>
    <w:charset w:val="DE"/>
    <w:family w:val="swiss"/>
    <w:pitch w:val="default"/>
    <w:sig w:usb0="81000003" w:usb1="00000000" w:usb2="00000000" w:usb3="00000000" w:csb0="00010001" w:csb1="00000000"/>
  </w:font>
  <w:font w:name="Angsana New">
    <w:panose1 w:val="02020603050405020304"/>
    <w:charset w:val="DE"/>
    <w:family w:val="roman"/>
    <w:pitch w:val="default"/>
    <w:sig w:usb0="81000003" w:usb1="00000000" w:usb2="00000000" w:usb3="00000000" w:csb0="00010001"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9C520">
    <w:pPr>
      <w:pStyle w:val="55"/>
      <w:jc w:val="center"/>
      <w:rPr>
        <w:rFonts w:ascii="Times New Roman" w:hAnsi="Times New Roman" w:eastAsia="宋体"/>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7DFD4">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CE4C7">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3DF4B">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dit="readOnly"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B5C41"/>
    <w:rsid w:val="0006206D"/>
    <w:rsid w:val="0014325D"/>
    <w:rsid w:val="00391469"/>
    <w:rsid w:val="005126C4"/>
    <w:rsid w:val="006F7EAF"/>
    <w:rsid w:val="0075308E"/>
    <w:rsid w:val="0075573E"/>
    <w:rsid w:val="00C6569C"/>
    <w:rsid w:val="017212AE"/>
    <w:rsid w:val="031C0BD3"/>
    <w:rsid w:val="043D1924"/>
    <w:rsid w:val="04A0634C"/>
    <w:rsid w:val="04B12B41"/>
    <w:rsid w:val="05640EFD"/>
    <w:rsid w:val="0D1240BD"/>
    <w:rsid w:val="0E3F0A80"/>
    <w:rsid w:val="12F27075"/>
    <w:rsid w:val="144E3A38"/>
    <w:rsid w:val="14F4550C"/>
    <w:rsid w:val="15EC6516"/>
    <w:rsid w:val="16F3247F"/>
    <w:rsid w:val="1ED75321"/>
    <w:rsid w:val="21DD5905"/>
    <w:rsid w:val="223B0A68"/>
    <w:rsid w:val="23ED0ED5"/>
    <w:rsid w:val="2E55770E"/>
    <w:rsid w:val="312167A8"/>
    <w:rsid w:val="36AD21DA"/>
    <w:rsid w:val="3BC211E4"/>
    <w:rsid w:val="3D7628DF"/>
    <w:rsid w:val="3E541399"/>
    <w:rsid w:val="3EC92CE1"/>
    <w:rsid w:val="415B3276"/>
    <w:rsid w:val="489F578E"/>
    <w:rsid w:val="509F5EDC"/>
    <w:rsid w:val="50EB5C41"/>
    <w:rsid w:val="51924993"/>
    <w:rsid w:val="54051103"/>
    <w:rsid w:val="58877149"/>
    <w:rsid w:val="5928604C"/>
    <w:rsid w:val="5F300B97"/>
    <w:rsid w:val="601A14A7"/>
    <w:rsid w:val="60973B6E"/>
    <w:rsid w:val="6120408F"/>
    <w:rsid w:val="69A53CA3"/>
    <w:rsid w:val="6D775E67"/>
    <w:rsid w:val="700722DF"/>
    <w:rsid w:val="70327C53"/>
    <w:rsid w:val="78E5678D"/>
    <w:rsid w:val="795C2C66"/>
    <w:rsid w:val="79F663D3"/>
    <w:rsid w:val="7A854638"/>
    <w:rsid w:val="7B9621AF"/>
    <w:rsid w:val="7FD932A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qFormat="1" w:uiPriority="0" w:name="Table Professional"/>
    <w:lsdException w:uiPriority="0" w:name="Table Subtle 1"/>
    <w:lsdException w:uiPriority="0" w:name="Table Subtle 2"/>
    <w:lsdException w:qFormat="1" w:uiPriority="0" w:name="Table Web 1"/>
    <w:lsdException w:qFormat="1" w:uiPriority="0" w:name="Table Web 2"/>
    <w:lsdException w:qFormat="1" w:uiPriority="0" w:name="Table Web 3"/>
    <w:lsdException w:unhideWhenUsed="0" w:uiPriority="0" w:semiHidden="0" w:name="Balloon Text"/>
    <w:lsdException w:qFormat="1" w:unhideWhenUsed="0" w:uiPriority="0" w:semiHidden="0" w:name="Table Grid"/>
    <w:lsdException w:uiPriority="0" w:name="Table Theme"/>
    <w:lsdException w:uiPriority="99" w:name="Placeholder Text"/>
    <w:lsdException w:uiPriority="99"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99" w:name="List Paragraph"/>
    <w:lsdException w:uiPriority="99" w:name="Quote"/>
    <w:lsdException w:uiPriority="99"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qFormat="1"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qFormat="1"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qFormat="1"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outlineLvl w:val="0"/>
    </w:pPr>
    <w:rPr>
      <w:rFonts w:hint="eastAsia" w:ascii="宋体" w:hAnsi="宋体" w:eastAsia="宋体" w:cs="Angsana New"/>
      <w:b/>
      <w:kern w:val="44"/>
      <w:sz w:val="48"/>
      <w:szCs w:val="48"/>
      <w:lang w:bidi="th-TH"/>
    </w:rPr>
  </w:style>
  <w:style w:type="paragraph" w:styleId="4">
    <w:name w:val="heading 2"/>
    <w:basedOn w:val="1"/>
    <w:next w:val="1"/>
    <w:unhideWhenUsed/>
    <w:qFormat/>
    <w:uiPriority w:val="0"/>
    <w:pPr>
      <w:spacing w:beforeAutospacing="1" w:afterAutospacing="1"/>
      <w:outlineLvl w:val="1"/>
    </w:pPr>
    <w:rPr>
      <w:rFonts w:hint="eastAsia" w:ascii="宋体" w:hAnsi="宋体" w:eastAsia="宋体" w:cs="Angsana New"/>
      <w:b/>
      <w:kern w:val="0"/>
      <w:sz w:val="36"/>
      <w:szCs w:val="36"/>
      <w:lang w:bidi="th-TH"/>
    </w:rPr>
  </w:style>
  <w:style w:type="paragraph" w:styleId="5">
    <w:name w:val="heading 3"/>
    <w:basedOn w:val="1"/>
    <w:next w:val="1"/>
    <w:link w:val="258"/>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259"/>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260"/>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261"/>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262"/>
    <w:semiHidden/>
    <w:unhideWhenUsed/>
    <w:qFormat/>
    <w:uiPriority w:val="0"/>
    <w:pPr>
      <w:keepNext/>
      <w:keepLines/>
      <w:spacing w:before="240" w:after="64" w:line="320" w:lineRule="auto"/>
      <w:outlineLvl w:val="6"/>
    </w:pPr>
    <w:rPr>
      <w:b/>
      <w:bCs/>
      <w:sz w:val="24"/>
    </w:rPr>
  </w:style>
  <w:style w:type="paragraph" w:styleId="10">
    <w:name w:val="heading 8"/>
    <w:basedOn w:val="1"/>
    <w:next w:val="1"/>
    <w:link w:val="263"/>
    <w:semiHidden/>
    <w:unhideWhenUsed/>
    <w:qFormat/>
    <w:uiPriority w:val="0"/>
    <w:pPr>
      <w:keepNext/>
      <w:keepLines/>
      <w:spacing w:before="240" w:after="64" w:line="320" w:lineRule="auto"/>
      <w:outlineLvl w:val="7"/>
    </w:pPr>
    <w:rPr>
      <w:rFonts w:asciiTheme="majorHAnsi" w:hAnsiTheme="majorHAnsi" w:eastAsiaTheme="majorEastAsia" w:cstheme="majorBidi"/>
      <w:sz w:val="24"/>
    </w:rPr>
  </w:style>
  <w:style w:type="paragraph" w:styleId="11">
    <w:name w:val="heading 9"/>
    <w:basedOn w:val="1"/>
    <w:next w:val="1"/>
    <w:link w:val="264"/>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231">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271"/>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uiPriority w:val="0"/>
    <w:pPr>
      <w:ind w:left="100" w:leftChars="400" w:hanging="200" w:hangingChars="200"/>
      <w:contextualSpacing/>
    </w:pPr>
  </w:style>
  <w:style w:type="paragraph" w:styleId="13">
    <w:name w:val="toc 7"/>
    <w:basedOn w:val="1"/>
    <w:next w:val="1"/>
    <w:uiPriority w:val="0"/>
    <w:pPr>
      <w:ind w:left="2520" w:leftChars="1200"/>
    </w:pPr>
  </w:style>
  <w:style w:type="paragraph" w:styleId="14">
    <w:name w:val="List Number 2"/>
    <w:basedOn w:val="1"/>
    <w:uiPriority w:val="0"/>
    <w:pPr>
      <w:numPr>
        <w:ilvl w:val="0"/>
        <w:numId w:val="1"/>
      </w:numPr>
      <w:contextualSpacing/>
    </w:pPr>
  </w:style>
  <w:style w:type="paragraph" w:styleId="15">
    <w:name w:val="table of authorities"/>
    <w:basedOn w:val="1"/>
    <w:next w:val="1"/>
    <w:uiPriority w:val="0"/>
    <w:pPr>
      <w:ind w:left="420" w:leftChars="200"/>
    </w:pPr>
  </w:style>
  <w:style w:type="paragraph" w:styleId="16">
    <w:name w:val="Note Heading"/>
    <w:basedOn w:val="1"/>
    <w:next w:val="1"/>
    <w:link w:val="409"/>
    <w:qFormat/>
    <w:uiPriority w:val="0"/>
    <w:pPr>
      <w:jc w:val="center"/>
    </w:pPr>
  </w:style>
  <w:style w:type="paragraph" w:styleId="17">
    <w:name w:val="List Bullet 4"/>
    <w:basedOn w:val="1"/>
    <w:uiPriority w:val="0"/>
    <w:pPr>
      <w:numPr>
        <w:ilvl w:val="0"/>
        <w:numId w:val="2"/>
      </w:numPr>
      <w:contextualSpacing/>
    </w:pPr>
  </w:style>
  <w:style w:type="paragraph" w:styleId="18">
    <w:name w:val="index 8"/>
    <w:basedOn w:val="1"/>
    <w:next w:val="1"/>
    <w:uiPriority w:val="0"/>
    <w:pPr>
      <w:ind w:left="1400" w:leftChars="1400"/>
    </w:pPr>
  </w:style>
  <w:style w:type="paragraph" w:styleId="19">
    <w:name w:val="E-mail Signature"/>
    <w:basedOn w:val="1"/>
    <w:link w:val="269"/>
    <w:uiPriority w:val="0"/>
  </w:style>
  <w:style w:type="paragraph" w:styleId="20">
    <w:name w:val="List Number"/>
    <w:basedOn w:val="1"/>
    <w:uiPriority w:val="0"/>
    <w:pPr>
      <w:numPr>
        <w:ilvl w:val="0"/>
        <w:numId w:val="3"/>
      </w:numPr>
      <w:contextualSpacing/>
    </w:pPr>
  </w:style>
  <w:style w:type="paragraph" w:styleId="21">
    <w:name w:val="Normal Indent"/>
    <w:basedOn w:val="1"/>
    <w:uiPriority w:val="0"/>
    <w:pPr>
      <w:ind w:firstLine="420" w:firstLineChars="200"/>
    </w:pPr>
  </w:style>
  <w:style w:type="paragraph" w:styleId="22">
    <w:name w:val="caption"/>
    <w:basedOn w:val="1"/>
    <w:next w:val="1"/>
    <w:semiHidden/>
    <w:unhideWhenUsed/>
    <w:qFormat/>
    <w:uiPriority w:val="0"/>
    <w:rPr>
      <w:rFonts w:eastAsia="黑体" w:asciiTheme="majorHAnsi" w:hAnsiTheme="majorHAnsi" w:cstheme="majorBidi"/>
      <w:sz w:val="20"/>
      <w:szCs w:val="20"/>
    </w:rPr>
  </w:style>
  <w:style w:type="paragraph" w:styleId="23">
    <w:name w:val="index 5"/>
    <w:basedOn w:val="1"/>
    <w:next w:val="1"/>
    <w:uiPriority w:val="0"/>
    <w:pPr>
      <w:ind w:left="800" w:leftChars="800"/>
    </w:pPr>
  </w:style>
  <w:style w:type="paragraph" w:styleId="24">
    <w:name w:val="List Bullet"/>
    <w:basedOn w:val="1"/>
    <w:uiPriority w:val="0"/>
    <w:pPr>
      <w:numPr>
        <w:ilvl w:val="0"/>
        <w:numId w:val="4"/>
      </w:numPr>
      <w:contextualSpacing/>
    </w:pPr>
  </w:style>
  <w:style w:type="paragraph" w:styleId="25">
    <w:name w:val="envelope address"/>
    <w:basedOn w:val="1"/>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26">
    <w:name w:val="Document Map"/>
    <w:basedOn w:val="1"/>
    <w:link w:val="388"/>
    <w:qFormat/>
    <w:uiPriority w:val="0"/>
    <w:rPr>
      <w:rFonts w:ascii="Microsoft YaHei UI" w:eastAsia="Microsoft YaHei UI"/>
      <w:sz w:val="18"/>
      <w:szCs w:val="18"/>
    </w:rPr>
  </w:style>
  <w:style w:type="paragraph" w:styleId="27">
    <w:name w:val="toa heading"/>
    <w:basedOn w:val="1"/>
    <w:next w:val="1"/>
    <w:uiPriority w:val="0"/>
    <w:pPr>
      <w:spacing w:before="120"/>
    </w:pPr>
    <w:rPr>
      <w:rFonts w:asciiTheme="majorHAnsi" w:hAnsiTheme="majorHAnsi" w:eastAsiaTheme="majorEastAsia" w:cstheme="majorBidi"/>
      <w:sz w:val="24"/>
    </w:rPr>
  </w:style>
  <w:style w:type="paragraph" w:styleId="28">
    <w:name w:val="annotation text"/>
    <w:basedOn w:val="1"/>
    <w:link w:val="281"/>
    <w:uiPriority w:val="0"/>
  </w:style>
  <w:style w:type="paragraph" w:styleId="29">
    <w:name w:val="index 6"/>
    <w:basedOn w:val="1"/>
    <w:next w:val="1"/>
    <w:uiPriority w:val="0"/>
    <w:pPr>
      <w:ind w:left="1000" w:leftChars="1000"/>
    </w:pPr>
  </w:style>
  <w:style w:type="paragraph" w:styleId="30">
    <w:name w:val="Salutation"/>
    <w:basedOn w:val="1"/>
    <w:next w:val="1"/>
    <w:link w:val="267"/>
    <w:uiPriority w:val="0"/>
  </w:style>
  <w:style w:type="paragraph" w:styleId="31">
    <w:name w:val="Body Text 3"/>
    <w:basedOn w:val="1"/>
    <w:link w:val="401"/>
    <w:uiPriority w:val="0"/>
    <w:pPr>
      <w:spacing w:after="120"/>
    </w:pPr>
    <w:rPr>
      <w:sz w:val="16"/>
      <w:szCs w:val="16"/>
    </w:rPr>
  </w:style>
  <w:style w:type="paragraph" w:styleId="32">
    <w:name w:val="Closing"/>
    <w:basedOn w:val="1"/>
    <w:link w:val="273"/>
    <w:uiPriority w:val="0"/>
    <w:pPr>
      <w:ind w:left="100" w:leftChars="2100"/>
    </w:pPr>
  </w:style>
  <w:style w:type="paragraph" w:styleId="33">
    <w:name w:val="List Bullet 3"/>
    <w:basedOn w:val="1"/>
    <w:uiPriority w:val="0"/>
    <w:pPr>
      <w:numPr>
        <w:ilvl w:val="0"/>
        <w:numId w:val="5"/>
      </w:numPr>
      <w:contextualSpacing/>
    </w:pPr>
  </w:style>
  <w:style w:type="paragraph" w:styleId="34">
    <w:name w:val="Body Text"/>
    <w:basedOn w:val="1"/>
    <w:link w:val="399"/>
    <w:uiPriority w:val="0"/>
    <w:pPr>
      <w:spacing w:after="120"/>
    </w:pPr>
  </w:style>
  <w:style w:type="paragraph" w:styleId="35">
    <w:name w:val="Body Text Indent"/>
    <w:basedOn w:val="1"/>
    <w:link w:val="403"/>
    <w:uiPriority w:val="0"/>
    <w:pPr>
      <w:spacing w:after="120"/>
      <w:ind w:left="420" w:leftChars="200"/>
    </w:pPr>
  </w:style>
  <w:style w:type="paragraph" w:styleId="36">
    <w:name w:val="List Number 3"/>
    <w:basedOn w:val="1"/>
    <w:uiPriority w:val="0"/>
    <w:pPr>
      <w:numPr>
        <w:ilvl w:val="0"/>
        <w:numId w:val="6"/>
      </w:numPr>
      <w:contextualSpacing/>
    </w:pPr>
  </w:style>
  <w:style w:type="paragraph" w:styleId="37">
    <w:name w:val="List 2"/>
    <w:basedOn w:val="1"/>
    <w:uiPriority w:val="0"/>
    <w:pPr>
      <w:ind w:left="100" w:leftChars="200" w:hanging="200" w:hangingChars="200"/>
      <w:contextualSpacing/>
    </w:pPr>
  </w:style>
  <w:style w:type="paragraph" w:styleId="38">
    <w:name w:val="List Continue"/>
    <w:basedOn w:val="1"/>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uiPriority w:val="0"/>
    <w:pPr>
      <w:numPr>
        <w:ilvl w:val="0"/>
        <w:numId w:val="7"/>
      </w:numPr>
      <w:contextualSpacing/>
    </w:pPr>
  </w:style>
  <w:style w:type="paragraph" w:styleId="41">
    <w:name w:val="HTML Address"/>
    <w:basedOn w:val="1"/>
    <w:link w:val="254"/>
    <w:uiPriority w:val="0"/>
    <w:rPr>
      <w:i/>
      <w:iCs/>
    </w:rPr>
  </w:style>
  <w:style w:type="paragraph" w:styleId="42">
    <w:name w:val="index 4"/>
    <w:basedOn w:val="1"/>
    <w:next w:val="1"/>
    <w:uiPriority w:val="0"/>
    <w:pPr>
      <w:ind w:left="600" w:leftChars="600"/>
    </w:pPr>
  </w:style>
  <w:style w:type="paragraph" w:styleId="43">
    <w:name w:val="toc 5"/>
    <w:basedOn w:val="1"/>
    <w:next w:val="1"/>
    <w:uiPriority w:val="0"/>
    <w:pPr>
      <w:ind w:left="1680" w:leftChars="800"/>
    </w:pPr>
  </w:style>
  <w:style w:type="paragraph" w:styleId="44">
    <w:name w:val="toc 3"/>
    <w:basedOn w:val="1"/>
    <w:next w:val="1"/>
    <w:uiPriority w:val="0"/>
    <w:pPr>
      <w:ind w:left="840" w:leftChars="400"/>
    </w:pPr>
  </w:style>
  <w:style w:type="paragraph" w:styleId="45">
    <w:name w:val="Plain Text"/>
    <w:basedOn w:val="1"/>
    <w:link w:val="268"/>
    <w:uiPriority w:val="0"/>
    <w:rPr>
      <w:rFonts w:hAnsi="Courier New" w:cs="Courier New" w:asciiTheme="minorEastAsia"/>
    </w:rPr>
  </w:style>
  <w:style w:type="paragraph" w:styleId="46">
    <w:name w:val="List Bullet 5"/>
    <w:basedOn w:val="1"/>
    <w:uiPriority w:val="0"/>
    <w:pPr>
      <w:numPr>
        <w:ilvl w:val="0"/>
        <w:numId w:val="8"/>
      </w:numPr>
      <w:contextualSpacing/>
    </w:pPr>
  </w:style>
  <w:style w:type="paragraph" w:styleId="47">
    <w:name w:val="List Number 4"/>
    <w:basedOn w:val="1"/>
    <w:uiPriority w:val="0"/>
    <w:pPr>
      <w:numPr>
        <w:ilvl w:val="0"/>
        <w:numId w:val="9"/>
      </w:numPr>
      <w:contextualSpacing/>
    </w:pPr>
  </w:style>
  <w:style w:type="paragraph" w:styleId="48">
    <w:name w:val="toc 8"/>
    <w:basedOn w:val="1"/>
    <w:next w:val="1"/>
    <w:uiPriority w:val="0"/>
    <w:pPr>
      <w:ind w:left="2940" w:leftChars="1400"/>
    </w:pPr>
  </w:style>
  <w:style w:type="paragraph" w:styleId="49">
    <w:name w:val="index 3"/>
    <w:basedOn w:val="1"/>
    <w:next w:val="1"/>
    <w:uiPriority w:val="0"/>
    <w:pPr>
      <w:ind w:left="400" w:leftChars="400"/>
    </w:pPr>
  </w:style>
  <w:style w:type="paragraph" w:styleId="50">
    <w:name w:val="Date"/>
    <w:basedOn w:val="1"/>
    <w:next w:val="1"/>
    <w:link w:val="333"/>
    <w:uiPriority w:val="0"/>
    <w:pPr>
      <w:ind w:left="100" w:leftChars="2500"/>
    </w:pPr>
  </w:style>
  <w:style w:type="paragraph" w:styleId="51">
    <w:name w:val="Body Text Indent 2"/>
    <w:basedOn w:val="1"/>
    <w:link w:val="405"/>
    <w:uiPriority w:val="0"/>
    <w:pPr>
      <w:spacing w:after="120" w:line="480" w:lineRule="auto"/>
      <w:ind w:left="420" w:leftChars="200"/>
    </w:pPr>
  </w:style>
  <w:style w:type="paragraph" w:styleId="52">
    <w:name w:val="endnote text"/>
    <w:basedOn w:val="1"/>
    <w:link w:val="386"/>
    <w:qFormat/>
    <w:uiPriority w:val="0"/>
    <w:pPr>
      <w:snapToGrid w:val="0"/>
    </w:pPr>
  </w:style>
  <w:style w:type="paragraph" w:styleId="53">
    <w:name w:val="List Continue 5"/>
    <w:basedOn w:val="1"/>
    <w:uiPriority w:val="0"/>
    <w:pPr>
      <w:spacing w:after="120"/>
      <w:ind w:left="2100" w:leftChars="1000"/>
      <w:contextualSpacing/>
    </w:pPr>
  </w:style>
  <w:style w:type="paragraph" w:styleId="54">
    <w:name w:val="Balloon Text"/>
    <w:basedOn w:val="1"/>
    <w:link w:val="280"/>
    <w:uiPriority w:val="0"/>
    <w:rPr>
      <w:sz w:val="18"/>
      <w:szCs w:val="18"/>
    </w:rPr>
  </w:style>
  <w:style w:type="paragraph" w:styleId="55">
    <w:name w:val="footer"/>
    <w:basedOn w:val="1"/>
    <w:link w:val="252"/>
    <w:uiPriority w:val="0"/>
    <w:pPr>
      <w:tabs>
        <w:tab w:val="center" w:pos="4153"/>
        <w:tab w:val="right" w:pos="8306"/>
      </w:tabs>
      <w:snapToGrid w:val="0"/>
    </w:pPr>
    <w:rPr>
      <w:sz w:val="18"/>
      <w:szCs w:val="18"/>
    </w:rPr>
  </w:style>
  <w:style w:type="paragraph" w:styleId="56">
    <w:name w:val="envelope return"/>
    <w:basedOn w:val="1"/>
    <w:uiPriority w:val="0"/>
    <w:pPr>
      <w:snapToGrid w:val="0"/>
    </w:pPr>
    <w:rPr>
      <w:rFonts w:asciiTheme="majorHAnsi" w:hAnsiTheme="majorHAnsi" w:eastAsiaTheme="majorEastAsia" w:cstheme="majorBidi"/>
    </w:rPr>
  </w:style>
  <w:style w:type="paragraph" w:styleId="57">
    <w:name w:val="header"/>
    <w:basedOn w:val="1"/>
    <w:link w:val="251"/>
    <w:uiPriority w:val="0"/>
    <w:pPr>
      <w:tabs>
        <w:tab w:val="center" w:pos="4153"/>
        <w:tab w:val="right" w:pos="8306"/>
      </w:tabs>
      <w:snapToGrid w:val="0"/>
      <w:jc w:val="center"/>
    </w:pPr>
    <w:rPr>
      <w:sz w:val="18"/>
      <w:szCs w:val="18"/>
    </w:rPr>
  </w:style>
  <w:style w:type="paragraph" w:styleId="58">
    <w:name w:val="Signature"/>
    <w:basedOn w:val="1"/>
    <w:link w:val="283"/>
    <w:uiPriority w:val="0"/>
    <w:pPr>
      <w:ind w:left="100" w:leftChars="2100"/>
    </w:pPr>
  </w:style>
  <w:style w:type="paragraph" w:styleId="59">
    <w:name w:val="toc 1"/>
    <w:basedOn w:val="1"/>
    <w:next w:val="1"/>
    <w:uiPriority w:val="39"/>
  </w:style>
  <w:style w:type="paragraph" w:styleId="60">
    <w:name w:val="List Continue 4"/>
    <w:basedOn w:val="1"/>
    <w:uiPriority w:val="0"/>
    <w:pPr>
      <w:spacing w:after="120"/>
      <w:ind w:left="1680" w:leftChars="800"/>
      <w:contextualSpacing/>
    </w:pPr>
  </w:style>
  <w:style w:type="paragraph" w:styleId="61">
    <w:name w:val="toc 4"/>
    <w:basedOn w:val="1"/>
    <w:next w:val="1"/>
    <w:uiPriority w:val="0"/>
    <w:pPr>
      <w:ind w:left="1260" w:leftChars="600"/>
    </w:pPr>
  </w:style>
  <w:style w:type="paragraph" w:styleId="62">
    <w:name w:val="index heading"/>
    <w:basedOn w:val="1"/>
    <w:next w:val="63"/>
    <w:uiPriority w:val="0"/>
    <w:rPr>
      <w:rFonts w:asciiTheme="majorHAnsi" w:hAnsiTheme="majorHAnsi" w:eastAsiaTheme="majorEastAsia" w:cstheme="majorBidi"/>
      <w:b/>
      <w:bCs/>
    </w:rPr>
  </w:style>
  <w:style w:type="paragraph" w:styleId="63">
    <w:name w:val="index 1"/>
    <w:basedOn w:val="1"/>
    <w:next w:val="1"/>
    <w:uiPriority w:val="0"/>
  </w:style>
  <w:style w:type="paragraph" w:styleId="64">
    <w:name w:val="Subtitle"/>
    <w:basedOn w:val="1"/>
    <w:next w:val="1"/>
    <w:link w:val="270"/>
    <w:qFormat/>
    <w:uiPriority w:val="0"/>
    <w:pPr>
      <w:spacing w:before="240" w:after="60" w:line="312" w:lineRule="auto"/>
      <w:jc w:val="center"/>
      <w:outlineLvl w:val="1"/>
    </w:pPr>
    <w:rPr>
      <w:b/>
      <w:bCs/>
      <w:kern w:val="28"/>
      <w:sz w:val="32"/>
      <w:szCs w:val="32"/>
    </w:rPr>
  </w:style>
  <w:style w:type="paragraph" w:styleId="65">
    <w:name w:val="List Number 5"/>
    <w:basedOn w:val="1"/>
    <w:uiPriority w:val="0"/>
    <w:pPr>
      <w:numPr>
        <w:ilvl w:val="0"/>
        <w:numId w:val="10"/>
      </w:numPr>
      <w:contextualSpacing/>
    </w:pPr>
  </w:style>
  <w:style w:type="paragraph" w:styleId="66">
    <w:name w:val="List"/>
    <w:basedOn w:val="1"/>
    <w:uiPriority w:val="0"/>
    <w:pPr>
      <w:ind w:left="200" w:hanging="200" w:hangingChars="200"/>
      <w:contextualSpacing/>
    </w:pPr>
  </w:style>
  <w:style w:type="paragraph" w:styleId="67">
    <w:name w:val="footnote text"/>
    <w:basedOn w:val="1"/>
    <w:link w:val="272"/>
    <w:uiPriority w:val="0"/>
    <w:pPr>
      <w:snapToGrid w:val="0"/>
    </w:pPr>
    <w:rPr>
      <w:sz w:val="18"/>
      <w:szCs w:val="18"/>
    </w:rPr>
  </w:style>
  <w:style w:type="paragraph" w:styleId="68">
    <w:name w:val="toc 6"/>
    <w:basedOn w:val="1"/>
    <w:next w:val="1"/>
    <w:uiPriority w:val="0"/>
    <w:pPr>
      <w:ind w:left="2100" w:leftChars="1000"/>
    </w:pPr>
  </w:style>
  <w:style w:type="paragraph" w:styleId="69">
    <w:name w:val="List 5"/>
    <w:basedOn w:val="1"/>
    <w:uiPriority w:val="0"/>
    <w:pPr>
      <w:ind w:left="100" w:leftChars="800" w:hanging="200" w:hangingChars="200"/>
      <w:contextualSpacing/>
    </w:pPr>
  </w:style>
  <w:style w:type="paragraph" w:styleId="70">
    <w:name w:val="Body Text Indent 3"/>
    <w:basedOn w:val="1"/>
    <w:link w:val="406"/>
    <w:uiPriority w:val="0"/>
    <w:pPr>
      <w:spacing w:after="120"/>
      <w:ind w:left="420" w:leftChars="200"/>
    </w:pPr>
    <w:rPr>
      <w:sz w:val="16"/>
      <w:szCs w:val="16"/>
    </w:rPr>
  </w:style>
  <w:style w:type="paragraph" w:styleId="71">
    <w:name w:val="index 7"/>
    <w:basedOn w:val="1"/>
    <w:next w:val="1"/>
    <w:uiPriority w:val="0"/>
    <w:pPr>
      <w:ind w:left="1200" w:leftChars="1200"/>
    </w:pPr>
  </w:style>
  <w:style w:type="paragraph" w:styleId="72">
    <w:name w:val="index 9"/>
    <w:basedOn w:val="1"/>
    <w:next w:val="1"/>
    <w:uiPriority w:val="0"/>
    <w:pPr>
      <w:ind w:left="1600" w:leftChars="1600"/>
    </w:pPr>
  </w:style>
  <w:style w:type="paragraph" w:styleId="73">
    <w:name w:val="table of figures"/>
    <w:basedOn w:val="1"/>
    <w:next w:val="1"/>
    <w:uiPriority w:val="0"/>
    <w:pPr>
      <w:ind w:left="200" w:leftChars="200" w:hanging="200" w:hangingChars="200"/>
    </w:pPr>
  </w:style>
  <w:style w:type="paragraph" w:styleId="74">
    <w:name w:val="toc 2"/>
    <w:basedOn w:val="1"/>
    <w:next w:val="1"/>
    <w:uiPriority w:val="39"/>
    <w:pPr>
      <w:ind w:left="420" w:leftChars="200"/>
    </w:pPr>
  </w:style>
  <w:style w:type="paragraph" w:styleId="75">
    <w:name w:val="toc 9"/>
    <w:basedOn w:val="1"/>
    <w:next w:val="1"/>
    <w:uiPriority w:val="0"/>
    <w:pPr>
      <w:ind w:left="3360" w:leftChars="1600"/>
    </w:pPr>
  </w:style>
  <w:style w:type="paragraph" w:styleId="76">
    <w:name w:val="Body Text 2"/>
    <w:basedOn w:val="1"/>
    <w:link w:val="400"/>
    <w:uiPriority w:val="0"/>
    <w:pPr>
      <w:spacing w:after="120" w:line="480" w:lineRule="auto"/>
    </w:pPr>
  </w:style>
  <w:style w:type="paragraph" w:styleId="77">
    <w:name w:val="List 4"/>
    <w:basedOn w:val="1"/>
    <w:uiPriority w:val="0"/>
    <w:pPr>
      <w:ind w:left="100" w:leftChars="600" w:hanging="200" w:hangingChars="200"/>
      <w:contextualSpacing/>
    </w:pPr>
  </w:style>
  <w:style w:type="paragraph" w:styleId="78">
    <w:name w:val="List Continue 2"/>
    <w:basedOn w:val="1"/>
    <w:uiPriority w:val="0"/>
    <w:pPr>
      <w:spacing w:after="120"/>
      <w:ind w:left="840" w:leftChars="400"/>
      <w:contextualSpacing/>
    </w:pPr>
  </w:style>
  <w:style w:type="paragraph" w:styleId="79">
    <w:name w:val="Message Header"/>
    <w:basedOn w:val="1"/>
    <w:link w:val="395"/>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link w:val="255"/>
    <w:uiPriority w:val="0"/>
    <w:rPr>
      <w:rFonts w:ascii="Courier New" w:hAnsi="Courier New" w:cs="Courier New"/>
      <w:sz w:val="20"/>
      <w:szCs w:val="20"/>
    </w:rPr>
  </w:style>
  <w:style w:type="paragraph" w:styleId="81">
    <w:name w:val="Normal (Web)"/>
    <w:basedOn w:val="1"/>
    <w:uiPriority w:val="0"/>
    <w:pPr>
      <w:spacing w:beforeAutospacing="1" w:afterAutospacing="1"/>
    </w:pPr>
    <w:rPr>
      <w:rFonts w:cs="Angsana New"/>
      <w:kern w:val="0"/>
      <w:sz w:val="24"/>
      <w:lang w:bidi="th-TH"/>
    </w:rPr>
  </w:style>
  <w:style w:type="paragraph" w:styleId="82">
    <w:name w:val="List Continue 3"/>
    <w:basedOn w:val="1"/>
    <w:uiPriority w:val="0"/>
    <w:pPr>
      <w:spacing w:after="120"/>
      <w:ind w:left="1260" w:leftChars="600"/>
      <w:contextualSpacing/>
    </w:pPr>
  </w:style>
  <w:style w:type="paragraph" w:styleId="83">
    <w:name w:val="index 2"/>
    <w:basedOn w:val="1"/>
    <w:next w:val="1"/>
    <w:uiPriority w:val="0"/>
    <w:pPr>
      <w:ind w:left="200" w:leftChars="200"/>
    </w:pPr>
  </w:style>
  <w:style w:type="paragraph" w:styleId="84">
    <w:name w:val="Title"/>
    <w:basedOn w:val="1"/>
    <w:next w:val="1"/>
    <w:link w:val="257"/>
    <w:qFormat/>
    <w:uiPriority w:val="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282"/>
    <w:uiPriority w:val="0"/>
    <w:rPr>
      <w:b/>
      <w:bCs/>
    </w:rPr>
  </w:style>
  <w:style w:type="paragraph" w:styleId="86">
    <w:name w:val="Body Text First Indent"/>
    <w:basedOn w:val="34"/>
    <w:link w:val="402"/>
    <w:uiPriority w:val="0"/>
    <w:pPr>
      <w:ind w:firstLine="420" w:firstLineChars="100"/>
    </w:pPr>
  </w:style>
  <w:style w:type="paragraph" w:styleId="87">
    <w:name w:val="Body Text First Indent 2"/>
    <w:basedOn w:val="35"/>
    <w:link w:val="404"/>
    <w:uiPriority w:val="0"/>
    <w:pPr>
      <w:ind w:firstLine="420" w:firstLineChars="200"/>
    </w:pPr>
  </w:style>
  <w:style w:type="table" w:styleId="89">
    <w:name w:val="Table Grid"/>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uiPriority w:val="0"/>
    <w:pPr>
      <w:widowControl w:val="0"/>
      <w:jc w:val="both"/>
    </w:pPr>
    <w:rPr>
      <w:rFonts w:cs="Angsana New"/>
      <w:szCs w:val="25"/>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uiPriority w:val="0"/>
    <w:pPr>
      <w:widowControl w:val="0"/>
      <w:jc w:val="both"/>
    </w:pPr>
    <w:rPr>
      <w:rFonts w:cs="Angsana New"/>
      <w:color w:val="FFFFFF"/>
      <w:szCs w:val="25"/>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uiPriority w:val="0"/>
    <w:pPr>
      <w:widowControl w:val="0"/>
      <w:jc w:val="both"/>
    </w:pPr>
    <w:rPr>
      <w:rFonts w:cs="Angsana New"/>
      <w:szCs w:val="25"/>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uiPriority w:val="0"/>
    <w:pPr>
      <w:widowControl w:val="0"/>
      <w:jc w:val="both"/>
    </w:pPr>
    <w:rPr>
      <w:rFonts w:cs="Angsana New"/>
      <w:szCs w:val="25"/>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uiPriority w:val="0"/>
    <w:pPr>
      <w:widowControl w:val="0"/>
      <w:jc w:val="both"/>
    </w:pPr>
    <w:rPr>
      <w:rFonts w:cs="Angsana New"/>
      <w:szCs w:val="25"/>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uiPriority w:val="0"/>
    <w:pPr>
      <w:widowControl w:val="0"/>
      <w:jc w:val="both"/>
    </w:pPr>
    <w:rPr>
      <w:rFonts w:cs="Angsana New"/>
      <w:szCs w:val="25"/>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uiPriority w:val="0"/>
    <w:pPr>
      <w:widowControl w:val="0"/>
      <w:jc w:val="both"/>
    </w:pPr>
    <w:rPr>
      <w:rFonts w:cs="Angsana New"/>
      <w:szCs w:val="25"/>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uiPriority w:val="0"/>
    <w:pPr>
      <w:widowControl w:val="0"/>
      <w:jc w:val="both"/>
    </w:pPr>
    <w:rPr>
      <w:rFonts w:cs="Angsana New"/>
      <w:color w:val="000080"/>
      <w:szCs w:val="25"/>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uiPriority w:val="0"/>
    <w:pPr>
      <w:widowControl w:val="0"/>
      <w:jc w:val="both"/>
    </w:pPr>
    <w:rPr>
      <w:rFonts w:cs="Angsana New"/>
      <w:szCs w:val="25"/>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uiPriority w:val="0"/>
    <w:pPr>
      <w:widowControl w:val="0"/>
      <w:jc w:val="both"/>
    </w:pPr>
    <w:rPr>
      <w:rFonts w:cs="Angsana New"/>
      <w:szCs w:val="25"/>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uiPriority w:val="0"/>
    <w:pPr>
      <w:widowControl w:val="0"/>
      <w:jc w:val="both"/>
    </w:pPr>
    <w:rPr>
      <w:rFonts w:cs="Angsana New"/>
      <w:szCs w:val="25"/>
    </w:r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uiPriority w:val="0"/>
    <w:pPr>
      <w:widowControl w:val="0"/>
      <w:jc w:val="both"/>
    </w:pPr>
    <w:rPr>
      <w:rFonts w:cs="Angsana New"/>
      <w:szCs w:val="25"/>
    </w:r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uiPriority w:val="0"/>
    <w:pPr>
      <w:widowControl w:val="0"/>
      <w:jc w:val="both"/>
    </w:pPr>
    <w:rPr>
      <w:rFonts w:cs="Angsana New"/>
      <w:szCs w:val="25"/>
    </w:r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uiPriority w:val="0"/>
    <w:pPr>
      <w:widowControl w:val="0"/>
      <w:jc w:val="both"/>
    </w:pPr>
    <w:rPr>
      <w:rFonts w:cs="Angsana New"/>
      <w:szCs w:val="25"/>
    </w:r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uiPriority w:val="0"/>
    <w:pPr>
      <w:widowControl w:val="0"/>
      <w:jc w:val="both"/>
    </w:pPr>
    <w:rPr>
      <w:rFonts w:cs="Angsana New"/>
      <w:szCs w:val="25"/>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uiPriority w:val="0"/>
    <w:pPr>
      <w:widowControl w:val="0"/>
      <w:jc w:val="both"/>
    </w:pPr>
    <w:rPr>
      <w:rFonts w:cs="Angsana New"/>
      <w:szCs w:val="25"/>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uiPriority w:val="0"/>
    <w:pPr>
      <w:widowControl w:val="0"/>
      <w:jc w:val="both"/>
    </w:pPr>
    <w:rPr>
      <w:rFonts w:cs="Angsana New"/>
      <w:szCs w:val="25"/>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uiPriority w:val="0"/>
    <w:pPr>
      <w:widowControl w:val="0"/>
      <w:jc w:val="both"/>
    </w:pPr>
    <w:rPr>
      <w:rFonts w:cs="Angsana New"/>
      <w:szCs w:val="25"/>
    </w:r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uiPriority w:val="0"/>
    <w:pPr>
      <w:widowControl w:val="0"/>
      <w:jc w:val="both"/>
    </w:pPr>
    <w:rPr>
      <w:rFonts w:cs="Angsana New"/>
      <w:szCs w:val="25"/>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uiPriority w:val="0"/>
    <w:pPr>
      <w:widowControl w:val="0"/>
      <w:jc w:val="both"/>
    </w:pPr>
    <w:rPr>
      <w:rFonts w:cs="Angsana New"/>
      <w:szCs w:val="25"/>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uiPriority w:val="0"/>
    <w:pPr>
      <w:widowControl w:val="0"/>
      <w:jc w:val="both"/>
    </w:pPr>
    <w:rPr>
      <w:rFonts w:cs="Angsana New"/>
      <w:szCs w:val="25"/>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uiPriority w:val="0"/>
    <w:pPr>
      <w:widowControl w:val="0"/>
      <w:jc w:val="both"/>
    </w:pPr>
    <w:rPr>
      <w:rFonts w:cs="Angsana New"/>
      <w:b/>
      <w:bCs/>
      <w:szCs w:val="25"/>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uiPriority w:val="0"/>
    <w:pPr>
      <w:widowControl w:val="0"/>
      <w:jc w:val="both"/>
    </w:pPr>
    <w:rPr>
      <w:rFonts w:cs="Angsana New"/>
      <w:b/>
      <w:bCs/>
      <w:szCs w:val="25"/>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uiPriority w:val="0"/>
    <w:pPr>
      <w:widowControl w:val="0"/>
      <w:jc w:val="both"/>
    </w:pPr>
    <w:rPr>
      <w:rFonts w:cs="Angsana New"/>
      <w:b/>
      <w:bCs/>
      <w:szCs w:val="25"/>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uiPriority w:val="0"/>
    <w:pPr>
      <w:widowControl w:val="0"/>
      <w:jc w:val="both"/>
    </w:pPr>
    <w:rPr>
      <w:rFonts w:cs="Angsana New"/>
      <w:szCs w:val="25"/>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0"/>
    <w:pPr>
      <w:widowControl w:val="0"/>
      <w:jc w:val="both"/>
    </w:pPr>
    <w:rPr>
      <w:rFonts w:cs="Angsana New"/>
      <w:szCs w:val="25"/>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0"/>
    <w:pPr>
      <w:widowControl w:val="0"/>
      <w:jc w:val="both"/>
    </w:pPr>
    <w:rPr>
      <w:rFonts w:cs="Angsana New"/>
      <w:szCs w:val="25"/>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0"/>
    <w:pPr>
      <w:widowControl w:val="0"/>
      <w:jc w:val="both"/>
    </w:pPr>
    <w:rPr>
      <w:rFonts w:cs="Angsana New"/>
      <w:szCs w:val="25"/>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0"/>
    <w:pPr>
      <w:widowControl w:val="0"/>
      <w:jc w:val="both"/>
    </w:pPr>
    <w:rPr>
      <w:rFonts w:cs="Angsana New"/>
      <w:szCs w:val="25"/>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0"/>
    <w:pPr>
      <w:widowControl w:val="0"/>
      <w:jc w:val="both"/>
    </w:pPr>
    <w:rPr>
      <w:rFonts w:cs="Angsana New"/>
      <w:b/>
      <w:bCs/>
      <w:szCs w:val="25"/>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0"/>
    <w:pPr>
      <w:widowControl w:val="0"/>
      <w:jc w:val="both"/>
    </w:pPr>
    <w:rPr>
      <w:rFonts w:cs="Angsana New"/>
      <w:szCs w:val="25"/>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0"/>
    <w:pPr>
      <w:widowControl w:val="0"/>
      <w:jc w:val="both"/>
    </w:pPr>
    <w:rPr>
      <w:rFonts w:cs="Angsana New"/>
      <w:szCs w:val="25"/>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0"/>
    <w:pPr>
      <w:widowControl w:val="0"/>
      <w:jc w:val="both"/>
    </w:pPr>
    <w:rPr>
      <w:rFonts w:cs="Angsana New"/>
      <w:szCs w:val="25"/>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0"/>
    <w:pPr>
      <w:widowControl w:val="0"/>
      <w:jc w:val="both"/>
    </w:pPr>
    <w:rPr>
      <w:rFonts w:cs="Angsana New"/>
      <w:szCs w:val="25"/>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CBE9CF" w:themeFill="background1"/>
      </w:tcPr>
    </w:tblStylePr>
    <w:tblStylePr w:type="lastRow">
      <w:tblPr/>
      <w:tcPr>
        <w:tcBorders>
          <w:top w:val="single" w:color="000000" w:themeColor="text1"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000000" w:themeColor="text1" w:sz="8" w:space="0"/>
          <w:insideH w:val="nil"/>
          <w:insideV w:val="nil"/>
        </w:tcBorders>
        <w:shd w:val="clear" w:color="auto" w:fill="CBE9CF" w:themeFill="background1"/>
      </w:tcPr>
    </w:tblStylePr>
    <w:tblStylePr w:type="lastCol">
      <w:tblPr/>
      <w:tcPr>
        <w:tcBorders>
          <w:top w:val="nil"/>
          <w:left w:val="single" w:color="000000" w:themeColor="text1"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CBE9CF" w:themeFill="background1"/>
      </w:tcPr>
    </w:tblStylePr>
    <w:tblStylePr w:type="swCell">
      <w:tblPr/>
      <w:tcPr>
        <w:tcBorders>
          <w:top w:val="nil"/>
        </w:tcBorders>
      </w:tcPr>
    </w:tblStylePr>
  </w:style>
  <w:style w:type="table" w:styleId="176">
    <w:name w:val="Medium List 2 Accent 1"/>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CBE9CF" w:themeFill="background1"/>
      </w:tcPr>
    </w:tblStylePr>
    <w:tblStylePr w:type="lastRow">
      <w:tblPr/>
      <w:tcPr>
        <w:tcBorders>
          <w:top w:val="single" w:color="5B9BD5" w:themeColor="accent1"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5B9BD5" w:themeColor="accent1" w:sz="8" w:space="0"/>
          <w:insideH w:val="nil"/>
          <w:insideV w:val="nil"/>
        </w:tcBorders>
        <w:shd w:val="clear" w:color="auto" w:fill="CBE9CF" w:themeFill="background1"/>
      </w:tcPr>
    </w:tblStylePr>
    <w:tblStylePr w:type="lastCol">
      <w:tblPr/>
      <w:tcPr>
        <w:tcBorders>
          <w:top w:val="nil"/>
          <w:left w:val="single" w:color="5B9BD5" w:themeColor="accent1"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CBE9CF" w:themeFill="background1"/>
      </w:tcPr>
    </w:tblStylePr>
    <w:tblStylePr w:type="swCell">
      <w:tblPr/>
      <w:tcPr>
        <w:tcBorders>
          <w:top w:val="nil"/>
        </w:tcBorders>
      </w:tcPr>
    </w:tblStylePr>
  </w:style>
  <w:style w:type="table" w:styleId="177">
    <w:name w:val="Medium List 2 Accent 2"/>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tblPr/>
      <w:tcPr>
        <w:tcBorders>
          <w:top w:val="single" w:color="ED7D31" w:themeColor="accent2" w:sz="8" w:space="0"/>
          <w:left w:val="nil"/>
          <w:right w:val="nil"/>
          <w:insideH w:val="nil"/>
          <w:insideV w:val="nil"/>
        </w:tcBorders>
        <w:shd w:val="clear" w:color="auto" w:fill="CBE9CF" w:themeFill="background1"/>
      </w:tcPr>
    </w:tblStylePr>
    <w:tblStylePr w:type="firstCol">
      <w:tblPr/>
      <w:tcPr>
        <w:tcBorders>
          <w:top w:val="nil"/>
          <w:left w:val="nil"/>
          <w:bottom w:val="nil"/>
          <w:right w:val="single" w:color="ED7D31" w:themeColor="accent2" w:sz="8" w:space="0"/>
          <w:insideH w:val="nil"/>
          <w:insideV w:val="nil"/>
        </w:tcBorders>
        <w:shd w:val="clear" w:color="auto" w:fill="CBE9CF" w:themeFill="background1"/>
      </w:tcPr>
    </w:tblStylePr>
    <w:tblStylePr w:type="lastCol">
      <w:tblPr/>
      <w:tcPr>
        <w:tcBorders>
          <w:top w:val="nil"/>
          <w:left w:val="single" w:color="ED7D31" w:themeColor="accent2"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CBE9CF" w:themeFill="background1"/>
      </w:tcPr>
    </w:tblStylePr>
    <w:tblStylePr w:type="swCell">
      <w:tblPr/>
      <w:tcPr>
        <w:tcBorders>
          <w:top w:val="nil"/>
        </w:tcBorders>
      </w:tcPr>
    </w:tblStylePr>
  </w:style>
  <w:style w:type="table" w:styleId="178">
    <w:name w:val="Medium List 2 Accent 3"/>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CBE9CF" w:themeFill="background1"/>
      </w:tcPr>
    </w:tblStylePr>
    <w:tblStylePr w:type="lastRow">
      <w:tblPr/>
      <w:tcPr>
        <w:tcBorders>
          <w:top w:val="single" w:color="A5A5A5" w:themeColor="accent3"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A5A5A5" w:themeColor="accent3" w:sz="8" w:space="0"/>
          <w:insideH w:val="nil"/>
          <w:insideV w:val="nil"/>
        </w:tcBorders>
        <w:shd w:val="clear" w:color="auto" w:fill="CBE9CF" w:themeFill="background1"/>
      </w:tcPr>
    </w:tblStylePr>
    <w:tblStylePr w:type="lastCol">
      <w:tblPr/>
      <w:tcPr>
        <w:tcBorders>
          <w:top w:val="nil"/>
          <w:left w:val="single" w:color="A5A5A5" w:themeColor="accent3"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CBE9CF" w:themeFill="background1"/>
      </w:tcPr>
    </w:tblStylePr>
    <w:tblStylePr w:type="swCell">
      <w:tblPr/>
      <w:tcPr>
        <w:tcBorders>
          <w:top w:val="nil"/>
        </w:tcBorders>
      </w:tcPr>
    </w:tblStylePr>
  </w:style>
  <w:style w:type="table" w:styleId="179">
    <w:name w:val="Medium List 2 Accent 4"/>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CBE9CF" w:themeFill="background1"/>
      </w:tcPr>
    </w:tblStylePr>
    <w:tblStylePr w:type="lastRow">
      <w:tblPr/>
      <w:tcPr>
        <w:tcBorders>
          <w:top w:val="single" w:color="FFC000" w:themeColor="accent4"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FFC000" w:themeColor="accent4" w:sz="8" w:space="0"/>
          <w:insideH w:val="nil"/>
          <w:insideV w:val="nil"/>
        </w:tcBorders>
        <w:shd w:val="clear" w:color="auto" w:fill="CBE9CF" w:themeFill="background1"/>
      </w:tcPr>
    </w:tblStylePr>
    <w:tblStylePr w:type="lastCol">
      <w:tblPr/>
      <w:tcPr>
        <w:tcBorders>
          <w:top w:val="nil"/>
          <w:left w:val="single" w:color="FFC000" w:themeColor="accent4"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CBE9CF" w:themeFill="background1"/>
      </w:tcPr>
    </w:tblStylePr>
    <w:tblStylePr w:type="swCell">
      <w:tblPr/>
      <w:tcPr>
        <w:tcBorders>
          <w:top w:val="nil"/>
        </w:tcBorders>
      </w:tcPr>
    </w:tblStylePr>
  </w:style>
  <w:style w:type="table" w:styleId="180">
    <w:name w:val="Medium List 2 Accent 5"/>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CBE9CF" w:themeFill="background1"/>
      </w:tcPr>
    </w:tblStylePr>
    <w:tblStylePr w:type="lastRow">
      <w:tblPr/>
      <w:tcPr>
        <w:tcBorders>
          <w:top w:val="single" w:color="4472C4" w:themeColor="accent5"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4472C4" w:themeColor="accent5" w:sz="8" w:space="0"/>
          <w:insideH w:val="nil"/>
          <w:insideV w:val="nil"/>
        </w:tcBorders>
        <w:shd w:val="clear" w:color="auto" w:fill="CBE9CF" w:themeFill="background1"/>
      </w:tcPr>
    </w:tblStylePr>
    <w:tblStylePr w:type="lastCol">
      <w:tblPr/>
      <w:tcPr>
        <w:tcBorders>
          <w:top w:val="nil"/>
          <w:left w:val="single" w:color="4472C4" w:themeColor="accent5"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CBE9CF" w:themeFill="background1"/>
      </w:tcPr>
    </w:tblStylePr>
    <w:tblStylePr w:type="swCell">
      <w:tblPr/>
      <w:tcPr>
        <w:tcBorders>
          <w:top w:val="nil"/>
        </w:tcBorders>
      </w:tcPr>
    </w:tblStylePr>
  </w:style>
  <w:style w:type="table" w:styleId="181">
    <w:name w:val="Medium List 2 Accent 6"/>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CBE9CF" w:themeFill="background1"/>
      </w:tcPr>
    </w:tblStylePr>
    <w:tblStylePr w:type="lastRow">
      <w:tblPr/>
      <w:tcPr>
        <w:tcBorders>
          <w:top w:val="single" w:color="70AD47" w:themeColor="accent6"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70AD47" w:themeColor="accent6" w:sz="8" w:space="0"/>
          <w:insideH w:val="nil"/>
          <w:insideV w:val="nil"/>
        </w:tcBorders>
        <w:shd w:val="clear" w:color="auto" w:fill="CBE9CF" w:themeFill="background1"/>
      </w:tcPr>
    </w:tblStylePr>
    <w:tblStylePr w:type="lastCol">
      <w:tblPr/>
      <w:tcPr>
        <w:tcBorders>
          <w:top w:val="nil"/>
          <w:left w:val="single" w:color="70AD47" w:themeColor="accent6"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CBE9CF" w:themeFill="background1"/>
      </w:tcPr>
    </w:tblStylePr>
    <w:tblStylePr w:type="swCell">
      <w:tblPr/>
      <w:tcPr>
        <w:tcBorders>
          <w:top w:val="nil"/>
        </w:tcBorders>
      </w:tcPr>
    </w:tblStylePr>
  </w:style>
  <w:style w:type="table" w:styleId="182">
    <w:name w:val="Medium Grid 1"/>
    <w:basedOn w:val="88"/>
    <w:semiHidden/>
    <w:unhideWhenUsed/>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CBE9CF" w:themeFill="background1"/>
      </w:tcPr>
    </w:tblStylePr>
  </w:style>
  <w:style w:type="table" w:styleId="190">
    <w:name w:val="Medium Grid 2 Accent 1"/>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CBE9CF" w:themeFill="background1"/>
      </w:tcPr>
    </w:tblStylePr>
  </w:style>
  <w:style w:type="table" w:styleId="191">
    <w:name w:val="Medium Grid 2 Accent 2"/>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CBE9CF" w:themeFill="background1"/>
      </w:tcPr>
    </w:tblStylePr>
  </w:style>
  <w:style w:type="table" w:styleId="192">
    <w:name w:val="Medium Grid 2 Accent 3"/>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CBE9CF" w:themeFill="background1"/>
      </w:tcPr>
    </w:tblStylePr>
  </w:style>
  <w:style w:type="table" w:styleId="193">
    <w:name w:val="Medium Grid 2 Accent 4"/>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CBE9CF" w:themeFill="background1"/>
      </w:tcPr>
    </w:tblStylePr>
  </w:style>
  <w:style w:type="table" w:styleId="194">
    <w:name w:val="Medium Grid 2 Accent 5"/>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CBE9CF" w:themeFill="background1"/>
      </w:tcPr>
    </w:tblStylePr>
  </w:style>
  <w:style w:type="table" w:styleId="195">
    <w:name w:val="Medium Grid 2 Accent 6"/>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CBE9CF" w:themeFill="background1"/>
      </w:tcPr>
    </w:tblStylePr>
  </w:style>
  <w:style w:type="table" w:styleId="196">
    <w:name w:val="Medium Grid 3"/>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BFBFBF" w:themeFill="text1"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000000" w:themeFill="text1"/>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000000" w:themeFill="text1"/>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000000" w:themeFill="text1"/>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000000" w:themeFill="text1"/>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7F7F7F" w:themeFill="text1"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6E6F4" w:themeFill="accent1"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5B9BD5" w:themeFill="accent1"/>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5B9BD5" w:themeFill="accent1"/>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5B9BD5" w:themeFill="accent1"/>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5B9BD5" w:themeFill="accent1"/>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ADCDEA" w:themeFill="accent1"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FADECC" w:themeFill="accent2"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ED7D31" w:themeFill="accent2"/>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ED7D31" w:themeFill="accent2"/>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ED7D31" w:themeFill="accent2"/>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ED7D31" w:themeFill="accent2"/>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F6BE98" w:themeFill="accent2"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E8E8E8" w:themeFill="accent3"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A5A5A5" w:themeFill="accent3"/>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A5A5A5" w:themeFill="accent3"/>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A5A5A5" w:themeFill="accent3"/>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A5A5A5" w:themeFill="accent3"/>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D2D2D2" w:themeFill="accent3"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FFEFBF" w:themeFill="accent4"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FFC000" w:themeFill="accent4"/>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FFC000" w:themeFill="accent4"/>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FFC000" w:themeFill="accent4"/>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FFC000" w:themeFill="accent4"/>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FFDF7F" w:themeFill="accent4"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0DCF0" w:themeFill="accent5"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4472C4" w:themeFill="accent5"/>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4472C4" w:themeFill="accent5"/>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4472C4" w:themeFill="accent5"/>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4472C4" w:themeFill="accent5"/>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A1B8E1" w:themeFill="accent5"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BEBD0" w:themeFill="accent6"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70AD47" w:themeFill="accent6"/>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70AD47" w:themeFill="accent6"/>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70AD47" w:themeFill="accent6"/>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70AD47" w:themeFill="accent6"/>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B7D8A1" w:themeFill="accent6"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CBE9CF" w:themeColor="background1" w:sz="18" w:space="0"/>
          <w:insideH w:val="nil"/>
          <w:insideV w:val="nil"/>
        </w:tcBorders>
        <w:shd w:val="clear" w:color="auto" w:fill="000000" w:themeFill="text1" w:themeFillShade="BF"/>
      </w:tcPr>
    </w:tblStylePr>
    <w:tblStylePr w:type="lastCol">
      <w:tblPr/>
      <w:tcPr>
        <w:tcBorders>
          <w:top w:val="nil"/>
          <w:left w:val="single" w:color="CBE9C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CBE9CF" w:themeColor="background1" w:sz="18" w:space="0"/>
          <w:insideH w:val="nil"/>
          <w:insideV w:val="nil"/>
        </w:tcBorders>
        <w:shd w:val="clear" w:color="auto" w:fill="2E75B5" w:themeFill="accent1" w:themeFillShade="BF"/>
      </w:tcPr>
    </w:tblStylePr>
    <w:tblStylePr w:type="lastCol">
      <w:tblPr/>
      <w:tcPr>
        <w:tcBorders>
          <w:top w:val="nil"/>
          <w:left w:val="single" w:color="CBE9C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CBE9CF" w:themeColor="background1" w:sz="18" w:space="0"/>
          <w:insideH w:val="nil"/>
          <w:insideV w:val="nil"/>
        </w:tcBorders>
        <w:shd w:val="clear" w:color="auto" w:fill="C55911" w:themeFill="accent2" w:themeFillShade="BF"/>
      </w:tcPr>
    </w:tblStylePr>
    <w:tblStylePr w:type="lastCol">
      <w:tblPr/>
      <w:tcPr>
        <w:tcBorders>
          <w:top w:val="nil"/>
          <w:left w:val="single" w:color="CBE9C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CBE9CF" w:themeColor="background1" w:sz="18" w:space="0"/>
          <w:insideH w:val="nil"/>
          <w:insideV w:val="nil"/>
        </w:tcBorders>
        <w:shd w:val="clear" w:color="auto" w:fill="7B7B7B" w:themeFill="accent3" w:themeFillShade="BF"/>
      </w:tcPr>
    </w:tblStylePr>
    <w:tblStylePr w:type="lastCol">
      <w:tblPr/>
      <w:tcPr>
        <w:tcBorders>
          <w:top w:val="nil"/>
          <w:left w:val="single" w:color="CBE9C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CBE9CF" w:themeColor="background1" w:sz="18" w:space="0"/>
          <w:insideH w:val="nil"/>
          <w:insideV w:val="nil"/>
        </w:tcBorders>
        <w:shd w:val="clear" w:color="auto" w:fill="BE8F00" w:themeFill="accent4" w:themeFillShade="BF"/>
      </w:tcPr>
    </w:tblStylePr>
    <w:tblStylePr w:type="lastCol">
      <w:tblPr/>
      <w:tcPr>
        <w:tcBorders>
          <w:top w:val="nil"/>
          <w:left w:val="single" w:color="CBE9C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CBE9CF" w:themeColor="background1" w:sz="18" w:space="0"/>
          <w:insideH w:val="nil"/>
          <w:insideV w:val="nil"/>
        </w:tcBorders>
        <w:shd w:val="clear" w:color="auto" w:fill="2F5496" w:themeFill="accent5" w:themeFillShade="BF"/>
      </w:tcPr>
    </w:tblStylePr>
    <w:tblStylePr w:type="lastCol">
      <w:tblPr/>
      <w:tcPr>
        <w:tcBorders>
          <w:top w:val="nil"/>
          <w:left w:val="single" w:color="CBE9C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CBE9CF" w:themeColor="background1" w:sz="18" w:space="0"/>
          <w:insideH w:val="nil"/>
          <w:insideV w:val="nil"/>
        </w:tcBorders>
        <w:shd w:val="clear" w:color="auto" w:fill="538135" w:themeFill="accent6" w:themeFillShade="BF"/>
      </w:tcPr>
    </w:tblStylePr>
    <w:tblStylePr w:type="lastCol">
      <w:tblPr/>
      <w:tcPr>
        <w:tcBorders>
          <w:top w:val="nil"/>
          <w:left w:val="single" w:color="CBE9C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CBE9CF" w:themeColor="background1" w:sz="4" w:space="0"/>
        <w:insideV w:val="single" w:color="CBE9C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000000" w:themeFill="text1"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CBE9CF" w:themeColor="background1" w:sz="4" w:space="0"/>
        <w:insideV w:val="single" w:color="CBE9C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255D91" w:themeFill="accent1"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CBE9CF" w:themeColor="background1" w:sz="4" w:space="0"/>
        <w:insideV w:val="single" w:color="CBE9C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9D480D" w:themeFill="accent2"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CBE9CF" w:themeColor="background1" w:sz="4" w:space="0"/>
        <w:insideV w:val="single" w:color="CBE9C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626262" w:themeFill="accent3"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CBE9CF" w:themeColor="background1" w:sz="4" w:space="0"/>
        <w:insideV w:val="single" w:color="CBE9C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997300" w:themeFill="accent4"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CBE9CF" w:themeColor="background1" w:sz="4" w:space="0"/>
        <w:insideV w:val="single" w:color="CBE9C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254378" w:themeFill="accent5"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CBE9CF" w:themeColor="background1" w:sz="4" w:space="0"/>
        <w:insideV w:val="single" w:color="CBE9C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43672A" w:themeFill="accent6"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CBE9CF" w:themeColor="background1"/>
        <w14:textFill>
          <w14:solidFill>
            <w14:schemeClr w14:val="bg1"/>
          </w14:solidFill>
        </w14:textFill>
      </w:rPr>
      <w:tblPr/>
      <w:tcPr>
        <w:shd w:val="clear" w:color="auto" w:fill="000000" w:themeFill="text1" w:themeFillShade="BF"/>
      </w:tcPr>
    </w:tblStylePr>
    <w:tblStylePr w:type="lastCol">
      <w:rPr>
        <w:color w:val="CBE9C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CBE9CF" w:themeColor="background1"/>
        <w14:textFill>
          <w14:solidFill>
            <w14:schemeClr w14:val="bg1"/>
          </w14:solidFill>
        </w14:textFill>
      </w:rPr>
      <w:tblPr/>
      <w:tcPr>
        <w:shd w:val="clear" w:color="auto" w:fill="2E75B5" w:themeFill="accent1" w:themeFillShade="BF"/>
      </w:tcPr>
    </w:tblStylePr>
    <w:tblStylePr w:type="lastCol">
      <w:rPr>
        <w:color w:val="CBE9C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CBE9CF" w:themeColor="background1"/>
        <w14:textFill>
          <w14:solidFill>
            <w14:schemeClr w14:val="bg1"/>
          </w14:solidFill>
        </w14:textFill>
      </w:rPr>
      <w:tblPr/>
      <w:tcPr>
        <w:shd w:val="clear" w:color="auto" w:fill="C55911" w:themeFill="accent2" w:themeFillShade="BF"/>
      </w:tcPr>
    </w:tblStylePr>
    <w:tblStylePr w:type="lastCol">
      <w:rPr>
        <w:color w:val="CBE9C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CBE9CF" w:themeColor="background1"/>
        <w14:textFill>
          <w14:solidFill>
            <w14:schemeClr w14:val="bg1"/>
          </w14:solidFill>
        </w14:textFill>
      </w:rPr>
      <w:tblPr/>
      <w:tcPr>
        <w:shd w:val="clear" w:color="auto" w:fill="7B7B7B" w:themeFill="accent3" w:themeFillShade="BF"/>
      </w:tcPr>
    </w:tblStylePr>
    <w:tblStylePr w:type="lastCol">
      <w:rPr>
        <w:color w:val="CBE9C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CBE9CF" w:themeColor="background1"/>
        <w14:textFill>
          <w14:solidFill>
            <w14:schemeClr w14:val="bg1"/>
          </w14:solidFill>
        </w14:textFill>
      </w:rPr>
      <w:tblPr/>
      <w:tcPr>
        <w:shd w:val="clear" w:color="auto" w:fill="BE8F00" w:themeFill="accent4" w:themeFillShade="BF"/>
      </w:tcPr>
    </w:tblStylePr>
    <w:tblStylePr w:type="lastCol">
      <w:rPr>
        <w:color w:val="CBE9C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CBE9CF" w:themeColor="background1"/>
        <w14:textFill>
          <w14:solidFill>
            <w14:schemeClr w14:val="bg1"/>
          </w14:solidFill>
        </w14:textFill>
      </w:rPr>
      <w:tblPr/>
      <w:tcPr>
        <w:shd w:val="clear" w:color="auto" w:fill="2F5496" w:themeFill="accent5" w:themeFillShade="BF"/>
      </w:tcPr>
    </w:tblStylePr>
    <w:tblStylePr w:type="lastCol">
      <w:rPr>
        <w:color w:val="CBE9C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CBE9CF" w:themeColor="background1"/>
        <w14:textFill>
          <w14:solidFill>
            <w14:schemeClr w14:val="bg1"/>
          </w14:solidFill>
        </w14:textFill>
      </w:rPr>
      <w:tblPr/>
      <w:tcPr>
        <w:shd w:val="clear" w:color="auto" w:fill="538135" w:themeFill="accent6" w:themeFillShade="BF"/>
      </w:tcPr>
    </w:tblStylePr>
    <w:tblStylePr w:type="lastCol">
      <w:rPr>
        <w:color w:val="CBE9C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0"/>
    <w:rPr>
      <w:b/>
      <w:bCs/>
    </w:rPr>
  </w:style>
  <w:style w:type="character" w:styleId="233">
    <w:name w:val="endnote reference"/>
    <w:basedOn w:val="231"/>
    <w:qFormat/>
    <w:uiPriority w:val="0"/>
    <w:rPr>
      <w:vertAlign w:val="superscript"/>
    </w:rPr>
  </w:style>
  <w:style w:type="character" w:styleId="234">
    <w:name w:val="page number"/>
    <w:basedOn w:val="231"/>
    <w:uiPriority w:val="0"/>
  </w:style>
  <w:style w:type="character" w:styleId="235">
    <w:name w:val="FollowedHyperlink"/>
    <w:basedOn w:val="231"/>
    <w:uiPriority w:val="0"/>
    <w:rPr>
      <w:color w:val="000000"/>
      <w:u w:val="none"/>
    </w:rPr>
  </w:style>
  <w:style w:type="character" w:styleId="236">
    <w:name w:val="Emphasis"/>
    <w:basedOn w:val="231"/>
    <w:qFormat/>
    <w:uiPriority w:val="0"/>
    <w:rPr>
      <w:i/>
      <w:iCs/>
    </w:rPr>
  </w:style>
  <w:style w:type="character" w:styleId="237">
    <w:name w:val="line number"/>
    <w:basedOn w:val="231"/>
    <w:uiPriority w:val="0"/>
  </w:style>
  <w:style w:type="character" w:styleId="238">
    <w:name w:val="HTML Definition"/>
    <w:basedOn w:val="231"/>
    <w:uiPriority w:val="0"/>
    <w:rPr>
      <w:i/>
      <w:iCs/>
    </w:rPr>
  </w:style>
  <w:style w:type="character" w:styleId="239">
    <w:name w:val="HTML Typewriter"/>
    <w:basedOn w:val="231"/>
    <w:uiPriority w:val="0"/>
    <w:rPr>
      <w:rFonts w:ascii="Courier New" w:hAnsi="Courier New" w:cs="Courier New"/>
      <w:sz w:val="20"/>
      <w:szCs w:val="20"/>
    </w:rPr>
  </w:style>
  <w:style w:type="character" w:styleId="240">
    <w:name w:val="HTML Acronym"/>
    <w:basedOn w:val="231"/>
    <w:uiPriority w:val="0"/>
  </w:style>
  <w:style w:type="character" w:styleId="241">
    <w:name w:val="HTML Variable"/>
    <w:basedOn w:val="231"/>
    <w:uiPriority w:val="0"/>
    <w:rPr>
      <w:i/>
      <w:iCs/>
    </w:rPr>
  </w:style>
  <w:style w:type="character" w:styleId="242">
    <w:name w:val="Hyperlink"/>
    <w:basedOn w:val="231"/>
    <w:uiPriority w:val="99"/>
    <w:rPr>
      <w:color w:val="000000"/>
      <w:u w:val="none"/>
    </w:rPr>
  </w:style>
  <w:style w:type="character" w:styleId="243">
    <w:name w:val="HTML Code"/>
    <w:basedOn w:val="231"/>
    <w:uiPriority w:val="0"/>
    <w:rPr>
      <w:rFonts w:ascii="Courier New" w:hAnsi="Courier New" w:cs="Courier New"/>
      <w:sz w:val="20"/>
      <w:szCs w:val="20"/>
    </w:rPr>
  </w:style>
  <w:style w:type="character" w:styleId="244">
    <w:name w:val="annotation reference"/>
    <w:basedOn w:val="231"/>
    <w:uiPriority w:val="0"/>
    <w:rPr>
      <w:sz w:val="21"/>
      <w:szCs w:val="21"/>
    </w:rPr>
  </w:style>
  <w:style w:type="character" w:styleId="245">
    <w:name w:val="HTML Cite"/>
    <w:basedOn w:val="231"/>
    <w:uiPriority w:val="0"/>
    <w:rPr>
      <w:i/>
      <w:iCs/>
    </w:rPr>
  </w:style>
  <w:style w:type="character" w:styleId="246">
    <w:name w:val="footnote reference"/>
    <w:basedOn w:val="231"/>
    <w:uiPriority w:val="0"/>
    <w:rPr>
      <w:vertAlign w:val="superscript"/>
    </w:rPr>
  </w:style>
  <w:style w:type="character" w:styleId="247">
    <w:name w:val="HTML Keyboard"/>
    <w:basedOn w:val="231"/>
    <w:uiPriority w:val="0"/>
    <w:rPr>
      <w:rFonts w:ascii="Courier New" w:hAnsi="Courier New" w:cs="Courier New"/>
      <w:sz w:val="20"/>
      <w:szCs w:val="20"/>
    </w:rPr>
  </w:style>
  <w:style w:type="character" w:styleId="248">
    <w:name w:val="HTML Sample"/>
    <w:basedOn w:val="231"/>
    <w:uiPriority w:val="0"/>
    <w:rPr>
      <w:rFonts w:ascii="Courier New" w:hAnsi="Courier New" w:cs="Courier New"/>
    </w:rPr>
  </w:style>
  <w:style w:type="paragraph" w:customStyle="1" w:styleId="249">
    <w:name w:val="_Style 15"/>
    <w:basedOn w:val="1"/>
    <w:next w:val="1"/>
    <w:uiPriority w:val="0"/>
    <w:pPr>
      <w:pBdr>
        <w:bottom w:val="single" w:color="auto" w:sz="6" w:space="1"/>
      </w:pBdr>
      <w:jc w:val="center"/>
    </w:pPr>
    <w:rPr>
      <w:rFonts w:ascii="Arial" w:eastAsia="宋体"/>
      <w:vanish/>
      <w:sz w:val="16"/>
    </w:rPr>
  </w:style>
  <w:style w:type="paragraph" w:customStyle="1" w:styleId="250">
    <w:name w:val="_Style 16"/>
    <w:basedOn w:val="1"/>
    <w:next w:val="1"/>
    <w:uiPriority w:val="0"/>
    <w:pPr>
      <w:pBdr>
        <w:top w:val="single" w:color="auto" w:sz="6" w:space="1"/>
      </w:pBdr>
      <w:jc w:val="center"/>
    </w:pPr>
    <w:rPr>
      <w:rFonts w:ascii="Arial" w:eastAsia="宋体"/>
      <w:vanish/>
      <w:sz w:val="16"/>
    </w:rPr>
  </w:style>
  <w:style w:type="character" w:customStyle="1" w:styleId="251">
    <w:name w:val="页眉 字符"/>
    <w:basedOn w:val="231"/>
    <w:link w:val="57"/>
    <w:uiPriority w:val="0"/>
    <w:rPr>
      <w:rFonts w:asciiTheme="minorHAnsi" w:hAnsiTheme="minorHAnsi" w:eastAsiaTheme="minorEastAsia" w:cstheme="minorBidi"/>
      <w:kern w:val="2"/>
      <w:sz w:val="18"/>
      <w:szCs w:val="18"/>
      <w:lang w:bidi="ar-SA"/>
    </w:rPr>
  </w:style>
  <w:style w:type="character" w:customStyle="1" w:styleId="252">
    <w:name w:val="页脚 字符"/>
    <w:basedOn w:val="231"/>
    <w:link w:val="55"/>
    <w:uiPriority w:val="0"/>
    <w:rPr>
      <w:rFonts w:asciiTheme="minorHAnsi" w:hAnsiTheme="minorHAnsi" w:eastAsiaTheme="minorEastAsia" w:cstheme="minorBidi"/>
      <w:kern w:val="2"/>
      <w:sz w:val="18"/>
      <w:szCs w:val="18"/>
      <w:lang w:bidi="ar-SA"/>
    </w:rPr>
  </w:style>
  <w:style w:type="character" w:customStyle="1" w:styleId="253">
    <w:name w:val="Mention"/>
    <w:basedOn w:val="231"/>
    <w:semiHidden/>
    <w:unhideWhenUsed/>
    <w:uiPriority w:val="99"/>
    <w:rPr>
      <w:color w:val="2B579A"/>
      <w:shd w:val="clear" w:color="auto" w:fill="E1DFDD"/>
    </w:rPr>
  </w:style>
  <w:style w:type="character" w:customStyle="1" w:styleId="254">
    <w:name w:val="HTML 地址 字符"/>
    <w:basedOn w:val="231"/>
    <w:link w:val="41"/>
    <w:uiPriority w:val="0"/>
    <w:rPr>
      <w:rFonts w:asciiTheme="minorHAnsi" w:hAnsiTheme="minorHAnsi" w:eastAsiaTheme="minorEastAsia" w:cstheme="minorBidi"/>
      <w:i/>
      <w:iCs/>
      <w:kern w:val="2"/>
      <w:sz w:val="21"/>
      <w:szCs w:val="24"/>
      <w:lang w:bidi="ar-SA"/>
    </w:rPr>
  </w:style>
  <w:style w:type="character" w:customStyle="1" w:styleId="255">
    <w:name w:val="HTML 预设格式 字符"/>
    <w:basedOn w:val="231"/>
    <w:link w:val="80"/>
    <w:uiPriority w:val="0"/>
    <w:rPr>
      <w:rFonts w:ascii="Courier New" w:hAnsi="Courier New" w:cs="Courier New" w:eastAsiaTheme="minorEastAsia"/>
      <w:kern w:val="2"/>
      <w:lang w:bidi="ar-SA"/>
    </w:rPr>
  </w:style>
  <w:style w:type="paragraph" w:customStyle="1" w:styleId="256">
    <w:name w:val="TOC Heading"/>
    <w:basedOn w:val="3"/>
    <w:next w:val="1"/>
    <w:semiHidden/>
    <w:unhideWhenUsed/>
    <w:qFormat/>
    <w:uiPriority w:val="39"/>
    <w:pPr>
      <w:keepNext/>
      <w:keepLines/>
      <w:spacing w:before="340" w:beforeAutospacing="0" w:after="330" w:afterAutospacing="0" w:line="578" w:lineRule="auto"/>
      <w:jc w:val="both"/>
      <w:outlineLvl w:val="9"/>
    </w:pPr>
    <w:rPr>
      <w:rFonts w:hint="default" w:asciiTheme="minorHAnsi" w:hAnsiTheme="minorHAnsi" w:eastAsiaTheme="minorEastAsia" w:cstheme="minorBidi"/>
      <w:bCs/>
      <w:sz w:val="44"/>
      <w:szCs w:val="44"/>
      <w:lang w:bidi="ar-SA"/>
    </w:rPr>
  </w:style>
  <w:style w:type="character" w:customStyle="1" w:styleId="257">
    <w:name w:val="标题 字符"/>
    <w:basedOn w:val="231"/>
    <w:link w:val="84"/>
    <w:uiPriority w:val="0"/>
    <w:rPr>
      <w:rFonts w:asciiTheme="majorHAnsi" w:hAnsiTheme="majorHAnsi" w:eastAsiaTheme="majorEastAsia" w:cstheme="majorBidi"/>
      <w:b/>
      <w:bCs/>
      <w:kern w:val="2"/>
      <w:sz w:val="32"/>
      <w:szCs w:val="32"/>
      <w:lang w:bidi="ar-SA"/>
    </w:rPr>
  </w:style>
  <w:style w:type="character" w:customStyle="1" w:styleId="258">
    <w:name w:val="标题 3 字符"/>
    <w:basedOn w:val="231"/>
    <w:link w:val="5"/>
    <w:semiHidden/>
    <w:uiPriority w:val="0"/>
    <w:rPr>
      <w:rFonts w:asciiTheme="minorHAnsi" w:hAnsiTheme="minorHAnsi" w:eastAsiaTheme="minorEastAsia" w:cstheme="minorBidi"/>
      <w:b/>
      <w:bCs/>
      <w:kern w:val="2"/>
      <w:sz w:val="32"/>
      <w:szCs w:val="32"/>
      <w:lang w:bidi="ar-SA"/>
    </w:rPr>
  </w:style>
  <w:style w:type="character" w:customStyle="1" w:styleId="259">
    <w:name w:val="标题 4 字符"/>
    <w:basedOn w:val="231"/>
    <w:link w:val="6"/>
    <w:semiHidden/>
    <w:uiPriority w:val="0"/>
    <w:rPr>
      <w:rFonts w:asciiTheme="majorHAnsi" w:hAnsiTheme="majorHAnsi" w:eastAsiaTheme="majorEastAsia" w:cstheme="majorBidi"/>
      <w:b/>
      <w:bCs/>
      <w:kern w:val="2"/>
      <w:sz w:val="28"/>
      <w:szCs w:val="28"/>
      <w:lang w:bidi="ar-SA"/>
    </w:rPr>
  </w:style>
  <w:style w:type="character" w:customStyle="1" w:styleId="260">
    <w:name w:val="标题 5 字符"/>
    <w:basedOn w:val="231"/>
    <w:link w:val="7"/>
    <w:semiHidden/>
    <w:uiPriority w:val="0"/>
    <w:rPr>
      <w:rFonts w:asciiTheme="minorHAnsi" w:hAnsiTheme="minorHAnsi" w:eastAsiaTheme="minorEastAsia" w:cstheme="minorBidi"/>
      <w:b/>
      <w:bCs/>
      <w:kern w:val="2"/>
      <w:sz w:val="28"/>
      <w:szCs w:val="28"/>
      <w:lang w:bidi="ar-SA"/>
    </w:rPr>
  </w:style>
  <w:style w:type="character" w:customStyle="1" w:styleId="261">
    <w:name w:val="标题 6 字符"/>
    <w:basedOn w:val="231"/>
    <w:link w:val="8"/>
    <w:semiHidden/>
    <w:uiPriority w:val="0"/>
    <w:rPr>
      <w:rFonts w:asciiTheme="majorHAnsi" w:hAnsiTheme="majorHAnsi" w:eastAsiaTheme="majorEastAsia" w:cstheme="majorBidi"/>
      <w:b/>
      <w:bCs/>
      <w:kern w:val="2"/>
      <w:sz w:val="24"/>
      <w:szCs w:val="24"/>
      <w:lang w:bidi="ar-SA"/>
    </w:rPr>
  </w:style>
  <w:style w:type="character" w:customStyle="1" w:styleId="262">
    <w:name w:val="标题 7 字符"/>
    <w:basedOn w:val="231"/>
    <w:link w:val="9"/>
    <w:semiHidden/>
    <w:uiPriority w:val="0"/>
    <w:rPr>
      <w:rFonts w:asciiTheme="minorHAnsi" w:hAnsiTheme="minorHAnsi" w:eastAsiaTheme="minorEastAsia" w:cstheme="minorBidi"/>
      <w:b/>
      <w:bCs/>
      <w:kern w:val="2"/>
      <w:sz w:val="24"/>
      <w:szCs w:val="24"/>
      <w:lang w:bidi="ar-SA"/>
    </w:rPr>
  </w:style>
  <w:style w:type="character" w:customStyle="1" w:styleId="263">
    <w:name w:val="标题 8 字符"/>
    <w:basedOn w:val="231"/>
    <w:link w:val="10"/>
    <w:semiHidden/>
    <w:uiPriority w:val="0"/>
    <w:rPr>
      <w:rFonts w:asciiTheme="majorHAnsi" w:hAnsiTheme="majorHAnsi" w:eastAsiaTheme="majorEastAsia" w:cstheme="majorBidi"/>
      <w:kern w:val="2"/>
      <w:sz w:val="24"/>
      <w:szCs w:val="24"/>
      <w:lang w:bidi="ar-SA"/>
    </w:rPr>
  </w:style>
  <w:style w:type="character" w:customStyle="1" w:styleId="264">
    <w:name w:val="标题 9 字符"/>
    <w:basedOn w:val="231"/>
    <w:link w:val="11"/>
    <w:semiHidden/>
    <w:uiPriority w:val="0"/>
    <w:rPr>
      <w:rFonts w:asciiTheme="majorHAnsi" w:hAnsiTheme="majorHAnsi" w:eastAsiaTheme="majorEastAsia" w:cstheme="majorBidi"/>
      <w:kern w:val="2"/>
      <w:sz w:val="21"/>
      <w:szCs w:val="21"/>
      <w:lang w:bidi="ar-SA"/>
    </w:rPr>
  </w:style>
  <w:style w:type="character" w:customStyle="1" w:styleId="265">
    <w:name w:val="Subtle Reference"/>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66">
    <w:name w:val="Subtle Emphasis"/>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267">
    <w:name w:val="称呼 字符"/>
    <w:basedOn w:val="231"/>
    <w:link w:val="30"/>
    <w:uiPriority w:val="0"/>
    <w:rPr>
      <w:rFonts w:asciiTheme="minorHAnsi" w:hAnsiTheme="minorHAnsi" w:eastAsiaTheme="minorEastAsia" w:cstheme="minorBidi"/>
      <w:kern w:val="2"/>
      <w:sz w:val="21"/>
      <w:szCs w:val="24"/>
      <w:lang w:bidi="ar-SA"/>
    </w:rPr>
  </w:style>
  <w:style w:type="character" w:customStyle="1" w:styleId="268">
    <w:name w:val="纯文本 字符"/>
    <w:basedOn w:val="231"/>
    <w:link w:val="45"/>
    <w:uiPriority w:val="0"/>
    <w:rPr>
      <w:rFonts w:hAnsi="Courier New" w:cs="Courier New" w:asciiTheme="minorEastAsia" w:eastAsiaTheme="minorEastAsia"/>
      <w:kern w:val="2"/>
      <w:sz w:val="21"/>
      <w:szCs w:val="24"/>
      <w:lang w:bidi="ar-SA"/>
    </w:rPr>
  </w:style>
  <w:style w:type="character" w:customStyle="1" w:styleId="269">
    <w:name w:val="电子邮件签名 字符"/>
    <w:basedOn w:val="231"/>
    <w:link w:val="19"/>
    <w:uiPriority w:val="0"/>
    <w:rPr>
      <w:rFonts w:asciiTheme="minorHAnsi" w:hAnsiTheme="minorHAnsi" w:eastAsiaTheme="minorEastAsia" w:cstheme="minorBidi"/>
      <w:kern w:val="2"/>
      <w:sz w:val="21"/>
      <w:szCs w:val="24"/>
      <w:lang w:bidi="ar-SA"/>
    </w:rPr>
  </w:style>
  <w:style w:type="character" w:customStyle="1" w:styleId="270">
    <w:name w:val="副标题 字符"/>
    <w:basedOn w:val="231"/>
    <w:link w:val="64"/>
    <w:uiPriority w:val="0"/>
    <w:rPr>
      <w:rFonts w:asciiTheme="minorHAnsi" w:hAnsiTheme="minorHAnsi" w:eastAsiaTheme="minorEastAsia" w:cstheme="minorBidi"/>
      <w:b/>
      <w:bCs/>
      <w:kern w:val="28"/>
      <w:sz w:val="32"/>
      <w:szCs w:val="32"/>
      <w:lang w:bidi="ar-SA"/>
    </w:rPr>
  </w:style>
  <w:style w:type="character" w:customStyle="1" w:styleId="271">
    <w:name w:val="宏文本 字符"/>
    <w:basedOn w:val="231"/>
    <w:link w:val="2"/>
    <w:uiPriority w:val="0"/>
    <w:rPr>
      <w:rFonts w:ascii="Courier New" w:hAnsi="Courier New" w:cs="Courier New"/>
      <w:kern w:val="2"/>
      <w:sz w:val="24"/>
      <w:szCs w:val="24"/>
      <w:lang w:bidi="ar-SA"/>
    </w:rPr>
  </w:style>
  <w:style w:type="character" w:customStyle="1" w:styleId="272">
    <w:name w:val="脚注文本 字符"/>
    <w:basedOn w:val="231"/>
    <w:link w:val="67"/>
    <w:uiPriority w:val="0"/>
    <w:rPr>
      <w:rFonts w:asciiTheme="minorHAnsi" w:hAnsiTheme="minorHAnsi" w:eastAsiaTheme="minorEastAsia" w:cstheme="minorBidi"/>
      <w:kern w:val="2"/>
      <w:sz w:val="18"/>
      <w:szCs w:val="18"/>
      <w:lang w:bidi="ar-SA"/>
    </w:rPr>
  </w:style>
  <w:style w:type="character" w:customStyle="1" w:styleId="273">
    <w:name w:val="结束语 字符"/>
    <w:basedOn w:val="231"/>
    <w:link w:val="32"/>
    <w:uiPriority w:val="0"/>
    <w:rPr>
      <w:rFonts w:asciiTheme="minorHAnsi" w:hAnsiTheme="minorHAnsi" w:eastAsiaTheme="minorEastAsia" w:cstheme="minorBidi"/>
      <w:kern w:val="2"/>
      <w:sz w:val="21"/>
      <w:szCs w:val="24"/>
      <w:lang w:bidi="ar-SA"/>
    </w:rPr>
  </w:style>
  <w:style w:type="character" w:customStyle="1" w:styleId="274">
    <w:name w:val="Hashtag"/>
    <w:basedOn w:val="231"/>
    <w:semiHidden/>
    <w:unhideWhenUsed/>
    <w:uiPriority w:val="99"/>
    <w:rPr>
      <w:color w:val="2B579A"/>
      <w:shd w:val="clear" w:color="auto" w:fill="E1DFDD"/>
    </w:rPr>
  </w:style>
  <w:style w:type="paragraph" w:styleId="275">
    <w:name w:val="List Paragraph"/>
    <w:basedOn w:val="1"/>
    <w:semiHidden/>
    <w:unhideWhenUsed/>
    <w:uiPriority w:val="99"/>
    <w:pPr>
      <w:ind w:firstLine="420" w:firstLineChars="200"/>
    </w:pPr>
  </w:style>
  <w:style w:type="character" w:customStyle="1" w:styleId="276">
    <w:name w:val="Intense Reference"/>
    <w:basedOn w:val="231"/>
    <w:qFormat/>
    <w:uiPriority w:val="32"/>
    <w:rPr>
      <w:b/>
      <w:bCs/>
      <w:smallCaps/>
      <w:color w:val="5B9BD5" w:themeColor="accent1"/>
      <w:spacing w:val="5"/>
      <w14:textFill>
        <w14:solidFill>
          <w14:schemeClr w14:val="accent1"/>
        </w14:solidFill>
      </w14:textFill>
    </w:rPr>
  </w:style>
  <w:style w:type="character" w:customStyle="1" w:styleId="277">
    <w:name w:val="Intense Emphasis"/>
    <w:basedOn w:val="231"/>
    <w:qFormat/>
    <w:uiPriority w:val="21"/>
    <w:rPr>
      <w:i/>
      <w:iCs/>
      <w:color w:val="5B9BD5" w:themeColor="accent1"/>
      <w14:textFill>
        <w14:solidFill>
          <w14:schemeClr w14:val="accent1"/>
        </w14:solidFill>
      </w14:textFill>
    </w:rPr>
  </w:style>
  <w:style w:type="paragraph" w:styleId="278">
    <w:name w:val="Intense Quote"/>
    <w:basedOn w:val="1"/>
    <w:next w:val="1"/>
    <w:link w:val="279"/>
    <w:semiHidden/>
    <w:unhideWhenUsed/>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279">
    <w:name w:val="明显引用 字符"/>
    <w:basedOn w:val="231"/>
    <w:link w:val="278"/>
    <w:semiHidden/>
    <w:uiPriority w:val="99"/>
    <w:rPr>
      <w:rFonts w:asciiTheme="minorHAnsi" w:hAnsiTheme="minorHAnsi" w:eastAsiaTheme="minorEastAsia" w:cstheme="minorBidi"/>
      <w:i/>
      <w:iCs/>
      <w:color w:val="5B9BD5" w:themeColor="accent1"/>
      <w:kern w:val="2"/>
      <w:sz w:val="21"/>
      <w:szCs w:val="24"/>
      <w:lang w:bidi="ar-SA"/>
      <w14:textFill>
        <w14:solidFill>
          <w14:schemeClr w14:val="accent1"/>
        </w14:solidFill>
      </w14:textFill>
    </w:rPr>
  </w:style>
  <w:style w:type="character" w:customStyle="1" w:styleId="280">
    <w:name w:val="批注框文本 字符"/>
    <w:basedOn w:val="231"/>
    <w:link w:val="54"/>
    <w:uiPriority w:val="0"/>
    <w:rPr>
      <w:rFonts w:asciiTheme="minorHAnsi" w:hAnsiTheme="minorHAnsi" w:eastAsiaTheme="minorEastAsia" w:cstheme="minorBidi"/>
      <w:kern w:val="2"/>
      <w:sz w:val="18"/>
      <w:szCs w:val="18"/>
      <w:lang w:bidi="ar-SA"/>
    </w:rPr>
  </w:style>
  <w:style w:type="character" w:customStyle="1" w:styleId="281">
    <w:name w:val="批注文字 字符"/>
    <w:basedOn w:val="231"/>
    <w:link w:val="28"/>
    <w:uiPriority w:val="0"/>
    <w:rPr>
      <w:rFonts w:asciiTheme="minorHAnsi" w:hAnsiTheme="minorHAnsi" w:eastAsiaTheme="minorEastAsia" w:cstheme="minorBidi"/>
      <w:kern w:val="2"/>
      <w:sz w:val="21"/>
      <w:szCs w:val="24"/>
      <w:lang w:bidi="ar-SA"/>
    </w:rPr>
  </w:style>
  <w:style w:type="character" w:customStyle="1" w:styleId="282">
    <w:name w:val="批注主题 字符"/>
    <w:basedOn w:val="281"/>
    <w:link w:val="85"/>
    <w:uiPriority w:val="0"/>
    <w:rPr>
      <w:rFonts w:asciiTheme="minorHAnsi" w:hAnsiTheme="minorHAnsi" w:eastAsiaTheme="minorEastAsia" w:cstheme="minorBidi"/>
      <w:b/>
      <w:bCs/>
      <w:kern w:val="2"/>
      <w:sz w:val="21"/>
      <w:szCs w:val="24"/>
      <w:lang w:bidi="ar-SA"/>
    </w:rPr>
  </w:style>
  <w:style w:type="character" w:customStyle="1" w:styleId="283">
    <w:name w:val="签名 字符"/>
    <w:basedOn w:val="231"/>
    <w:link w:val="58"/>
    <w:uiPriority w:val="0"/>
    <w:rPr>
      <w:rFonts w:asciiTheme="minorHAnsi" w:hAnsiTheme="minorHAnsi" w:eastAsiaTheme="minorEastAsia" w:cstheme="minorBidi"/>
      <w:kern w:val="2"/>
      <w:sz w:val="21"/>
      <w:szCs w:val="24"/>
      <w:lang w:bidi="ar-SA"/>
    </w:rPr>
  </w:style>
  <w:style w:type="table" w:customStyle="1" w:styleId="284">
    <w:name w:val="List Table 1 Light"/>
    <w:basedOn w:val="88"/>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85">
    <w:name w:val="List Table 1 Light Accent 1"/>
    <w:basedOn w:val="88"/>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86">
    <w:name w:val="List Table 1 Light Accent 2"/>
    <w:basedOn w:val="88"/>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87">
    <w:name w:val="List Table 1 Light Accent 3"/>
    <w:basedOn w:val="88"/>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288">
    <w:name w:val="List Table 1 Light Accent 4"/>
    <w:basedOn w:val="88"/>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89">
    <w:name w:val="List Table 1 Light Accent 5"/>
    <w:basedOn w:val="88"/>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90">
    <w:name w:val="List Table 1 Light Accent 6"/>
    <w:basedOn w:val="88"/>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291">
    <w:name w:val="List Table 2"/>
    <w:basedOn w:val="88"/>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92">
    <w:name w:val="List Table 2 Accent 1"/>
    <w:basedOn w:val="88"/>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93">
    <w:name w:val="List Table 2 Accent 2"/>
    <w:basedOn w:val="88"/>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94">
    <w:name w:val="List Table 2 Accent 3"/>
    <w:basedOn w:val="88"/>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295">
    <w:name w:val="List Table 2 Accent 4"/>
    <w:basedOn w:val="88"/>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96">
    <w:name w:val="List Table 2 Accent 5"/>
    <w:basedOn w:val="88"/>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97">
    <w:name w:val="List Table 2 Accent 6"/>
    <w:basedOn w:val="88"/>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298">
    <w:name w:val="List Table 3"/>
    <w:basedOn w:val="88"/>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CBE9C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299">
    <w:name w:val="List Table 3 Accent 1"/>
    <w:basedOn w:val="88"/>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CBE9C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00">
    <w:name w:val="List Table 3 Accent 2"/>
    <w:basedOn w:val="88"/>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CBE9C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01">
    <w:name w:val="List Table 3 Accent 3"/>
    <w:basedOn w:val="88"/>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CBE9C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02">
    <w:name w:val="List Table 3 Accent 4"/>
    <w:basedOn w:val="88"/>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CBE9C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03">
    <w:name w:val="List Table 3 Accent 5"/>
    <w:basedOn w:val="88"/>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CBE9C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04">
    <w:name w:val="List Table 3 Accent 6"/>
    <w:basedOn w:val="88"/>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CBE9C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05">
    <w:name w:val="List Table 4"/>
    <w:basedOn w:val="88"/>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CBE9C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06">
    <w:name w:val="List Table 4 Accent 1"/>
    <w:basedOn w:val="88"/>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CBE9C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07">
    <w:name w:val="List Table 4 Accent 2"/>
    <w:basedOn w:val="88"/>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CBE9C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08">
    <w:name w:val="List Table 4 Accent 3"/>
    <w:basedOn w:val="88"/>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CBE9C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09">
    <w:name w:val="List Table 4 Accent 4"/>
    <w:basedOn w:val="88"/>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CBE9C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10">
    <w:name w:val="List Table 4 Accent 5"/>
    <w:basedOn w:val="88"/>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CBE9C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11">
    <w:name w:val="List Table 4 Accent 6"/>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CBE9C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12">
    <w:name w:val="List Table 5 Dark"/>
    <w:basedOn w:val="88"/>
    <w:qFormat/>
    <w:uiPriority w:val="50"/>
    <w:rPr>
      <w:color w:val="CBE9C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3">
    <w:name w:val="List Table 5 Dark Accent 1"/>
    <w:basedOn w:val="88"/>
    <w:uiPriority w:val="50"/>
    <w:rPr>
      <w:color w:val="CBE9C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4">
    <w:name w:val="List Table 5 Dark Accent 2"/>
    <w:basedOn w:val="88"/>
    <w:uiPriority w:val="50"/>
    <w:rPr>
      <w:color w:val="CBE9C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5">
    <w:name w:val="List Table 5 Dark Accent 3"/>
    <w:basedOn w:val="88"/>
    <w:uiPriority w:val="50"/>
    <w:rPr>
      <w:color w:val="CBE9C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6">
    <w:name w:val="List Table 5 Dark Accent 4"/>
    <w:basedOn w:val="88"/>
    <w:uiPriority w:val="50"/>
    <w:rPr>
      <w:color w:val="CBE9C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7">
    <w:name w:val="List Table 5 Dark Accent 5"/>
    <w:basedOn w:val="88"/>
    <w:uiPriority w:val="50"/>
    <w:rPr>
      <w:color w:val="CBE9C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8">
    <w:name w:val="List Table 5 Dark Accent 6"/>
    <w:basedOn w:val="88"/>
    <w:uiPriority w:val="50"/>
    <w:rPr>
      <w:color w:val="CBE9C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9">
    <w:name w:val="List Table 6 Colorful"/>
    <w:basedOn w:val="88"/>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20">
    <w:name w:val="List Table 6 Colorful Accent 1"/>
    <w:basedOn w:val="88"/>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21">
    <w:name w:val="List Table 6 Colorful Accent 2"/>
    <w:basedOn w:val="88"/>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22">
    <w:name w:val="List Table 6 Colorful Accent 3"/>
    <w:basedOn w:val="88"/>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23">
    <w:name w:val="List Table 6 Colorful Accent 4"/>
    <w:basedOn w:val="88"/>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24">
    <w:name w:val="List Table 6 Colorful Accent 5"/>
    <w:basedOn w:val="88"/>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25">
    <w:name w:val="List Table 6 Colorful Accent 6"/>
    <w:basedOn w:val="88"/>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26">
    <w:name w:val="List Table 7 Colorful"/>
    <w:basedOn w:val="88"/>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7">
    <w:name w:val="List Table 7 Colorful Accent 1"/>
    <w:basedOn w:val="88"/>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8">
    <w:name w:val="List Table 7 Colorful Accent 2"/>
    <w:basedOn w:val="88"/>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9">
    <w:name w:val="List Table 7 Colorful Accent 3"/>
    <w:basedOn w:val="88"/>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0">
    <w:name w:val="List Table 7 Colorful Accent 4"/>
    <w:basedOn w:val="88"/>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1">
    <w:name w:val="List Table 7 Colorful Accent 5"/>
    <w:basedOn w:val="88"/>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2">
    <w:name w:val="List Table 7 Colorful Accent 6"/>
    <w:basedOn w:val="88"/>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333">
    <w:name w:val="日期 字符"/>
    <w:basedOn w:val="231"/>
    <w:link w:val="50"/>
    <w:uiPriority w:val="0"/>
    <w:rPr>
      <w:rFonts w:asciiTheme="minorHAnsi" w:hAnsiTheme="minorHAnsi" w:eastAsiaTheme="minorEastAsia" w:cstheme="minorBidi"/>
      <w:kern w:val="2"/>
      <w:sz w:val="21"/>
      <w:szCs w:val="24"/>
      <w:lang w:bidi="ar-SA"/>
    </w:rPr>
  </w:style>
  <w:style w:type="character" w:customStyle="1" w:styleId="334">
    <w:name w:val="Book Title"/>
    <w:basedOn w:val="231"/>
    <w:qFormat/>
    <w:uiPriority w:val="33"/>
    <w:rPr>
      <w:b/>
      <w:bCs/>
      <w:i/>
      <w:iCs/>
      <w:spacing w:val="5"/>
    </w:rPr>
  </w:style>
  <w:style w:type="paragraph" w:customStyle="1" w:styleId="335">
    <w:name w:val="Bibliography"/>
    <w:basedOn w:val="1"/>
    <w:next w:val="1"/>
    <w:semiHidden/>
    <w:unhideWhenUsed/>
    <w:uiPriority w:val="37"/>
  </w:style>
  <w:style w:type="table" w:customStyle="1" w:styleId="336">
    <w:name w:val="Grid Table 1 Light"/>
    <w:basedOn w:val="88"/>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337">
    <w:name w:val="Grid Table 1 Light Accent 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338">
    <w:name w:val="Grid Table 1 Light Accent 2"/>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339">
    <w:name w:val="Grid Table 1 Light Accent 3"/>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340">
    <w:name w:val="Grid Table 1 Light Accent 4"/>
    <w:basedOn w:val="88"/>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341">
    <w:name w:val="Grid Table 1 Light Accent 5"/>
    <w:basedOn w:val="88"/>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342">
    <w:name w:val="Grid Table 1 Light Accent 6"/>
    <w:basedOn w:val="88"/>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343">
    <w:name w:val="Grid Table 2"/>
    <w:basedOn w:val="88"/>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CBE9CF" w:themeFill="background1"/>
      </w:tcPr>
    </w:tblStylePr>
    <w:tblStylePr w:type="lastRow">
      <w:rPr>
        <w:b/>
        <w:bCs/>
      </w:rPr>
      <w:tcPr>
        <w:tcBorders>
          <w:top w:val="double" w:color="666666" w:themeColor="text1"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44">
    <w:name w:val="Grid Table 2 Accent 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CBE9CF" w:themeFill="background1"/>
      </w:tcPr>
    </w:tblStylePr>
    <w:tblStylePr w:type="lastRow">
      <w:rPr>
        <w:b/>
        <w:bCs/>
      </w:rPr>
      <w:tcPr>
        <w:tcBorders>
          <w:top w:val="double" w:color="9CC2E5" w:themeColor="accent1"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45">
    <w:name w:val="Grid Table 2 Accent 2"/>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CBE9CF" w:themeFill="background1"/>
      </w:tcPr>
    </w:tblStylePr>
    <w:tblStylePr w:type="lastRow">
      <w:rPr>
        <w:b/>
        <w:bCs/>
      </w:rPr>
      <w:tcPr>
        <w:tcBorders>
          <w:top w:val="double" w:color="F4B083" w:themeColor="accent2"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46">
    <w:name w:val="Grid Table 2 Accent 3"/>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CBE9CF" w:themeFill="background1"/>
      </w:tcPr>
    </w:tblStylePr>
    <w:tblStylePr w:type="lastRow">
      <w:rPr>
        <w:b/>
        <w:bCs/>
      </w:rPr>
      <w:tcPr>
        <w:tcBorders>
          <w:top w:val="double" w:color="C8C8C8" w:themeColor="accent3"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47">
    <w:name w:val="Grid Table 2 Accent 4"/>
    <w:basedOn w:val="88"/>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CBE9CF" w:themeFill="background1"/>
      </w:tcPr>
    </w:tblStylePr>
    <w:tblStylePr w:type="lastRow">
      <w:rPr>
        <w:b/>
        <w:bCs/>
      </w:rPr>
      <w:tcPr>
        <w:tcBorders>
          <w:top w:val="double" w:color="FFD965" w:themeColor="accent4"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48">
    <w:name w:val="Grid Table 2 Accent 5"/>
    <w:basedOn w:val="88"/>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CBE9CF" w:themeFill="background1"/>
      </w:tcPr>
    </w:tblStylePr>
    <w:tblStylePr w:type="lastRow">
      <w:rPr>
        <w:b/>
        <w:bCs/>
      </w:rPr>
      <w:tcPr>
        <w:tcBorders>
          <w:top w:val="double" w:color="8EAADB" w:themeColor="accent5"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49">
    <w:name w:val="Grid Table 2 Accent 6"/>
    <w:basedOn w:val="88"/>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CBE9CF" w:themeFill="background1"/>
      </w:tcPr>
    </w:tblStylePr>
    <w:tblStylePr w:type="lastRow">
      <w:rPr>
        <w:b/>
        <w:bCs/>
      </w:rPr>
      <w:tcPr>
        <w:tcBorders>
          <w:top w:val="double" w:color="A8D08D" w:themeColor="accent6"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50">
    <w:name w:val="Grid Table 3"/>
    <w:basedOn w:val="88"/>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51">
    <w:name w:val="Grid Table 3 Accent 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352">
    <w:name w:val="Grid Table 3 Accent 2"/>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53">
    <w:name w:val="Grid Table 3 Accent 3"/>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54">
    <w:name w:val="Grid Table 3 Accent 4"/>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55">
    <w:name w:val="Grid Table 3 Accent 5"/>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356">
    <w:name w:val="Grid Table 3 Accent 6"/>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57">
    <w:name w:val="Grid Table 4"/>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CBE9C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58">
    <w:name w:val="Grid Table 4 Accent 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CBE9C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59">
    <w:name w:val="Grid Table 4 Accent 2"/>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CBE9C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60">
    <w:name w:val="Grid Table 4 Accent 3"/>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CBE9C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61">
    <w:name w:val="Grid Table 4 Accent 4"/>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CBE9C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62">
    <w:name w:val="Grid Table 4 Accent 5"/>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CBE9C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63">
    <w:name w:val="Grid Table 4 Accent 6"/>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CBE9C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64">
    <w:name w:val="Grid Table 5 Dark"/>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CCCCCC" w:themeFill="text1"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000000" w:themeFill="text1"/>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000000" w:themeFill="text1"/>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000000" w:themeFill="text1"/>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365">
    <w:name w:val="Grid Table 5 Dark Accent 1"/>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DEEAF6" w:themeFill="accent1"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5B9BD5" w:themeFill="accent1"/>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5B9BD5" w:themeFill="accent1"/>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5B9BD5" w:themeFill="accent1"/>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366">
    <w:name w:val="Grid Table 5 Dark Accent 2"/>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FBE4D5" w:themeFill="accent2"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ED7D31" w:themeFill="accent2"/>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ED7D31" w:themeFill="accent2"/>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ED7D31" w:themeFill="accent2"/>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367">
    <w:name w:val="Grid Table 5 Dark Accent 3"/>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ECECEC" w:themeFill="accent3"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A5A5A5" w:themeFill="accent3"/>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A5A5A5" w:themeFill="accent3"/>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A5A5A5" w:themeFill="accent3"/>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368">
    <w:name w:val="Grid Table 5 Dark Accent 4"/>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FEF2CC" w:themeFill="accent4"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FFC000" w:themeFill="accent4"/>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FFC000" w:themeFill="accent4"/>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FFC000" w:themeFill="accent4"/>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369">
    <w:name w:val="Grid Table 5 Dark Accent 5"/>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D9E2F3" w:themeFill="accent5"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4472C4" w:themeFill="accent5"/>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4472C4" w:themeFill="accent5"/>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4472C4" w:themeFill="accent5"/>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370">
    <w:name w:val="Grid Table 5 Dark Accent 6"/>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E2EFD9" w:themeFill="accent6"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70AD47" w:themeFill="accent6"/>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70AD47" w:themeFill="accent6"/>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70AD47" w:themeFill="accent6"/>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371">
    <w:name w:val="Grid Table 6 Colorful"/>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2">
    <w:name w:val="Grid Table 6 Colorful Accent 1"/>
    <w:basedOn w:val="88"/>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3">
    <w:name w:val="Grid Table 6 Colorful Accent 2"/>
    <w:basedOn w:val="88"/>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4">
    <w:name w:val="Grid Table 6 Colorful Accent 3"/>
    <w:basedOn w:val="88"/>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5">
    <w:name w:val="Grid Table 6 Colorful Accent 4"/>
    <w:basedOn w:val="88"/>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6">
    <w:name w:val="Grid Table 6 Colorful Accent 5"/>
    <w:basedOn w:val="88"/>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7">
    <w:name w:val="Grid Table 6 Colorful Accent 6"/>
    <w:basedOn w:val="88"/>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8">
    <w:name w:val="Grid Table 7 Colorful"/>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79">
    <w:name w:val="Grid Table 7 Colorful Accent 1"/>
    <w:basedOn w:val="88"/>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380">
    <w:name w:val="Grid Table 7 Colorful Accent 2"/>
    <w:basedOn w:val="88"/>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81">
    <w:name w:val="Grid Table 7 Colorful Accent 3"/>
    <w:basedOn w:val="88"/>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82">
    <w:name w:val="Grid Table 7 Colorful Accent 4"/>
    <w:basedOn w:val="88"/>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83">
    <w:name w:val="Grid Table 7 Colorful Accent 5"/>
    <w:basedOn w:val="88"/>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384">
    <w:name w:val="Grid Table 7 Colorful Accent 6"/>
    <w:basedOn w:val="88"/>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85">
    <w:name w:val="Grid Table Light"/>
    <w:basedOn w:val="88"/>
    <w:qFormat/>
    <w:uiPriority w:val="40"/>
    <w:tblPr>
      <w:tblBorders>
        <w:top w:val="single" w:color="7EC888" w:themeColor="background1" w:themeShade="BF" w:sz="4" w:space="0"/>
        <w:left w:val="single" w:color="7EC888" w:themeColor="background1" w:themeShade="BF" w:sz="4" w:space="0"/>
        <w:bottom w:val="single" w:color="7EC888" w:themeColor="background1" w:themeShade="BF" w:sz="4" w:space="0"/>
        <w:right w:val="single" w:color="7EC888" w:themeColor="background1" w:themeShade="BF" w:sz="4" w:space="0"/>
        <w:insideH w:val="single" w:color="7EC888" w:themeColor="background1" w:themeShade="BF" w:sz="4" w:space="0"/>
        <w:insideV w:val="single" w:color="7EC888" w:themeColor="background1" w:themeShade="BF" w:sz="4" w:space="0"/>
      </w:tblBorders>
    </w:tblPr>
  </w:style>
  <w:style w:type="character" w:customStyle="1" w:styleId="386">
    <w:name w:val="尾注文本 字符"/>
    <w:basedOn w:val="231"/>
    <w:link w:val="52"/>
    <w:qFormat/>
    <w:uiPriority w:val="0"/>
    <w:rPr>
      <w:rFonts w:asciiTheme="minorHAnsi" w:hAnsiTheme="minorHAnsi" w:eastAsiaTheme="minorEastAsia" w:cstheme="minorBidi"/>
      <w:kern w:val="2"/>
      <w:sz w:val="21"/>
      <w:szCs w:val="24"/>
      <w:lang w:bidi="ar-SA"/>
    </w:rPr>
  </w:style>
  <w:style w:type="character" w:customStyle="1" w:styleId="387">
    <w:name w:val="Unresolved Mention"/>
    <w:basedOn w:val="231"/>
    <w:semiHidden/>
    <w:unhideWhenUsed/>
    <w:qFormat/>
    <w:uiPriority w:val="99"/>
    <w:rPr>
      <w:color w:val="605E5C"/>
      <w:shd w:val="clear" w:color="auto" w:fill="E1DFDD"/>
    </w:rPr>
  </w:style>
  <w:style w:type="character" w:customStyle="1" w:styleId="388">
    <w:name w:val="文档结构图 字符"/>
    <w:basedOn w:val="231"/>
    <w:link w:val="26"/>
    <w:qFormat/>
    <w:uiPriority w:val="0"/>
    <w:rPr>
      <w:rFonts w:ascii="Microsoft YaHei UI" w:eastAsia="Microsoft YaHei UI" w:hAnsiTheme="minorHAnsi" w:cstheme="minorBidi"/>
      <w:kern w:val="2"/>
      <w:sz w:val="18"/>
      <w:szCs w:val="18"/>
      <w:lang w:bidi="ar-SA"/>
    </w:rPr>
  </w:style>
  <w:style w:type="table" w:customStyle="1" w:styleId="389">
    <w:name w:val="Plain Table 1"/>
    <w:basedOn w:val="88"/>
    <w:uiPriority w:val="41"/>
    <w:tblPr>
      <w:tblBorders>
        <w:top w:val="single" w:color="7EC888" w:themeColor="background1" w:themeShade="BF" w:sz="4" w:space="0"/>
        <w:left w:val="single" w:color="7EC888" w:themeColor="background1" w:themeShade="BF" w:sz="4" w:space="0"/>
        <w:bottom w:val="single" w:color="7EC888" w:themeColor="background1" w:themeShade="BF" w:sz="4" w:space="0"/>
        <w:right w:val="single" w:color="7EC888" w:themeColor="background1" w:themeShade="BF" w:sz="4" w:space="0"/>
        <w:insideH w:val="single" w:color="7EC888" w:themeColor="background1" w:themeShade="BF" w:sz="4" w:space="0"/>
        <w:insideV w:val="single" w:color="7EC888" w:themeColor="background1" w:themeShade="BF" w:sz="4" w:space="0"/>
      </w:tblBorders>
    </w:tblPr>
    <w:tblStylePr w:type="firstRow">
      <w:rPr>
        <w:b/>
        <w:bCs/>
      </w:rPr>
    </w:tblStylePr>
    <w:tblStylePr w:type="lastRow">
      <w:rPr>
        <w:b/>
        <w:bCs/>
      </w:rPr>
      <w:tcPr>
        <w:tcBorders>
          <w:top w:val="double" w:color="7EC888" w:themeColor="background1" w:themeShade="BF" w:sz="4" w:space="0"/>
        </w:tcBorders>
      </w:tcPr>
    </w:tblStylePr>
    <w:tblStylePr w:type="firstCol">
      <w:rPr>
        <w:b/>
        <w:bCs/>
      </w:rPr>
    </w:tblStylePr>
    <w:tblStylePr w:type="lastCol">
      <w:rPr>
        <w:b/>
        <w:bCs/>
      </w:rPr>
    </w:tblStylePr>
    <w:tblStylePr w:type="band1Vert">
      <w:tcPr>
        <w:shd w:val="clear" w:color="auto" w:fill="BBE2C0" w:themeFill="background1" w:themeFillShade="F2"/>
      </w:tcPr>
    </w:tblStylePr>
    <w:tblStylePr w:type="band1Horz">
      <w:tcPr>
        <w:shd w:val="clear" w:color="auto" w:fill="BBE2C0" w:themeFill="background1" w:themeFillShade="F2"/>
      </w:tcPr>
    </w:tblStylePr>
  </w:style>
  <w:style w:type="table" w:customStyle="1" w:styleId="390">
    <w:name w:val="Plain Table 2"/>
    <w:basedOn w:val="88"/>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391">
    <w:name w:val="Plain Table 3"/>
    <w:basedOn w:val="88"/>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BBE2C0" w:themeFill="background1" w:themeFillShade="F2"/>
      </w:tcPr>
    </w:tblStylePr>
    <w:tblStylePr w:type="band1Horz">
      <w:tcPr>
        <w:shd w:val="clear" w:color="auto" w:fill="BBE2C0" w:themeFill="background1" w:themeFillShade="F2"/>
      </w:tcPr>
    </w:tblStylePr>
    <w:tblStylePr w:type="neCell">
      <w:tcPr>
        <w:tcBorders>
          <w:left w:val="nil"/>
        </w:tcBorders>
      </w:tcPr>
    </w:tblStylePr>
    <w:tblStylePr w:type="nwCell">
      <w:tcPr>
        <w:tcBorders>
          <w:right w:val="nil"/>
        </w:tcBorders>
      </w:tcPr>
    </w:tblStylePr>
  </w:style>
  <w:style w:type="table" w:customStyle="1" w:styleId="392">
    <w:name w:val="Plain Table 4"/>
    <w:basedOn w:val="88"/>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BBE2C0" w:themeFill="background1" w:themeFillShade="F2"/>
      </w:tcPr>
    </w:tblStylePr>
    <w:tblStylePr w:type="band1Horz">
      <w:tcPr>
        <w:shd w:val="clear" w:color="auto" w:fill="BBE2C0" w:themeFill="background1" w:themeFillShade="F2"/>
      </w:tcPr>
    </w:tblStylePr>
  </w:style>
  <w:style w:type="table" w:customStyle="1" w:styleId="393">
    <w:name w:val="Plain Table 5"/>
    <w:basedOn w:val="88"/>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CBE9CF" w:themeFill="background1"/>
      </w:tcPr>
    </w:tblStylePr>
    <w:tblStylePr w:type="band1Vert">
      <w:tcPr>
        <w:shd w:val="clear" w:color="auto" w:fill="BBE2C0" w:themeFill="background1" w:themeFillShade="F2"/>
      </w:tcPr>
    </w:tblStylePr>
    <w:tblStylePr w:type="band1Horz">
      <w:tcPr>
        <w:shd w:val="clear" w:color="auto" w:fill="BBE2C0"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394">
    <w:name w:val="No Spacing"/>
    <w:semiHidden/>
    <w:unhideWhenUsed/>
    <w:uiPriority w:val="99"/>
    <w:pPr>
      <w:widowControl w:val="0"/>
      <w:jc w:val="both"/>
    </w:pPr>
    <w:rPr>
      <w:rFonts w:asciiTheme="minorHAnsi" w:hAnsiTheme="minorHAnsi" w:eastAsiaTheme="minorEastAsia" w:cstheme="minorBidi"/>
      <w:kern w:val="2"/>
      <w:sz w:val="21"/>
      <w:szCs w:val="24"/>
      <w:lang w:val="en-US" w:eastAsia="zh-CN" w:bidi="ar-SA"/>
    </w:rPr>
  </w:style>
  <w:style w:type="character" w:customStyle="1" w:styleId="395">
    <w:name w:val="信息标题 字符"/>
    <w:basedOn w:val="231"/>
    <w:link w:val="79"/>
    <w:uiPriority w:val="0"/>
    <w:rPr>
      <w:rFonts w:asciiTheme="majorHAnsi" w:hAnsiTheme="majorHAnsi" w:eastAsiaTheme="majorEastAsia" w:cstheme="majorBidi"/>
      <w:kern w:val="2"/>
      <w:sz w:val="24"/>
      <w:szCs w:val="24"/>
      <w:shd w:val="pct20" w:color="auto" w:fill="auto"/>
      <w:lang w:bidi="ar-SA"/>
    </w:rPr>
  </w:style>
  <w:style w:type="paragraph" w:styleId="396">
    <w:name w:val="Quote"/>
    <w:basedOn w:val="1"/>
    <w:next w:val="1"/>
    <w:link w:val="397"/>
    <w:semiHidden/>
    <w:unhideWhenUsed/>
    <w:uiPriority w:val="99"/>
    <w:pPr>
      <w:spacing w:before="20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97">
    <w:name w:val="引用 字符"/>
    <w:basedOn w:val="231"/>
    <w:link w:val="396"/>
    <w:semiHidden/>
    <w:uiPriority w:val="99"/>
    <w:rPr>
      <w:rFonts w:asciiTheme="minorHAnsi" w:hAnsiTheme="minorHAnsi" w:eastAsiaTheme="minorEastAsia" w:cstheme="minorBidi"/>
      <w:i/>
      <w:iCs/>
      <w:color w:val="404040" w:themeColor="text1" w:themeTint="BF"/>
      <w:kern w:val="2"/>
      <w:sz w:val="21"/>
      <w:szCs w:val="24"/>
      <w:lang w:bidi="ar-SA"/>
      <w14:textFill>
        <w14:solidFill>
          <w14:schemeClr w14:val="tx1">
            <w14:lumMod w14:val="75000"/>
            <w14:lumOff w14:val="25000"/>
          </w14:schemeClr>
        </w14:solidFill>
      </w14:textFill>
    </w:rPr>
  </w:style>
  <w:style w:type="character" w:styleId="398">
    <w:name w:val="Placeholder Text"/>
    <w:basedOn w:val="231"/>
    <w:semiHidden/>
    <w:unhideWhenUsed/>
    <w:uiPriority w:val="99"/>
    <w:rPr>
      <w:color w:val="666666"/>
    </w:rPr>
  </w:style>
  <w:style w:type="character" w:customStyle="1" w:styleId="399">
    <w:name w:val="正文文本 字符"/>
    <w:basedOn w:val="231"/>
    <w:link w:val="34"/>
    <w:uiPriority w:val="0"/>
    <w:rPr>
      <w:rFonts w:asciiTheme="minorHAnsi" w:hAnsiTheme="minorHAnsi" w:eastAsiaTheme="minorEastAsia" w:cstheme="minorBidi"/>
      <w:kern w:val="2"/>
      <w:sz w:val="21"/>
      <w:szCs w:val="24"/>
      <w:lang w:bidi="ar-SA"/>
    </w:rPr>
  </w:style>
  <w:style w:type="character" w:customStyle="1" w:styleId="400">
    <w:name w:val="正文文本 2 字符"/>
    <w:basedOn w:val="231"/>
    <w:link w:val="76"/>
    <w:uiPriority w:val="0"/>
    <w:rPr>
      <w:rFonts w:asciiTheme="minorHAnsi" w:hAnsiTheme="minorHAnsi" w:eastAsiaTheme="minorEastAsia" w:cstheme="minorBidi"/>
      <w:kern w:val="2"/>
      <w:sz w:val="21"/>
      <w:szCs w:val="24"/>
      <w:lang w:bidi="ar-SA"/>
    </w:rPr>
  </w:style>
  <w:style w:type="character" w:customStyle="1" w:styleId="401">
    <w:name w:val="正文文本 3 字符"/>
    <w:basedOn w:val="231"/>
    <w:link w:val="31"/>
    <w:uiPriority w:val="0"/>
    <w:rPr>
      <w:rFonts w:asciiTheme="minorHAnsi" w:hAnsiTheme="minorHAnsi" w:eastAsiaTheme="minorEastAsia" w:cstheme="minorBidi"/>
      <w:kern w:val="2"/>
      <w:sz w:val="16"/>
      <w:szCs w:val="16"/>
      <w:lang w:bidi="ar-SA"/>
    </w:rPr>
  </w:style>
  <w:style w:type="character" w:customStyle="1" w:styleId="402">
    <w:name w:val="正文文本首行缩进 字符"/>
    <w:basedOn w:val="399"/>
    <w:link w:val="86"/>
    <w:uiPriority w:val="0"/>
    <w:rPr>
      <w:rFonts w:asciiTheme="minorHAnsi" w:hAnsiTheme="minorHAnsi" w:eastAsiaTheme="minorEastAsia" w:cstheme="minorBidi"/>
      <w:kern w:val="2"/>
      <w:sz w:val="21"/>
      <w:szCs w:val="24"/>
      <w:lang w:bidi="ar-SA"/>
    </w:rPr>
  </w:style>
  <w:style w:type="character" w:customStyle="1" w:styleId="403">
    <w:name w:val="正文文本缩进 字符"/>
    <w:basedOn w:val="231"/>
    <w:link w:val="35"/>
    <w:uiPriority w:val="0"/>
    <w:rPr>
      <w:rFonts w:asciiTheme="minorHAnsi" w:hAnsiTheme="minorHAnsi" w:eastAsiaTheme="minorEastAsia" w:cstheme="minorBidi"/>
      <w:kern w:val="2"/>
      <w:sz w:val="21"/>
      <w:szCs w:val="24"/>
      <w:lang w:bidi="ar-SA"/>
    </w:rPr>
  </w:style>
  <w:style w:type="character" w:customStyle="1" w:styleId="404">
    <w:name w:val="正文文本首行缩进 2 字符"/>
    <w:basedOn w:val="403"/>
    <w:link w:val="87"/>
    <w:uiPriority w:val="0"/>
    <w:rPr>
      <w:rFonts w:asciiTheme="minorHAnsi" w:hAnsiTheme="minorHAnsi" w:eastAsiaTheme="minorEastAsia" w:cstheme="minorBidi"/>
      <w:kern w:val="2"/>
      <w:sz w:val="21"/>
      <w:szCs w:val="24"/>
      <w:lang w:bidi="ar-SA"/>
    </w:rPr>
  </w:style>
  <w:style w:type="character" w:customStyle="1" w:styleId="405">
    <w:name w:val="正文文本缩进 2 字符"/>
    <w:basedOn w:val="231"/>
    <w:link w:val="51"/>
    <w:uiPriority w:val="0"/>
    <w:rPr>
      <w:rFonts w:asciiTheme="minorHAnsi" w:hAnsiTheme="minorHAnsi" w:eastAsiaTheme="minorEastAsia" w:cstheme="minorBidi"/>
      <w:kern w:val="2"/>
      <w:sz w:val="21"/>
      <w:szCs w:val="24"/>
      <w:lang w:bidi="ar-SA"/>
    </w:rPr>
  </w:style>
  <w:style w:type="character" w:customStyle="1" w:styleId="406">
    <w:name w:val="正文文本缩进 3 字符"/>
    <w:basedOn w:val="231"/>
    <w:link w:val="70"/>
    <w:uiPriority w:val="0"/>
    <w:rPr>
      <w:rFonts w:asciiTheme="minorHAnsi" w:hAnsiTheme="minorHAnsi" w:eastAsiaTheme="minorEastAsia" w:cstheme="minorBidi"/>
      <w:kern w:val="2"/>
      <w:sz w:val="16"/>
      <w:szCs w:val="16"/>
      <w:lang w:bidi="ar-SA"/>
    </w:rPr>
  </w:style>
  <w:style w:type="character" w:customStyle="1" w:styleId="407">
    <w:name w:val="Smart Hyperlink"/>
    <w:basedOn w:val="231"/>
    <w:semiHidden/>
    <w:unhideWhenUsed/>
    <w:uiPriority w:val="99"/>
    <w:rPr>
      <w:u w:val="dotted"/>
    </w:rPr>
  </w:style>
  <w:style w:type="character" w:customStyle="1" w:styleId="408">
    <w:name w:val="Smart Link"/>
    <w:basedOn w:val="231"/>
    <w:semiHidden/>
    <w:unhideWhenUsed/>
    <w:uiPriority w:val="99"/>
    <w:rPr>
      <w:color w:val="0000FF"/>
      <w:u w:val="single"/>
      <w:shd w:val="clear" w:color="auto" w:fill="F3F2F1"/>
    </w:rPr>
  </w:style>
  <w:style w:type="character" w:customStyle="1" w:styleId="409">
    <w:name w:val="注释标题 字符"/>
    <w:basedOn w:val="231"/>
    <w:link w:val="16"/>
    <w:qFormat/>
    <w:uiPriority w:val="0"/>
    <w:rPr>
      <w:rFonts w:asciiTheme="minorHAnsi" w:hAnsiTheme="minorHAnsi" w:eastAsiaTheme="minorEastAsia" w:cstheme="minorBidi"/>
      <w:kern w:val="2"/>
      <w:sz w:val="21"/>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5033</Words>
  <Characters>5541</Characters>
  <Lines>50</Lines>
  <Paragraphs>14</Paragraphs>
  <TotalTime>96</TotalTime>
  <ScaleCrop>false</ScaleCrop>
  <LinksUpToDate>false</LinksUpToDate>
  <CharactersWithSpaces>5567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2026-06-18T02:19:00Z</dcterms:created>
  <dc:creator>Administrator</dc:creator>
  <cp:lastModifiedBy>地球上最后一个EMO男孩</cp:lastModifiedBy>
  <dcterms:modified xsi:type="dcterms:W3CDTF">2026-07-29T08:15:03Z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eyJoZGlkIjoiZDg0NzI2OTI3NDllNDYwMTM2ZDQzYzI1OTY5ZjBiMGYiLCJ1c2VySWQiOiI4NjA2OTc4MzUifQ==</vt:lpwstr>
  </property>
  <property fmtid="{D5CDD505-2E9C-101B-9397-08002B2CF9AE}" pid="4" name="ICV">
    <vt:lpwstr>D4B541F64F1C4895BEC5A824892DBA4A_12</vt:lpwstr>
  </property>
</Properties>
</file>