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69918">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1A654583">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4CA9B831">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壤塘县岗木达镇社区卫生服务中心</w:t>
      </w:r>
    </w:p>
    <w:p w14:paraId="260C031F">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2026年部门预算</w:t>
      </w:r>
    </w:p>
    <w:p w14:paraId="35E09581">
      <w:pPr>
        <w:widowControl w:val="0"/>
        <w:spacing w:line="600" w:lineRule="exact"/>
        <w:ind w:firstLine="640" w:firstLineChars="200"/>
        <w:jc w:val="both"/>
        <w:rPr>
          <w:rFonts w:hint="eastAsia" w:ascii="仿宋" w:hAnsi="仿宋" w:eastAsia="仿宋"/>
          <w:sz w:val="32"/>
        </w:rPr>
      </w:pPr>
    </w:p>
    <w:p w14:paraId="03D43628">
      <w:pPr>
        <w:widowControl w:val="0"/>
        <w:spacing w:line="600" w:lineRule="exact"/>
        <w:ind w:firstLine="640" w:firstLineChars="200"/>
        <w:jc w:val="both"/>
        <w:rPr>
          <w:rFonts w:hint="eastAsia" w:ascii="仿宋" w:hAnsi="仿宋" w:eastAsia="仿宋"/>
          <w:sz w:val="32"/>
        </w:rPr>
      </w:pPr>
    </w:p>
    <w:p w14:paraId="7F2E4A29">
      <w:pPr>
        <w:widowControl w:val="0"/>
        <w:spacing w:line="600" w:lineRule="exact"/>
        <w:ind w:firstLine="640" w:firstLineChars="200"/>
        <w:jc w:val="both"/>
        <w:rPr>
          <w:rFonts w:hint="eastAsia" w:ascii="仿宋" w:hAnsi="仿宋" w:eastAsia="仿宋"/>
          <w:sz w:val="32"/>
        </w:rPr>
      </w:pPr>
    </w:p>
    <w:p w14:paraId="2DDFF87D">
      <w:pPr>
        <w:widowControl w:val="0"/>
        <w:spacing w:line="600" w:lineRule="exact"/>
        <w:ind w:firstLine="640" w:firstLineChars="200"/>
        <w:jc w:val="both"/>
        <w:rPr>
          <w:rFonts w:hint="eastAsia" w:ascii="仿宋" w:hAnsi="仿宋" w:eastAsia="仿宋"/>
          <w:sz w:val="32"/>
        </w:rPr>
      </w:pPr>
    </w:p>
    <w:p w14:paraId="044C94FA">
      <w:pPr>
        <w:widowControl w:val="0"/>
        <w:spacing w:line="600" w:lineRule="exact"/>
        <w:ind w:firstLine="640" w:firstLineChars="200"/>
        <w:jc w:val="both"/>
        <w:rPr>
          <w:rFonts w:hint="eastAsia" w:ascii="仿宋" w:hAnsi="仿宋" w:eastAsia="仿宋"/>
          <w:sz w:val="32"/>
        </w:rPr>
      </w:pPr>
    </w:p>
    <w:p w14:paraId="2013A153">
      <w:pPr>
        <w:widowControl w:val="0"/>
        <w:spacing w:line="600" w:lineRule="exact"/>
        <w:ind w:firstLine="640" w:firstLineChars="200"/>
        <w:jc w:val="both"/>
        <w:rPr>
          <w:rFonts w:hint="eastAsia" w:ascii="仿宋" w:hAnsi="仿宋" w:eastAsia="仿宋" w:cs="Times New Roman"/>
          <w:sz w:val="32"/>
          <w:szCs w:val="44"/>
          <w:lang w:bidi="ar"/>
        </w:rPr>
      </w:pPr>
    </w:p>
    <w:p w14:paraId="09676D52">
      <w:pPr>
        <w:widowControl w:val="0"/>
        <w:spacing w:line="600" w:lineRule="exact"/>
        <w:ind w:firstLine="640" w:firstLineChars="200"/>
        <w:jc w:val="both"/>
        <w:rPr>
          <w:rFonts w:hint="eastAsia" w:ascii="仿宋" w:hAnsi="仿宋" w:eastAsia="仿宋" w:cs="Times New Roman"/>
          <w:sz w:val="32"/>
          <w:szCs w:val="44"/>
          <w:lang w:bidi="ar"/>
        </w:rPr>
      </w:pPr>
    </w:p>
    <w:p w14:paraId="387ACAFB">
      <w:pPr>
        <w:widowControl w:val="0"/>
        <w:spacing w:line="600" w:lineRule="exact"/>
        <w:ind w:firstLine="640" w:firstLineChars="200"/>
        <w:jc w:val="both"/>
        <w:rPr>
          <w:rFonts w:hint="eastAsia" w:ascii="仿宋" w:hAnsi="仿宋" w:eastAsia="仿宋" w:cs="Times New Roman"/>
          <w:sz w:val="32"/>
          <w:szCs w:val="44"/>
          <w:lang w:bidi="ar"/>
        </w:rPr>
      </w:pPr>
    </w:p>
    <w:p w14:paraId="2E6C9A4E">
      <w:pPr>
        <w:widowControl w:val="0"/>
        <w:spacing w:line="600" w:lineRule="exact"/>
        <w:ind w:firstLine="640" w:firstLineChars="200"/>
        <w:jc w:val="both"/>
        <w:rPr>
          <w:rFonts w:hint="eastAsia" w:ascii="仿宋" w:hAnsi="仿宋" w:eastAsia="仿宋" w:cs="Times New Roman"/>
          <w:sz w:val="32"/>
          <w:szCs w:val="44"/>
          <w:lang w:bidi="ar"/>
        </w:rPr>
      </w:pPr>
    </w:p>
    <w:p w14:paraId="5723194A">
      <w:pPr>
        <w:widowControl w:val="0"/>
        <w:spacing w:line="600" w:lineRule="exact"/>
        <w:ind w:firstLine="640" w:firstLineChars="200"/>
        <w:jc w:val="both"/>
        <w:rPr>
          <w:rFonts w:hint="eastAsia" w:ascii="仿宋" w:hAnsi="仿宋" w:eastAsia="仿宋"/>
          <w:sz w:val="32"/>
        </w:rPr>
        <w:sectPr>
          <w:footerReference r:id="rId5" w:type="first"/>
          <w:footerReference r:id="rId3" w:type="default"/>
          <w:footerReference r:id="rId4" w:type="even"/>
          <w:pgSz w:w="11906" w:h="16838"/>
          <w:pgMar w:top="1440" w:right="1797" w:bottom="1440" w:left="1797" w:header="720" w:footer="720" w:gutter="0"/>
          <w:cols w:space="425" w:num="1"/>
          <w:docGrid w:type="lines" w:linePitch="312" w:charSpace="0"/>
        </w:sectPr>
      </w:pPr>
    </w:p>
    <w:p w14:paraId="6DC352D4">
      <w:pPr>
        <w:pStyle w:val="3"/>
        <w:widowControl w:val="0"/>
        <w:spacing w:before="340" w:beforeAutospacing="0" w:after="330" w:afterAutospacing="0" w:line="578" w:lineRule="auto"/>
        <w:jc w:val="center"/>
        <w:rPr>
          <w:rFonts w:ascii="黑体" w:hAnsi="黑体" w:eastAsia="黑体"/>
          <w:b w:val="0"/>
          <w:bCs/>
          <w:sz w:val="44"/>
          <w:szCs w:val="32"/>
        </w:rPr>
      </w:pPr>
      <w:bookmarkStart w:id="0" w:name="_Toc236169562"/>
      <w:r>
        <w:rPr>
          <w:rFonts w:ascii="黑体" w:hAnsi="黑体" w:eastAsia="黑体"/>
          <w:b w:val="0"/>
          <w:bCs/>
          <w:sz w:val="44"/>
          <w:szCs w:val="32"/>
        </w:rPr>
        <w:t>目录</w:t>
      </w:r>
      <w:bookmarkEnd w:id="0"/>
    </w:p>
    <w:p w14:paraId="315A52F5">
      <w:pPr>
        <w:widowControl w:val="0"/>
        <w:spacing w:line="440" w:lineRule="exact"/>
        <w:ind w:firstLine="480" w:firstLineChars="200"/>
        <w:jc w:val="both"/>
        <w:rPr>
          <w:rFonts w:ascii="Times New Roman" w:hAnsi="Times New Roman" w:eastAsia="黑体" w:cs="Times New Roman"/>
          <w:sz w:val="24"/>
          <w:szCs w:val="44"/>
          <w:lang w:bidi="ar"/>
        </w:rPr>
      </w:pPr>
    </w:p>
    <w:p w14:paraId="2B23EB8F">
      <w:pPr>
        <w:pStyle w:val="59"/>
        <w:tabs>
          <w:tab w:val="right" w:leader="dot" w:pos="8302"/>
        </w:tabs>
        <w:spacing w:line="440" w:lineRule="exact"/>
        <w:rPr>
          <w:rFonts w:ascii="Times New Roman" w:hAnsi="Times New Roman" w:eastAsia="黑体"/>
          <w:sz w:val="24"/>
          <w:szCs w:val="30"/>
          <w:lang w:bidi="th-TH"/>
          <w14:ligatures w14:val="standardContextual"/>
        </w:rPr>
      </w:pPr>
      <w:r>
        <w:rPr>
          <w:rFonts w:hint="eastAsia" w:ascii="Times New Roman" w:hAnsi="Times New Roman" w:eastAsia="黑体" w:cs="Times New Roman"/>
          <w:sz w:val="24"/>
          <w:szCs w:val="44"/>
          <w:lang w:bidi="ar"/>
        </w:rPr>
        <w:fldChar w:fldCharType="begin"/>
      </w:r>
      <w:r>
        <w:rPr>
          <w:rFonts w:hint="eastAsia" w:ascii="Times New Roman" w:hAnsi="Times New Roman" w:eastAsia="黑体" w:cs="Times New Roman"/>
          <w:sz w:val="24"/>
          <w:szCs w:val="44"/>
          <w:lang w:bidi="ar"/>
        </w:rPr>
        <w:instrText xml:space="preserve"> TOC \o "1-2" \h \z \u </w:instrText>
      </w:r>
      <w:r>
        <w:rPr>
          <w:rFonts w:hint="eastAsia" w:ascii="Times New Roman" w:hAnsi="Times New Roman" w:eastAsia="黑体" w:cs="Times New Roman"/>
          <w:sz w:val="24"/>
          <w:szCs w:val="44"/>
          <w:lang w:bidi="ar"/>
        </w:rPr>
        <w:fldChar w:fldCharType="separate"/>
      </w:r>
      <w:r>
        <w:fldChar w:fldCharType="begin"/>
      </w:r>
      <w:r>
        <w:instrText xml:space="preserve"> HYPERLINK \l "_Toc236169563" </w:instrText>
      </w:r>
      <w:r>
        <w:fldChar w:fldCharType="separate"/>
      </w:r>
      <w:r>
        <w:rPr>
          <w:rStyle w:val="242"/>
          <w:rFonts w:hint="eastAsia" w:ascii="Times New Roman" w:hAnsi="Times New Roman" w:eastAsia="黑体"/>
          <w:bCs/>
          <w:color w:val="auto"/>
          <w:sz w:val="24"/>
        </w:rPr>
        <w:t>一、基本职能及主要工作</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_Toc236169563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4</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1C1094A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"_Toc236169564" </w:instrText>
      </w:r>
      <w:r>
        <w:fldChar w:fldCharType="separate"/>
      </w:r>
      <w:r>
        <w:rPr>
          <w:rStyle w:val="242"/>
          <w:rFonts w:hint="eastAsia" w:ascii="Times New Roman" w:hAnsi="Times New Roman" w:eastAsia="宋体"/>
          <w:bCs/>
          <w:color w:val="auto"/>
          <w:sz w:val="24"/>
        </w:rPr>
        <w:t>（一）部门职能简介</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_Toc236169564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323C45A">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"_Toc236169565" </w:instrText>
      </w:r>
      <w:r>
        <w:fldChar w:fldCharType="separate"/>
      </w:r>
      <w:r>
        <w:rPr>
          <w:rStyle w:val="242"/>
          <w:rFonts w:hint="eastAsia" w:ascii="Times New Roman" w:hAnsi="Times New Roman" w:eastAsia="宋体"/>
          <w:bCs/>
          <w:color w:val="auto"/>
          <w:sz w:val="24"/>
        </w:rPr>
        <w:t>（二）2026年重点工作</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_Toc236169565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E3089EF">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"_Toc236169566" </w:instrText>
      </w:r>
      <w:r>
        <w:fldChar w:fldCharType="separate"/>
      </w:r>
      <w:r>
        <w:rPr>
          <w:rStyle w:val="242"/>
          <w:rFonts w:hint="eastAsia" w:ascii="Times New Roman" w:hAnsi="Times New Roman" w:eastAsia="宋体"/>
          <w:bCs/>
          <w:color w:val="auto"/>
          <w:sz w:val="24"/>
        </w:rPr>
        <w:t>（一）年度目标</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_Toc236169566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7287C7A">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"_Toc236169567" </w:instrText>
      </w:r>
      <w:r>
        <w:fldChar w:fldCharType="separate"/>
      </w:r>
      <w:r>
        <w:rPr>
          <w:rStyle w:val="242"/>
          <w:rFonts w:hint="eastAsia" w:ascii="Times New Roman" w:hAnsi="Times New Roman" w:eastAsia="宋体"/>
          <w:bCs/>
          <w:color w:val="auto"/>
          <w:sz w:val="24"/>
        </w:rPr>
        <w:t>（二）重点工作推进</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_Toc236169567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73C2851">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"_Toc236169568" </w:instrText>
      </w:r>
      <w:r>
        <w:fldChar w:fldCharType="separate"/>
      </w:r>
      <w:r>
        <w:rPr>
          <w:rStyle w:val="242"/>
          <w:rFonts w:hint="eastAsia" w:ascii="Times New Roman" w:hAnsi="Times New Roman" w:eastAsia="黑体"/>
          <w:bCs/>
          <w:color w:val="auto"/>
          <w:sz w:val="24"/>
        </w:rPr>
        <w:t>二、部门预算单位构成</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_Toc236169568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8</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9E376A7">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"_Toc236169569" </w:instrText>
      </w:r>
      <w:r>
        <w:fldChar w:fldCharType="separate"/>
      </w:r>
      <w:r>
        <w:rPr>
          <w:rStyle w:val="242"/>
          <w:rFonts w:hint="eastAsia" w:ascii="Times New Roman" w:hAnsi="Times New Roman" w:eastAsia="黑体"/>
          <w:bCs/>
          <w:color w:val="auto"/>
          <w:sz w:val="24"/>
        </w:rPr>
        <w:t>三、收支预算情况说明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_Toc236169569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8</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364BCC9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"_Toc236169570" </w:instrText>
      </w:r>
      <w:r>
        <w:fldChar w:fldCharType="separate"/>
      </w:r>
      <w:r>
        <w:rPr>
          <w:rStyle w:val="242"/>
          <w:rFonts w:hint="eastAsia" w:ascii="Times New Roman" w:hAnsi="Times New Roman" w:eastAsia="宋体"/>
          <w:bCs/>
          <w:color w:val="auto"/>
          <w:sz w:val="24"/>
        </w:rPr>
        <w:t>（一）收入预算情况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_Toc236169570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4F4BA97">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"_Toc236169571" </w:instrText>
      </w:r>
      <w:r>
        <w:fldChar w:fldCharType="separate"/>
      </w:r>
      <w:r>
        <w:rPr>
          <w:rStyle w:val="242"/>
          <w:rFonts w:hint="eastAsia" w:ascii="Times New Roman" w:hAnsi="Times New Roman" w:eastAsia="宋体"/>
          <w:bCs/>
          <w:color w:val="auto"/>
          <w:sz w:val="24"/>
        </w:rPr>
        <w:t>（二）支出预算情况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_Toc236169571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BA6DE64">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"_Toc236169572" </w:instrText>
      </w:r>
      <w:r>
        <w:fldChar w:fldCharType="separate"/>
      </w:r>
      <w:r>
        <w:rPr>
          <w:rStyle w:val="242"/>
          <w:rFonts w:hint="eastAsia" w:ascii="Times New Roman" w:hAnsi="Times New Roman" w:eastAsia="黑体"/>
          <w:bCs/>
          <w:color w:val="auto"/>
          <w:sz w:val="24"/>
        </w:rPr>
        <w:t>四、财政拨款收支预算情况说明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_Toc236169572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9</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1BAE6A43">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"_Toc236169573" </w:instrText>
      </w:r>
      <w:r>
        <w:fldChar w:fldCharType="separate"/>
      </w:r>
      <w:r>
        <w:rPr>
          <w:rStyle w:val="242"/>
          <w:rFonts w:hint="eastAsia" w:ascii="Times New Roman" w:hAnsi="Times New Roman" w:eastAsia="黑体"/>
          <w:bCs/>
          <w:color w:val="auto"/>
          <w:sz w:val="24"/>
        </w:rPr>
        <w:t>五、一般公共预算当年拨款情况说明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_Toc236169573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9</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0D2F4E3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"_Toc236169574" </w:instrText>
      </w:r>
      <w:r>
        <w:fldChar w:fldCharType="separate"/>
      </w:r>
      <w:r>
        <w:rPr>
          <w:rStyle w:val="242"/>
          <w:rFonts w:hint="eastAsia" w:ascii="Times New Roman" w:hAnsi="Times New Roman" w:eastAsia="宋体"/>
          <w:bCs/>
          <w:color w:val="auto"/>
          <w:sz w:val="24"/>
        </w:rPr>
        <w:t>（一）一般公共预算当年拨款规模变化情况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_Toc236169574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AD7EDC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"_Toc236169575" </w:instrText>
      </w:r>
      <w:r>
        <w:fldChar w:fldCharType="separate"/>
      </w:r>
      <w:r>
        <w:rPr>
          <w:rStyle w:val="242"/>
          <w:rFonts w:hint="eastAsia" w:ascii="Times New Roman" w:hAnsi="Times New Roman" w:eastAsia="宋体"/>
          <w:bCs/>
          <w:color w:val="auto"/>
          <w:sz w:val="24"/>
        </w:rPr>
        <w:t>（二）一般公共预算当年拨款结构情况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_Toc236169575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8C95FFA">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"_Toc236169576" </w:instrText>
      </w:r>
      <w:r>
        <w:fldChar w:fldCharType="separate"/>
      </w:r>
      <w:r>
        <w:rPr>
          <w:rStyle w:val="242"/>
          <w:rFonts w:hint="eastAsia" w:ascii="Times New Roman" w:hAnsi="Times New Roman" w:eastAsia="宋体"/>
          <w:bCs/>
          <w:color w:val="auto"/>
          <w:sz w:val="24"/>
        </w:rPr>
        <w:t>（三）一般公共预算当年拨款具体使用情况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_Toc236169576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073E9B0">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"_Toc236169577" </w:instrText>
      </w:r>
      <w:r>
        <w:fldChar w:fldCharType="separate"/>
      </w:r>
      <w:r>
        <w:rPr>
          <w:rStyle w:val="242"/>
          <w:rFonts w:hint="eastAsia" w:ascii="Times New Roman" w:hAnsi="Times New Roman" w:eastAsia="黑体"/>
          <w:bCs/>
          <w:color w:val="auto"/>
          <w:sz w:val="24"/>
        </w:rPr>
        <w:t>六、一般公共预算基本支出情况说明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_Toc236169577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11</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59D8E61E">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"_Toc236169578" </w:instrText>
      </w:r>
      <w:r>
        <w:fldChar w:fldCharType="separate"/>
      </w:r>
      <w:r>
        <w:rPr>
          <w:rStyle w:val="242"/>
          <w:rFonts w:hint="eastAsia" w:ascii="Times New Roman" w:hAnsi="Times New Roman" w:eastAsia="黑体"/>
          <w:bCs/>
          <w:color w:val="auto"/>
          <w:sz w:val="24"/>
        </w:rPr>
        <w:t>七、“三公”经费财政拨款预算安排情况说明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_Toc236169578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11</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7100FD4A">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"_Toc236169579" </w:instrText>
      </w:r>
      <w:r>
        <w:fldChar w:fldCharType="separate"/>
      </w:r>
      <w:r>
        <w:rPr>
          <w:rStyle w:val="242"/>
          <w:rFonts w:hint="eastAsia" w:ascii="Times New Roman" w:hAnsi="Times New Roman" w:eastAsia="黑体"/>
          <w:bCs/>
          <w:color w:val="auto"/>
          <w:sz w:val="24"/>
        </w:rPr>
        <w:t>八、政府性基金预算支出情况说明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_Toc236169579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12</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E01EB68">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"_Toc236169580" </w:instrText>
      </w:r>
      <w:r>
        <w:fldChar w:fldCharType="separate"/>
      </w:r>
      <w:r>
        <w:rPr>
          <w:rStyle w:val="242"/>
          <w:rFonts w:hint="eastAsia" w:ascii="Times New Roman" w:hAnsi="Times New Roman" w:eastAsia="黑体"/>
          <w:bCs/>
          <w:color w:val="auto"/>
          <w:sz w:val="24"/>
        </w:rPr>
        <w:t>九、其他重要事项的情况说明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_Toc236169580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12</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3AB0C16F">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"_Toc236169581" </w:instrText>
      </w:r>
      <w:r>
        <w:fldChar w:fldCharType="separate"/>
      </w:r>
      <w:r>
        <w:rPr>
          <w:rStyle w:val="242"/>
          <w:rFonts w:hint="eastAsia" w:ascii="Times New Roman" w:hAnsi="Times New Roman" w:eastAsia="宋体"/>
          <w:bCs/>
          <w:color w:val="auto"/>
          <w:sz w:val="24"/>
        </w:rPr>
        <w:t>（一）机关运行经费</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_Toc236169581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9F99232">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"_Toc236169582" </w:instrText>
      </w:r>
      <w:r>
        <w:fldChar w:fldCharType="separate"/>
      </w:r>
      <w:r>
        <w:rPr>
          <w:rStyle w:val="242"/>
          <w:rFonts w:hint="eastAsia" w:ascii="Times New Roman" w:hAnsi="Times New Roman" w:eastAsia="宋体"/>
          <w:bCs/>
          <w:color w:val="auto"/>
          <w:sz w:val="24"/>
        </w:rPr>
        <w:t>（二）政府采购情况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_Toc236169582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66A5DF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"_Toc236169583" </w:instrText>
      </w:r>
      <w:r>
        <w:fldChar w:fldCharType="separate"/>
      </w:r>
      <w:r>
        <w:rPr>
          <w:rStyle w:val="242"/>
          <w:rFonts w:hint="eastAsia" w:ascii="Times New Roman" w:hAnsi="Times New Roman" w:eastAsia="宋体"/>
          <w:bCs/>
          <w:color w:val="auto"/>
          <w:sz w:val="24"/>
        </w:rPr>
        <w:t>（三）国有资产占有使用情况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_Toc236169583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9A3590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"_Toc236169584" </w:instrText>
      </w:r>
      <w:r>
        <w:fldChar w:fldCharType="separate"/>
      </w:r>
      <w:r>
        <w:rPr>
          <w:rStyle w:val="242"/>
          <w:rFonts w:hint="eastAsia" w:ascii="Times New Roman" w:hAnsi="Times New Roman" w:eastAsia="宋体"/>
          <w:bCs/>
          <w:color w:val="auto"/>
          <w:sz w:val="24"/>
        </w:rPr>
        <w:t>（四）绩效目标设置情况</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_Toc236169584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A9AE691">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"_Toc236169585" </w:instrText>
      </w:r>
      <w:r>
        <w:fldChar w:fldCharType="separate"/>
      </w:r>
      <w:r>
        <w:rPr>
          <w:rStyle w:val="242"/>
          <w:rFonts w:hint="eastAsia" w:ascii="Times New Roman" w:hAnsi="Times New Roman" w:eastAsia="黑体"/>
          <w:bCs/>
          <w:color w:val="auto"/>
          <w:sz w:val="24"/>
        </w:rPr>
        <w:t>十、名称解释</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_Toc236169585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13</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76A83EF3">
      <w:pPr>
        <w:widowControl w:val="0"/>
        <w:spacing w:line="440" w:lineRule="exact"/>
        <w:ind w:firstLine="480" w:firstLineChars="200"/>
        <w:jc w:val="both"/>
        <w:rPr>
          <w:rFonts w:hint="eastAsia" w:ascii="仿宋" w:hAnsi="仿宋" w:eastAsia="仿宋" w:cs="Times New Roman"/>
          <w:sz w:val="32"/>
          <w:szCs w:val="44"/>
          <w:lang w:bidi="ar"/>
        </w:rPr>
      </w:pPr>
      <w:r>
        <w:rPr>
          <w:rFonts w:hint="eastAsia" w:ascii="Times New Roman" w:hAnsi="Times New Roman" w:eastAsia="黑体" w:cs="Times New Roman"/>
          <w:sz w:val="24"/>
          <w:szCs w:val="44"/>
          <w:lang w:bidi="ar"/>
        </w:rPr>
        <w:fldChar w:fldCharType="end"/>
      </w:r>
    </w:p>
    <w:p w14:paraId="70353877">
      <w:pPr>
        <w:widowControl w:val="0"/>
        <w:spacing w:line="600" w:lineRule="exact"/>
        <w:ind w:firstLine="640" w:firstLineChars="200"/>
        <w:jc w:val="both"/>
        <w:rPr>
          <w:rFonts w:hint="eastAsia" w:ascii="仿宋" w:hAnsi="仿宋" w:eastAsia="仿宋" w:cs="Times New Roman"/>
          <w:sz w:val="32"/>
          <w:szCs w:val="44"/>
          <w:lang w:bidi="ar"/>
        </w:rPr>
      </w:pPr>
    </w:p>
    <w:p w14:paraId="5C278B3E">
      <w:pPr>
        <w:widowControl w:val="0"/>
        <w:spacing w:line="600" w:lineRule="exact"/>
        <w:ind w:firstLine="640" w:firstLineChars="200"/>
        <w:jc w:val="both"/>
        <w:rPr>
          <w:rFonts w:hint="eastAsia" w:ascii="仿宋" w:hAnsi="仿宋" w:eastAsia="仿宋"/>
          <w:sz w:val="32"/>
        </w:rPr>
        <w:sectPr>
          <w:footerReference r:id="rId6" w:type="default"/>
          <w:pgSz w:w="11906" w:h="16838"/>
          <w:pgMar w:top="1440" w:right="1797" w:bottom="1440" w:left="1797" w:header="720" w:footer="720" w:gutter="0"/>
          <w:cols w:space="425" w:num="1"/>
          <w:docGrid w:type="lines" w:linePitch="312" w:charSpace="0"/>
        </w:sectPr>
      </w:pPr>
    </w:p>
    <w:p w14:paraId="74701D39">
      <w:pPr>
        <w:pStyle w:val="3"/>
        <w:widowControl w:val="0"/>
        <w:spacing w:before="340" w:beforeAutospacing="0" w:after="330" w:afterAutospacing="0" w:line="578" w:lineRule="auto"/>
        <w:jc w:val="center"/>
        <w:rPr>
          <w:rFonts w:ascii="黑体" w:hAnsi="黑体" w:eastAsia="黑体"/>
          <w:b w:val="0"/>
          <w:bCs/>
          <w:sz w:val="44"/>
          <w:szCs w:val="32"/>
        </w:rPr>
      </w:pPr>
      <w:bookmarkStart w:id="1" w:name="_Toc236169563"/>
      <w:r>
        <w:rPr>
          <w:rFonts w:ascii="黑体" w:hAnsi="黑体" w:eastAsia="黑体"/>
          <w:b w:val="0"/>
          <w:bCs/>
          <w:sz w:val="44"/>
          <w:szCs w:val="32"/>
        </w:rPr>
        <w:t>一、基本职能及主要工作</w:t>
      </w:r>
      <w:bookmarkEnd w:id="1"/>
    </w:p>
    <w:p w14:paraId="0C1E105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 w:name="_Toc236169564"/>
      <w:r>
        <w:rPr>
          <w:rFonts w:ascii="黑体" w:hAnsi="黑体" w:eastAsia="黑体"/>
          <w:b w:val="0"/>
          <w:bCs/>
          <w:sz w:val="32"/>
          <w:szCs w:val="32"/>
        </w:rPr>
        <w:t>（一）部门职能简介</w:t>
      </w:r>
      <w:bookmarkEnd w:id="2"/>
    </w:p>
    <w:p w14:paraId="7864A99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1.</w:t>
      </w:r>
      <w:r>
        <w:rPr>
          <w:rFonts w:hint="eastAsia" w:ascii="仿宋" w:hAnsi="仿宋" w:eastAsia="仿宋" w:cs="仿宋_GB2312"/>
          <w:kern w:val="0"/>
          <w:sz w:val="32"/>
          <w:szCs w:val="32"/>
          <w:lang w:bidi="ar"/>
        </w:rPr>
        <w:t>制定全县卫生计生事业发展规划，统筹规划全县卫生计生资源配置，指导全县卫生计生工作。</w:t>
      </w:r>
    </w:p>
    <w:p w14:paraId="48CB38EF">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2.贯彻实施党和国家医药卫生体制改革政策和国家药物政策及国家基本药物制度。</w:t>
      </w:r>
    </w:p>
    <w:p w14:paraId="36FA6BC1">
      <w:pPr>
        <w:widowControl w:val="0"/>
        <w:spacing w:line="600" w:lineRule="exact"/>
        <w:ind w:firstLine="640" w:firstLineChars="200"/>
        <w:jc w:val="both"/>
        <w:rPr>
          <w:rFonts w:hint="eastAsia" w:ascii="仿宋" w:hAnsi="仿宋" w:eastAsia="仿宋" w:cs="Times New Roman"/>
          <w:kern w:val="0"/>
          <w:sz w:val="32"/>
          <w:szCs w:val="32"/>
          <w:lang w:eastAsia="zh-CN" w:bidi="ar"/>
        </w:rPr>
      </w:pPr>
      <w:r>
        <w:rPr>
          <w:rFonts w:hint="eastAsia" w:ascii="仿宋" w:hAnsi="仿宋" w:eastAsia="仿宋" w:cs="Times New Roman"/>
          <w:kern w:val="0"/>
          <w:sz w:val="32"/>
          <w:szCs w:val="32"/>
          <w:lang w:bidi="ar"/>
        </w:rPr>
        <w:t>3.贯彻实施职责范围内的职业卫生、放射卫生、环境卫生、学校卫生、公共场所卫生、饮用水卫生管理规范、标准和政策措施</w:t>
      </w:r>
      <w:r>
        <w:rPr>
          <w:rFonts w:hint="eastAsia" w:ascii="仿宋" w:hAnsi="仿宋" w:eastAsia="仿宋" w:cs="Times New Roman"/>
          <w:kern w:val="0"/>
          <w:sz w:val="32"/>
          <w:szCs w:val="32"/>
          <w:lang w:eastAsia="zh-CN" w:bidi="ar"/>
        </w:rPr>
        <w:t>。</w:t>
      </w:r>
    </w:p>
    <w:p w14:paraId="2DAEFD2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4.负责制定全县卫生应急预案、突发公共卫生事件监测和风险评估。</w:t>
      </w:r>
    </w:p>
    <w:p w14:paraId="5B33FE66">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val="en-US" w:eastAsia="zh-CN" w:bidi="ar"/>
        </w:rPr>
        <w:t>5</w:t>
      </w:r>
      <w:r>
        <w:rPr>
          <w:rFonts w:hint="eastAsia" w:ascii="仿宋" w:hAnsi="仿宋" w:eastAsia="仿宋" w:cs="Times New Roman"/>
          <w:kern w:val="0"/>
          <w:sz w:val="32"/>
          <w:szCs w:val="32"/>
          <w:lang w:bidi="ar"/>
        </w:rPr>
        <w:t>.制定我县实施流动人口计划生育服务管理制度并组织落实，推动建立流动人口卫生计生信息共享与公共服务工作机制。</w:t>
      </w:r>
    </w:p>
    <w:p w14:paraId="74B374BB">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val="en-US" w:eastAsia="zh-CN" w:bidi="ar"/>
        </w:rPr>
        <w:t>6</w:t>
      </w:r>
      <w:r>
        <w:rPr>
          <w:rFonts w:hint="eastAsia" w:ascii="仿宋" w:hAnsi="仿宋" w:eastAsia="仿宋" w:cs="Times New Roman"/>
          <w:kern w:val="0"/>
          <w:sz w:val="32"/>
          <w:szCs w:val="32"/>
          <w:lang w:bidi="ar"/>
        </w:rPr>
        <w:t>.组织实施全县医疗机构及医疗服务全行业管理办法、及医疗服务、医疗技术、医疗质量、医疗安全管的规范、标准。</w:t>
      </w:r>
    </w:p>
    <w:p w14:paraId="6AF8236C">
      <w:pPr>
        <w:widowControl w:val="0"/>
        <w:spacing w:line="600" w:lineRule="exact"/>
        <w:ind w:firstLine="640" w:firstLineChars="200"/>
        <w:jc w:val="both"/>
        <w:rPr>
          <w:rFonts w:hint="eastAsia" w:ascii="仿宋" w:hAnsi="仿宋" w:eastAsia="仿宋" w:cs="Times New Roman"/>
          <w:sz w:val="32"/>
          <w:szCs w:val="32"/>
          <w:lang w:bidi="ar"/>
        </w:rPr>
      </w:pPr>
      <w:r>
        <w:rPr>
          <w:rFonts w:hint="eastAsia" w:ascii="仿宋" w:hAnsi="仿宋" w:eastAsia="仿宋" w:cs="Times New Roman"/>
          <w:kern w:val="0"/>
          <w:sz w:val="32"/>
          <w:szCs w:val="32"/>
          <w:lang w:val="en-US" w:eastAsia="zh-CN" w:bidi="ar"/>
        </w:rPr>
        <w:t>7</w:t>
      </w:r>
      <w:r>
        <w:rPr>
          <w:rFonts w:hint="eastAsia" w:ascii="仿宋" w:hAnsi="仿宋" w:eastAsia="仿宋" w:cs="Times New Roman"/>
          <w:kern w:val="0"/>
          <w:sz w:val="32"/>
          <w:szCs w:val="32"/>
          <w:lang w:bidi="ar"/>
        </w:rPr>
        <w:t>.负责卫生计生政策宣传、全民健康教育、健康促进等工作。</w:t>
      </w:r>
    </w:p>
    <w:p w14:paraId="2392166F">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 w:name="_Toc236169565"/>
      <w:r>
        <w:rPr>
          <w:rFonts w:ascii="黑体" w:hAnsi="黑体" w:eastAsia="黑体"/>
          <w:b w:val="0"/>
          <w:bCs/>
          <w:sz w:val="32"/>
          <w:szCs w:val="32"/>
        </w:rPr>
        <w:t>（二）2026年重点工作</w:t>
      </w:r>
      <w:bookmarkEnd w:id="3"/>
    </w:p>
    <w:p w14:paraId="36735466">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shd w:val="clear" w:color="auto" w:fill="FFFFFF"/>
          <w:lang w:bidi="ar"/>
        </w:rPr>
        <w:t>2026年</w:t>
      </w:r>
      <w:r>
        <w:rPr>
          <w:rFonts w:hint="eastAsia" w:ascii="仿宋" w:hAnsi="仿宋" w:eastAsia="仿宋" w:cs="仿宋_GB2312"/>
          <w:sz w:val="32"/>
          <w:szCs w:val="32"/>
          <w:shd w:val="clear" w:color="auto" w:fill="FFFFFF"/>
          <w:lang w:eastAsia="zh-CN" w:bidi="ar"/>
        </w:rPr>
        <w:t>将</w:t>
      </w:r>
      <w:r>
        <w:rPr>
          <w:rFonts w:hint="eastAsia" w:ascii="仿宋" w:hAnsi="仿宋" w:eastAsia="仿宋" w:cs="仿宋_GB2312"/>
          <w:sz w:val="32"/>
          <w:szCs w:val="32"/>
          <w:shd w:val="clear" w:color="auto" w:fill="FFFFFF"/>
          <w:lang w:bidi="ar"/>
        </w:rPr>
        <w:t>聚焦高原医疗服务痛点难点，紧扣川甘青结合部区域医疗高地建设目标，为卫生健康事业高质量发展开好局、起好步。</w:t>
      </w:r>
    </w:p>
    <w:p w14:paraId="0179B01D">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 w:name="_Toc236169566"/>
      <w:r>
        <w:rPr>
          <w:rFonts w:ascii="黑体" w:hAnsi="黑体" w:eastAsia="黑体"/>
          <w:b w:val="0"/>
          <w:bCs/>
          <w:sz w:val="32"/>
          <w:szCs w:val="32"/>
        </w:rPr>
        <w:t>（一）年度目标</w:t>
      </w:r>
      <w:bookmarkEnd w:id="4"/>
    </w:p>
    <w:p w14:paraId="346600F5">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shd w:val="clear" w:color="auto" w:fill="FFFFFF"/>
          <w:lang w:bidi="ar"/>
        </w:rPr>
        <w:t>县域内就诊率、全民健康体检覆盖率、儿童疫苗接种率（含补种率）稳步提升，医疗卫生专业技术人才总量持续增长，每千人口3岁以下婴幼儿托位数显著增加，基层卫生院服务能力达标率、居民健康素养水平实现阶段性突破，全面适配高原群众健康需求与卫生健康事业发展节奏。</w:t>
      </w:r>
    </w:p>
    <w:p w14:paraId="483F883A">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5" w:name="_Toc236169567"/>
      <w:r>
        <w:rPr>
          <w:rFonts w:ascii="黑体" w:hAnsi="黑体" w:eastAsia="黑体"/>
          <w:b w:val="0"/>
          <w:bCs/>
          <w:sz w:val="32"/>
          <w:szCs w:val="32"/>
        </w:rPr>
        <w:t>（二）重点工作推进</w:t>
      </w:r>
      <w:bookmarkEnd w:id="5"/>
    </w:p>
    <w:p w14:paraId="3D634652">
      <w:pPr>
        <w:widowControl w:val="0"/>
        <w:spacing w:line="600" w:lineRule="exact"/>
        <w:ind w:firstLine="643" w:firstLineChars="200"/>
        <w:jc w:val="both"/>
        <w:rPr>
          <w:rFonts w:hint="eastAsia" w:ascii="仿宋" w:hAnsi="仿宋" w:eastAsia="仿宋" w:cs="仿宋_GB2312"/>
          <w:sz w:val="32"/>
          <w:szCs w:val="32"/>
          <w:shd w:val="clear" w:color="auto" w:fill="FFFFFF"/>
          <w:lang w:bidi="ar"/>
        </w:rPr>
      </w:pPr>
      <w:r>
        <w:rPr>
          <w:rFonts w:hint="eastAsia" w:ascii="仿宋" w:hAnsi="仿宋" w:eastAsia="仿宋" w:cs="仿宋_GB2312"/>
          <w:b/>
          <w:sz w:val="32"/>
          <w:szCs w:val="32"/>
          <w:shd w:val="clear" w:color="auto" w:fill="FFFFFF"/>
          <w:lang w:bidi="ar"/>
        </w:rPr>
        <w:t>基础设施升级，筑牢服务根基。</w:t>
      </w:r>
      <w:r>
        <w:rPr>
          <w:rFonts w:hint="eastAsia" w:ascii="仿宋" w:hAnsi="仿宋" w:eastAsia="仿宋" w:cs="仿宋_GB2312"/>
          <w:sz w:val="32"/>
          <w:szCs w:val="32"/>
          <w:shd w:val="clear" w:color="auto" w:fill="FFFFFF"/>
          <w:lang w:bidi="ar"/>
        </w:rPr>
        <w:t>启动县医院传染病区建设，补齐传染病救治硬件短板；加快县医院包虫病、大骨节病康复诊疗中心项目建设，确保按期竣工投用；深化医共体信息化平台建设，打破县乡医疗机构信息壁垒，提升数据共享和服务协同效率。</w:t>
      </w:r>
    </w:p>
    <w:p w14:paraId="7C264151">
      <w:pPr>
        <w:widowControl w:val="0"/>
        <w:spacing w:line="600" w:lineRule="exact"/>
        <w:ind w:firstLine="643" w:firstLineChars="200"/>
        <w:jc w:val="both"/>
        <w:rPr>
          <w:rFonts w:hint="eastAsia" w:ascii="仿宋" w:hAnsi="仿宋" w:eastAsia="仿宋" w:cs="仿宋_GB2312"/>
          <w:sz w:val="32"/>
          <w:szCs w:val="32"/>
          <w:shd w:val="clear" w:color="auto" w:fill="FFFFFF"/>
          <w:lang w:bidi="ar"/>
        </w:rPr>
      </w:pPr>
      <w:r>
        <w:rPr>
          <w:rFonts w:hint="eastAsia" w:ascii="仿宋" w:hAnsi="仿宋" w:eastAsia="仿宋" w:cs="仿宋_GB2312"/>
          <w:b/>
          <w:sz w:val="32"/>
          <w:szCs w:val="32"/>
          <w:shd w:val="clear" w:color="auto" w:fill="FFFFFF"/>
          <w:lang w:bidi="ar"/>
        </w:rPr>
        <w:t>优化公共卫生服务，筑牢健康屏障。</w:t>
      </w:r>
      <w:r>
        <w:rPr>
          <w:rFonts w:hint="eastAsia" w:ascii="仿宋" w:hAnsi="仿宋" w:eastAsia="仿宋" w:cs="仿宋_GB2312"/>
          <w:sz w:val="32"/>
          <w:szCs w:val="32"/>
          <w:shd w:val="clear" w:color="auto" w:fill="FFFFFF"/>
          <w:lang w:bidi="ar"/>
        </w:rPr>
        <w:t>深入开展健康宣教“进牧区”活动，制作藏汉双语宣传资料，通过流动宣讲、短视频等形式普及防病知识，提升群众健康素养。规范老年人、孕产妇、高血压及糖尿病患者等重点人群健康管理，开展免费体检、定期随访、康复指导等服务，动态完善电子健康档案，实现健康管理精准化、常态化。</w:t>
      </w:r>
    </w:p>
    <w:p w14:paraId="3911222A">
      <w:pPr>
        <w:widowControl w:val="0"/>
        <w:spacing w:line="600" w:lineRule="exact"/>
        <w:ind w:firstLine="643" w:firstLineChars="200"/>
        <w:jc w:val="both"/>
        <w:rPr>
          <w:rFonts w:hint="eastAsia" w:ascii="仿宋" w:hAnsi="仿宋" w:eastAsia="仿宋" w:cs="仿宋_GB2312"/>
          <w:sz w:val="32"/>
          <w:szCs w:val="32"/>
          <w:shd w:val="clear" w:color="auto" w:fill="FFFFFF"/>
          <w:lang w:bidi="ar"/>
        </w:rPr>
      </w:pPr>
      <w:r>
        <w:rPr>
          <w:rFonts w:hint="eastAsia" w:ascii="仿宋" w:hAnsi="仿宋" w:eastAsia="仿宋" w:cs="仿宋_GB2312"/>
          <w:b/>
          <w:sz w:val="32"/>
          <w:szCs w:val="32"/>
          <w:shd w:val="clear" w:color="auto" w:fill="FFFFFF"/>
          <w:lang w:bidi="ar"/>
        </w:rPr>
        <w:t>提质医疗妇幼服务，增进民生福祉。</w:t>
      </w:r>
      <w:r>
        <w:rPr>
          <w:rFonts w:hint="eastAsia" w:ascii="仿宋" w:hAnsi="仿宋" w:eastAsia="仿宋" w:cs="仿宋_GB2312"/>
          <w:sz w:val="32"/>
          <w:szCs w:val="32"/>
          <w:shd w:val="clear" w:color="auto" w:fill="FFFFFF"/>
          <w:lang w:bidi="ar"/>
        </w:rPr>
        <w:t>健全县乡村三级医疗机构双向转诊机制，推动优质医疗资源下沉与患者合理分流；提升上寨医疗次中心专科能力，新增微创诊疗技术，增强片区急慢性病诊疗能力；建设旅游急诊急救基地，配备适配高原环境的急救设备与车辆，提升旅游应急医疗保障水平。</w:t>
      </w:r>
    </w:p>
    <w:p w14:paraId="432E5210">
      <w:pPr>
        <w:widowControl w:val="0"/>
        <w:spacing w:line="600" w:lineRule="exact"/>
        <w:ind w:firstLine="643" w:firstLineChars="200"/>
        <w:jc w:val="both"/>
        <w:rPr>
          <w:rFonts w:hint="eastAsia" w:ascii="仿宋" w:hAnsi="仿宋" w:eastAsia="仿宋" w:cs="仿宋_GB2312"/>
          <w:sz w:val="32"/>
          <w:szCs w:val="32"/>
          <w:shd w:val="clear" w:color="auto" w:fill="FFFFFF"/>
          <w:lang w:bidi="ar"/>
        </w:rPr>
      </w:pPr>
      <w:r>
        <w:rPr>
          <w:rFonts w:hint="eastAsia" w:ascii="仿宋" w:hAnsi="仿宋" w:eastAsia="仿宋" w:cs="仿宋_GB2312"/>
          <w:b/>
          <w:sz w:val="32"/>
          <w:szCs w:val="32"/>
          <w:shd w:val="clear" w:color="auto" w:fill="FFFFFF"/>
          <w:lang w:bidi="ar"/>
        </w:rPr>
        <w:t>发展特色健康产业，做强民族品牌。</w:t>
      </w:r>
      <w:r>
        <w:rPr>
          <w:rFonts w:hint="eastAsia" w:ascii="仿宋" w:hAnsi="仿宋" w:eastAsia="仿宋" w:cs="仿宋_GB2312"/>
          <w:sz w:val="32"/>
          <w:szCs w:val="32"/>
          <w:shd w:val="clear" w:color="auto" w:fill="FFFFFF"/>
          <w:lang w:bidi="ar"/>
        </w:rPr>
        <w:t>新建民间康养示范点，制定藏药浴、针灸等中藏医特色服务规范，提升中藏医药服务标准化水平；推动县藏医院重点专科创建，强化高原老年病、慢性病诊疗与康复能力，扩大民族医药影响力。</w:t>
      </w:r>
    </w:p>
    <w:p w14:paraId="6E8AE9F9">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_GB2312"/>
          <w:b/>
          <w:sz w:val="32"/>
          <w:szCs w:val="32"/>
          <w:shd w:val="clear" w:color="auto" w:fill="FFFFFF"/>
          <w:lang w:bidi="ar"/>
        </w:rPr>
        <w:t>强化人才队伍建设，夯实发展支撑。</w:t>
      </w:r>
      <w:r>
        <w:rPr>
          <w:rFonts w:hint="eastAsia" w:ascii="仿宋" w:hAnsi="仿宋" w:eastAsia="仿宋" w:cs="仿宋_GB2312"/>
          <w:sz w:val="32"/>
          <w:szCs w:val="32"/>
          <w:shd w:val="clear" w:color="auto" w:fill="FFFFFF"/>
          <w:lang w:bidi="ar"/>
        </w:rPr>
        <w:t>落实高原人才激励政策，优化基层医务人员薪酬待遇，按海拔梯度完善津贴补贴机制，改善基层工作生活条件，稳定基层医疗队伍。</w:t>
      </w:r>
    </w:p>
    <w:p w14:paraId="623EE579">
      <w:pPr>
        <w:pStyle w:val="3"/>
        <w:widowControl w:val="0"/>
        <w:spacing w:before="340" w:beforeAutospacing="0" w:after="330" w:afterAutospacing="0" w:line="578" w:lineRule="auto"/>
        <w:jc w:val="center"/>
        <w:rPr>
          <w:rFonts w:ascii="黑体" w:hAnsi="黑体" w:eastAsia="黑体"/>
          <w:b w:val="0"/>
          <w:bCs/>
          <w:sz w:val="44"/>
          <w:szCs w:val="32"/>
        </w:rPr>
      </w:pPr>
      <w:bookmarkStart w:id="6" w:name="_Toc236169568"/>
      <w:r>
        <w:rPr>
          <w:rFonts w:ascii="黑体" w:hAnsi="黑体" w:eastAsia="黑体"/>
          <w:b w:val="0"/>
          <w:bCs/>
          <w:sz w:val="44"/>
          <w:szCs w:val="32"/>
        </w:rPr>
        <w:t>二、部门预算单位构成</w:t>
      </w:r>
      <w:bookmarkEnd w:id="6"/>
    </w:p>
    <w:p w14:paraId="21F6421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壤塘县岗木达镇社区卫生服务中心，无二级单位</w:t>
      </w:r>
      <w:r>
        <w:rPr>
          <w:rFonts w:hint="eastAsia" w:ascii="仿宋" w:hAnsi="仿宋" w:eastAsia="仿宋" w:cs="仿宋_GB2312"/>
          <w:sz w:val="32"/>
          <w:szCs w:val="32"/>
        </w:rPr>
        <w:t>。</w:t>
      </w:r>
    </w:p>
    <w:p w14:paraId="7F51BB0D">
      <w:pPr>
        <w:pStyle w:val="3"/>
        <w:widowControl w:val="0"/>
        <w:spacing w:before="340" w:beforeAutospacing="0" w:after="330" w:afterAutospacing="0" w:line="578" w:lineRule="auto"/>
        <w:jc w:val="center"/>
        <w:rPr>
          <w:rFonts w:ascii="黑体" w:hAnsi="黑体" w:eastAsia="黑体"/>
          <w:b w:val="0"/>
          <w:bCs/>
          <w:sz w:val="44"/>
          <w:szCs w:val="32"/>
        </w:rPr>
      </w:pPr>
      <w:bookmarkStart w:id="7" w:name="_Toc236169569"/>
      <w:r>
        <w:rPr>
          <w:rFonts w:ascii="黑体" w:hAnsi="黑体" w:eastAsia="黑体"/>
          <w:b w:val="0"/>
          <w:bCs/>
          <w:sz w:val="44"/>
          <w:szCs w:val="32"/>
        </w:rPr>
        <w:t>三、收支预算情况说明</w:t>
      </w:r>
      <w:bookmarkEnd w:id="7"/>
    </w:p>
    <w:p w14:paraId="7D81CDFE">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kern w:val="0"/>
          <w:sz w:val="32"/>
          <w:szCs w:val="32"/>
          <w:lang w:bidi="ar"/>
        </w:rPr>
        <w:t>按照综合预算的原则，壤塘县岗木达镇社区卫生服务中心所有收入和支出均纳入部门预算管理。收入包括：一般公共预算拨款收入</w:t>
      </w:r>
      <w:r>
        <w:rPr>
          <w:rFonts w:hint="eastAsia" w:ascii="仿宋" w:hAnsi="仿宋" w:eastAsia="仿宋" w:cs="Times New Roman"/>
          <w:kern w:val="0"/>
          <w:sz w:val="32"/>
          <w:szCs w:val="32"/>
          <w:lang w:bidi="ar"/>
        </w:rPr>
        <w:t>244.73</w:t>
      </w:r>
      <w:r>
        <w:rPr>
          <w:rFonts w:hint="eastAsia" w:ascii="仿宋" w:hAnsi="仿宋" w:eastAsia="仿宋" w:cs="仿宋_GB2312"/>
          <w:kern w:val="0"/>
          <w:sz w:val="32"/>
          <w:szCs w:val="32"/>
          <w:lang w:bidi="ar"/>
        </w:rPr>
        <w:t>万元，事业收入</w:t>
      </w:r>
      <w:r>
        <w:rPr>
          <w:rFonts w:hint="eastAsia" w:ascii="仿宋" w:hAnsi="仿宋" w:eastAsia="仿宋" w:cs="Times New Roman"/>
          <w:kern w:val="0"/>
          <w:sz w:val="32"/>
          <w:szCs w:val="32"/>
          <w:lang w:bidi="ar"/>
        </w:rPr>
        <w:t>0万元，其他收入0万元，上年结转0万元；支出包括：一般公共服务支出0万元，教育支出0万元，文化体育与传媒支出0万元，社会保障和就业支出39.70</w:t>
      </w:r>
      <w:r>
        <w:rPr>
          <w:rFonts w:hint="eastAsia" w:ascii="仿宋" w:hAnsi="仿宋" w:eastAsia="仿宋" w:cs="仿宋_GB2312"/>
          <w:kern w:val="0"/>
          <w:sz w:val="32"/>
          <w:szCs w:val="32"/>
          <w:lang w:bidi="ar"/>
        </w:rPr>
        <w:t>万元，卫生健康支出</w:t>
      </w:r>
      <w:r>
        <w:rPr>
          <w:rFonts w:hint="eastAsia" w:ascii="仿宋" w:hAnsi="仿宋" w:eastAsia="仿宋" w:cs="Times New Roman"/>
          <w:kern w:val="0"/>
          <w:sz w:val="32"/>
          <w:szCs w:val="32"/>
          <w:lang w:bidi="ar"/>
        </w:rPr>
        <w:t>184.99</w:t>
      </w:r>
      <w:r>
        <w:rPr>
          <w:rFonts w:hint="eastAsia" w:ascii="仿宋" w:hAnsi="仿宋" w:eastAsia="仿宋" w:cs="仿宋_GB2312"/>
          <w:kern w:val="0"/>
          <w:sz w:val="32"/>
          <w:szCs w:val="32"/>
          <w:lang w:bidi="ar"/>
        </w:rPr>
        <w:t>万元，住房保障支出</w:t>
      </w:r>
      <w:r>
        <w:rPr>
          <w:rFonts w:hint="eastAsia" w:ascii="仿宋" w:hAnsi="仿宋" w:eastAsia="仿宋" w:cs="Times New Roman"/>
          <w:kern w:val="0"/>
          <w:sz w:val="32"/>
          <w:szCs w:val="32"/>
          <w:lang w:bidi="ar"/>
        </w:rPr>
        <w:t>20.04</w:t>
      </w:r>
      <w:r>
        <w:rPr>
          <w:rFonts w:hint="eastAsia" w:ascii="仿宋" w:hAnsi="仿宋" w:eastAsia="仿宋" w:cs="仿宋_GB2312"/>
          <w:kern w:val="0"/>
          <w:sz w:val="32"/>
          <w:szCs w:val="32"/>
          <w:lang w:bidi="ar"/>
        </w:rPr>
        <w:t>万元。壤塘县岗木达镇社区卫生服务中心</w:t>
      </w: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年收支总预算各</w:t>
      </w:r>
      <w:r>
        <w:rPr>
          <w:rFonts w:hint="eastAsia" w:ascii="仿宋" w:hAnsi="仿宋" w:eastAsia="仿宋" w:cs="Times New Roman"/>
          <w:kern w:val="0"/>
          <w:sz w:val="32"/>
          <w:szCs w:val="32"/>
          <w:lang w:bidi="ar"/>
        </w:rPr>
        <w:t>244.73</w:t>
      </w:r>
      <w:r>
        <w:rPr>
          <w:rFonts w:hint="eastAsia" w:ascii="仿宋" w:hAnsi="仿宋" w:eastAsia="仿宋" w:cs="仿宋_GB2312"/>
          <w:kern w:val="0"/>
          <w:sz w:val="32"/>
          <w:szCs w:val="32"/>
          <w:lang w:bidi="ar"/>
        </w:rPr>
        <w:t>万元</w:t>
      </w:r>
      <w:r>
        <w:rPr>
          <w:rFonts w:hint="eastAsia" w:ascii="仿宋" w:hAnsi="仿宋" w:eastAsia="仿宋" w:cs="Times New Roman"/>
          <w:kern w:val="0"/>
          <w:sz w:val="32"/>
          <w:szCs w:val="32"/>
          <w:lang w:bidi="ar"/>
        </w:rPr>
        <w:t>,比2025</w:t>
      </w:r>
      <w:r>
        <w:rPr>
          <w:rFonts w:hint="eastAsia" w:ascii="仿宋" w:hAnsi="仿宋" w:eastAsia="仿宋" w:cs="仿宋_GB2312"/>
          <w:kern w:val="0"/>
          <w:sz w:val="32"/>
          <w:szCs w:val="32"/>
          <w:lang w:bidi="ar"/>
        </w:rPr>
        <w:t>年收支预算总数各增加</w:t>
      </w:r>
      <w:r>
        <w:rPr>
          <w:rFonts w:hint="eastAsia" w:ascii="仿宋" w:hAnsi="仿宋" w:eastAsia="仿宋" w:cs="Times New Roman"/>
          <w:kern w:val="0"/>
          <w:sz w:val="32"/>
          <w:szCs w:val="32"/>
          <w:lang w:bidi="ar"/>
        </w:rPr>
        <w:t>10.17</w:t>
      </w:r>
      <w:r>
        <w:rPr>
          <w:rFonts w:hint="eastAsia" w:ascii="仿宋" w:hAnsi="仿宋" w:eastAsia="仿宋" w:cs="仿宋_GB2312"/>
          <w:kern w:val="0"/>
          <w:sz w:val="32"/>
          <w:szCs w:val="32"/>
          <w:lang w:bidi="ar"/>
        </w:rPr>
        <w:t>万元，主要原因</w:t>
      </w:r>
      <w:r>
        <w:rPr>
          <w:rFonts w:hint="eastAsia" w:ascii="仿宋" w:hAnsi="仿宋" w:eastAsia="仿宋" w:cs="Times New Roman"/>
          <w:kern w:val="0"/>
          <w:sz w:val="32"/>
          <w:szCs w:val="32"/>
          <w:lang w:bidi="ar"/>
        </w:rPr>
        <w:t>:</w:t>
      </w:r>
      <w:r>
        <w:rPr>
          <w:rFonts w:hint="eastAsia" w:ascii="仿宋" w:hAnsi="仿宋" w:eastAsia="仿宋" w:cs="仿宋_GB2312"/>
          <w:kern w:val="0"/>
          <w:sz w:val="32"/>
          <w:szCs w:val="32"/>
          <w:lang w:bidi="ar"/>
        </w:rPr>
        <w:t>人员工资福利待遇变动。</w:t>
      </w:r>
    </w:p>
    <w:p w14:paraId="77C8753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8" w:name="_Toc236169570"/>
      <w:r>
        <w:rPr>
          <w:rFonts w:ascii="黑体" w:hAnsi="黑体" w:eastAsia="黑体"/>
          <w:b w:val="0"/>
          <w:bCs/>
          <w:sz w:val="32"/>
          <w:szCs w:val="32"/>
        </w:rPr>
        <w:t>（一）收入预算情况</w:t>
      </w:r>
      <w:bookmarkEnd w:id="8"/>
    </w:p>
    <w:p w14:paraId="15732767">
      <w:pPr>
        <w:widowControl w:val="0"/>
        <w:spacing w:line="600" w:lineRule="exact"/>
        <w:ind w:firstLine="640" w:firstLineChars="200"/>
        <w:jc w:val="both"/>
        <w:rPr>
          <w:rFonts w:hint="eastAsia" w:ascii="仿宋" w:hAnsi="仿宋" w:eastAsia="仿宋" w:cs="Times New Roman"/>
          <w:kern w:val="0"/>
          <w:sz w:val="32"/>
          <w:szCs w:val="32"/>
          <w:lang w:bidi="ar"/>
        </w:rPr>
      </w:pPr>
      <w:r>
        <w:rPr>
          <w:rFonts w:hint="eastAsia" w:ascii="仿宋" w:hAnsi="仿宋" w:eastAsia="仿宋" w:cs="仿宋_GB2312"/>
          <w:kern w:val="0"/>
          <w:sz w:val="32"/>
          <w:szCs w:val="32"/>
          <w:lang w:bidi="ar"/>
        </w:rPr>
        <w:t>壤塘县岗木达镇社区卫生服务中心</w:t>
      </w: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年收入预算</w:t>
      </w:r>
      <w:r>
        <w:rPr>
          <w:rFonts w:hint="eastAsia" w:ascii="仿宋" w:hAnsi="仿宋" w:eastAsia="仿宋" w:cs="Times New Roman"/>
          <w:kern w:val="0"/>
          <w:sz w:val="32"/>
          <w:szCs w:val="32"/>
          <w:lang w:bidi="ar"/>
        </w:rPr>
        <w:t>244.73</w:t>
      </w:r>
      <w:r>
        <w:rPr>
          <w:rFonts w:hint="eastAsia" w:ascii="仿宋" w:hAnsi="仿宋" w:eastAsia="仿宋" w:cs="仿宋_GB2312"/>
          <w:kern w:val="0"/>
          <w:sz w:val="32"/>
          <w:szCs w:val="32"/>
          <w:lang w:bidi="ar"/>
        </w:rPr>
        <w:t>万元，其中：上年结转</w:t>
      </w:r>
      <w:r>
        <w:rPr>
          <w:rFonts w:hint="eastAsia" w:ascii="仿宋" w:hAnsi="仿宋" w:eastAsia="仿宋" w:cs="Times New Roman"/>
          <w:kern w:val="0"/>
          <w:sz w:val="32"/>
          <w:szCs w:val="32"/>
          <w:lang w:bidi="ar"/>
        </w:rPr>
        <w:t>0万元，占0%；一般公共预算拨款收入244.73</w:t>
      </w:r>
      <w:r>
        <w:rPr>
          <w:rFonts w:hint="eastAsia" w:ascii="仿宋" w:hAnsi="仿宋" w:eastAsia="仿宋" w:cs="仿宋_GB2312"/>
          <w:kern w:val="0"/>
          <w:sz w:val="32"/>
          <w:szCs w:val="32"/>
          <w:lang w:bidi="ar"/>
        </w:rPr>
        <w:t>万元，占</w:t>
      </w:r>
      <w:r>
        <w:rPr>
          <w:rFonts w:hint="eastAsia" w:ascii="仿宋" w:hAnsi="仿宋" w:eastAsia="仿宋" w:cs="Times New Roman"/>
          <w:kern w:val="0"/>
          <w:sz w:val="32"/>
          <w:szCs w:val="32"/>
          <w:lang w:bidi="ar"/>
        </w:rPr>
        <w:t>100%；事业收入0万元，占0%；其他收入0万元，占0%。</w:t>
      </w:r>
    </w:p>
    <w:p w14:paraId="6046C1FC">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9" w:name="_Toc236169571"/>
      <w:r>
        <w:rPr>
          <w:rFonts w:ascii="黑体" w:hAnsi="黑体" w:eastAsia="黑体"/>
          <w:b w:val="0"/>
          <w:bCs/>
          <w:sz w:val="32"/>
          <w:szCs w:val="32"/>
        </w:rPr>
        <w:t>（二）支出预算情况</w:t>
      </w:r>
      <w:bookmarkEnd w:id="9"/>
    </w:p>
    <w:p w14:paraId="158CC122">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rPr>
        <w:t>壤塘县岗木达镇社区卫生服务中心</w:t>
      </w:r>
      <w:r>
        <w:rPr>
          <w:rFonts w:hint="eastAsia" w:ascii="仿宋" w:hAnsi="仿宋" w:eastAsia="仿宋" w:cs="Times New Roman"/>
          <w:sz w:val="32"/>
          <w:szCs w:val="32"/>
        </w:rPr>
        <w:t>2026</w:t>
      </w:r>
      <w:r>
        <w:rPr>
          <w:rFonts w:hint="eastAsia" w:ascii="仿宋" w:hAnsi="仿宋" w:eastAsia="仿宋" w:cs="仿宋_GB2312"/>
          <w:sz w:val="32"/>
          <w:szCs w:val="32"/>
        </w:rPr>
        <w:t>年支出预算</w:t>
      </w:r>
      <w:r>
        <w:rPr>
          <w:rFonts w:hint="eastAsia" w:ascii="仿宋" w:hAnsi="仿宋" w:eastAsia="仿宋" w:cs="Times New Roman"/>
          <w:sz w:val="32"/>
          <w:szCs w:val="32"/>
        </w:rPr>
        <w:t>244.73</w:t>
      </w:r>
      <w:r>
        <w:rPr>
          <w:rFonts w:hint="eastAsia" w:ascii="仿宋" w:hAnsi="仿宋" w:eastAsia="仿宋" w:cs="仿宋_GB2312"/>
          <w:sz w:val="32"/>
          <w:szCs w:val="32"/>
        </w:rPr>
        <w:t>万元，其中：基本支出</w:t>
      </w:r>
      <w:r>
        <w:rPr>
          <w:rFonts w:hint="eastAsia" w:ascii="仿宋" w:hAnsi="仿宋" w:eastAsia="仿宋" w:cs="Times New Roman"/>
          <w:sz w:val="32"/>
          <w:szCs w:val="32"/>
        </w:rPr>
        <w:t>244.73</w:t>
      </w:r>
      <w:r>
        <w:rPr>
          <w:rFonts w:hint="eastAsia" w:ascii="仿宋" w:hAnsi="仿宋" w:eastAsia="仿宋" w:cs="仿宋_GB2312"/>
          <w:sz w:val="32"/>
          <w:szCs w:val="32"/>
        </w:rPr>
        <w:t>万元，占</w:t>
      </w:r>
      <w:r>
        <w:rPr>
          <w:rFonts w:hint="eastAsia" w:ascii="仿宋" w:hAnsi="仿宋" w:eastAsia="仿宋" w:cs="Times New Roman"/>
          <w:sz w:val="32"/>
          <w:szCs w:val="32"/>
        </w:rPr>
        <w:t>100%；项目支出0</w:t>
      </w:r>
      <w:r>
        <w:rPr>
          <w:rFonts w:hint="eastAsia" w:ascii="仿宋" w:hAnsi="仿宋" w:eastAsia="仿宋" w:cs="仿宋_GB2312"/>
          <w:sz w:val="32"/>
          <w:szCs w:val="32"/>
        </w:rPr>
        <w:t>万元，占</w:t>
      </w:r>
      <w:r>
        <w:rPr>
          <w:rFonts w:hint="eastAsia" w:ascii="仿宋" w:hAnsi="仿宋" w:eastAsia="仿宋" w:cs="Times New Roman"/>
          <w:sz w:val="32"/>
          <w:szCs w:val="32"/>
        </w:rPr>
        <w:t>0%</w:t>
      </w:r>
      <w:r>
        <w:rPr>
          <w:rFonts w:hint="eastAsia" w:ascii="仿宋" w:hAnsi="仿宋" w:eastAsia="仿宋" w:cs="仿宋_GB2312"/>
          <w:kern w:val="2"/>
          <w:sz w:val="32"/>
          <w:szCs w:val="32"/>
        </w:rPr>
        <w:t>。</w:t>
      </w:r>
    </w:p>
    <w:p w14:paraId="1771274E">
      <w:pPr>
        <w:pStyle w:val="3"/>
        <w:widowControl w:val="0"/>
        <w:spacing w:before="340" w:beforeAutospacing="0" w:after="330" w:afterAutospacing="0" w:line="578" w:lineRule="auto"/>
        <w:jc w:val="center"/>
        <w:rPr>
          <w:rFonts w:ascii="黑体" w:hAnsi="黑体" w:eastAsia="黑体"/>
          <w:b w:val="0"/>
          <w:bCs/>
          <w:sz w:val="44"/>
          <w:szCs w:val="32"/>
        </w:rPr>
      </w:pPr>
      <w:bookmarkStart w:id="10" w:name="_Toc236169572"/>
      <w:r>
        <w:rPr>
          <w:rFonts w:ascii="黑体" w:hAnsi="黑体" w:eastAsia="黑体"/>
          <w:b w:val="0"/>
          <w:bCs/>
          <w:sz w:val="44"/>
          <w:szCs w:val="32"/>
        </w:rPr>
        <w:t>四、财政拨款收支预算情况说明</w:t>
      </w:r>
      <w:bookmarkEnd w:id="10"/>
    </w:p>
    <w:p w14:paraId="1BD85930">
      <w:pPr>
        <w:widowControl w:val="0"/>
        <w:spacing w:line="600" w:lineRule="exact"/>
        <w:ind w:firstLine="640" w:firstLineChars="200"/>
        <w:jc w:val="both"/>
        <w:rPr>
          <w:rFonts w:hint="eastAsia" w:ascii="仿宋" w:hAnsi="仿宋" w:eastAsia="仿宋" w:cs="Times New Roman"/>
          <w:kern w:val="0"/>
          <w:sz w:val="32"/>
          <w:szCs w:val="32"/>
          <w:lang w:bidi="ar"/>
        </w:rPr>
      </w:pPr>
      <w:r>
        <w:rPr>
          <w:rFonts w:hint="eastAsia" w:ascii="仿宋" w:hAnsi="仿宋" w:eastAsia="仿宋" w:cs="仿宋_GB2312"/>
          <w:kern w:val="0"/>
          <w:sz w:val="32"/>
          <w:szCs w:val="32"/>
          <w:lang w:bidi="ar"/>
        </w:rPr>
        <w:t>壤塘县岗木达镇社区卫生服务中心</w:t>
      </w: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年财政拨款收支总预算各</w:t>
      </w:r>
      <w:r>
        <w:rPr>
          <w:rFonts w:hint="eastAsia" w:ascii="仿宋" w:hAnsi="仿宋" w:eastAsia="仿宋" w:cs="Times New Roman"/>
          <w:kern w:val="0"/>
          <w:sz w:val="32"/>
          <w:szCs w:val="32"/>
          <w:lang w:bidi="ar"/>
        </w:rPr>
        <w:t>244.73</w:t>
      </w:r>
      <w:r>
        <w:rPr>
          <w:rFonts w:hint="eastAsia" w:ascii="仿宋" w:hAnsi="仿宋" w:eastAsia="仿宋" w:cs="仿宋_GB2312"/>
          <w:kern w:val="0"/>
          <w:sz w:val="32"/>
          <w:szCs w:val="32"/>
          <w:lang w:bidi="ar"/>
        </w:rPr>
        <w:t>万元</w:t>
      </w:r>
      <w:r>
        <w:rPr>
          <w:rFonts w:hint="eastAsia" w:ascii="仿宋" w:hAnsi="仿宋" w:eastAsia="仿宋" w:cs="Times New Roman"/>
          <w:kern w:val="0"/>
          <w:sz w:val="32"/>
          <w:szCs w:val="32"/>
          <w:lang w:bidi="ar"/>
        </w:rPr>
        <w:t>,比2025</w:t>
      </w:r>
      <w:r>
        <w:rPr>
          <w:rFonts w:hint="eastAsia" w:ascii="仿宋" w:hAnsi="仿宋" w:eastAsia="仿宋" w:cs="仿宋_GB2312"/>
          <w:kern w:val="0"/>
          <w:sz w:val="32"/>
          <w:szCs w:val="32"/>
          <w:lang w:bidi="ar"/>
        </w:rPr>
        <w:t>年财政拨款收支总预算各增加</w:t>
      </w:r>
      <w:r>
        <w:rPr>
          <w:rFonts w:hint="eastAsia" w:ascii="仿宋" w:hAnsi="仿宋" w:eastAsia="仿宋" w:cs="Times New Roman"/>
          <w:kern w:val="0"/>
          <w:sz w:val="32"/>
          <w:szCs w:val="32"/>
          <w:lang w:bidi="ar"/>
        </w:rPr>
        <w:t>10.17</w:t>
      </w:r>
      <w:r>
        <w:rPr>
          <w:rFonts w:hint="eastAsia" w:ascii="仿宋" w:hAnsi="仿宋" w:eastAsia="仿宋" w:cs="仿宋_GB2312"/>
          <w:kern w:val="0"/>
          <w:sz w:val="32"/>
          <w:szCs w:val="32"/>
          <w:lang w:bidi="ar"/>
        </w:rPr>
        <w:t>万元，主要原因</w:t>
      </w:r>
      <w:r>
        <w:rPr>
          <w:rFonts w:hint="eastAsia" w:ascii="仿宋" w:hAnsi="仿宋" w:eastAsia="仿宋" w:cs="Times New Roman"/>
          <w:kern w:val="0"/>
          <w:sz w:val="32"/>
          <w:szCs w:val="32"/>
          <w:lang w:bidi="ar"/>
        </w:rPr>
        <w:t>:</w:t>
      </w:r>
      <w:r>
        <w:rPr>
          <w:rFonts w:hint="eastAsia" w:ascii="仿宋" w:hAnsi="仿宋" w:eastAsia="仿宋" w:cs="仿宋_GB2312"/>
          <w:kern w:val="0"/>
          <w:sz w:val="32"/>
          <w:szCs w:val="32"/>
          <w:lang w:bidi="ar"/>
        </w:rPr>
        <w:t>人员工资福利待遇变动。收入包括：本年一般公共预算拨款收入</w:t>
      </w:r>
      <w:r>
        <w:rPr>
          <w:rFonts w:hint="eastAsia" w:ascii="仿宋" w:hAnsi="仿宋" w:eastAsia="仿宋" w:cs="Times New Roman"/>
          <w:kern w:val="0"/>
          <w:sz w:val="32"/>
          <w:szCs w:val="32"/>
          <w:lang w:bidi="ar"/>
        </w:rPr>
        <w:t>244.73</w:t>
      </w:r>
      <w:r>
        <w:rPr>
          <w:rFonts w:hint="eastAsia" w:ascii="仿宋" w:hAnsi="仿宋" w:eastAsia="仿宋" w:cs="仿宋_GB2312"/>
          <w:kern w:val="0"/>
          <w:sz w:val="32"/>
          <w:szCs w:val="32"/>
          <w:lang w:bidi="ar"/>
        </w:rPr>
        <w:t>万元，上年结转一般公共预算收入</w:t>
      </w:r>
      <w:r>
        <w:rPr>
          <w:rFonts w:hint="eastAsia" w:ascii="仿宋" w:hAnsi="仿宋" w:eastAsia="仿宋" w:cs="Times New Roman"/>
          <w:kern w:val="0"/>
          <w:sz w:val="32"/>
          <w:szCs w:val="32"/>
          <w:lang w:bidi="ar"/>
        </w:rPr>
        <w:t>0万元，上年结转财政拨款资金0万元</w:t>
      </w:r>
      <w:r>
        <w:rPr>
          <w:rFonts w:hint="eastAsia" w:ascii="仿宋" w:hAnsi="仿宋" w:eastAsia="仿宋" w:cs="仿宋_GB2312"/>
          <w:kern w:val="0"/>
          <w:sz w:val="32"/>
          <w:szCs w:val="32"/>
          <w:lang w:bidi="ar"/>
        </w:rPr>
        <w:t>。</w:t>
      </w:r>
    </w:p>
    <w:p w14:paraId="596B5142">
      <w:pPr>
        <w:widowControl w:val="0"/>
        <w:spacing w:line="600" w:lineRule="exact"/>
        <w:ind w:firstLine="640" w:firstLineChars="200"/>
        <w:jc w:val="both"/>
        <w:rPr>
          <w:rFonts w:hint="eastAsia" w:ascii="仿宋" w:hAnsi="仿宋" w:eastAsia="仿宋" w:cs="仿宋_GB2312"/>
          <w:kern w:val="0"/>
          <w:sz w:val="32"/>
          <w:szCs w:val="32"/>
          <w:lang w:bidi="ar"/>
        </w:rPr>
      </w:pPr>
      <w:r>
        <w:rPr>
          <w:rFonts w:hint="eastAsia" w:ascii="仿宋" w:hAnsi="仿宋" w:eastAsia="仿宋" w:cs="仿宋_GB2312"/>
          <w:kern w:val="0"/>
          <w:sz w:val="32"/>
          <w:szCs w:val="32"/>
          <w:lang w:bidi="ar"/>
        </w:rPr>
        <w:t>支出包括：一般公共服务支出</w:t>
      </w:r>
      <w:r>
        <w:rPr>
          <w:rFonts w:hint="eastAsia" w:ascii="仿宋" w:hAnsi="仿宋" w:eastAsia="仿宋" w:cs="Times New Roman"/>
          <w:kern w:val="0"/>
          <w:sz w:val="32"/>
          <w:szCs w:val="32"/>
          <w:lang w:bidi="ar"/>
        </w:rPr>
        <w:t>0万元，教育支出0万元，文化体育与传媒支出0万元，社会保障和就业支出39.70</w:t>
      </w:r>
      <w:r>
        <w:rPr>
          <w:rFonts w:hint="eastAsia" w:ascii="仿宋" w:hAnsi="仿宋" w:eastAsia="仿宋" w:cs="仿宋_GB2312"/>
          <w:kern w:val="0"/>
          <w:sz w:val="32"/>
          <w:szCs w:val="32"/>
          <w:lang w:bidi="ar"/>
        </w:rPr>
        <w:t>万元，卫生健康支出</w:t>
      </w:r>
      <w:r>
        <w:rPr>
          <w:rFonts w:hint="eastAsia" w:ascii="仿宋" w:hAnsi="仿宋" w:eastAsia="仿宋" w:cs="Times New Roman"/>
          <w:kern w:val="0"/>
          <w:sz w:val="32"/>
          <w:szCs w:val="32"/>
          <w:lang w:bidi="ar"/>
        </w:rPr>
        <w:t>184.99</w:t>
      </w:r>
      <w:r>
        <w:rPr>
          <w:rFonts w:hint="eastAsia" w:ascii="仿宋" w:hAnsi="仿宋" w:eastAsia="仿宋" w:cs="仿宋_GB2312"/>
          <w:kern w:val="0"/>
          <w:sz w:val="32"/>
          <w:szCs w:val="32"/>
          <w:lang w:bidi="ar"/>
        </w:rPr>
        <w:t>万元，住房保障支出</w:t>
      </w:r>
      <w:r>
        <w:rPr>
          <w:rFonts w:hint="eastAsia" w:ascii="仿宋" w:hAnsi="仿宋" w:eastAsia="仿宋" w:cs="Times New Roman"/>
          <w:kern w:val="0"/>
          <w:sz w:val="32"/>
          <w:szCs w:val="32"/>
          <w:lang w:bidi="ar"/>
        </w:rPr>
        <w:t>20.04</w:t>
      </w:r>
      <w:r>
        <w:rPr>
          <w:rFonts w:hint="eastAsia" w:ascii="仿宋" w:hAnsi="仿宋" w:eastAsia="仿宋" w:cs="仿宋_GB2312"/>
          <w:kern w:val="0"/>
          <w:sz w:val="32"/>
          <w:szCs w:val="32"/>
          <w:lang w:bidi="ar"/>
        </w:rPr>
        <w:t>万元。</w:t>
      </w:r>
    </w:p>
    <w:p w14:paraId="53D9EDFF">
      <w:pPr>
        <w:pStyle w:val="3"/>
        <w:widowControl w:val="0"/>
        <w:spacing w:before="340" w:beforeAutospacing="0" w:after="330" w:afterAutospacing="0" w:line="578" w:lineRule="auto"/>
        <w:jc w:val="center"/>
        <w:rPr>
          <w:rFonts w:ascii="黑体" w:hAnsi="黑体" w:eastAsia="黑体"/>
          <w:b w:val="0"/>
          <w:bCs/>
          <w:sz w:val="44"/>
          <w:szCs w:val="32"/>
        </w:rPr>
      </w:pPr>
      <w:bookmarkStart w:id="11" w:name="_Toc236169573"/>
      <w:r>
        <w:rPr>
          <w:rFonts w:ascii="黑体" w:hAnsi="黑体" w:eastAsia="黑体"/>
          <w:b w:val="0"/>
          <w:bCs/>
          <w:sz w:val="44"/>
          <w:szCs w:val="32"/>
        </w:rPr>
        <w:t>五、一般公共预算当年拨款情况说明</w:t>
      </w:r>
      <w:bookmarkEnd w:id="11"/>
    </w:p>
    <w:p w14:paraId="6A8C35C3">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2" w:name="_Toc236169574"/>
      <w:r>
        <w:rPr>
          <w:rFonts w:ascii="黑体" w:hAnsi="黑体" w:eastAsia="黑体"/>
          <w:b w:val="0"/>
          <w:bCs/>
          <w:sz w:val="32"/>
          <w:szCs w:val="32"/>
        </w:rPr>
        <w:t>（一）一般公共预算当年拨款规模变化情况</w:t>
      </w:r>
      <w:bookmarkEnd w:id="12"/>
    </w:p>
    <w:p w14:paraId="1FF769C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w:t>
      </w:r>
      <w:r>
        <w:rPr>
          <w:rFonts w:hint="eastAsia" w:ascii="仿宋" w:hAnsi="仿宋" w:eastAsia="仿宋" w:cs="宋体"/>
          <w:sz w:val="32"/>
          <w:szCs w:val="32"/>
        </w:rPr>
        <w:t>2026</w:t>
      </w:r>
      <w:r>
        <w:rPr>
          <w:rFonts w:hint="eastAsia" w:ascii="仿宋" w:hAnsi="仿宋" w:eastAsia="仿宋" w:cs="仿宋_GB2312"/>
          <w:sz w:val="32"/>
          <w:szCs w:val="32"/>
        </w:rPr>
        <w:t>年一般公共预算当年拨款</w:t>
      </w:r>
      <w:r>
        <w:rPr>
          <w:rFonts w:hint="eastAsia" w:ascii="仿宋" w:hAnsi="仿宋" w:eastAsia="仿宋" w:cs="Times New Roman"/>
          <w:sz w:val="32"/>
          <w:szCs w:val="32"/>
        </w:rPr>
        <w:t>244.73</w:t>
      </w:r>
      <w:r>
        <w:rPr>
          <w:rFonts w:hint="eastAsia" w:ascii="仿宋" w:hAnsi="仿宋" w:eastAsia="仿宋" w:cs="仿宋_GB2312"/>
          <w:sz w:val="32"/>
          <w:szCs w:val="32"/>
        </w:rPr>
        <w:t>万元，比</w:t>
      </w:r>
      <w:r>
        <w:rPr>
          <w:rFonts w:hint="eastAsia" w:ascii="仿宋" w:hAnsi="仿宋" w:eastAsia="仿宋" w:cs="Times New Roman"/>
          <w:sz w:val="32"/>
          <w:szCs w:val="32"/>
        </w:rPr>
        <w:t>2025</w:t>
      </w:r>
      <w:r>
        <w:rPr>
          <w:rFonts w:hint="eastAsia" w:ascii="仿宋" w:hAnsi="仿宋" w:eastAsia="仿宋" w:cs="仿宋_GB2312"/>
          <w:sz w:val="32"/>
          <w:szCs w:val="32"/>
        </w:rPr>
        <w:t>年财政拨款收支总预算各增加</w:t>
      </w:r>
      <w:r>
        <w:rPr>
          <w:rFonts w:hint="eastAsia" w:ascii="仿宋" w:hAnsi="仿宋" w:eastAsia="仿宋" w:cs="Times New Roman"/>
          <w:sz w:val="32"/>
          <w:szCs w:val="32"/>
        </w:rPr>
        <w:t>10.17</w:t>
      </w:r>
      <w:r>
        <w:rPr>
          <w:rFonts w:hint="eastAsia" w:ascii="仿宋" w:hAnsi="仿宋" w:eastAsia="仿宋" w:cs="仿宋_GB2312"/>
          <w:sz w:val="32"/>
          <w:szCs w:val="32"/>
        </w:rPr>
        <w:t>万元，主要原因</w:t>
      </w:r>
      <w:r>
        <w:rPr>
          <w:rFonts w:hint="eastAsia" w:ascii="仿宋" w:hAnsi="仿宋" w:eastAsia="仿宋" w:cs="Times New Roman"/>
          <w:sz w:val="32"/>
          <w:szCs w:val="32"/>
        </w:rPr>
        <w:t>:</w:t>
      </w:r>
      <w:r>
        <w:rPr>
          <w:rFonts w:hint="eastAsia" w:ascii="仿宋" w:hAnsi="仿宋" w:eastAsia="仿宋" w:cs="仿宋_GB2312"/>
          <w:sz w:val="32"/>
          <w:szCs w:val="32"/>
        </w:rPr>
        <w:t>人员工资福利待遇变动。</w:t>
      </w:r>
    </w:p>
    <w:p w14:paraId="71A205BB">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3" w:name="_Toc236169575"/>
      <w:r>
        <w:rPr>
          <w:rFonts w:ascii="黑体" w:hAnsi="黑体" w:eastAsia="黑体"/>
          <w:b w:val="0"/>
          <w:bCs/>
          <w:sz w:val="32"/>
          <w:szCs w:val="32"/>
        </w:rPr>
        <w:t>（二）一般公共预算当年拨款结构情况</w:t>
      </w:r>
      <w:bookmarkEnd w:id="13"/>
    </w:p>
    <w:p w14:paraId="6FC2BC3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一般公共服务支出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；教育支出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；文化体育与传媒支出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；社会保障和就业支出</w:t>
      </w:r>
      <w:r>
        <w:rPr>
          <w:rFonts w:hint="eastAsia" w:ascii="仿宋" w:hAnsi="仿宋" w:eastAsia="仿宋" w:cs="Times New Roman"/>
          <w:kern w:val="2"/>
          <w:sz w:val="32"/>
          <w:szCs w:val="32"/>
        </w:rPr>
        <w:t>39.70</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16.22%</w:t>
      </w:r>
      <w:r>
        <w:rPr>
          <w:rFonts w:hint="eastAsia" w:ascii="仿宋" w:hAnsi="仿宋" w:eastAsia="仿宋" w:cs="仿宋_GB2312"/>
          <w:kern w:val="2"/>
          <w:sz w:val="32"/>
          <w:szCs w:val="32"/>
        </w:rPr>
        <w:t>；卫生健康支出</w:t>
      </w:r>
      <w:r>
        <w:rPr>
          <w:rFonts w:hint="eastAsia" w:ascii="仿宋" w:hAnsi="仿宋" w:eastAsia="仿宋" w:cs="Times New Roman"/>
          <w:kern w:val="2"/>
          <w:sz w:val="32"/>
          <w:szCs w:val="32"/>
        </w:rPr>
        <w:t>184.99</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75.59%</w:t>
      </w:r>
      <w:r>
        <w:rPr>
          <w:rFonts w:hint="eastAsia" w:ascii="仿宋" w:hAnsi="仿宋" w:eastAsia="仿宋" w:cs="仿宋_GB2312"/>
          <w:kern w:val="2"/>
          <w:sz w:val="32"/>
          <w:szCs w:val="32"/>
        </w:rPr>
        <w:t>；住房保障支出</w:t>
      </w:r>
      <w:r>
        <w:rPr>
          <w:rFonts w:hint="eastAsia" w:ascii="仿宋" w:hAnsi="仿宋" w:eastAsia="仿宋" w:cs="Times New Roman"/>
          <w:kern w:val="2"/>
          <w:sz w:val="32"/>
          <w:szCs w:val="32"/>
        </w:rPr>
        <w:t>20.04</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8.19%</w:t>
      </w:r>
      <w:r>
        <w:rPr>
          <w:rFonts w:hint="eastAsia" w:ascii="仿宋" w:hAnsi="仿宋" w:eastAsia="仿宋" w:cs="仿宋_GB2312"/>
          <w:kern w:val="2"/>
          <w:sz w:val="32"/>
          <w:szCs w:val="32"/>
        </w:rPr>
        <w:t>。</w:t>
      </w:r>
    </w:p>
    <w:p w14:paraId="1CBC39D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4" w:name="_Toc236169576"/>
      <w:r>
        <w:rPr>
          <w:rFonts w:ascii="黑体" w:hAnsi="黑体" w:eastAsia="黑体"/>
          <w:b w:val="0"/>
          <w:bCs/>
          <w:sz w:val="32"/>
          <w:szCs w:val="32"/>
        </w:rPr>
        <w:t>（三）一般公共预算当年拨款具体使用情况</w:t>
      </w:r>
      <w:bookmarkEnd w:id="14"/>
    </w:p>
    <w:p w14:paraId="626D1C55">
      <w:pPr>
        <w:pStyle w:val="81"/>
        <w:widowControl w:val="0"/>
        <w:spacing w:beforeAutospacing="0" w:afterAutospacing="0" w:line="600" w:lineRule="exact"/>
        <w:ind w:firstLine="640" w:firstLineChars="200"/>
        <w:jc w:val="both"/>
        <w:rPr>
          <w:rFonts w:hint="eastAsia" w:ascii="仿宋" w:hAnsi="仿宋" w:eastAsia="仿宋" w:cs="Times New Roman"/>
          <w:kern w:val="2"/>
          <w:sz w:val="32"/>
          <w:szCs w:val="32"/>
        </w:rPr>
      </w:pPr>
      <w:r>
        <w:rPr>
          <w:rFonts w:hint="eastAsia" w:ascii="仿宋" w:hAnsi="仿宋" w:eastAsia="仿宋" w:cs="Times New Roman"/>
          <w:kern w:val="2"/>
          <w:sz w:val="32"/>
          <w:szCs w:val="32"/>
        </w:rPr>
        <w:t>1</w:t>
      </w:r>
      <w:r>
        <w:rPr>
          <w:rFonts w:hint="eastAsia" w:ascii="仿宋" w:hAnsi="仿宋" w:eastAsia="仿宋" w:cs="仿宋_GB2312"/>
          <w:kern w:val="2"/>
          <w:sz w:val="32"/>
          <w:szCs w:val="32"/>
        </w:rPr>
        <w:t>．一般公共服务</w:t>
      </w:r>
      <w:r>
        <w:rPr>
          <w:rFonts w:hint="eastAsia" w:ascii="仿宋" w:hAnsi="仿宋" w:eastAsia="仿宋" w:cs="Times New Roman"/>
          <w:kern w:val="2"/>
          <w:sz w:val="32"/>
          <w:szCs w:val="32"/>
        </w:rPr>
        <w:t>2100103</w:t>
      </w:r>
      <w:r>
        <w:rPr>
          <w:rFonts w:hint="eastAsia" w:ascii="仿宋" w:hAnsi="仿宋" w:eastAsia="仿宋" w:cs="仿宋_GB2312"/>
          <w:kern w:val="2"/>
          <w:sz w:val="32"/>
          <w:szCs w:val="32"/>
        </w:rPr>
        <w:t>（机关运行）</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年预算数为</w:t>
      </w:r>
      <w:r>
        <w:rPr>
          <w:rFonts w:hint="eastAsia" w:ascii="仿宋" w:hAnsi="仿宋" w:eastAsia="仿宋" w:cs="Times New Roman"/>
          <w:kern w:val="2"/>
          <w:sz w:val="32"/>
          <w:szCs w:val="32"/>
        </w:rPr>
        <w:t>171.03</w:t>
      </w:r>
      <w:r>
        <w:rPr>
          <w:rFonts w:hint="eastAsia" w:ascii="仿宋" w:hAnsi="仿宋" w:eastAsia="仿宋" w:cs="仿宋_GB2312"/>
          <w:kern w:val="2"/>
          <w:sz w:val="32"/>
          <w:szCs w:val="32"/>
        </w:rPr>
        <w:t>万元，主要用于</w:t>
      </w:r>
      <w:r>
        <w:rPr>
          <w:rFonts w:hint="eastAsia" w:ascii="仿宋" w:hAnsi="仿宋" w:eastAsia="仿宋" w:cs="Times New Roman"/>
          <w:kern w:val="2"/>
          <w:sz w:val="32"/>
          <w:szCs w:val="32"/>
        </w:rPr>
        <w:t xml:space="preserve"> : 在职职工基本工资、绩效工资、津贴补贴、其他社会保障缴费</w:t>
      </w:r>
      <w:r>
        <w:rPr>
          <w:rFonts w:hint="eastAsia" w:ascii="仿宋" w:hAnsi="仿宋" w:eastAsia="仿宋" w:cs="仿宋_GB2312"/>
          <w:kern w:val="2"/>
          <w:sz w:val="32"/>
          <w:szCs w:val="32"/>
        </w:rPr>
        <w:t>以及单位运行经费等支出。</w:t>
      </w:r>
    </w:p>
    <w:p w14:paraId="7C02CFA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2</w:t>
      </w:r>
      <w:r>
        <w:rPr>
          <w:rFonts w:hint="eastAsia" w:ascii="仿宋" w:hAnsi="仿宋" w:eastAsia="仿宋" w:cs="仿宋_GB2312"/>
          <w:kern w:val="2"/>
          <w:sz w:val="32"/>
          <w:szCs w:val="32"/>
        </w:rPr>
        <w:t>．</w:t>
      </w:r>
      <w:r>
        <w:rPr>
          <w:rFonts w:hint="eastAsia" w:ascii="仿宋" w:hAnsi="仿宋" w:eastAsia="仿宋" w:cs="Times New Roman"/>
          <w:kern w:val="2"/>
          <w:sz w:val="32"/>
          <w:szCs w:val="32"/>
        </w:rPr>
        <w:t>2080505(机关事业单位基本养老保险缴费支出):2026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26.47</w:t>
      </w:r>
      <w:r>
        <w:rPr>
          <w:rFonts w:hint="eastAsia" w:ascii="仿宋" w:hAnsi="仿宋" w:eastAsia="仿宋" w:cs="仿宋_GB2312"/>
          <w:kern w:val="2"/>
          <w:sz w:val="32"/>
          <w:szCs w:val="32"/>
        </w:rPr>
        <w:t>万元，主要用于在职职工养老保险缴费。</w:t>
      </w:r>
    </w:p>
    <w:p w14:paraId="12E62E5D">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3</w:t>
      </w:r>
      <w:r>
        <w:rPr>
          <w:rFonts w:hint="eastAsia" w:ascii="仿宋" w:hAnsi="仿宋" w:eastAsia="仿宋" w:cs="仿宋_GB2312"/>
          <w:kern w:val="2"/>
          <w:sz w:val="32"/>
          <w:szCs w:val="32"/>
        </w:rPr>
        <w:t>．</w:t>
      </w:r>
      <w:r>
        <w:rPr>
          <w:rFonts w:hint="eastAsia" w:ascii="仿宋" w:hAnsi="仿宋" w:eastAsia="仿宋" w:cs="Times New Roman"/>
          <w:kern w:val="2"/>
          <w:sz w:val="32"/>
          <w:szCs w:val="32"/>
        </w:rPr>
        <w:t>2080506（机关事业单位职业年金缴费支出）:2026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13.23</w:t>
      </w:r>
      <w:r>
        <w:rPr>
          <w:rFonts w:hint="eastAsia" w:ascii="仿宋" w:hAnsi="仿宋" w:eastAsia="仿宋" w:cs="仿宋_GB2312"/>
          <w:kern w:val="2"/>
          <w:sz w:val="32"/>
          <w:szCs w:val="32"/>
        </w:rPr>
        <w:t>万元，主要用于在职职工职业年金缴费。</w:t>
      </w:r>
    </w:p>
    <w:p w14:paraId="238D6BD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4.2101102</w:t>
      </w:r>
      <w:r>
        <w:rPr>
          <w:rFonts w:hint="eastAsia" w:ascii="仿宋" w:hAnsi="仿宋" w:eastAsia="仿宋" w:cs="仿宋_GB2312"/>
          <w:kern w:val="2"/>
          <w:sz w:val="32"/>
          <w:szCs w:val="32"/>
        </w:rPr>
        <w:t>（事业单位医疗）：</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11.58</w:t>
      </w:r>
      <w:r>
        <w:rPr>
          <w:rFonts w:hint="eastAsia" w:ascii="仿宋" w:hAnsi="仿宋" w:eastAsia="仿宋" w:cs="仿宋_GB2312"/>
          <w:kern w:val="2"/>
          <w:sz w:val="32"/>
          <w:szCs w:val="32"/>
        </w:rPr>
        <w:t>万元，主要用于职工基本医疗保险缴费。</w:t>
      </w:r>
    </w:p>
    <w:p w14:paraId="036F10F1">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5.2101199</w:t>
      </w:r>
      <w:r>
        <w:rPr>
          <w:rFonts w:hint="eastAsia" w:ascii="仿宋" w:hAnsi="仿宋" w:eastAsia="仿宋" w:cs="仿宋_GB2312"/>
          <w:kern w:val="2"/>
          <w:sz w:val="32"/>
          <w:szCs w:val="32"/>
        </w:rPr>
        <w:t>（</w:t>
      </w:r>
      <w:r>
        <w:rPr>
          <w:rFonts w:hint="eastAsia" w:ascii="仿宋" w:hAnsi="仿宋" w:eastAsia="仿宋" w:cs="Times New Roman"/>
          <w:kern w:val="2"/>
          <w:sz w:val="32"/>
          <w:szCs w:val="32"/>
        </w:rPr>
        <w:t> </w:t>
      </w:r>
      <w:r>
        <w:rPr>
          <w:rFonts w:hint="eastAsia" w:ascii="仿宋" w:hAnsi="仿宋" w:eastAsia="仿宋" w:cs="仿宋_GB2312"/>
          <w:kern w:val="2"/>
          <w:sz w:val="32"/>
          <w:szCs w:val="32"/>
        </w:rPr>
        <w:t>其他行政事业单位医疗支出）：202</w:t>
      </w:r>
      <w:r>
        <w:rPr>
          <w:rFonts w:hint="eastAsia" w:ascii="仿宋" w:hAnsi="仿宋" w:eastAsia="仿宋" w:cs="Times New Roman"/>
          <w:kern w:val="2"/>
          <w:sz w:val="32"/>
          <w:szCs w:val="32"/>
        </w:rPr>
        <w:t>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2.38</w:t>
      </w:r>
      <w:r>
        <w:rPr>
          <w:rFonts w:hint="eastAsia" w:ascii="仿宋" w:hAnsi="仿宋" w:eastAsia="仿宋" w:cs="仿宋_GB2312"/>
          <w:kern w:val="2"/>
          <w:sz w:val="32"/>
          <w:szCs w:val="32"/>
        </w:rPr>
        <w:t>万元，主要用于职工</w:t>
      </w:r>
      <w:r>
        <w:rPr>
          <w:rFonts w:hint="eastAsia" w:ascii="仿宋" w:hAnsi="仿宋" w:eastAsia="仿宋" w:cs="Times New Roman"/>
          <w:kern w:val="2"/>
          <w:sz w:val="32"/>
          <w:szCs w:val="32"/>
        </w:rPr>
        <w:t> </w:t>
      </w:r>
      <w:r>
        <w:rPr>
          <w:rFonts w:hint="eastAsia" w:ascii="仿宋" w:hAnsi="仿宋" w:eastAsia="仿宋" w:cs="仿宋_GB2312"/>
          <w:kern w:val="2"/>
          <w:sz w:val="32"/>
          <w:szCs w:val="32"/>
        </w:rPr>
        <w:t>其他行政事业单位医疗支出。</w:t>
      </w:r>
    </w:p>
    <w:p w14:paraId="56E9AE5D">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6.住房公积金（2210201）：2026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20.04</w:t>
      </w:r>
      <w:r>
        <w:rPr>
          <w:rFonts w:hint="eastAsia" w:ascii="仿宋" w:hAnsi="仿宋" w:eastAsia="仿宋" w:cs="仿宋_GB2312"/>
          <w:kern w:val="2"/>
          <w:sz w:val="32"/>
          <w:szCs w:val="32"/>
        </w:rPr>
        <w:t>万元，主要用于职工住房公积金缴费。</w:t>
      </w:r>
    </w:p>
    <w:p w14:paraId="5DD30431">
      <w:pPr>
        <w:pStyle w:val="3"/>
        <w:widowControl w:val="0"/>
        <w:spacing w:before="340" w:beforeAutospacing="0" w:after="330" w:afterAutospacing="0" w:line="578" w:lineRule="auto"/>
        <w:jc w:val="center"/>
        <w:rPr>
          <w:rFonts w:ascii="黑体" w:hAnsi="黑体" w:eastAsia="黑体"/>
          <w:b w:val="0"/>
          <w:bCs/>
          <w:sz w:val="44"/>
          <w:szCs w:val="32"/>
        </w:rPr>
      </w:pPr>
      <w:bookmarkStart w:id="15" w:name="_Toc236169577"/>
      <w:r>
        <w:rPr>
          <w:rFonts w:ascii="黑体" w:hAnsi="黑体" w:eastAsia="黑体"/>
          <w:b w:val="0"/>
          <w:bCs/>
          <w:sz w:val="44"/>
          <w:szCs w:val="32"/>
        </w:rPr>
        <w:t>六、一般公共预算基本支出情况说明</w:t>
      </w:r>
      <w:bookmarkEnd w:id="15"/>
    </w:p>
    <w:p w14:paraId="0354C6E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2026年一般公共预算基本支出244.73万元，其中：人员经费232.73万元，主要包括：基本工资43.07万元、津贴补贴39.50万元、奖金37.66万元、绩效工资32.13万元、其他社会保障缴费4.03万元、机关事业单位基本养老保险缴费26.46万元、职业年金缴费13.23万元、职工基本医疗保险缴费</w:t>
      </w:r>
      <w:r>
        <w:rPr>
          <w:rFonts w:hint="eastAsia" w:ascii="仿宋" w:hAnsi="仿宋" w:eastAsia="仿宋" w:cs="Times New Roman"/>
          <w:kern w:val="2"/>
          <w:sz w:val="32"/>
          <w:szCs w:val="32"/>
        </w:rPr>
        <w:t>11.58</w:t>
      </w:r>
      <w:r>
        <w:rPr>
          <w:rFonts w:hint="eastAsia" w:ascii="仿宋" w:hAnsi="仿宋" w:eastAsia="仿宋" w:cs="仿宋_GB2312"/>
          <w:kern w:val="2"/>
          <w:sz w:val="32"/>
          <w:szCs w:val="32"/>
        </w:rPr>
        <w:t>万元、奖励金0.01万元、住房公积金20.04万元、工会经费2.37万元、其他商品和服务支出2.65万元。</w:t>
      </w:r>
    </w:p>
    <w:p w14:paraId="7DF9E5DE">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仿宋_GB2312"/>
          <w:kern w:val="2"/>
          <w:sz w:val="32"/>
          <w:szCs w:val="32"/>
        </w:rPr>
        <w:t>公用经费12元，主要包括：办公费1.78万元、水费0.11万元、电费2.16万元、邮电费1.78万元、取暖费2.92万元、差旅费3.25万元。</w:t>
      </w:r>
    </w:p>
    <w:p w14:paraId="665F9CD4">
      <w:pPr>
        <w:pStyle w:val="3"/>
        <w:widowControl w:val="0"/>
        <w:spacing w:before="340" w:beforeAutospacing="0" w:after="330" w:afterAutospacing="0" w:line="578" w:lineRule="auto"/>
        <w:jc w:val="center"/>
        <w:rPr>
          <w:rFonts w:ascii="黑体" w:hAnsi="黑体" w:eastAsia="黑体"/>
          <w:b w:val="0"/>
          <w:bCs/>
          <w:sz w:val="44"/>
          <w:szCs w:val="32"/>
        </w:rPr>
      </w:pPr>
      <w:bookmarkStart w:id="16" w:name="_Toc236169578"/>
      <w:r>
        <w:rPr>
          <w:rFonts w:ascii="黑体" w:hAnsi="黑体" w:eastAsia="黑体"/>
          <w:b w:val="0"/>
          <w:bCs/>
          <w:sz w:val="44"/>
          <w:szCs w:val="32"/>
        </w:rPr>
        <w:t>七、“三公”经费财政拨款预算安排情况说明</w:t>
      </w:r>
      <w:bookmarkEnd w:id="16"/>
    </w:p>
    <w:p w14:paraId="7D10561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壤塘县岗木达镇社区卫生服务中心2026年“三公”经费财政拨款预算数0万元，其中：因公出国（境）经费0万元，公务接待费0万元，公务用车购置及运行维护费0万元。</w:t>
      </w:r>
    </w:p>
    <w:p w14:paraId="76C3C8D5">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（一）2026年因公出国（境）经费0万元。</w:t>
      </w:r>
    </w:p>
    <w:p w14:paraId="4FFC85CB">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（二）2026年公务接待经费0万元。较2025年预算经费无变化。</w:t>
      </w:r>
    </w:p>
    <w:p w14:paraId="25A5A4AC">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（三）2026年公务用车购置及运行维护费0万元。较2025年预算经费无变化。</w:t>
      </w:r>
    </w:p>
    <w:p w14:paraId="5EAB31D9">
      <w:pPr>
        <w:pStyle w:val="3"/>
        <w:widowControl w:val="0"/>
        <w:spacing w:before="340" w:beforeAutospacing="0" w:after="330" w:afterAutospacing="0" w:line="578" w:lineRule="auto"/>
        <w:jc w:val="center"/>
        <w:rPr>
          <w:rFonts w:ascii="黑体" w:hAnsi="黑体" w:eastAsia="黑体"/>
          <w:b w:val="0"/>
          <w:bCs/>
          <w:sz w:val="44"/>
          <w:szCs w:val="32"/>
        </w:rPr>
      </w:pPr>
      <w:bookmarkStart w:id="17" w:name="_Toc236169579"/>
      <w:r>
        <w:rPr>
          <w:rFonts w:ascii="黑体" w:hAnsi="黑体" w:eastAsia="黑体"/>
          <w:b w:val="0"/>
          <w:bCs/>
          <w:sz w:val="44"/>
          <w:szCs w:val="32"/>
        </w:rPr>
        <w:t>八、政府性基金预算支出情况说明</w:t>
      </w:r>
      <w:bookmarkEnd w:id="17"/>
    </w:p>
    <w:p w14:paraId="68A44A1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壤塘县岗木达镇社区卫生服务中心2026年政府性基金预算拨款安排的支出0万元。较2025年预算经费</w:t>
      </w:r>
      <w:r>
        <w:rPr>
          <w:rFonts w:hint="eastAsia" w:ascii="仿宋" w:hAnsi="仿宋" w:eastAsia="仿宋" w:cs="仿宋_GB2312"/>
          <w:sz w:val="32"/>
          <w:szCs w:val="32"/>
        </w:rPr>
        <w:t>无变化。</w:t>
      </w:r>
    </w:p>
    <w:p w14:paraId="01BB42A7">
      <w:pPr>
        <w:pStyle w:val="3"/>
        <w:widowControl w:val="0"/>
        <w:spacing w:before="340" w:beforeAutospacing="0" w:after="330" w:afterAutospacing="0" w:line="578" w:lineRule="auto"/>
        <w:jc w:val="center"/>
        <w:rPr>
          <w:rFonts w:ascii="黑体" w:hAnsi="黑体" w:eastAsia="黑体"/>
          <w:b w:val="0"/>
          <w:bCs/>
          <w:sz w:val="44"/>
          <w:szCs w:val="32"/>
        </w:rPr>
      </w:pPr>
      <w:bookmarkStart w:id="18" w:name="_Toc236169580"/>
      <w:r>
        <w:rPr>
          <w:rFonts w:ascii="黑体" w:hAnsi="黑体" w:eastAsia="黑体"/>
          <w:b w:val="0"/>
          <w:bCs/>
          <w:sz w:val="44"/>
          <w:szCs w:val="32"/>
        </w:rPr>
        <w:t>九、其他重要事项的情况说明</w:t>
      </w:r>
      <w:bookmarkEnd w:id="18"/>
    </w:p>
    <w:p w14:paraId="1AFE0215">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9" w:name="_Toc236169581"/>
      <w:r>
        <w:rPr>
          <w:rFonts w:ascii="黑体" w:hAnsi="黑体" w:eastAsia="黑体"/>
          <w:b w:val="0"/>
          <w:bCs/>
          <w:sz w:val="32"/>
          <w:szCs w:val="32"/>
        </w:rPr>
        <w:t>（一）机关运行经费</w:t>
      </w:r>
      <w:bookmarkEnd w:id="19"/>
    </w:p>
    <w:p w14:paraId="07F8C28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壤塘县岗木达镇社区卫生服务中心2026年机关运行经费财政拨款预算为171.04万元，比2025年预算</w:t>
      </w:r>
      <w:r>
        <w:rPr>
          <w:rFonts w:hint="eastAsia" w:ascii="仿宋" w:hAnsi="仿宋" w:eastAsia="仿宋" w:cs="仿宋_GB2312"/>
          <w:sz w:val="32"/>
          <w:szCs w:val="32"/>
        </w:rPr>
        <w:t>增加</w:t>
      </w:r>
      <w:r>
        <w:rPr>
          <w:rFonts w:hint="eastAsia" w:ascii="仿宋" w:hAnsi="仿宋" w:eastAsia="仿宋" w:cs="宋体"/>
          <w:sz w:val="32"/>
          <w:szCs w:val="32"/>
        </w:rPr>
        <w:t>7.49</w:t>
      </w:r>
      <w:r>
        <w:rPr>
          <w:rFonts w:hint="eastAsia" w:ascii="仿宋" w:hAnsi="仿宋" w:eastAsia="仿宋" w:cs="仿宋_GB2312"/>
          <w:kern w:val="2"/>
          <w:sz w:val="32"/>
          <w:szCs w:val="32"/>
        </w:rPr>
        <w:t>万元，增长4.58%。</w:t>
      </w:r>
    </w:p>
    <w:p w14:paraId="04731C22">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0" w:name="_Toc236169582"/>
      <w:r>
        <w:rPr>
          <w:rFonts w:ascii="黑体" w:hAnsi="黑体" w:eastAsia="黑体"/>
          <w:b w:val="0"/>
          <w:bCs/>
          <w:sz w:val="32"/>
          <w:szCs w:val="32"/>
        </w:rPr>
        <w:t>（二）政府采购情况</w:t>
      </w:r>
      <w:bookmarkEnd w:id="20"/>
    </w:p>
    <w:p w14:paraId="6D4BA84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2026年壤塘县岗木达镇社区卫生服务中心安排政府采购预算0万。</w:t>
      </w:r>
    </w:p>
    <w:p w14:paraId="0A83D0E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1" w:name="_Toc236169583"/>
      <w:r>
        <w:rPr>
          <w:rFonts w:ascii="黑体" w:hAnsi="黑体" w:eastAsia="黑体"/>
          <w:b w:val="0"/>
          <w:bCs/>
          <w:sz w:val="32"/>
          <w:szCs w:val="32"/>
        </w:rPr>
        <w:t>（三）国有资产占有使用情况</w:t>
      </w:r>
      <w:bookmarkEnd w:id="21"/>
    </w:p>
    <w:p w14:paraId="7DF2EBAF">
      <w:pPr>
        <w:pStyle w:val="81"/>
        <w:widowControl w:val="0"/>
        <w:spacing w:beforeAutospacing="0" w:afterAutospacing="0" w:line="600" w:lineRule="exact"/>
        <w:ind w:firstLine="640" w:firstLineChars="200"/>
        <w:jc w:val="both"/>
        <w:rPr>
          <w:rFonts w:hint="eastAsia" w:ascii="仿宋" w:hAnsi="仿宋" w:eastAsia="仿宋"/>
          <w:sz w:val="32"/>
        </w:rPr>
      </w:pPr>
      <w:bookmarkStart w:id="24" w:name="_GoBack"/>
      <w:bookmarkEnd w:id="24"/>
      <w:r>
        <w:rPr>
          <w:rFonts w:hint="eastAsia" w:ascii="仿宋" w:hAnsi="仿宋" w:eastAsia="仿宋" w:cs="仿宋_GB2312"/>
          <w:kern w:val="2"/>
          <w:sz w:val="32"/>
          <w:szCs w:val="32"/>
        </w:rPr>
        <w:t>2025年12月31日，我单位固定资产0万元。</w:t>
      </w:r>
    </w:p>
    <w:p w14:paraId="7589F263">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2" w:name="_Toc236169584"/>
      <w:r>
        <w:rPr>
          <w:rFonts w:ascii="黑体" w:hAnsi="黑体" w:eastAsia="黑体"/>
          <w:b w:val="0"/>
          <w:bCs/>
          <w:sz w:val="32"/>
          <w:szCs w:val="32"/>
        </w:rPr>
        <w:t>（四）绩效目标设置情况</w:t>
      </w:r>
      <w:bookmarkEnd w:id="22"/>
    </w:p>
    <w:p w14:paraId="6B48A5BD">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2026年壤塘县岗木达镇社区卫生服务中心通用项目和专用项目均按要求实行绩效目标管理，涉及一般公共预算当年拨款0万元。</w:t>
      </w:r>
    </w:p>
    <w:p w14:paraId="44E183E3">
      <w:pPr>
        <w:pStyle w:val="3"/>
        <w:widowControl w:val="0"/>
        <w:spacing w:before="340" w:beforeAutospacing="0" w:after="330" w:afterAutospacing="0" w:line="578" w:lineRule="auto"/>
        <w:jc w:val="center"/>
        <w:rPr>
          <w:rFonts w:ascii="黑体" w:hAnsi="黑体" w:eastAsia="黑体"/>
          <w:b w:val="0"/>
          <w:bCs/>
          <w:sz w:val="44"/>
          <w:szCs w:val="32"/>
        </w:rPr>
      </w:pPr>
      <w:bookmarkStart w:id="23" w:name="_Toc236169585"/>
      <w:r>
        <w:rPr>
          <w:rFonts w:ascii="黑体" w:hAnsi="黑体" w:eastAsia="黑体"/>
          <w:b w:val="0"/>
          <w:bCs/>
          <w:sz w:val="44"/>
          <w:szCs w:val="32"/>
        </w:rPr>
        <w:t>十、名称解释</w:t>
      </w:r>
      <w:bookmarkEnd w:id="23"/>
    </w:p>
    <w:p w14:paraId="3D8CBD85">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（一）财政拨款收入：指由财政拨款形成的部门收入。按现行管理制度，部门预算中反映的财政拨款仅包括一般公共预算拨款和政府性基金预算拨款。</w:t>
      </w:r>
    </w:p>
    <w:p w14:paraId="11C33C8F">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（二）事业收入：指所属事业单位开展专业业务活动及辅助活动所取得的收入。</w:t>
      </w:r>
    </w:p>
    <w:p w14:paraId="63974265">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（三）事业单位经营收入：指所属事业单位在专业业务活动及其辅助活动之外开展非独立核算经营活动取得的收入。</w:t>
      </w:r>
    </w:p>
    <w:p w14:paraId="38306592">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（四）其他收入：指除上述“财政拨款收入”、“事业收入”、“事业单位经营收入”等以外的收入，主要是所属行政事业单位按规定动用的售房收入、存款利息收入等。</w:t>
      </w:r>
    </w:p>
    <w:p w14:paraId="4EAE2E4D">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0FADFB48">
      <w:pPr>
        <w:widowControl w:val="0"/>
        <w:spacing w:line="600" w:lineRule="exact"/>
        <w:ind w:firstLine="640" w:firstLineChars="200"/>
        <w:jc w:val="both"/>
        <w:rPr>
          <w:rFonts w:hint="eastAsia" w:ascii="仿宋" w:hAnsi="仿宋" w:eastAsia="仿宋"/>
          <w:sz w:val="32"/>
        </w:rPr>
      </w:pPr>
      <w:r>
        <w:rPr>
          <w:rFonts w:hint="eastAsia" w:ascii="仿宋" w:hAnsi="仿宋" w:eastAsia="仿宋"/>
          <w:sz w:val="32"/>
        </w:rPr>
        <w:t>（六）上年结转：指所属行政事业单位以前年度尚未完成、结转至本年按原规定用途继续使用的资金和以前年度已完成项目剩余资金经批准用于新用途使用的资金。</w:t>
      </w:r>
    </w:p>
    <w:sectPr>
      <w:pgSz w:w="11906" w:h="16838"/>
      <w:pgMar w:top="1440" w:right="1797" w:bottom="1440"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Angsana New">
    <w:panose1 w:val="02020603050405020304"/>
    <w:charset w:val="DE"/>
    <w:family w:val="roman"/>
    <w:pitch w:val="default"/>
    <w:sig w:usb0="81000003" w:usb1="00000000" w:usb2="00000000" w:usb3="00000000" w:csb0="0001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104D7">
    <w:pPr>
      <w:pStyle w:val="55"/>
      <w:jc w:val="center"/>
      <w:rPr>
        <w:rFonts w:ascii="Times New Roman" w:hAnsi="Times New Roman" w:eastAsia="宋体"/>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D0A4">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38800">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392C9">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03934CC"/>
    <w:rsid w:val="006D2CAE"/>
    <w:rsid w:val="006F71F9"/>
    <w:rsid w:val="00704771"/>
    <w:rsid w:val="0075308E"/>
    <w:rsid w:val="00D534D6"/>
    <w:rsid w:val="00D937C9"/>
    <w:rsid w:val="00DC1BA7"/>
    <w:rsid w:val="017212AE"/>
    <w:rsid w:val="031C0BD3"/>
    <w:rsid w:val="043D1924"/>
    <w:rsid w:val="04A0634C"/>
    <w:rsid w:val="04B12B41"/>
    <w:rsid w:val="05640EFD"/>
    <w:rsid w:val="0D1240BD"/>
    <w:rsid w:val="0E3F0A80"/>
    <w:rsid w:val="12F27075"/>
    <w:rsid w:val="144E3A38"/>
    <w:rsid w:val="14F4550C"/>
    <w:rsid w:val="15EC6516"/>
    <w:rsid w:val="16F3247F"/>
    <w:rsid w:val="1ED75321"/>
    <w:rsid w:val="21DD5905"/>
    <w:rsid w:val="223B0A68"/>
    <w:rsid w:val="23ED0ED5"/>
    <w:rsid w:val="2E55770E"/>
    <w:rsid w:val="312167A8"/>
    <w:rsid w:val="36AD21DA"/>
    <w:rsid w:val="3BC211E4"/>
    <w:rsid w:val="3D7628DF"/>
    <w:rsid w:val="3E541399"/>
    <w:rsid w:val="415B3276"/>
    <w:rsid w:val="489F578E"/>
    <w:rsid w:val="4BFB5200"/>
    <w:rsid w:val="509F5EDC"/>
    <w:rsid w:val="50EB5C41"/>
    <w:rsid w:val="51481D9F"/>
    <w:rsid w:val="518B63B7"/>
    <w:rsid w:val="51924993"/>
    <w:rsid w:val="54051103"/>
    <w:rsid w:val="5719248B"/>
    <w:rsid w:val="58877149"/>
    <w:rsid w:val="58C17BBA"/>
    <w:rsid w:val="5928604C"/>
    <w:rsid w:val="5F300B97"/>
    <w:rsid w:val="601A14A7"/>
    <w:rsid w:val="60973B6E"/>
    <w:rsid w:val="6120408F"/>
    <w:rsid w:val="69A53CA3"/>
    <w:rsid w:val="6D775E67"/>
    <w:rsid w:val="700722DF"/>
    <w:rsid w:val="70327C53"/>
    <w:rsid w:val="75CD0C40"/>
    <w:rsid w:val="77B44B2E"/>
    <w:rsid w:val="78E5678D"/>
    <w:rsid w:val="795C2C66"/>
    <w:rsid w:val="79F663D3"/>
    <w:rsid w:val="7A854638"/>
    <w:rsid w:val="7B9621AF"/>
    <w:rsid w:val="7FD932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qFormat="1" w:uiPriority="0" w:name="Table Web 3"/>
    <w:lsdException w:unhideWhenUsed="0" w:uiPriority="0" w:semiHidden="0" w:name="Balloon Text"/>
    <w:lsdException w:unhideWhenUsed="0" w:uiPriority="0" w:semiHidden="0" w:name="Table Grid"/>
    <w:lsdException w:uiPriority="0" w:name="Table Theme"/>
    <w:lsdException w:uiPriority="99" w:name="Placeholder Text"/>
    <w:lsdException w:uiPriority="99"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qFormat="1" w:uiPriority="71" w:name="Colorful Shading"/>
    <w:lsdException w:uiPriority="72" w:name="Colorful List"/>
    <w:lsdException w:qFormat="1"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99" w:name="List Paragraph"/>
    <w:lsdException w:uiPriority="99" w:name="Quote"/>
    <w:lsdException w:uiPriority="99"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qFormat="1"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qFormat="1" w:uiPriority="72" w:name="Colorful List Accent 6"/>
    <w:lsdException w:uiPriority="73" w:name="Colorful Grid Accent 6"/>
  </w:latentStyles>
  <w:style w:type="paragraph" w:default="1" w:styleId="1">
    <w:name w:val="Normal"/>
    <w:qFormat/>
    <w:uiPriority w:val="0"/>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eastAsia="宋体" w:cs="Angsana New"/>
      <w:b/>
      <w:kern w:val="44"/>
      <w:sz w:val="48"/>
      <w:szCs w:val="48"/>
      <w:lang w:bidi="th-TH"/>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Angsana New"/>
      <w:b/>
      <w:kern w:val="0"/>
      <w:sz w:val="36"/>
      <w:szCs w:val="36"/>
      <w:lang w:bidi="th-TH"/>
    </w:rPr>
  </w:style>
  <w:style w:type="paragraph" w:styleId="5">
    <w:name w:val="heading 3"/>
    <w:basedOn w:val="1"/>
    <w:next w:val="1"/>
    <w:link w:val="258"/>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59"/>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60"/>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61"/>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262"/>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263"/>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264"/>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271"/>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0"/>
    <w:pPr>
      <w:ind w:left="100" w:leftChars="400" w:hanging="200" w:hangingChars="200"/>
      <w:contextualSpacing/>
    </w:pPr>
  </w:style>
  <w:style w:type="paragraph" w:styleId="13">
    <w:name w:val="toc 7"/>
    <w:basedOn w:val="1"/>
    <w:next w:val="1"/>
    <w:uiPriority w:val="0"/>
    <w:pPr>
      <w:ind w:left="2520" w:leftChars="1200"/>
    </w:pPr>
  </w:style>
  <w:style w:type="paragraph" w:styleId="14">
    <w:name w:val="List Number 2"/>
    <w:basedOn w:val="1"/>
    <w:uiPriority w:val="0"/>
    <w:pPr>
      <w:numPr>
        <w:ilvl w:val="0"/>
        <w:numId w:val="1"/>
      </w:numPr>
      <w:contextualSpacing/>
    </w:pPr>
  </w:style>
  <w:style w:type="paragraph" w:styleId="15">
    <w:name w:val="table of authorities"/>
    <w:basedOn w:val="1"/>
    <w:next w:val="1"/>
    <w:uiPriority w:val="0"/>
    <w:pPr>
      <w:ind w:left="420" w:leftChars="200"/>
    </w:pPr>
  </w:style>
  <w:style w:type="paragraph" w:styleId="16">
    <w:name w:val="Note Heading"/>
    <w:basedOn w:val="1"/>
    <w:next w:val="1"/>
    <w:link w:val="409"/>
    <w:uiPriority w:val="0"/>
    <w:pPr>
      <w:jc w:val="center"/>
    </w:pPr>
  </w:style>
  <w:style w:type="paragraph" w:styleId="17">
    <w:name w:val="List Bullet 4"/>
    <w:basedOn w:val="1"/>
    <w:uiPriority w:val="0"/>
    <w:pPr>
      <w:numPr>
        <w:ilvl w:val="0"/>
        <w:numId w:val="2"/>
      </w:numPr>
      <w:contextualSpacing/>
    </w:pPr>
  </w:style>
  <w:style w:type="paragraph" w:styleId="18">
    <w:name w:val="index 8"/>
    <w:basedOn w:val="1"/>
    <w:next w:val="1"/>
    <w:uiPriority w:val="0"/>
    <w:pPr>
      <w:ind w:left="1400" w:leftChars="1400"/>
    </w:pPr>
  </w:style>
  <w:style w:type="paragraph" w:styleId="19">
    <w:name w:val="E-mail Signature"/>
    <w:basedOn w:val="1"/>
    <w:link w:val="269"/>
    <w:uiPriority w:val="0"/>
  </w:style>
  <w:style w:type="paragraph" w:styleId="20">
    <w:name w:val="List Number"/>
    <w:basedOn w:val="1"/>
    <w:uiPriority w:val="0"/>
    <w:pPr>
      <w:numPr>
        <w:ilvl w:val="0"/>
        <w:numId w:val="3"/>
      </w:numPr>
      <w:contextualSpacing/>
    </w:pPr>
  </w:style>
  <w:style w:type="paragraph" w:styleId="21">
    <w:name w:val="Normal Indent"/>
    <w:basedOn w:val="1"/>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uiPriority w:val="0"/>
    <w:pPr>
      <w:ind w:left="800" w:leftChars="800"/>
    </w:pPr>
  </w:style>
  <w:style w:type="paragraph" w:styleId="24">
    <w:name w:val="List Bullet"/>
    <w:basedOn w:val="1"/>
    <w:uiPriority w:val="0"/>
    <w:pPr>
      <w:numPr>
        <w:ilvl w:val="0"/>
        <w:numId w:val="4"/>
      </w:numPr>
      <w:contextualSpacing/>
    </w:pPr>
  </w:style>
  <w:style w:type="paragraph" w:styleId="25">
    <w:name w:val="envelope address"/>
    <w:basedOn w:val="1"/>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26">
    <w:name w:val="Document Map"/>
    <w:basedOn w:val="1"/>
    <w:link w:val="388"/>
    <w:uiPriority w:val="0"/>
    <w:rPr>
      <w:rFonts w:ascii="Microsoft YaHei UI" w:eastAsia="Microsoft YaHei UI"/>
      <w:sz w:val="18"/>
      <w:szCs w:val="18"/>
    </w:rPr>
  </w:style>
  <w:style w:type="paragraph" w:styleId="27">
    <w:name w:val="toa heading"/>
    <w:basedOn w:val="1"/>
    <w:next w:val="1"/>
    <w:uiPriority w:val="0"/>
    <w:pPr>
      <w:spacing w:before="120"/>
    </w:pPr>
    <w:rPr>
      <w:rFonts w:asciiTheme="majorHAnsi" w:hAnsiTheme="majorHAnsi" w:eastAsiaTheme="majorEastAsia" w:cstheme="majorBidi"/>
      <w:sz w:val="24"/>
    </w:rPr>
  </w:style>
  <w:style w:type="paragraph" w:styleId="28">
    <w:name w:val="annotation text"/>
    <w:basedOn w:val="1"/>
    <w:link w:val="281"/>
    <w:uiPriority w:val="0"/>
  </w:style>
  <w:style w:type="paragraph" w:styleId="29">
    <w:name w:val="index 6"/>
    <w:basedOn w:val="1"/>
    <w:next w:val="1"/>
    <w:uiPriority w:val="0"/>
    <w:pPr>
      <w:ind w:left="1000" w:leftChars="1000"/>
    </w:pPr>
  </w:style>
  <w:style w:type="paragraph" w:styleId="30">
    <w:name w:val="Salutation"/>
    <w:basedOn w:val="1"/>
    <w:next w:val="1"/>
    <w:link w:val="267"/>
    <w:uiPriority w:val="0"/>
  </w:style>
  <w:style w:type="paragraph" w:styleId="31">
    <w:name w:val="Body Text 3"/>
    <w:basedOn w:val="1"/>
    <w:link w:val="401"/>
    <w:qFormat/>
    <w:uiPriority w:val="0"/>
    <w:pPr>
      <w:spacing w:after="120"/>
    </w:pPr>
    <w:rPr>
      <w:sz w:val="16"/>
      <w:szCs w:val="16"/>
    </w:rPr>
  </w:style>
  <w:style w:type="paragraph" w:styleId="32">
    <w:name w:val="Closing"/>
    <w:basedOn w:val="1"/>
    <w:link w:val="273"/>
    <w:uiPriority w:val="0"/>
    <w:pPr>
      <w:ind w:left="100" w:leftChars="2100"/>
    </w:pPr>
  </w:style>
  <w:style w:type="paragraph" w:styleId="33">
    <w:name w:val="List Bullet 3"/>
    <w:basedOn w:val="1"/>
    <w:uiPriority w:val="0"/>
    <w:pPr>
      <w:numPr>
        <w:ilvl w:val="0"/>
        <w:numId w:val="5"/>
      </w:numPr>
      <w:contextualSpacing/>
    </w:pPr>
  </w:style>
  <w:style w:type="paragraph" w:styleId="34">
    <w:name w:val="Body Text"/>
    <w:basedOn w:val="1"/>
    <w:link w:val="399"/>
    <w:uiPriority w:val="0"/>
    <w:pPr>
      <w:spacing w:after="120"/>
    </w:pPr>
  </w:style>
  <w:style w:type="paragraph" w:styleId="35">
    <w:name w:val="Body Text Indent"/>
    <w:basedOn w:val="1"/>
    <w:link w:val="403"/>
    <w:uiPriority w:val="0"/>
    <w:pPr>
      <w:spacing w:after="120"/>
      <w:ind w:left="420" w:leftChars="200"/>
    </w:pPr>
  </w:style>
  <w:style w:type="paragraph" w:styleId="36">
    <w:name w:val="List Number 3"/>
    <w:basedOn w:val="1"/>
    <w:uiPriority w:val="0"/>
    <w:pPr>
      <w:numPr>
        <w:ilvl w:val="0"/>
        <w:numId w:val="6"/>
      </w:numPr>
      <w:contextualSpacing/>
    </w:pPr>
  </w:style>
  <w:style w:type="paragraph" w:styleId="37">
    <w:name w:val="List 2"/>
    <w:basedOn w:val="1"/>
    <w:uiPriority w:val="0"/>
    <w:pPr>
      <w:ind w:left="100" w:leftChars="200" w:hanging="200" w:hangingChars="200"/>
      <w:contextualSpacing/>
    </w:pPr>
  </w:style>
  <w:style w:type="paragraph" w:styleId="38">
    <w:name w:val="List Continue"/>
    <w:basedOn w:val="1"/>
    <w:uiPriority w:val="0"/>
    <w:pPr>
      <w:spacing w:after="120"/>
      <w:ind w:left="420" w:leftChars="200"/>
      <w:contextualSpacing/>
    </w:pPr>
  </w:style>
  <w:style w:type="paragraph" w:styleId="39">
    <w:name w:val="Block Text"/>
    <w:basedOn w:val="1"/>
    <w:uiPriority w:val="0"/>
    <w:pPr>
      <w:spacing w:after="120"/>
      <w:ind w:left="1440" w:leftChars="700" w:right="1440" w:rightChars="700"/>
    </w:pPr>
  </w:style>
  <w:style w:type="paragraph" w:styleId="40">
    <w:name w:val="List Bullet 2"/>
    <w:basedOn w:val="1"/>
    <w:uiPriority w:val="0"/>
    <w:pPr>
      <w:numPr>
        <w:ilvl w:val="0"/>
        <w:numId w:val="7"/>
      </w:numPr>
      <w:contextualSpacing/>
    </w:pPr>
  </w:style>
  <w:style w:type="paragraph" w:styleId="41">
    <w:name w:val="HTML Address"/>
    <w:basedOn w:val="1"/>
    <w:link w:val="254"/>
    <w:uiPriority w:val="0"/>
    <w:rPr>
      <w:i/>
      <w:iCs/>
    </w:rPr>
  </w:style>
  <w:style w:type="paragraph" w:styleId="42">
    <w:name w:val="index 4"/>
    <w:basedOn w:val="1"/>
    <w:next w:val="1"/>
    <w:uiPriority w:val="0"/>
    <w:pPr>
      <w:ind w:left="600" w:leftChars="600"/>
    </w:pPr>
  </w:style>
  <w:style w:type="paragraph" w:styleId="43">
    <w:name w:val="toc 5"/>
    <w:basedOn w:val="1"/>
    <w:next w:val="1"/>
    <w:uiPriority w:val="0"/>
    <w:pPr>
      <w:ind w:left="1680" w:leftChars="800"/>
    </w:pPr>
  </w:style>
  <w:style w:type="paragraph" w:styleId="44">
    <w:name w:val="toc 3"/>
    <w:basedOn w:val="1"/>
    <w:next w:val="1"/>
    <w:uiPriority w:val="0"/>
    <w:pPr>
      <w:ind w:left="840" w:leftChars="400"/>
    </w:pPr>
  </w:style>
  <w:style w:type="paragraph" w:styleId="45">
    <w:name w:val="Plain Text"/>
    <w:basedOn w:val="1"/>
    <w:link w:val="268"/>
    <w:uiPriority w:val="0"/>
    <w:rPr>
      <w:rFonts w:hAnsi="Courier New" w:cs="Courier New" w:asciiTheme="minorEastAsia"/>
    </w:rPr>
  </w:style>
  <w:style w:type="paragraph" w:styleId="46">
    <w:name w:val="List Bullet 5"/>
    <w:basedOn w:val="1"/>
    <w:uiPriority w:val="0"/>
    <w:pPr>
      <w:numPr>
        <w:ilvl w:val="0"/>
        <w:numId w:val="8"/>
      </w:numPr>
      <w:contextualSpacing/>
    </w:pPr>
  </w:style>
  <w:style w:type="paragraph" w:styleId="47">
    <w:name w:val="List Number 4"/>
    <w:basedOn w:val="1"/>
    <w:uiPriority w:val="0"/>
    <w:pPr>
      <w:numPr>
        <w:ilvl w:val="0"/>
        <w:numId w:val="9"/>
      </w:numPr>
      <w:contextualSpacing/>
    </w:pPr>
  </w:style>
  <w:style w:type="paragraph" w:styleId="48">
    <w:name w:val="toc 8"/>
    <w:basedOn w:val="1"/>
    <w:next w:val="1"/>
    <w:uiPriority w:val="0"/>
    <w:pPr>
      <w:ind w:left="2940" w:leftChars="1400"/>
    </w:pPr>
  </w:style>
  <w:style w:type="paragraph" w:styleId="49">
    <w:name w:val="index 3"/>
    <w:basedOn w:val="1"/>
    <w:next w:val="1"/>
    <w:uiPriority w:val="0"/>
    <w:pPr>
      <w:ind w:left="400" w:leftChars="400"/>
    </w:pPr>
  </w:style>
  <w:style w:type="paragraph" w:styleId="50">
    <w:name w:val="Date"/>
    <w:basedOn w:val="1"/>
    <w:next w:val="1"/>
    <w:link w:val="333"/>
    <w:uiPriority w:val="0"/>
    <w:pPr>
      <w:ind w:left="100" w:leftChars="2500"/>
    </w:pPr>
  </w:style>
  <w:style w:type="paragraph" w:styleId="51">
    <w:name w:val="Body Text Indent 2"/>
    <w:basedOn w:val="1"/>
    <w:link w:val="405"/>
    <w:uiPriority w:val="0"/>
    <w:pPr>
      <w:spacing w:after="120" w:line="480" w:lineRule="auto"/>
      <w:ind w:left="420" w:leftChars="200"/>
    </w:pPr>
  </w:style>
  <w:style w:type="paragraph" w:styleId="52">
    <w:name w:val="endnote text"/>
    <w:basedOn w:val="1"/>
    <w:link w:val="386"/>
    <w:qFormat/>
    <w:uiPriority w:val="0"/>
    <w:pPr>
      <w:snapToGrid w:val="0"/>
    </w:pPr>
  </w:style>
  <w:style w:type="paragraph" w:styleId="53">
    <w:name w:val="List Continue 5"/>
    <w:basedOn w:val="1"/>
    <w:uiPriority w:val="0"/>
    <w:pPr>
      <w:spacing w:after="120"/>
      <w:ind w:left="2100" w:leftChars="1000"/>
      <w:contextualSpacing/>
    </w:pPr>
  </w:style>
  <w:style w:type="paragraph" w:styleId="54">
    <w:name w:val="Balloon Text"/>
    <w:basedOn w:val="1"/>
    <w:link w:val="280"/>
    <w:uiPriority w:val="0"/>
    <w:rPr>
      <w:sz w:val="18"/>
      <w:szCs w:val="18"/>
    </w:rPr>
  </w:style>
  <w:style w:type="paragraph" w:styleId="55">
    <w:name w:val="footer"/>
    <w:basedOn w:val="1"/>
    <w:link w:val="252"/>
    <w:uiPriority w:val="0"/>
    <w:pPr>
      <w:tabs>
        <w:tab w:val="center" w:pos="4153"/>
        <w:tab w:val="right" w:pos="8306"/>
      </w:tabs>
      <w:snapToGrid w:val="0"/>
    </w:pPr>
    <w:rPr>
      <w:sz w:val="18"/>
      <w:szCs w:val="18"/>
    </w:rPr>
  </w:style>
  <w:style w:type="paragraph" w:styleId="56">
    <w:name w:val="envelope return"/>
    <w:basedOn w:val="1"/>
    <w:uiPriority w:val="0"/>
    <w:pPr>
      <w:snapToGrid w:val="0"/>
    </w:pPr>
    <w:rPr>
      <w:rFonts w:asciiTheme="majorHAnsi" w:hAnsiTheme="majorHAnsi" w:eastAsiaTheme="majorEastAsia" w:cstheme="majorBidi"/>
    </w:rPr>
  </w:style>
  <w:style w:type="paragraph" w:styleId="57">
    <w:name w:val="header"/>
    <w:basedOn w:val="1"/>
    <w:link w:val="251"/>
    <w:uiPriority w:val="0"/>
    <w:pPr>
      <w:tabs>
        <w:tab w:val="center" w:pos="4153"/>
        <w:tab w:val="right" w:pos="8306"/>
      </w:tabs>
      <w:snapToGrid w:val="0"/>
      <w:jc w:val="center"/>
    </w:pPr>
    <w:rPr>
      <w:sz w:val="18"/>
      <w:szCs w:val="18"/>
    </w:rPr>
  </w:style>
  <w:style w:type="paragraph" w:styleId="58">
    <w:name w:val="Signature"/>
    <w:basedOn w:val="1"/>
    <w:link w:val="283"/>
    <w:uiPriority w:val="0"/>
    <w:pPr>
      <w:ind w:left="100" w:leftChars="2100"/>
    </w:pPr>
  </w:style>
  <w:style w:type="paragraph" w:styleId="59">
    <w:name w:val="toc 1"/>
    <w:basedOn w:val="1"/>
    <w:next w:val="1"/>
    <w:uiPriority w:val="39"/>
  </w:style>
  <w:style w:type="paragraph" w:styleId="60">
    <w:name w:val="List Continue 4"/>
    <w:basedOn w:val="1"/>
    <w:uiPriority w:val="0"/>
    <w:pPr>
      <w:spacing w:after="120"/>
      <w:ind w:left="1680" w:leftChars="800"/>
      <w:contextualSpacing/>
    </w:pPr>
  </w:style>
  <w:style w:type="paragraph" w:styleId="61">
    <w:name w:val="toc 4"/>
    <w:basedOn w:val="1"/>
    <w:next w:val="1"/>
    <w:uiPriority w:val="0"/>
    <w:pPr>
      <w:ind w:left="1260" w:leftChars="600"/>
    </w:pPr>
  </w:style>
  <w:style w:type="paragraph" w:styleId="62">
    <w:name w:val="index heading"/>
    <w:basedOn w:val="1"/>
    <w:next w:val="63"/>
    <w:uiPriority w:val="0"/>
    <w:rPr>
      <w:rFonts w:asciiTheme="majorHAnsi" w:hAnsiTheme="majorHAnsi" w:eastAsiaTheme="majorEastAsia" w:cstheme="majorBidi"/>
      <w:b/>
      <w:bCs/>
    </w:rPr>
  </w:style>
  <w:style w:type="paragraph" w:styleId="63">
    <w:name w:val="index 1"/>
    <w:basedOn w:val="1"/>
    <w:next w:val="1"/>
    <w:uiPriority w:val="0"/>
  </w:style>
  <w:style w:type="paragraph" w:styleId="64">
    <w:name w:val="Subtitle"/>
    <w:basedOn w:val="1"/>
    <w:next w:val="1"/>
    <w:link w:val="270"/>
    <w:qFormat/>
    <w:uiPriority w:val="0"/>
    <w:pPr>
      <w:spacing w:before="240" w:after="60" w:line="312" w:lineRule="auto"/>
      <w:jc w:val="center"/>
      <w:outlineLvl w:val="1"/>
    </w:pPr>
    <w:rPr>
      <w:b/>
      <w:bCs/>
      <w:kern w:val="28"/>
      <w:sz w:val="32"/>
      <w:szCs w:val="32"/>
    </w:rPr>
  </w:style>
  <w:style w:type="paragraph" w:styleId="65">
    <w:name w:val="List Number 5"/>
    <w:basedOn w:val="1"/>
    <w:uiPriority w:val="0"/>
    <w:pPr>
      <w:numPr>
        <w:ilvl w:val="0"/>
        <w:numId w:val="10"/>
      </w:numPr>
      <w:contextualSpacing/>
    </w:pPr>
  </w:style>
  <w:style w:type="paragraph" w:styleId="66">
    <w:name w:val="List"/>
    <w:basedOn w:val="1"/>
    <w:uiPriority w:val="0"/>
    <w:pPr>
      <w:ind w:left="200" w:hanging="200" w:hangingChars="200"/>
      <w:contextualSpacing/>
    </w:pPr>
  </w:style>
  <w:style w:type="paragraph" w:styleId="67">
    <w:name w:val="footnote text"/>
    <w:basedOn w:val="1"/>
    <w:link w:val="272"/>
    <w:uiPriority w:val="0"/>
    <w:pPr>
      <w:snapToGrid w:val="0"/>
    </w:pPr>
    <w:rPr>
      <w:sz w:val="18"/>
      <w:szCs w:val="18"/>
    </w:rPr>
  </w:style>
  <w:style w:type="paragraph" w:styleId="68">
    <w:name w:val="toc 6"/>
    <w:basedOn w:val="1"/>
    <w:next w:val="1"/>
    <w:uiPriority w:val="0"/>
    <w:pPr>
      <w:ind w:left="2100" w:leftChars="1000"/>
    </w:pPr>
  </w:style>
  <w:style w:type="paragraph" w:styleId="69">
    <w:name w:val="List 5"/>
    <w:basedOn w:val="1"/>
    <w:uiPriority w:val="0"/>
    <w:pPr>
      <w:ind w:left="100" w:leftChars="800" w:hanging="200" w:hangingChars="200"/>
      <w:contextualSpacing/>
    </w:pPr>
  </w:style>
  <w:style w:type="paragraph" w:styleId="70">
    <w:name w:val="Body Text Indent 3"/>
    <w:basedOn w:val="1"/>
    <w:link w:val="406"/>
    <w:uiPriority w:val="0"/>
    <w:pPr>
      <w:spacing w:after="120"/>
      <w:ind w:left="420" w:leftChars="200"/>
    </w:pPr>
    <w:rPr>
      <w:sz w:val="16"/>
      <w:szCs w:val="16"/>
    </w:rPr>
  </w:style>
  <w:style w:type="paragraph" w:styleId="71">
    <w:name w:val="index 7"/>
    <w:basedOn w:val="1"/>
    <w:next w:val="1"/>
    <w:uiPriority w:val="0"/>
    <w:pPr>
      <w:ind w:left="1200" w:leftChars="1200"/>
    </w:pPr>
  </w:style>
  <w:style w:type="paragraph" w:styleId="72">
    <w:name w:val="index 9"/>
    <w:basedOn w:val="1"/>
    <w:next w:val="1"/>
    <w:uiPriority w:val="0"/>
    <w:pPr>
      <w:ind w:left="1600" w:leftChars="1600"/>
    </w:pPr>
  </w:style>
  <w:style w:type="paragraph" w:styleId="73">
    <w:name w:val="table of figures"/>
    <w:basedOn w:val="1"/>
    <w:next w:val="1"/>
    <w:uiPriority w:val="0"/>
    <w:pPr>
      <w:ind w:left="200" w:leftChars="200" w:hanging="200" w:hangingChars="200"/>
    </w:pPr>
  </w:style>
  <w:style w:type="paragraph" w:styleId="74">
    <w:name w:val="toc 2"/>
    <w:basedOn w:val="1"/>
    <w:next w:val="1"/>
    <w:uiPriority w:val="39"/>
    <w:pPr>
      <w:ind w:left="420" w:leftChars="200"/>
    </w:pPr>
  </w:style>
  <w:style w:type="paragraph" w:styleId="75">
    <w:name w:val="toc 9"/>
    <w:basedOn w:val="1"/>
    <w:next w:val="1"/>
    <w:uiPriority w:val="0"/>
    <w:pPr>
      <w:ind w:left="3360" w:leftChars="1600"/>
    </w:pPr>
  </w:style>
  <w:style w:type="paragraph" w:styleId="76">
    <w:name w:val="Body Text 2"/>
    <w:basedOn w:val="1"/>
    <w:link w:val="400"/>
    <w:uiPriority w:val="0"/>
    <w:pPr>
      <w:spacing w:after="120" w:line="480" w:lineRule="auto"/>
    </w:pPr>
  </w:style>
  <w:style w:type="paragraph" w:styleId="77">
    <w:name w:val="List 4"/>
    <w:basedOn w:val="1"/>
    <w:uiPriority w:val="0"/>
    <w:pPr>
      <w:ind w:left="100" w:leftChars="600" w:hanging="200" w:hangingChars="200"/>
      <w:contextualSpacing/>
    </w:pPr>
  </w:style>
  <w:style w:type="paragraph" w:styleId="78">
    <w:name w:val="List Continue 2"/>
    <w:basedOn w:val="1"/>
    <w:uiPriority w:val="0"/>
    <w:pPr>
      <w:spacing w:after="120"/>
      <w:ind w:left="840" w:leftChars="400"/>
      <w:contextualSpacing/>
    </w:pPr>
  </w:style>
  <w:style w:type="paragraph" w:styleId="79">
    <w:name w:val="Message Header"/>
    <w:basedOn w:val="1"/>
    <w:link w:val="395"/>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255"/>
    <w:uiPriority w:val="0"/>
    <w:rPr>
      <w:rFonts w:ascii="Courier New" w:hAnsi="Courier New" w:cs="Courier New"/>
      <w:sz w:val="20"/>
      <w:szCs w:val="20"/>
    </w:rPr>
  </w:style>
  <w:style w:type="paragraph" w:styleId="81">
    <w:name w:val="Normal (Web)"/>
    <w:basedOn w:val="1"/>
    <w:uiPriority w:val="0"/>
    <w:pPr>
      <w:spacing w:beforeAutospacing="1" w:afterAutospacing="1"/>
    </w:pPr>
    <w:rPr>
      <w:rFonts w:cs="Angsana New"/>
      <w:kern w:val="0"/>
      <w:sz w:val="24"/>
      <w:lang w:bidi="th-TH"/>
    </w:rPr>
  </w:style>
  <w:style w:type="paragraph" w:styleId="82">
    <w:name w:val="List Continue 3"/>
    <w:basedOn w:val="1"/>
    <w:uiPriority w:val="0"/>
    <w:pPr>
      <w:spacing w:after="120"/>
      <w:ind w:left="1260" w:leftChars="600"/>
      <w:contextualSpacing/>
    </w:pPr>
  </w:style>
  <w:style w:type="paragraph" w:styleId="83">
    <w:name w:val="index 2"/>
    <w:basedOn w:val="1"/>
    <w:next w:val="1"/>
    <w:uiPriority w:val="0"/>
    <w:pPr>
      <w:ind w:left="200" w:leftChars="200"/>
    </w:pPr>
  </w:style>
  <w:style w:type="paragraph" w:styleId="84">
    <w:name w:val="Title"/>
    <w:basedOn w:val="1"/>
    <w:next w:val="1"/>
    <w:link w:val="257"/>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82"/>
    <w:uiPriority w:val="0"/>
    <w:rPr>
      <w:b/>
      <w:bCs/>
    </w:rPr>
  </w:style>
  <w:style w:type="paragraph" w:styleId="86">
    <w:name w:val="Body Text First Indent"/>
    <w:basedOn w:val="34"/>
    <w:link w:val="402"/>
    <w:uiPriority w:val="0"/>
    <w:pPr>
      <w:ind w:firstLine="420" w:firstLineChars="100"/>
    </w:pPr>
  </w:style>
  <w:style w:type="paragraph" w:styleId="87">
    <w:name w:val="Body Text First Indent 2"/>
    <w:basedOn w:val="35"/>
    <w:link w:val="404"/>
    <w:uiPriority w:val="0"/>
    <w:pPr>
      <w:ind w:firstLine="420" w:firstLineChars="200"/>
    </w:pPr>
  </w:style>
  <w:style w:type="table" w:styleId="89">
    <w:name w:val="Table Grid"/>
    <w:basedOn w:val="8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uiPriority w:val="0"/>
    <w:pPr>
      <w:widowControl w:val="0"/>
      <w:jc w:val="both"/>
    </w:pPr>
    <w:rPr>
      <w:rFonts w:cs="Angsana New"/>
      <w:szCs w:val="2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uiPriority w:val="0"/>
    <w:pPr>
      <w:widowControl w:val="0"/>
      <w:jc w:val="both"/>
    </w:pPr>
    <w:rPr>
      <w:rFonts w:cs="Angsana New"/>
      <w:color w:val="FFFFFF"/>
      <w:szCs w:val="25"/>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uiPriority w:val="0"/>
    <w:pPr>
      <w:widowControl w:val="0"/>
      <w:jc w:val="both"/>
    </w:pPr>
    <w:rPr>
      <w:rFonts w:cs="Angsana New"/>
      <w:szCs w:val="25"/>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uiPriority w:val="0"/>
    <w:pPr>
      <w:widowControl w:val="0"/>
      <w:jc w:val="both"/>
    </w:pPr>
    <w:rPr>
      <w:rFonts w:cs="Angsana New"/>
      <w:szCs w:val="25"/>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uiPriority w:val="0"/>
    <w:pPr>
      <w:widowControl w:val="0"/>
      <w:jc w:val="both"/>
    </w:pPr>
    <w:rPr>
      <w:rFonts w:cs="Angsana New"/>
      <w:szCs w:val="25"/>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uiPriority w:val="0"/>
    <w:pPr>
      <w:widowControl w:val="0"/>
      <w:jc w:val="both"/>
    </w:pPr>
    <w:rPr>
      <w:rFonts w:cs="Angsana New"/>
      <w:color w:val="000080"/>
      <w:szCs w:val="25"/>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uiPriority w:val="0"/>
    <w:pPr>
      <w:widowControl w:val="0"/>
      <w:jc w:val="both"/>
    </w:pPr>
    <w:rPr>
      <w:rFonts w:cs="Angsana New"/>
      <w:szCs w:val="25"/>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uiPriority w:val="0"/>
    <w:pPr>
      <w:widowControl w:val="0"/>
      <w:jc w:val="both"/>
    </w:pPr>
    <w:rPr>
      <w:rFonts w:cs="Angsana New"/>
      <w:szCs w:val="25"/>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uiPriority w:val="0"/>
    <w:pPr>
      <w:widowControl w:val="0"/>
      <w:jc w:val="both"/>
    </w:pPr>
    <w:rPr>
      <w:rFonts w:cs="Angsana New"/>
      <w:szCs w:val="25"/>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uiPriority w:val="0"/>
    <w:pPr>
      <w:widowControl w:val="0"/>
      <w:jc w:val="both"/>
    </w:pPr>
    <w:rPr>
      <w:rFonts w:cs="Angsana New"/>
      <w:szCs w:val="25"/>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uiPriority w:val="0"/>
    <w:pPr>
      <w:widowControl w:val="0"/>
      <w:jc w:val="both"/>
    </w:pPr>
    <w:rPr>
      <w:rFonts w:cs="Angsana New"/>
      <w:szCs w:val="25"/>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uiPriority w:val="0"/>
    <w:pPr>
      <w:widowControl w:val="0"/>
      <w:jc w:val="both"/>
    </w:pPr>
    <w:rPr>
      <w:rFonts w:cs="Angsana New"/>
      <w:szCs w:val="25"/>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uiPriority w:val="0"/>
    <w:pPr>
      <w:widowControl w:val="0"/>
      <w:jc w:val="both"/>
    </w:pPr>
    <w:rPr>
      <w:rFonts w:cs="Angsana New"/>
      <w:szCs w:val="25"/>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uiPriority w:val="0"/>
    <w:pPr>
      <w:widowControl w:val="0"/>
      <w:jc w:val="both"/>
    </w:pPr>
    <w:rPr>
      <w:rFonts w:cs="Angsana New"/>
      <w:szCs w:val="25"/>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uiPriority w:val="0"/>
    <w:pPr>
      <w:widowControl w:val="0"/>
      <w:jc w:val="both"/>
    </w:pPr>
    <w:rPr>
      <w:rFonts w:cs="Angsana New"/>
      <w:szCs w:val="25"/>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uiPriority w:val="0"/>
    <w:pPr>
      <w:widowControl w:val="0"/>
      <w:jc w:val="both"/>
    </w:pPr>
    <w:rPr>
      <w:rFonts w:cs="Angsana New"/>
      <w:szCs w:val="25"/>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uiPriority w:val="0"/>
    <w:pPr>
      <w:widowControl w:val="0"/>
      <w:jc w:val="both"/>
    </w:pPr>
    <w:rPr>
      <w:rFonts w:cs="Angsana New"/>
      <w:szCs w:val="25"/>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uiPriority w:val="0"/>
    <w:pPr>
      <w:widowControl w:val="0"/>
      <w:jc w:val="both"/>
    </w:pPr>
    <w:rPr>
      <w:rFonts w:cs="Angsana New"/>
      <w:szCs w:val="25"/>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uiPriority w:val="0"/>
    <w:pPr>
      <w:widowControl w:val="0"/>
      <w:jc w:val="both"/>
    </w:pPr>
    <w:rPr>
      <w:rFonts w:cs="Angsana New"/>
      <w:szCs w:val="25"/>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uiPriority w:val="0"/>
    <w:pPr>
      <w:widowControl w:val="0"/>
      <w:jc w:val="both"/>
    </w:pPr>
    <w:rPr>
      <w:rFonts w:cs="Angsana New"/>
      <w:b/>
      <w:bCs/>
      <w:szCs w:val="25"/>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uiPriority w:val="0"/>
    <w:pPr>
      <w:widowControl w:val="0"/>
      <w:jc w:val="both"/>
    </w:pPr>
    <w:rPr>
      <w:rFonts w:cs="Angsana New"/>
      <w:b/>
      <w:bCs/>
      <w:szCs w:val="25"/>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uiPriority w:val="0"/>
    <w:pPr>
      <w:widowControl w:val="0"/>
      <w:jc w:val="both"/>
    </w:pPr>
    <w:rPr>
      <w:rFonts w:cs="Angsana New"/>
      <w:szCs w:val="25"/>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uiPriority w:val="0"/>
    <w:pPr>
      <w:widowControl w:val="0"/>
      <w:jc w:val="both"/>
    </w:pPr>
    <w:rPr>
      <w:rFonts w:cs="Angsana New"/>
      <w:szCs w:val="25"/>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uiPriority w:val="0"/>
    <w:pPr>
      <w:widowControl w:val="0"/>
      <w:jc w:val="both"/>
    </w:pPr>
    <w:rPr>
      <w:rFonts w:cs="Angsana New"/>
      <w:szCs w:val="25"/>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uiPriority w:val="0"/>
    <w:pPr>
      <w:widowControl w:val="0"/>
      <w:jc w:val="both"/>
    </w:pPr>
    <w:rPr>
      <w:rFonts w:cs="Angsana New"/>
      <w:szCs w:val="25"/>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uiPriority w:val="0"/>
    <w:pPr>
      <w:widowControl w:val="0"/>
      <w:jc w:val="both"/>
    </w:pPr>
    <w:rPr>
      <w:rFonts w:cs="Angsana New"/>
      <w:szCs w:val="25"/>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uiPriority w:val="0"/>
    <w:pPr>
      <w:widowControl w:val="0"/>
      <w:jc w:val="both"/>
    </w:pPr>
    <w:rPr>
      <w:rFonts w:cs="Angsana New"/>
      <w:szCs w:val="25"/>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uiPriority w:val="0"/>
    <w:pPr>
      <w:widowControl w:val="0"/>
      <w:jc w:val="both"/>
    </w:pPr>
    <w:rPr>
      <w:rFonts w:cs="Angsana New"/>
      <w:szCs w:val="25"/>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uiPriority w:val="0"/>
    <w:pPr>
      <w:widowControl w:val="0"/>
      <w:jc w:val="both"/>
    </w:pPr>
    <w:rPr>
      <w:rFonts w:cs="Angsana New"/>
      <w:szCs w:val="25"/>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0"/>
    <w:pPr>
      <w:widowControl w:val="0"/>
      <w:jc w:val="both"/>
    </w:pPr>
    <w:rPr>
      <w:rFonts w:cs="Angsana New"/>
      <w:szCs w:val="25"/>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CBE9CF" w:themeFill="background1"/>
      </w:tcPr>
    </w:tblStylePr>
    <w:tblStylePr w:type="lastRow">
      <w:tblPr/>
      <w:tcPr>
        <w:tcBorders>
          <w:top w:val="single" w:color="000000" w:themeColor="tex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000000" w:themeColor="text1" w:sz="8" w:space="0"/>
          <w:insideH w:val="nil"/>
          <w:insideV w:val="nil"/>
        </w:tcBorders>
        <w:shd w:val="clear" w:color="auto" w:fill="CBE9CF" w:themeFill="background1"/>
      </w:tcPr>
    </w:tblStylePr>
    <w:tblStylePr w:type="lastCol">
      <w:tblPr/>
      <w:tcPr>
        <w:tcBorders>
          <w:top w:val="nil"/>
          <w:left w:val="single" w:color="000000" w:themeColor="tex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BE9CF" w:themeFill="background1"/>
      </w:tcPr>
    </w:tblStylePr>
    <w:tblStylePr w:type="swCell">
      <w:tblPr/>
      <w:tcPr>
        <w:tcBorders>
          <w:top w:val="nil"/>
        </w:tcBorders>
      </w:tcPr>
    </w:tblStylePr>
  </w:style>
  <w:style w:type="table" w:styleId="176">
    <w:name w:val="Medium List 2 Accent 1"/>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CBE9CF" w:themeFill="background1"/>
      </w:tcPr>
    </w:tblStylePr>
    <w:tblStylePr w:type="lastRow">
      <w:tblPr/>
      <w:tcPr>
        <w:tcBorders>
          <w:top w:val="single" w:color="5B9BD5" w:themeColor="accen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5B9BD5" w:themeColor="accent1" w:sz="8" w:space="0"/>
          <w:insideH w:val="nil"/>
          <w:insideV w:val="nil"/>
        </w:tcBorders>
        <w:shd w:val="clear" w:color="auto" w:fill="CBE9CF" w:themeFill="background1"/>
      </w:tcPr>
    </w:tblStylePr>
    <w:tblStylePr w:type="lastCol">
      <w:tblPr/>
      <w:tcPr>
        <w:tcBorders>
          <w:top w:val="nil"/>
          <w:left w:val="single" w:color="5B9BD5" w:themeColor="accen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CBE9CF" w:themeFill="background1"/>
      </w:tcPr>
    </w:tblStylePr>
    <w:tblStylePr w:type="swCell">
      <w:tblPr/>
      <w:tcPr>
        <w:tcBorders>
          <w:top w:val="nil"/>
        </w:tcBorders>
      </w:tcPr>
    </w:tblStylePr>
  </w:style>
  <w:style w:type="table" w:styleId="177">
    <w:name w:val="Medium List 2 Accen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tblPr/>
      <w:tcPr>
        <w:tcBorders>
          <w:top w:val="single" w:color="ED7D31" w:themeColor="accent2" w:sz="8" w:space="0"/>
          <w:left w:val="nil"/>
          <w:right w:val="nil"/>
          <w:insideH w:val="nil"/>
          <w:insideV w:val="nil"/>
        </w:tcBorders>
        <w:shd w:val="clear" w:color="auto" w:fill="CBE9CF" w:themeFill="background1"/>
      </w:tcPr>
    </w:tblStylePr>
    <w:tblStylePr w:type="firstCol">
      <w:tblPr/>
      <w:tcPr>
        <w:tcBorders>
          <w:top w:val="nil"/>
          <w:left w:val="nil"/>
          <w:bottom w:val="nil"/>
          <w:right w:val="single" w:color="ED7D31" w:themeColor="accent2" w:sz="8" w:space="0"/>
          <w:insideH w:val="nil"/>
          <w:insideV w:val="nil"/>
        </w:tcBorders>
        <w:shd w:val="clear" w:color="auto" w:fill="CBE9CF" w:themeFill="background1"/>
      </w:tcPr>
    </w:tblStylePr>
    <w:tblStylePr w:type="lastCol">
      <w:tblPr/>
      <w:tcPr>
        <w:tcBorders>
          <w:top w:val="nil"/>
          <w:left w:val="single" w:color="ED7D31" w:themeColor="accent2"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CBE9CF" w:themeFill="background1"/>
      </w:tcPr>
    </w:tblStylePr>
    <w:tblStylePr w:type="swCell">
      <w:tblPr/>
      <w:tcPr>
        <w:tcBorders>
          <w:top w:val="nil"/>
        </w:tcBorders>
      </w:tcPr>
    </w:tblStylePr>
  </w:style>
  <w:style w:type="table" w:styleId="178">
    <w:name w:val="Medium List 2 Accent 3"/>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tblPr/>
      <w:tcPr>
        <w:tcBorders>
          <w:top w:val="single" w:color="A5A5A5" w:themeColor="accent3"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A5A5A5" w:themeColor="accent3" w:sz="8" w:space="0"/>
          <w:insideH w:val="nil"/>
          <w:insideV w:val="nil"/>
        </w:tcBorders>
        <w:shd w:val="clear" w:color="auto" w:fill="CBE9CF" w:themeFill="background1"/>
      </w:tcPr>
    </w:tblStylePr>
    <w:tblStylePr w:type="lastCol">
      <w:tblPr/>
      <w:tcPr>
        <w:tcBorders>
          <w:top w:val="nil"/>
          <w:left w:val="single" w:color="A5A5A5" w:themeColor="accent3"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CBE9CF" w:themeFill="background1"/>
      </w:tcPr>
    </w:tblStylePr>
    <w:tblStylePr w:type="swCell">
      <w:tblPr/>
      <w:tcPr>
        <w:tcBorders>
          <w:top w:val="nil"/>
        </w:tcBorders>
      </w:tcPr>
    </w:tblStylePr>
  </w:style>
  <w:style w:type="table" w:styleId="179">
    <w:name w:val="Medium List 2 Accent 4"/>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tblPr/>
      <w:tcPr>
        <w:tcBorders>
          <w:top w:val="single" w:color="FFC000" w:themeColor="accent4"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FFC000" w:themeColor="accent4" w:sz="8" w:space="0"/>
          <w:insideH w:val="nil"/>
          <w:insideV w:val="nil"/>
        </w:tcBorders>
        <w:shd w:val="clear" w:color="auto" w:fill="CBE9CF" w:themeFill="background1"/>
      </w:tcPr>
    </w:tblStylePr>
    <w:tblStylePr w:type="lastCol">
      <w:tblPr/>
      <w:tcPr>
        <w:tcBorders>
          <w:top w:val="nil"/>
          <w:left w:val="single" w:color="FFC000" w:themeColor="accent4"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CBE9CF" w:themeFill="background1"/>
      </w:tcPr>
    </w:tblStylePr>
    <w:tblStylePr w:type="swCell">
      <w:tblPr/>
      <w:tcPr>
        <w:tcBorders>
          <w:top w:val="nil"/>
        </w:tcBorders>
      </w:tcPr>
    </w:tblStylePr>
  </w:style>
  <w:style w:type="table" w:styleId="180">
    <w:name w:val="Medium List 2 Accent 5"/>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tblPr/>
      <w:tcPr>
        <w:tcBorders>
          <w:top w:val="single" w:color="4472C4" w:themeColor="accent5"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4472C4" w:themeColor="accent5" w:sz="8" w:space="0"/>
          <w:insideH w:val="nil"/>
          <w:insideV w:val="nil"/>
        </w:tcBorders>
        <w:shd w:val="clear" w:color="auto" w:fill="CBE9CF" w:themeFill="background1"/>
      </w:tcPr>
    </w:tblStylePr>
    <w:tblStylePr w:type="lastCol">
      <w:tblPr/>
      <w:tcPr>
        <w:tcBorders>
          <w:top w:val="nil"/>
          <w:left w:val="single" w:color="4472C4" w:themeColor="accent5"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CBE9CF" w:themeFill="background1"/>
      </w:tcPr>
    </w:tblStylePr>
    <w:tblStylePr w:type="swCell">
      <w:tblPr/>
      <w:tcPr>
        <w:tcBorders>
          <w:top w:val="nil"/>
        </w:tcBorders>
      </w:tcPr>
    </w:tblStylePr>
  </w:style>
  <w:style w:type="table" w:styleId="181">
    <w:name w:val="Medium List 2 Accent 6"/>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tblPr/>
      <w:tcPr>
        <w:tcBorders>
          <w:top w:val="single" w:color="70AD47" w:themeColor="accent6"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70AD47" w:themeColor="accent6" w:sz="8" w:space="0"/>
          <w:insideH w:val="nil"/>
          <w:insideV w:val="nil"/>
        </w:tcBorders>
        <w:shd w:val="clear" w:color="auto" w:fill="CBE9CF" w:themeFill="background1"/>
      </w:tcPr>
    </w:tblStylePr>
    <w:tblStylePr w:type="lastCol">
      <w:tblPr/>
      <w:tcPr>
        <w:tcBorders>
          <w:top w:val="nil"/>
          <w:left w:val="single" w:color="70AD47" w:themeColor="accent6"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CBE9CF" w:themeFill="background1"/>
      </w:tcPr>
    </w:tblStylePr>
    <w:tblStylePr w:type="swCell">
      <w:tblPr/>
      <w:tcPr>
        <w:tcBorders>
          <w:top w:val="nil"/>
        </w:tcBorders>
      </w:tcPr>
    </w:tblStylePr>
  </w:style>
  <w:style w:type="table" w:styleId="182">
    <w:name w:val="Medium Grid 1"/>
    <w:basedOn w:val="88"/>
    <w:semiHidden/>
    <w:unhideWhenUsed/>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BE9CF" w:themeFill="background1"/>
      </w:tcPr>
    </w:tblStylePr>
  </w:style>
  <w:style w:type="table" w:styleId="190">
    <w:name w:val="Medium Grid 2 Accent 1"/>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CBE9CF" w:themeFill="background1"/>
      </w:tcPr>
    </w:tblStylePr>
  </w:style>
  <w:style w:type="table" w:styleId="191">
    <w:name w:val="Medium Grid 2 Accent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CBE9CF" w:themeFill="background1"/>
      </w:tcPr>
    </w:tblStylePr>
  </w:style>
  <w:style w:type="table" w:styleId="192">
    <w:name w:val="Medium Grid 2 Accent 3"/>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CBE9CF" w:themeFill="background1"/>
      </w:tcPr>
    </w:tblStylePr>
  </w:style>
  <w:style w:type="table" w:styleId="193">
    <w:name w:val="Medium Grid 2 Accent 4"/>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CBE9CF" w:themeFill="background1"/>
      </w:tcPr>
    </w:tblStylePr>
  </w:style>
  <w:style w:type="table" w:styleId="194">
    <w:name w:val="Medium Grid 2 Accent 5"/>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CBE9CF" w:themeFill="background1"/>
      </w:tcPr>
    </w:tblStylePr>
  </w:style>
  <w:style w:type="table" w:styleId="195">
    <w:name w:val="Medium Grid 2 Accent 6"/>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CBE9CF" w:themeFill="background1"/>
      </w:tcPr>
    </w:tblStylePr>
  </w:style>
  <w:style w:type="table" w:styleId="196">
    <w:name w:val="Medium Grid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BFBFBF" w:themeFill="tex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000000" w:themeFill="tex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000000" w:themeFill="tex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000000" w:themeFill="tex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000000" w:themeFill="tex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7F7F7F" w:themeFill="tex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6E6F4" w:themeFill="accen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5B9BD5" w:themeFill="accen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5B9BD5" w:themeFill="accen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5B9BD5" w:themeFill="accen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5B9BD5" w:themeFill="accen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DCDEA" w:themeFill="accen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ADECC" w:themeFill="accent2"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ED7D31" w:themeFill="accent2"/>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ED7D31" w:themeFill="accent2"/>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ED7D31" w:themeFill="accent2"/>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ED7D31" w:themeFill="accent2"/>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6BE98" w:themeFill="accent2"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E8E8E8" w:themeFill="accent3"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A5A5A5" w:themeFill="accent3"/>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A5A5A5" w:themeFill="accent3"/>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A5A5A5" w:themeFill="accent3"/>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A5A5A5" w:themeFill="accent3"/>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D2D2D2" w:themeFill="accent3"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FEFBF" w:themeFill="accent4"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FFC000" w:themeFill="accent4"/>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FFC000" w:themeFill="accent4"/>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FFC000" w:themeFill="accent4"/>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FFC000" w:themeFill="accent4"/>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FDF7F" w:themeFill="accent4"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0DCF0" w:themeFill="accent5"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4472C4" w:themeFill="accent5"/>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4472C4" w:themeFill="accent5"/>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4472C4" w:themeFill="accent5"/>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4472C4" w:themeFill="accent5"/>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1B8E1" w:themeFill="accent5"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BEBD0" w:themeFill="accent6"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70AD47" w:themeFill="accent6"/>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70AD47" w:themeFill="accent6"/>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70AD47" w:themeFill="accent6"/>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70AD47" w:themeFill="accent6"/>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B7D8A1" w:themeFill="accent6"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BE9CF" w:themeColor="background1" w:sz="18" w:space="0"/>
          <w:insideH w:val="nil"/>
          <w:insideV w:val="nil"/>
        </w:tcBorders>
        <w:shd w:val="clear" w:color="auto" w:fill="000000" w:themeFill="text1" w:themeFillShade="BF"/>
      </w:tcPr>
    </w:tblStylePr>
    <w:tblStylePr w:type="lastCol">
      <w:tblPr/>
      <w:tcPr>
        <w:tcBorders>
          <w:top w:val="nil"/>
          <w:left w:val="single" w:color="CBE9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CBE9CF" w:themeColor="background1" w:sz="18" w:space="0"/>
          <w:insideH w:val="nil"/>
          <w:insideV w:val="nil"/>
        </w:tcBorders>
        <w:shd w:val="clear" w:color="auto" w:fill="2E75B5" w:themeFill="accent1" w:themeFillShade="BF"/>
      </w:tcPr>
    </w:tblStylePr>
    <w:tblStylePr w:type="lastCol">
      <w:tblPr/>
      <w:tcPr>
        <w:tcBorders>
          <w:top w:val="nil"/>
          <w:left w:val="single" w:color="CBE9C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CBE9CF" w:themeColor="background1" w:sz="18" w:space="0"/>
          <w:insideH w:val="nil"/>
          <w:insideV w:val="nil"/>
        </w:tcBorders>
        <w:shd w:val="clear" w:color="auto" w:fill="C55911" w:themeFill="accent2" w:themeFillShade="BF"/>
      </w:tcPr>
    </w:tblStylePr>
    <w:tblStylePr w:type="lastCol">
      <w:tblPr/>
      <w:tcPr>
        <w:tcBorders>
          <w:top w:val="nil"/>
          <w:left w:val="single" w:color="CBE9C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CBE9CF" w:themeColor="background1" w:sz="18" w:space="0"/>
          <w:insideH w:val="nil"/>
          <w:insideV w:val="nil"/>
        </w:tcBorders>
        <w:shd w:val="clear" w:color="auto" w:fill="7B7B7B" w:themeFill="accent3" w:themeFillShade="BF"/>
      </w:tcPr>
    </w:tblStylePr>
    <w:tblStylePr w:type="lastCol">
      <w:tblPr/>
      <w:tcPr>
        <w:tcBorders>
          <w:top w:val="nil"/>
          <w:left w:val="single" w:color="CBE9C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CBE9CF" w:themeColor="background1" w:sz="18" w:space="0"/>
          <w:insideH w:val="nil"/>
          <w:insideV w:val="nil"/>
        </w:tcBorders>
        <w:shd w:val="clear" w:color="auto" w:fill="BE8F00" w:themeFill="accent4" w:themeFillShade="BF"/>
      </w:tcPr>
    </w:tblStylePr>
    <w:tblStylePr w:type="lastCol">
      <w:tblPr/>
      <w:tcPr>
        <w:tcBorders>
          <w:top w:val="nil"/>
          <w:left w:val="single" w:color="CBE9C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CBE9CF" w:themeColor="background1" w:sz="18" w:space="0"/>
          <w:insideH w:val="nil"/>
          <w:insideV w:val="nil"/>
        </w:tcBorders>
        <w:shd w:val="clear" w:color="auto" w:fill="2F5496" w:themeFill="accent5" w:themeFillShade="BF"/>
      </w:tcPr>
    </w:tblStylePr>
    <w:tblStylePr w:type="lastCol">
      <w:tblPr/>
      <w:tcPr>
        <w:tcBorders>
          <w:top w:val="nil"/>
          <w:left w:val="single" w:color="CBE9C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CBE9CF" w:themeColor="background1" w:sz="18" w:space="0"/>
          <w:insideH w:val="nil"/>
          <w:insideV w:val="nil"/>
        </w:tcBorders>
        <w:shd w:val="clear" w:color="auto" w:fill="538135" w:themeFill="accent6" w:themeFillShade="BF"/>
      </w:tcPr>
    </w:tblStylePr>
    <w:tblStylePr w:type="lastCol">
      <w:tblPr/>
      <w:tcPr>
        <w:tcBorders>
          <w:top w:val="nil"/>
          <w:left w:val="single" w:color="CBE9C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CBE9CF" w:themeColor="background1" w:sz="4" w:space="0"/>
        <w:insideV w:val="single" w:color="CBE9C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000000" w:themeFill="tex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CBE9CF" w:themeColor="background1" w:sz="4" w:space="0"/>
        <w:insideV w:val="single" w:color="CBE9C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5D91" w:themeFill="accen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CBE9CF" w:themeColor="background1" w:sz="4" w:space="0"/>
        <w:insideV w:val="single" w:color="CBE9C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D480D" w:themeFill="accent2"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CBE9CF" w:themeColor="background1" w:sz="4" w:space="0"/>
        <w:insideV w:val="single" w:color="CBE9C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626262" w:themeFill="accent3"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CBE9CF" w:themeColor="background1" w:sz="4" w:space="0"/>
        <w:insideV w:val="single" w:color="CBE9C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97300" w:themeFill="accent4"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CBE9CF" w:themeColor="background1" w:sz="4" w:space="0"/>
        <w:insideV w:val="single" w:color="CBE9C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4378" w:themeFill="accent5"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CBE9CF" w:themeColor="background1" w:sz="4" w:space="0"/>
        <w:insideV w:val="single" w:color="CBE9C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43672A" w:themeFill="accent6"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BE9CF" w:themeColor="background1"/>
        <w14:textFill>
          <w14:solidFill>
            <w14:schemeClr w14:val="bg1"/>
          </w14:solidFill>
        </w14:textFill>
      </w:rPr>
      <w:tblPr/>
      <w:tcPr>
        <w:shd w:val="clear" w:color="auto" w:fill="000000" w:themeFill="text1" w:themeFillShade="BF"/>
      </w:tcPr>
    </w:tblStylePr>
    <w:tblStylePr w:type="lastCol">
      <w:rPr>
        <w:color w:val="CBE9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CBE9CF" w:themeColor="background1"/>
        <w14:textFill>
          <w14:solidFill>
            <w14:schemeClr w14:val="bg1"/>
          </w14:solidFill>
        </w14:textFill>
      </w:rPr>
      <w:tblPr/>
      <w:tcPr>
        <w:shd w:val="clear" w:color="auto" w:fill="2E75B5" w:themeFill="accent1" w:themeFillShade="BF"/>
      </w:tcPr>
    </w:tblStylePr>
    <w:tblStylePr w:type="lastCol">
      <w:rPr>
        <w:color w:val="CBE9C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CBE9CF" w:themeColor="background1"/>
        <w14:textFill>
          <w14:solidFill>
            <w14:schemeClr w14:val="bg1"/>
          </w14:solidFill>
        </w14:textFill>
      </w:rPr>
      <w:tblPr/>
      <w:tcPr>
        <w:shd w:val="clear" w:color="auto" w:fill="C55911" w:themeFill="accent2" w:themeFillShade="BF"/>
      </w:tcPr>
    </w:tblStylePr>
    <w:tblStylePr w:type="lastCol">
      <w:rPr>
        <w:color w:val="CBE9C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CBE9CF" w:themeColor="background1"/>
        <w14:textFill>
          <w14:solidFill>
            <w14:schemeClr w14:val="bg1"/>
          </w14:solidFill>
        </w14:textFill>
      </w:rPr>
      <w:tblPr/>
      <w:tcPr>
        <w:shd w:val="clear" w:color="auto" w:fill="7B7B7B" w:themeFill="accent3" w:themeFillShade="BF"/>
      </w:tcPr>
    </w:tblStylePr>
    <w:tblStylePr w:type="lastCol">
      <w:rPr>
        <w:color w:val="CBE9C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CBE9CF" w:themeColor="background1"/>
        <w14:textFill>
          <w14:solidFill>
            <w14:schemeClr w14:val="bg1"/>
          </w14:solidFill>
        </w14:textFill>
      </w:rPr>
      <w:tblPr/>
      <w:tcPr>
        <w:shd w:val="clear" w:color="auto" w:fill="BE8F00" w:themeFill="accent4" w:themeFillShade="BF"/>
      </w:tcPr>
    </w:tblStylePr>
    <w:tblStylePr w:type="lastCol">
      <w:rPr>
        <w:color w:val="CBE9C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CBE9CF" w:themeColor="background1"/>
        <w14:textFill>
          <w14:solidFill>
            <w14:schemeClr w14:val="bg1"/>
          </w14:solidFill>
        </w14:textFill>
      </w:rPr>
      <w:tblPr/>
      <w:tcPr>
        <w:shd w:val="clear" w:color="auto" w:fill="2F5496" w:themeFill="accent5" w:themeFillShade="BF"/>
      </w:tcPr>
    </w:tblStylePr>
    <w:tblStylePr w:type="lastCol">
      <w:rPr>
        <w:color w:val="CBE9C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CBE9CF" w:themeColor="background1"/>
        <w14:textFill>
          <w14:solidFill>
            <w14:schemeClr w14:val="bg1"/>
          </w14:solidFill>
        </w14:textFill>
      </w:rPr>
      <w:tblPr/>
      <w:tcPr>
        <w:shd w:val="clear" w:color="auto" w:fill="538135" w:themeFill="accent6" w:themeFillShade="BF"/>
      </w:tcPr>
    </w:tblStylePr>
    <w:tblStylePr w:type="lastCol">
      <w:rPr>
        <w:color w:val="CBE9C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rPr>
  </w:style>
  <w:style w:type="character" w:styleId="233">
    <w:name w:val="endnote reference"/>
    <w:basedOn w:val="231"/>
    <w:uiPriority w:val="0"/>
    <w:rPr>
      <w:vertAlign w:val="superscript"/>
    </w:rPr>
  </w:style>
  <w:style w:type="character" w:styleId="234">
    <w:name w:val="page number"/>
    <w:basedOn w:val="231"/>
    <w:uiPriority w:val="0"/>
  </w:style>
  <w:style w:type="character" w:styleId="235">
    <w:name w:val="FollowedHyperlink"/>
    <w:basedOn w:val="231"/>
    <w:uiPriority w:val="0"/>
    <w:rPr>
      <w:color w:val="000000"/>
      <w:u w:val="none"/>
    </w:rPr>
  </w:style>
  <w:style w:type="character" w:styleId="236">
    <w:name w:val="Emphasis"/>
    <w:basedOn w:val="231"/>
    <w:qFormat/>
    <w:uiPriority w:val="0"/>
    <w:rPr>
      <w:i/>
      <w:iCs/>
    </w:rPr>
  </w:style>
  <w:style w:type="character" w:styleId="237">
    <w:name w:val="line number"/>
    <w:basedOn w:val="231"/>
    <w:uiPriority w:val="0"/>
  </w:style>
  <w:style w:type="character" w:styleId="238">
    <w:name w:val="HTML Definition"/>
    <w:basedOn w:val="231"/>
    <w:uiPriority w:val="0"/>
    <w:rPr>
      <w:i/>
      <w:iCs/>
    </w:rPr>
  </w:style>
  <w:style w:type="character" w:styleId="239">
    <w:name w:val="HTML Typewriter"/>
    <w:basedOn w:val="231"/>
    <w:uiPriority w:val="0"/>
    <w:rPr>
      <w:rFonts w:ascii="Courier New" w:hAnsi="Courier New" w:cs="Courier New"/>
      <w:sz w:val="20"/>
      <w:szCs w:val="20"/>
    </w:rPr>
  </w:style>
  <w:style w:type="character" w:styleId="240">
    <w:name w:val="HTML Acronym"/>
    <w:basedOn w:val="231"/>
    <w:uiPriority w:val="0"/>
  </w:style>
  <w:style w:type="character" w:styleId="241">
    <w:name w:val="HTML Variable"/>
    <w:basedOn w:val="231"/>
    <w:uiPriority w:val="0"/>
    <w:rPr>
      <w:i/>
      <w:iCs/>
    </w:rPr>
  </w:style>
  <w:style w:type="character" w:styleId="242">
    <w:name w:val="Hyperlink"/>
    <w:basedOn w:val="231"/>
    <w:uiPriority w:val="99"/>
    <w:rPr>
      <w:color w:val="000000"/>
      <w:u w:val="none"/>
    </w:rPr>
  </w:style>
  <w:style w:type="character" w:styleId="243">
    <w:name w:val="HTML Code"/>
    <w:basedOn w:val="231"/>
    <w:uiPriority w:val="0"/>
    <w:rPr>
      <w:rFonts w:ascii="Courier New" w:hAnsi="Courier New" w:cs="Courier New"/>
      <w:sz w:val="20"/>
      <w:szCs w:val="20"/>
    </w:rPr>
  </w:style>
  <w:style w:type="character" w:styleId="244">
    <w:name w:val="annotation reference"/>
    <w:basedOn w:val="231"/>
    <w:uiPriority w:val="0"/>
    <w:rPr>
      <w:sz w:val="21"/>
      <w:szCs w:val="21"/>
    </w:rPr>
  </w:style>
  <w:style w:type="character" w:styleId="245">
    <w:name w:val="HTML Cite"/>
    <w:basedOn w:val="231"/>
    <w:uiPriority w:val="0"/>
    <w:rPr>
      <w:i/>
      <w:iCs/>
    </w:rPr>
  </w:style>
  <w:style w:type="character" w:styleId="246">
    <w:name w:val="footnote reference"/>
    <w:basedOn w:val="231"/>
    <w:uiPriority w:val="0"/>
    <w:rPr>
      <w:vertAlign w:val="superscript"/>
    </w:rPr>
  </w:style>
  <w:style w:type="character" w:styleId="247">
    <w:name w:val="HTML Keyboard"/>
    <w:basedOn w:val="231"/>
    <w:uiPriority w:val="0"/>
    <w:rPr>
      <w:rFonts w:ascii="Courier New" w:hAnsi="Courier New" w:cs="Courier New"/>
      <w:sz w:val="20"/>
      <w:szCs w:val="20"/>
    </w:rPr>
  </w:style>
  <w:style w:type="character" w:styleId="248">
    <w:name w:val="HTML Sample"/>
    <w:basedOn w:val="231"/>
    <w:uiPriority w:val="0"/>
    <w:rPr>
      <w:rFonts w:ascii="Courier New" w:hAnsi="Courier New" w:cs="Courier New"/>
    </w:rPr>
  </w:style>
  <w:style w:type="paragraph" w:customStyle="1" w:styleId="249">
    <w:name w:val="_Style 16"/>
    <w:basedOn w:val="1"/>
    <w:next w:val="1"/>
    <w:uiPriority w:val="0"/>
    <w:pPr>
      <w:pBdr>
        <w:bottom w:val="single" w:color="auto" w:sz="6" w:space="1"/>
      </w:pBdr>
      <w:jc w:val="center"/>
    </w:pPr>
    <w:rPr>
      <w:rFonts w:ascii="Arial" w:eastAsia="宋体"/>
      <w:vanish/>
      <w:sz w:val="16"/>
    </w:rPr>
  </w:style>
  <w:style w:type="paragraph" w:customStyle="1" w:styleId="250">
    <w:name w:val="_Style 17"/>
    <w:basedOn w:val="1"/>
    <w:next w:val="1"/>
    <w:uiPriority w:val="0"/>
    <w:pPr>
      <w:pBdr>
        <w:top w:val="single" w:color="auto" w:sz="6" w:space="1"/>
      </w:pBdr>
      <w:jc w:val="center"/>
    </w:pPr>
    <w:rPr>
      <w:rFonts w:ascii="Arial" w:eastAsia="宋体"/>
      <w:vanish/>
      <w:sz w:val="16"/>
    </w:rPr>
  </w:style>
  <w:style w:type="character" w:customStyle="1" w:styleId="251">
    <w:name w:val="页眉 字符"/>
    <w:basedOn w:val="231"/>
    <w:link w:val="57"/>
    <w:uiPriority w:val="0"/>
    <w:rPr>
      <w:rFonts w:asciiTheme="minorHAnsi" w:hAnsiTheme="minorHAnsi" w:eastAsiaTheme="minorEastAsia" w:cstheme="minorBidi"/>
      <w:kern w:val="2"/>
      <w:sz w:val="18"/>
      <w:szCs w:val="18"/>
      <w:lang w:bidi="ar-SA"/>
    </w:rPr>
  </w:style>
  <w:style w:type="character" w:customStyle="1" w:styleId="252">
    <w:name w:val="页脚 字符"/>
    <w:basedOn w:val="231"/>
    <w:link w:val="55"/>
    <w:uiPriority w:val="0"/>
    <w:rPr>
      <w:rFonts w:asciiTheme="minorHAnsi" w:hAnsiTheme="minorHAnsi" w:eastAsiaTheme="minorEastAsia" w:cstheme="minorBidi"/>
      <w:kern w:val="2"/>
      <w:sz w:val="18"/>
      <w:szCs w:val="18"/>
      <w:lang w:bidi="ar-SA"/>
    </w:rPr>
  </w:style>
  <w:style w:type="character" w:customStyle="1" w:styleId="253">
    <w:name w:val="Mention"/>
    <w:basedOn w:val="231"/>
    <w:semiHidden/>
    <w:unhideWhenUsed/>
    <w:uiPriority w:val="99"/>
    <w:rPr>
      <w:color w:val="2B579A"/>
      <w:shd w:val="clear" w:color="auto" w:fill="E1DFDD"/>
    </w:rPr>
  </w:style>
  <w:style w:type="character" w:customStyle="1" w:styleId="254">
    <w:name w:val="HTML 地址 字符"/>
    <w:basedOn w:val="231"/>
    <w:link w:val="41"/>
    <w:uiPriority w:val="0"/>
    <w:rPr>
      <w:rFonts w:asciiTheme="minorHAnsi" w:hAnsiTheme="minorHAnsi" w:eastAsiaTheme="minorEastAsia" w:cstheme="minorBidi"/>
      <w:i/>
      <w:iCs/>
      <w:kern w:val="2"/>
      <w:sz w:val="21"/>
      <w:szCs w:val="24"/>
      <w:lang w:bidi="ar-SA"/>
    </w:rPr>
  </w:style>
  <w:style w:type="character" w:customStyle="1" w:styleId="255">
    <w:name w:val="HTML 预设格式 字符"/>
    <w:basedOn w:val="231"/>
    <w:link w:val="80"/>
    <w:uiPriority w:val="0"/>
    <w:rPr>
      <w:rFonts w:ascii="Courier New" w:hAnsi="Courier New" w:cs="Courier New" w:eastAsiaTheme="minorEastAsia"/>
      <w:kern w:val="2"/>
      <w:lang w:bidi="ar-SA"/>
    </w:rPr>
  </w:style>
  <w:style w:type="paragraph" w:customStyle="1" w:styleId="256">
    <w:name w:val="TOC Heading"/>
    <w:basedOn w:val="3"/>
    <w:next w:val="1"/>
    <w:semiHidden/>
    <w:unhideWhenUsed/>
    <w:qFormat/>
    <w:uiPriority w:val="39"/>
    <w:pPr>
      <w:keepNext/>
      <w:keepLines/>
      <w:spacing w:before="340" w:beforeAutospacing="0" w:after="330" w:afterAutospacing="0" w:line="578" w:lineRule="auto"/>
      <w:jc w:val="both"/>
      <w:outlineLvl w:val="9"/>
    </w:pPr>
    <w:rPr>
      <w:rFonts w:hint="default" w:asciiTheme="minorHAnsi" w:hAnsiTheme="minorHAnsi" w:eastAsiaTheme="minorEastAsia" w:cstheme="minorBidi"/>
      <w:bCs/>
      <w:sz w:val="44"/>
      <w:szCs w:val="44"/>
      <w:lang w:bidi="ar-SA"/>
    </w:rPr>
  </w:style>
  <w:style w:type="character" w:customStyle="1" w:styleId="257">
    <w:name w:val="标题 字符"/>
    <w:basedOn w:val="231"/>
    <w:link w:val="84"/>
    <w:uiPriority w:val="0"/>
    <w:rPr>
      <w:rFonts w:asciiTheme="majorHAnsi" w:hAnsiTheme="majorHAnsi" w:eastAsiaTheme="majorEastAsia" w:cstheme="majorBidi"/>
      <w:b/>
      <w:bCs/>
      <w:kern w:val="2"/>
      <w:sz w:val="32"/>
      <w:szCs w:val="32"/>
      <w:lang w:bidi="ar-SA"/>
    </w:rPr>
  </w:style>
  <w:style w:type="character" w:customStyle="1" w:styleId="258">
    <w:name w:val="标题 3 字符"/>
    <w:basedOn w:val="231"/>
    <w:link w:val="5"/>
    <w:semiHidden/>
    <w:uiPriority w:val="0"/>
    <w:rPr>
      <w:rFonts w:asciiTheme="minorHAnsi" w:hAnsiTheme="minorHAnsi" w:eastAsiaTheme="minorEastAsia" w:cstheme="minorBidi"/>
      <w:b/>
      <w:bCs/>
      <w:kern w:val="2"/>
      <w:sz w:val="32"/>
      <w:szCs w:val="32"/>
      <w:lang w:bidi="ar-SA"/>
    </w:rPr>
  </w:style>
  <w:style w:type="character" w:customStyle="1" w:styleId="259">
    <w:name w:val="标题 4 字符"/>
    <w:basedOn w:val="231"/>
    <w:link w:val="6"/>
    <w:semiHidden/>
    <w:uiPriority w:val="0"/>
    <w:rPr>
      <w:rFonts w:asciiTheme="majorHAnsi" w:hAnsiTheme="majorHAnsi" w:eastAsiaTheme="majorEastAsia" w:cstheme="majorBidi"/>
      <w:b/>
      <w:bCs/>
      <w:kern w:val="2"/>
      <w:sz w:val="28"/>
      <w:szCs w:val="28"/>
      <w:lang w:bidi="ar-SA"/>
    </w:rPr>
  </w:style>
  <w:style w:type="character" w:customStyle="1" w:styleId="260">
    <w:name w:val="标题 5 字符"/>
    <w:basedOn w:val="231"/>
    <w:link w:val="7"/>
    <w:semiHidden/>
    <w:uiPriority w:val="0"/>
    <w:rPr>
      <w:rFonts w:asciiTheme="minorHAnsi" w:hAnsiTheme="minorHAnsi" w:eastAsiaTheme="minorEastAsia" w:cstheme="minorBidi"/>
      <w:b/>
      <w:bCs/>
      <w:kern w:val="2"/>
      <w:sz w:val="28"/>
      <w:szCs w:val="28"/>
      <w:lang w:bidi="ar-SA"/>
    </w:rPr>
  </w:style>
  <w:style w:type="character" w:customStyle="1" w:styleId="261">
    <w:name w:val="标题 6 字符"/>
    <w:basedOn w:val="231"/>
    <w:link w:val="8"/>
    <w:semiHidden/>
    <w:uiPriority w:val="0"/>
    <w:rPr>
      <w:rFonts w:asciiTheme="majorHAnsi" w:hAnsiTheme="majorHAnsi" w:eastAsiaTheme="majorEastAsia" w:cstheme="majorBidi"/>
      <w:b/>
      <w:bCs/>
      <w:kern w:val="2"/>
      <w:sz w:val="24"/>
      <w:szCs w:val="24"/>
      <w:lang w:bidi="ar-SA"/>
    </w:rPr>
  </w:style>
  <w:style w:type="character" w:customStyle="1" w:styleId="262">
    <w:name w:val="标题 7 字符"/>
    <w:basedOn w:val="231"/>
    <w:link w:val="9"/>
    <w:semiHidden/>
    <w:uiPriority w:val="0"/>
    <w:rPr>
      <w:rFonts w:asciiTheme="minorHAnsi" w:hAnsiTheme="minorHAnsi" w:eastAsiaTheme="minorEastAsia" w:cstheme="minorBidi"/>
      <w:b/>
      <w:bCs/>
      <w:kern w:val="2"/>
      <w:sz w:val="24"/>
      <w:szCs w:val="24"/>
      <w:lang w:bidi="ar-SA"/>
    </w:rPr>
  </w:style>
  <w:style w:type="character" w:customStyle="1" w:styleId="263">
    <w:name w:val="标题 8 字符"/>
    <w:basedOn w:val="231"/>
    <w:link w:val="10"/>
    <w:semiHidden/>
    <w:uiPriority w:val="0"/>
    <w:rPr>
      <w:rFonts w:asciiTheme="majorHAnsi" w:hAnsiTheme="majorHAnsi" w:eastAsiaTheme="majorEastAsia" w:cstheme="majorBidi"/>
      <w:kern w:val="2"/>
      <w:sz w:val="24"/>
      <w:szCs w:val="24"/>
      <w:lang w:bidi="ar-SA"/>
    </w:rPr>
  </w:style>
  <w:style w:type="character" w:customStyle="1" w:styleId="264">
    <w:name w:val="标题 9 字符"/>
    <w:basedOn w:val="231"/>
    <w:link w:val="11"/>
    <w:semiHidden/>
    <w:uiPriority w:val="0"/>
    <w:rPr>
      <w:rFonts w:asciiTheme="majorHAnsi" w:hAnsiTheme="majorHAnsi" w:eastAsiaTheme="majorEastAsia" w:cstheme="majorBidi"/>
      <w:kern w:val="2"/>
      <w:sz w:val="21"/>
      <w:szCs w:val="21"/>
      <w:lang w:bidi="ar-SA"/>
    </w:rPr>
  </w:style>
  <w:style w:type="character" w:customStyle="1" w:styleId="265">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66">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267">
    <w:name w:val="称呼 字符"/>
    <w:basedOn w:val="231"/>
    <w:link w:val="30"/>
    <w:uiPriority w:val="0"/>
    <w:rPr>
      <w:rFonts w:asciiTheme="minorHAnsi" w:hAnsiTheme="minorHAnsi" w:eastAsiaTheme="minorEastAsia" w:cstheme="minorBidi"/>
      <w:kern w:val="2"/>
      <w:sz w:val="21"/>
      <w:szCs w:val="24"/>
      <w:lang w:bidi="ar-SA"/>
    </w:rPr>
  </w:style>
  <w:style w:type="character" w:customStyle="1" w:styleId="268">
    <w:name w:val="纯文本 字符"/>
    <w:basedOn w:val="231"/>
    <w:link w:val="45"/>
    <w:uiPriority w:val="0"/>
    <w:rPr>
      <w:rFonts w:hAnsi="Courier New" w:cs="Courier New" w:asciiTheme="minorEastAsia" w:eastAsiaTheme="minorEastAsia"/>
      <w:kern w:val="2"/>
      <w:sz w:val="21"/>
      <w:szCs w:val="24"/>
      <w:lang w:bidi="ar-SA"/>
    </w:rPr>
  </w:style>
  <w:style w:type="character" w:customStyle="1" w:styleId="269">
    <w:name w:val="电子邮件签名 字符"/>
    <w:basedOn w:val="231"/>
    <w:link w:val="19"/>
    <w:uiPriority w:val="0"/>
    <w:rPr>
      <w:rFonts w:asciiTheme="minorHAnsi" w:hAnsiTheme="minorHAnsi" w:eastAsiaTheme="minorEastAsia" w:cstheme="minorBidi"/>
      <w:kern w:val="2"/>
      <w:sz w:val="21"/>
      <w:szCs w:val="24"/>
      <w:lang w:bidi="ar-SA"/>
    </w:rPr>
  </w:style>
  <w:style w:type="character" w:customStyle="1" w:styleId="270">
    <w:name w:val="副标题 字符"/>
    <w:basedOn w:val="231"/>
    <w:link w:val="64"/>
    <w:uiPriority w:val="0"/>
    <w:rPr>
      <w:rFonts w:asciiTheme="minorHAnsi" w:hAnsiTheme="minorHAnsi" w:eastAsiaTheme="minorEastAsia" w:cstheme="minorBidi"/>
      <w:b/>
      <w:bCs/>
      <w:kern w:val="28"/>
      <w:sz w:val="32"/>
      <w:szCs w:val="32"/>
      <w:lang w:bidi="ar-SA"/>
    </w:rPr>
  </w:style>
  <w:style w:type="character" w:customStyle="1" w:styleId="271">
    <w:name w:val="宏文本 字符"/>
    <w:basedOn w:val="231"/>
    <w:link w:val="2"/>
    <w:uiPriority w:val="0"/>
    <w:rPr>
      <w:rFonts w:ascii="Courier New" w:hAnsi="Courier New" w:cs="Courier New"/>
      <w:kern w:val="2"/>
      <w:sz w:val="24"/>
      <w:szCs w:val="24"/>
      <w:lang w:bidi="ar-SA"/>
    </w:rPr>
  </w:style>
  <w:style w:type="character" w:customStyle="1" w:styleId="272">
    <w:name w:val="脚注文本 字符"/>
    <w:basedOn w:val="231"/>
    <w:link w:val="67"/>
    <w:uiPriority w:val="0"/>
    <w:rPr>
      <w:rFonts w:asciiTheme="minorHAnsi" w:hAnsiTheme="minorHAnsi" w:eastAsiaTheme="minorEastAsia" w:cstheme="minorBidi"/>
      <w:kern w:val="2"/>
      <w:sz w:val="18"/>
      <w:szCs w:val="18"/>
      <w:lang w:bidi="ar-SA"/>
    </w:rPr>
  </w:style>
  <w:style w:type="character" w:customStyle="1" w:styleId="273">
    <w:name w:val="结束语 字符"/>
    <w:basedOn w:val="231"/>
    <w:link w:val="32"/>
    <w:uiPriority w:val="0"/>
    <w:rPr>
      <w:rFonts w:asciiTheme="minorHAnsi" w:hAnsiTheme="minorHAnsi" w:eastAsiaTheme="minorEastAsia" w:cstheme="minorBidi"/>
      <w:kern w:val="2"/>
      <w:sz w:val="21"/>
      <w:szCs w:val="24"/>
      <w:lang w:bidi="ar-SA"/>
    </w:rPr>
  </w:style>
  <w:style w:type="character" w:customStyle="1" w:styleId="274">
    <w:name w:val="Hashtag"/>
    <w:basedOn w:val="231"/>
    <w:semiHidden/>
    <w:unhideWhenUsed/>
    <w:uiPriority w:val="99"/>
    <w:rPr>
      <w:color w:val="2B579A"/>
      <w:shd w:val="clear" w:color="auto" w:fill="E1DFDD"/>
    </w:rPr>
  </w:style>
  <w:style w:type="paragraph" w:styleId="275">
    <w:name w:val="List Paragraph"/>
    <w:basedOn w:val="1"/>
    <w:semiHidden/>
    <w:unhideWhenUsed/>
    <w:uiPriority w:val="99"/>
    <w:pPr>
      <w:ind w:firstLine="420" w:firstLineChars="200"/>
    </w:pPr>
  </w:style>
  <w:style w:type="character" w:customStyle="1" w:styleId="276">
    <w:name w:val="Intense Reference"/>
    <w:basedOn w:val="231"/>
    <w:qFormat/>
    <w:uiPriority w:val="32"/>
    <w:rPr>
      <w:b/>
      <w:bCs/>
      <w:smallCaps/>
      <w:color w:val="5B9BD5" w:themeColor="accent1"/>
      <w:spacing w:val="5"/>
      <w14:textFill>
        <w14:solidFill>
          <w14:schemeClr w14:val="accent1"/>
        </w14:solidFill>
      </w14:textFill>
    </w:rPr>
  </w:style>
  <w:style w:type="character" w:customStyle="1" w:styleId="277">
    <w:name w:val="Intense Emphasis"/>
    <w:basedOn w:val="231"/>
    <w:qFormat/>
    <w:uiPriority w:val="21"/>
    <w:rPr>
      <w:i/>
      <w:iCs/>
      <w:color w:val="5B9BD5" w:themeColor="accent1"/>
      <w14:textFill>
        <w14:solidFill>
          <w14:schemeClr w14:val="accent1"/>
        </w14:solidFill>
      </w14:textFill>
    </w:rPr>
  </w:style>
  <w:style w:type="paragraph" w:styleId="278">
    <w:name w:val="Intense Quote"/>
    <w:basedOn w:val="1"/>
    <w:next w:val="1"/>
    <w:link w:val="279"/>
    <w:semiHidden/>
    <w:unhideWhenUsed/>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79">
    <w:name w:val="明显引用 字符"/>
    <w:basedOn w:val="231"/>
    <w:link w:val="278"/>
    <w:semiHidden/>
    <w:uiPriority w:val="99"/>
    <w:rPr>
      <w:rFonts w:asciiTheme="minorHAnsi" w:hAnsiTheme="minorHAnsi" w:eastAsiaTheme="minorEastAsia" w:cstheme="minorBidi"/>
      <w:i/>
      <w:iCs/>
      <w:color w:val="5B9BD5" w:themeColor="accent1"/>
      <w:kern w:val="2"/>
      <w:sz w:val="21"/>
      <w:szCs w:val="24"/>
      <w:lang w:bidi="ar-SA"/>
      <w14:textFill>
        <w14:solidFill>
          <w14:schemeClr w14:val="accent1"/>
        </w14:solidFill>
      </w14:textFill>
    </w:rPr>
  </w:style>
  <w:style w:type="character" w:customStyle="1" w:styleId="280">
    <w:name w:val="批注框文本 字符"/>
    <w:basedOn w:val="231"/>
    <w:link w:val="54"/>
    <w:uiPriority w:val="0"/>
    <w:rPr>
      <w:rFonts w:asciiTheme="minorHAnsi" w:hAnsiTheme="minorHAnsi" w:eastAsiaTheme="minorEastAsia" w:cstheme="minorBidi"/>
      <w:kern w:val="2"/>
      <w:sz w:val="18"/>
      <w:szCs w:val="18"/>
      <w:lang w:bidi="ar-SA"/>
    </w:rPr>
  </w:style>
  <w:style w:type="character" w:customStyle="1" w:styleId="281">
    <w:name w:val="批注文字 字符"/>
    <w:basedOn w:val="231"/>
    <w:link w:val="28"/>
    <w:uiPriority w:val="0"/>
    <w:rPr>
      <w:rFonts w:asciiTheme="minorHAnsi" w:hAnsiTheme="minorHAnsi" w:eastAsiaTheme="minorEastAsia" w:cstheme="minorBidi"/>
      <w:kern w:val="2"/>
      <w:sz w:val="21"/>
      <w:szCs w:val="24"/>
      <w:lang w:bidi="ar-SA"/>
    </w:rPr>
  </w:style>
  <w:style w:type="character" w:customStyle="1" w:styleId="282">
    <w:name w:val="批注主题 字符"/>
    <w:basedOn w:val="281"/>
    <w:link w:val="85"/>
    <w:uiPriority w:val="0"/>
    <w:rPr>
      <w:rFonts w:asciiTheme="minorHAnsi" w:hAnsiTheme="minorHAnsi" w:eastAsiaTheme="minorEastAsia" w:cstheme="minorBidi"/>
      <w:b/>
      <w:bCs/>
      <w:kern w:val="2"/>
      <w:sz w:val="21"/>
      <w:szCs w:val="24"/>
      <w:lang w:bidi="ar-SA"/>
    </w:rPr>
  </w:style>
  <w:style w:type="character" w:customStyle="1" w:styleId="283">
    <w:name w:val="签名 字符"/>
    <w:basedOn w:val="231"/>
    <w:link w:val="58"/>
    <w:uiPriority w:val="0"/>
    <w:rPr>
      <w:rFonts w:asciiTheme="minorHAnsi" w:hAnsiTheme="minorHAnsi" w:eastAsiaTheme="minorEastAsia" w:cstheme="minorBidi"/>
      <w:kern w:val="2"/>
      <w:sz w:val="21"/>
      <w:szCs w:val="24"/>
      <w:lang w:bidi="ar-SA"/>
    </w:rPr>
  </w:style>
  <w:style w:type="table" w:customStyle="1" w:styleId="284">
    <w:name w:val="List Table 1 Light"/>
    <w:basedOn w:val="88"/>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85">
    <w:name w:val="List Table 1 Light Accent 1"/>
    <w:basedOn w:val="88"/>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86">
    <w:name w:val="List Table 1 Light Accent 2"/>
    <w:basedOn w:val="88"/>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87">
    <w:name w:val="List Table 1 Light Accent 3"/>
    <w:basedOn w:val="88"/>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88">
    <w:name w:val="List Table 1 Light Accent 4"/>
    <w:basedOn w:val="88"/>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89">
    <w:name w:val="List Table 1 Light Accent 5"/>
    <w:basedOn w:val="88"/>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0">
    <w:name w:val="List Table 1 Light Accent 6"/>
    <w:basedOn w:val="88"/>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1">
    <w:name w:val="List Table 2"/>
    <w:basedOn w:val="88"/>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92">
    <w:name w:val="List Table 2 Accent 1"/>
    <w:basedOn w:val="88"/>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93">
    <w:name w:val="List Table 2 Accent 2"/>
    <w:basedOn w:val="88"/>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94">
    <w:name w:val="List Table 2 Accent 3"/>
    <w:basedOn w:val="88"/>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95">
    <w:name w:val="List Table 2 Accent 4"/>
    <w:basedOn w:val="88"/>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96">
    <w:name w:val="List Table 2 Accent 5"/>
    <w:basedOn w:val="88"/>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7">
    <w:name w:val="List Table 2 Accent 6"/>
    <w:basedOn w:val="88"/>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8">
    <w:name w:val="List Table 3"/>
    <w:basedOn w:val="88"/>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CBE9C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299">
    <w:name w:val="List Table 3 Accent 1"/>
    <w:basedOn w:val="88"/>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CBE9C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00">
    <w:name w:val="List Table 3 Accent 2"/>
    <w:basedOn w:val="88"/>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CBE9C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01">
    <w:name w:val="List Table 3 Accent 3"/>
    <w:basedOn w:val="88"/>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CBE9C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02">
    <w:name w:val="List Table 3 Accent 4"/>
    <w:basedOn w:val="88"/>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CBE9C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03">
    <w:name w:val="List Table 3 Accent 5"/>
    <w:basedOn w:val="88"/>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CBE9C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04">
    <w:name w:val="List Table 3 Accent 6"/>
    <w:basedOn w:val="88"/>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CBE9C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05">
    <w:name w:val="List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06">
    <w:name w:val="List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07">
    <w:name w:val="List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08">
    <w:name w:val="List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09">
    <w:name w:val="List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10">
    <w:name w:val="List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11">
    <w:name w:val="List Table 4 Accent 6"/>
    <w:basedOn w:val="88"/>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12">
    <w:name w:val="List Table 5 Dark"/>
    <w:basedOn w:val="88"/>
    <w:uiPriority w:val="50"/>
    <w:rPr>
      <w:color w:val="CBE9C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3">
    <w:name w:val="List Table 5 Dark Accent 1"/>
    <w:basedOn w:val="88"/>
    <w:uiPriority w:val="50"/>
    <w:rPr>
      <w:color w:val="CBE9C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4">
    <w:name w:val="List Table 5 Dark Accent 2"/>
    <w:basedOn w:val="88"/>
    <w:uiPriority w:val="50"/>
    <w:rPr>
      <w:color w:val="CBE9C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5">
    <w:name w:val="List Table 5 Dark Accent 3"/>
    <w:basedOn w:val="88"/>
    <w:uiPriority w:val="50"/>
    <w:rPr>
      <w:color w:val="CBE9C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6">
    <w:name w:val="List Table 5 Dark Accent 4"/>
    <w:basedOn w:val="88"/>
    <w:uiPriority w:val="50"/>
    <w:rPr>
      <w:color w:val="CBE9C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7">
    <w:name w:val="List Table 5 Dark Accent 5"/>
    <w:basedOn w:val="88"/>
    <w:uiPriority w:val="50"/>
    <w:rPr>
      <w:color w:val="CBE9C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8">
    <w:name w:val="List Table 5 Dark Accent 6"/>
    <w:basedOn w:val="88"/>
    <w:uiPriority w:val="50"/>
    <w:rPr>
      <w:color w:val="CBE9C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9">
    <w:name w:val="List Table 6 Colorful"/>
    <w:basedOn w:val="88"/>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20">
    <w:name w:val="List Table 6 Colorful Accent 1"/>
    <w:basedOn w:val="88"/>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21">
    <w:name w:val="List Table 6 Colorful Accent 2"/>
    <w:basedOn w:val="88"/>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22">
    <w:name w:val="List Table 6 Colorful Accent 3"/>
    <w:basedOn w:val="88"/>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23">
    <w:name w:val="List Table 6 Colorful Accent 4"/>
    <w:basedOn w:val="88"/>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24">
    <w:name w:val="List Table 6 Colorful Accent 5"/>
    <w:basedOn w:val="88"/>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25">
    <w:name w:val="List Table 6 Colorful Accent 6"/>
    <w:basedOn w:val="88"/>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26">
    <w:name w:val="List Table 7 Colorful"/>
    <w:basedOn w:val="88"/>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7">
    <w:name w:val="List Table 7 Colorful Accent 1"/>
    <w:basedOn w:val="88"/>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8">
    <w:name w:val="List Table 7 Colorful Accent 2"/>
    <w:basedOn w:val="88"/>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9">
    <w:name w:val="List Table 7 Colorful Accent 3"/>
    <w:basedOn w:val="88"/>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0">
    <w:name w:val="List Table 7 Colorful Accent 4"/>
    <w:basedOn w:val="88"/>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1">
    <w:name w:val="List Table 7 Colorful Accent 5"/>
    <w:basedOn w:val="88"/>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2">
    <w:name w:val="List Table 7 Colorful Accent 6"/>
    <w:basedOn w:val="88"/>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333">
    <w:name w:val="日期 字符"/>
    <w:basedOn w:val="231"/>
    <w:link w:val="50"/>
    <w:uiPriority w:val="0"/>
    <w:rPr>
      <w:rFonts w:asciiTheme="minorHAnsi" w:hAnsiTheme="minorHAnsi" w:eastAsiaTheme="minorEastAsia" w:cstheme="minorBidi"/>
      <w:kern w:val="2"/>
      <w:sz w:val="21"/>
      <w:szCs w:val="24"/>
      <w:lang w:bidi="ar-SA"/>
    </w:rPr>
  </w:style>
  <w:style w:type="character" w:customStyle="1" w:styleId="334">
    <w:name w:val="Book Title"/>
    <w:basedOn w:val="231"/>
    <w:qFormat/>
    <w:uiPriority w:val="33"/>
    <w:rPr>
      <w:b/>
      <w:bCs/>
      <w:i/>
      <w:iCs/>
      <w:spacing w:val="5"/>
    </w:rPr>
  </w:style>
  <w:style w:type="paragraph" w:customStyle="1" w:styleId="335">
    <w:name w:val="Bibliography"/>
    <w:basedOn w:val="1"/>
    <w:next w:val="1"/>
    <w:semiHidden/>
    <w:unhideWhenUsed/>
    <w:uiPriority w:val="37"/>
  </w:style>
  <w:style w:type="table" w:customStyle="1" w:styleId="336">
    <w:name w:val="Grid Table 1 Light"/>
    <w:basedOn w:val="88"/>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37">
    <w:name w:val="Grid Table 1 Light Accent 1"/>
    <w:basedOn w:val="88"/>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338">
    <w:name w:val="Grid Table 1 Light Accent 2"/>
    <w:basedOn w:val="88"/>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39">
    <w:name w:val="Grid Table 1 Light Accent 3"/>
    <w:basedOn w:val="88"/>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40">
    <w:name w:val="Grid Table 1 Light Accent 4"/>
    <w:basedOn w:val="88"/>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41">
    <w:name w:val="Grid Table 1 Light Accent 5"/>
    <w:basedOn w:val="88"/>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342">
    <w:name w:val="Grid Table 1 Light Accent 6"/>
    <w:basedOn w:val="88"/>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3">
    <w:name w:val="Grid Table 2"/>
    <w:basedOn w:val="88"/>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CBE9CF" w:themeFill="background1"/>
      </w:tcPr>
    </w:tblStylePr>
    <w:tblStylePr w:type="lastRow">
      <w:rPr>
        <w:b/>
        <w:bCs/>
      </w:rPr>
      <w:tcPr>
        <w:tcBorders>
          <w:top w:val="double" w:color="666666" w:themeColor="tex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4">
    <w:name w:val="Grid Table 2 Accent 1"/>
    <w:basedOn w:val="88"/>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CBE9CF" w:themeFill="background1"/>
      </w:tcPr>
    </w:tblStylePr>
    <w:tblStylePr w:type="lastRow">
      <w:rPr>
        <w:b/>
        <w:bCs/>
      </w:rPr>
      <w:tcPr>
        <w:tcBorders>
          <w:top w:val="double" w:color="9CC2E5" w:themeColor="accen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45">
    <w:name w:val="Grid Table 2 Accent 2"/>
    <w:basedOn w:val="88"/>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CBE9CF" w:themeFill="background1"/>
      </w:tcPr>
    </w:tblStylePr>
    <w:tblStylePr w:type="lastRow">
      <w:rPr>
        <w:b/>
        <w:bCs/>
      </w:rPr>
      <w:tcPr>
        <w:tcBorders>
          <w:top w:val="double" w:color="F4B083" w:themeColor="accent2"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6">
    <w:name w:val="Grid Table 2 Accent 3"/>
    <w:basedOn w:val="88"/>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CBE9CF" w:themeFill="background1"/>
      </w:tcPr>
    </w:tblStylePr>
    <w:tblStylePr w:type="lastRow">
      <w:rPr>
        <w:b/>
        <w:bCs/>
      </w:rPr>
      <w:tcPr>
        <w:tcBorders>
          <w:top w:val="double" w:color="C8C8C8" w:themeColor="accent3"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47">
    <w:name w:val="Grid Table 2 Accent 4"/>
    <w:basedOn w:val="88"/>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CBE9CF" w:themeFill="background1"/>
      </w:tcPr>
    </w:tblStylePr>
    <w:tblStylePr w:type="lastRow">
      <w:rPr>
        <w:b/>
        <w:bCs/>
      </w:rPr>
      <w:tcPr>
        <w:tcBorders>
          <w:top w:val="double" w:color="FFD965" w:themeColor="accent4"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48">
    <w:name w:val="Grid Table 2 Accent 5"/>
    <w:basedOn w:val="88"/>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CBE9CF" w:themeFill="background1"/>
      </w:tcPr>
    </w:tblStylePr>
    <w:tblStylePr w:type="lastRow">
      <w:rPr>
        <w:b/>
        <w:bCs/>
      </w:rPr>
      <w:tcPr>
        <w:tcBorders>
          <w:top w:val="double" w:color="8EAADB" w:themeColor="accent5"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49">
    <w:name w:val="Grid Table 2 Accent 6"/>
    <w:basedOn w:val="88"/>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CBE9CF" w:themeFill="background1"/>
      </w:tcPr>
    </w:tblStylePr>
    <w:tblStylePr w:type="lastRow">
      <w:rPr>
        <w:b/>
        <w:bCs/>
      </w:rPr>
      <w:tcPr>
        <w:tcBorders>
          <w:top w:val="double" w:color="A8D08D" w:themeColor="accent6"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50">
    <w:name w:val="Grid Table 3"/>
    <w:basedOn w:val="88"/>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51">
    <w:name w:val="Grid Table 3 Accent 1"/>
    <w:basedOn w:val="88"/>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52">
    <w:name w:val="Grid Table 3 Accent 2"/>
    <w:basedOn w:val="88"/>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3">
    <w:name w:val="Grid Table 3 Accent 3"/>
    <w:basedOn w:val="88"/>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4">
    <w:name w:val="Grid Table 3 Accent 4"/>
    <w:basedOn w:val="88"/>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5">
    <w:name w:val="Grid Table 3 Accent 5"/>
    <w:basedOn w:val="88"/>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56">
    <w:name w:val="Grid Table 3 Accent 6"/>
    <w:basedOn w:val="88"/>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57">
    <w:name w:val="Grid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58">
    <w:name w:val="Grid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59">
    <w:name w:val="Grid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60">
    <w:name w:val="Grid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61">
    <w:name w:val="Grid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2">
    <w:name w:val="Grid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63">
    <w:name w:val="Grid Table 4 Accent 6"/>
    <w:basedOn w:val="88"/>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4">
    <w:name w:val="Grid Table 5 Dark"/>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CCCCCC" w:themeFill="tex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000000" w:themeFill="tex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000000" w:themeFill="tex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000000" w:themeFill="tex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5">
    <w:name w:val="Grid Table 5 Dark Accent 1"/>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EEAF6" w:themeFill="accen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5B9BD5" w:themeFill="accen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5B9BD5" w:themeFill="accen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5B9BD5" w:themeFill="accen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366">
    <w:name w:val="Grid Table 5 Dark Accent 2"/>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BE4D5" w:themeFill="accent2"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ED7D31" w:themeFill="accent2"/>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ED7D31" w:themeFill="accent2"/>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ED7D31" w:themeFill="accent2"/>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67">
    <w:name w:val="Grid Table 5 Dark Accent 3"/>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CECEC" w:themeFill="accent3"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A5A5A5" w:themeFill="accent3"/>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A5A5A5" w:themeFill="accent3"/>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A5A5A5" w:themeFill="accent3"/>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68">
    <w:name w:val="Grid Table 5 Dark Accent 4"/>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EF2CC" w:themeFill="accent4"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FFC000" w:themeFill="accent4"/>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FFC000" w:themeFill="accent4"/>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FFC000" w:themeFill="accent4"/>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69">
    <w:name w:val="Grid Table 5 Dark Accent 5"/>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9E2F3" w:themeFill="accent5"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4472C4" w:themeFill="accent5"/>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4472C4" w:themeFill="accent5"/>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4472C4" w:themeFill="accent5"/>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370">
    <w:name w:val="Grid Table 5 Dark Accent 6"/>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2EFD9" w:themeFill="accent6"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70AD47" w:themeFill="accent6"/>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70AD47" w:themeFill="accent6"/>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70AD47" w:themeFill="accent6"/>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71">
    <w:name w:val="Grid Table 6 Colorful"/>
    <w:basedOn w:val="88"/>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Grid Table 6 Colorful Accent 1"/>
    <w:basedOn w:val="88"/>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Grid Table 6 Colorful Accent 2"/>
    <w:basedOn w:val="88"/>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Grid Table 6 Colorful Accent 3"/>
    <w:basedOn w:val="88"/>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Grid Table 6 Colorful Accent 4"/>
    <w:basedOn w:val="88"/>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Grid Table 6 Colorful Accent 5"/>
    <w:basedOn w:val="88"/>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Grid Table 6 Colorful Accent 6"/>
    <w:basedOn w:val="88"/>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Grid Table 7 Colorful"/>
    <w:basedOn w:val="88"/>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9">
    <w:name w:val="Grid Table 7 Colorful Accent 1"/>
    <w:basedOn w:val="88"/>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80">
    <w:name w:val="Grid Table 7 Colorful Accent 2"/>
    <w:basedOn w:val="88"/>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81">
    <w:name w:val="Grid Table 7 Colorful Accent 3"/>
    <w:basedOn w:val="88"/>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2">
    <w:name w:val="Grid Table 7 Colorful Accent 4"/>
    <w:basedOn w:val="88"/>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3">
    <w:name w:val="Grid Table 7 Colorful Accent 5"/>
    <w:basedOn w:val="88"/>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84">
    <w:name w:val="Grid Table 7 Colorful Accent 6"/>
    <w:basedOn w:val="88"/>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85">
    <w:name w:val="Grid Table Light"/>
    <w:basedOn w:val="88"/>
    <w:uiPriority w:val="40"/>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style>
  <w:style w:type="character" w:customStyle="1" w:styleId="386">
    <w:name w:val="尾注文本 字符"/>
    <w:basedOn w:val="231"/>
    <w:link w:val="52"/>
    <w:uiPriority w:val="0"/>
    <w:rPr>
      <w:rFonts w:asciiTheme="minorHAnsi" w:hAnsiTheme="minorHAnsi" w:eastAsiaTheme="minorEastAsia" w:cstheme="minorBidi"/>
      <w:kern w:val="2"/>
      <w:sz w:val="21"/>
      <w:szCs w:val="24"/>
      <w:lang w:bidi="ar-SA"/>
    </w:rPr>
  </w:style>
  <w:style w:type="character" w:customStyle="1" w:styleId="387">
    <w:name w:val="Unresolved Mention"/>
    <w:basedOn w:val="231"/>
    <w:semiHidden/>
    <w:unhideWhenUsed/>
    <w:uiPriority w:val="99"/>
    <w:rPr>
      <w:color w:val="605E5C"/>
      <w:shd w:val="clear" w:color="auto" w:fill="E1DFDD"/>
    </w:rPr>
  </w:style>
  <w:style w:type="character" w:customStyle="1" w:styleId="388">
    <w:name w:val="文档结构图 字符"/>
    <w:basedOn w:val="231"/>
    <w:link w:val="26"/>
    <w:uiPriority w:val="0"/>
    <w:rPr>
      <w:rFonts w:ascii="Microsoft YaHei UI" w:eastAsia="Microsoft YaHei UI" w:hAnsiTheme="minorHAnsi" w:cstheme="minorBidi"/>
      <w:kern w:val="2"/>
      <w:sz w:val="18"/>
      <w:szCs w:val="18"/>
      <w:lang w:bidi="ar-SA"/>
    </w:rPr>
  </w:style>
  <w:style w:type="table" w:customStyle="1" w:styleId="389">
    <w:name w:val="Plain Table 1"/>
    <w:basedOn w:val="88"/>
    <w:uiPriority w:val="41"/>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tblStylePr w:type="firstRow">
      <w:rPr>
        <w:b/>
        <w:bCs/>
      </w:rPr>
    </w:tblStylePr>
    <w:tblStylePr w:type="lastRow">
      <w:rPr>
        <w:b/>
        <w:bCs/>
      </w:rPr>
      <w:tcPr>
        <w:tcBorders>
          <w:top w:val="double" w:color="7EC888" w:themeColor="background1" w:themeShade="BF" w:sz="4" w:space="0"/>
        </w:tcBorders>
      </w:tc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0">
    <w:name w:val="Plain Table 2"/>
    <w:basedOn w:val="88"/>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91">
    <w:name w:val="Plain Table 3"/>
    <w:basedOn w:val="88"/>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style>
  <w:style w:type="table" w:customStyle="1" w:styleId="392">
    <w:name w:val="Plain Table 4"/>
    <w:basedOn w:val="88"/>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3">
    <w:name w:val="Plain Table 5"/>
    <w:basedOn w:val="88"/>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CBE9CF" w:themeFill="background1"/>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394">
    <w:name w:val="No Spacing"/>
    <w:semiHidden/>
    <w:unhideWhenUsed/>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395">
    <w:name w:val="信息标题 字符"/>
    <w:basedOn w:val="231"/>
    <w:link w:val="79"/>
    <w:uiPriority w:val="0"/>
    <w:rPr>
      <w:rFonts w:asciiTheme="majorHAnsi" w:hAnsiTheme="majorHAnsi" w:eastAsiaTheme="majorEastAsia" w:cstheme="majorBidi"/>
      <w:kern w:val="2"/>
      <w:sz w:val="24"/>
      <w:szCs w:val="24"/>
      <w:shd w:val="pct20" w:color="auto" w:fill="auto"/>
      <w:lang w:bidi="ar-SA"/>
    </w:rPr>
  </w:style>
  <w:style w:type="paragraph" w:styleId="396">
    <w:name w:val="Quote"/>
    <w:basedOn w:val="1"/>
    <w:next w:val="1"/>
    <w:link w:val="397"/>
    <w:semiHidden/>
    <w:unhideWhenUsed/>
    <w:uiPriority w:val="9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97">
    <w:name w:val="引用 字符"/>
    <w:basedOn w:val="231"/>
    <w:link w:val="396"/>
    <w:semiHidden/>
    <w:uiPriority w:val="99"/>
    <w:rPr>
      <w:rFonts w:asciiTheme="minorHAnsi" w:hAnsiTheme="minorHAnsi" w:eastAsiaTheme="minorEastAsia" w:cstheme="minorBidi"/>
      <w:i/>
      <w:iCs/>
      <w:color w:val="404040" w:themeColor="text1" w:themeTint="BF"/>
      <w:kern w:val="2"/>
      <w:sz w:val="21"/>
      <w:szCs w:val="24"/>
      <w:lang w:bidi="ar-SA"/>
      <w14:textFill>
        <w14:solidFill>
          <w14:schemeClr w14:val="tx1">
            <w14:lumMod w14:val="75000"/>
            <w14:lumOff w14:val="25000"/>
          </w14:schemeClr>
        </w14:solidFill>
      </w14:textFill>
    </w:rPr>
  </w:style>
  <w:style w:type="character" w:styleId="398">
    <w:name w:val="Placeholder Text"/>
    <w:basedOn w:val="231"/>
    <w:semiHidden/>
    <w:unhideWhenUsed/>
    <w:uiPriority w:val="99"/>
    <w:rPr>
      <w:color w:val="666666"/>
    </w:rPr>
  </w:style>
  <w:style w:type="character" w:customStyle="1" w:styleId="399">
    <w:name w:val="正文文本 字符"/>
    <w:basedOn w:val="231"/>
    <w:link w:val="34"/>
    <w:uiPriority w:val="0"/>
    <w:rPr>
      <w:rFonts w:asciiTheme="minorHAnsi" w:hAnsiTheme="minorHAnsi" w:eastAsiaTheme="minorEastAsia" w:cstheme="minorBidi"/>
      <w:kern w:val="2"/>
      <w:sz w:val="21"/>
      <w:szCs w:val="24"/>
      <w:lang w:bidi="ar-SA"/>
    </w:rPr>
  </w:style>
  <w:style w:type="character" w:customStyle="1" w:styleId="400">
    <w:name w:val="正文文本 2 字符"/>
    <w:basedOn w:val="231"/>
    <w:link w:val="76"/>
    <w:uiPriority w:val="0"/>
    <w:rPr>
      <w:rFonts w:asciiTheme="minorHAnsi" w:hAnsiTheme="minorHAnsi" w:eastAsiaTheme="minorEastAsia" w:cstheme="minorBidi"/>
      <w:kern w:val="2"/>
      <w:sz w:val="21"/>
      <w:szCs w:val="24"/>
      <w:lang w:bidi="ar-SA"/>
    </w:rPr>
  </w:style>
  <w:style w:type="character" w:customStyle="1" w:styleId="401">
    <w:name w:val="正文文本 3 字符"/>
    <w:basedOn w:val="231"/>
    <w:link w:val="31"/>
    <w:uiPriority w:val="0"/>
    <w:rPr>
      <w:rFonts w:asciiTheme="minorHAnsi" w:hAnsiTheme="minorHAnsi" w:eastAsiaTheme="minorEastAsia" w:cstheme="minorBidi"/>
      <w:kern w:val="2"/>
      <w:sz w:val="16"/>
      <w:szCs w:val="16"/>
      <w:lang w:bidi="ar-SA"/>
    </w:rPr>
  </w:style>
  <w:style w:type="character" w:customStyle="1" w:styleId="402">
    <w:name w:val="正文文本首行缩进 字符"/>
    <w:basedOn w:val="399"/>
    <w:link w:val="86"/>
    <w:uiPriority w:val="0"/>
    <w:rPr>
      <w:rFonts w:asciiTheme="minorHAnsi" w:hAnsiTheme="minorHAnsi" w:eastAsiaTheme="minorEastAsia" w:cstheme="minorBidi"/>
      <w:kern w:val="2"/>
      <w:sz w:val="21"/>
      <w:szCs w:val="24"/>
      <w:lang w:bidi="ar-SA"/>
    </w:rPr>
  </w:style>
  <w:style w:type="character" w:customStyle="1" w:styleId="403">
    <w:name w:val="正文文本缩进 字符"/>
    <w:basedOn w:val="231"/>
    <w:link w:val="35"/>
    <w:uiPriority w:val="0"/>
    <w:rPr>
      <w:rFonts w:asciiTheme="minorHAnsi" w:hAnsiTheme="minorHAnsi" w:eastAsiaTheme="minorEastAsia" w:cstheme="minorBidi"/>
      <w:kern w:val="2"/>
      <w:sz w:val="21"/>
      <w:szCs w:val="24"/>
      <w:lang w:bidi="ar-SA"/>
    </w:rPr>
  </w:style>
  <w:style w:type="character" w:customStyle="1" w:styleId="404">
    <w:name w:val="正文文本首行缩进 2 字符"/>
    <w:basedOn w:val="403"/>
    <w:link w:val="87"/>
    <w:uiPriority w:val="0"/>
    <w:rPr>
      <w:rFonts w:asciiTheme="minorHAnsi" w:hAnsiTheme="minorHAnsi" w:eastAsiaTheme="minorEastAsia" w:cstheme="minorBidi"/>
      <w:kern w:val="2"/>
      <w:sz w:val="21"/>
      <w:szCs w:val="24"/>
      <w:lang w:bidi="ar-SA"/>
    </w:rPr>
  </w:style>
  <w:style w:type="character" w:customStyle="1" w:styleId="405">
    <w:name w:val="正文文本缩进 2 字符"/>
    <w:basedOn w:val="231"/>
    <w:link w:val="51"/>
    <w:uiPriority w:val="0"/>
    <w:rPr>
      <w:rFonts w:asciiTheme="minorHAnsi" w:hAnsiTheme="minorHAnsi" w:eastAsiaTheme="minorEastAsia" w:cstheme="minorBidi"/>
      <w:kern w:val="2"/>
      <w:sz w:val="21"/>
      <w:szCs w:val="24"/>
      <w:lang w:bidi="ar-SA"/>
    </w:rPr>
  </w:style>
  <w:style w:type="character" w:customStyle="1" w:styleId="406">
    <w:name w:val="正文文本缩进 3 字符"/>
    <w:basedOn w:val="231"/>
    <w:link w:val="70"/>
    <w:uiPriority w:val="0"/>
    <w:rPr>
      <w:rFonts w:asciiTheme="minorHAnsi" w:hAnsiTheme="minorHAnsi" w:eastAsiaTheme="minorEastAsia" w:cstheme="minorBidi"/>
      <w:kern w:val="2"/>
      <w:sz w:val="16"/>
      <w:szCs w:val="16"/>
      <w:lang w:bidi="ar-SA"/>
    </w:rPr>
  </w:style>
  <w:style w:type="character" w:customStyle="1" w:styleId="407">
    <w:name w:val="Smart Hyperlink"/>
    <w:basedOn w:val="231"/>
    <w:semiHidden/>
    <w:unhideWhenUsed/>
    <w:uiPriority w:val="99"/>
    <w:rPr>
      <w:u w:val="dotted"/>
    </w:rPr>
  </w:style>
  <w:style w:type="character" w:customStyle="1" w:styleId="408">
    <w:name w:val="Smart Link"/>
    <w:basedOn w:val="231"/>
    <w:semiHidden/>
    <w:unhideWhenUsed/>
    <w:uiPriority w:val="99"/>
    <w:rPr>
      <w:color w:val="0000FF"/>
      <w:u w:val="single"/>
      <w:shd w:val="clear" w:color="auto" w:fill="F3F2F1"/>
    </w:rPr>
  </w:style>
  <w:style w:type="character" w:customStyle="1" w:styleId="409">
    <w:name w:val="注释标题 字符"/>
    <w:basedOn w:val="231"/>
    <w:link w:val="16"/>
    <w:uiPriority w:val="0"/>
    <w:rPr>
      <w:rFonts w:asciiTheme="minorHAnsi" w:hAnsiTheme="minorHAnsi" w:eastAsiaTheme="minorEastAsia" w:cstheme="minorBidi"/>
      <w:kern w:val="2"/>
      <w:sz w:val="21"/>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4695</Words>
  <Characters>5092</Characters>
  <Lines>47</Lines>
  <Paragraphs>13</Paragraphs>
  <TotalTime>106</TotalTime>
  <ScaleCrop>false</ScaleCrop>
  <LinksUpToDate>false</LinksUpToDate>
  <CharactersWithSpaces>5117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地球上最后一个EMO男孩</cp:lastModifiedBy>
  <dcterms:modified xsi:type="dcterms:W3CDTF">2026-07-29T08:01:02Z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eyJoZGlkIjoiZDg0NzI2OTI3NDllNDYwMTM2ZDQzYzI1OTY5ZjBiMGYiLCJ1c2VySWQiOiI4NjA2OTc4MzUifQ==</vt:lpwstr>
  </property>
  <property fmtid="{D5CDD505-2E9C-101B-9397-08002B2CF9AE}" pid="4" name="ICV">
    <vt:lpwstr>5A698D587B324E0CB5EC32ECB747F294_12</vt:lpwstr>
  </property>
</Properties>
</file>