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89645">
      <w:pPr>
        <w:pStyle w:val="34"/>
        <w:widowControl w:val="0"/>
        <w:suppressAutoHyphens/>
        <w:spacing w:after="140" w:line="276" w:lineRule="auto"/>
        <w:jc w:val="center"/>
        <w:rPr>
          <w:rFonts w:hint="eastAsia" w:ascii="方正小标宋简体" w:hAnsi="宋体" w:eastAsia="方正小标宋简体" w:cs="Times New Roman"/>
          <w:sz w:val="44"/>
          <w:szCs w:val="44"/>
        </w:rPr>
      </w:pPr>
    </w:p>
    <w:p w14:paraId="07705499">
      <w:pPr>
        <w:pStyle w:val="34"/>
        <w:widowControl w:val="0"/>
        <w:suppressAutoHyphens/>
        <w:spacing w:after="140" w:line="276" w:lineRule="auto"/>
        <w:jc w:val="center"/>
        <w:rPr>
          <w:rFonts w:hint="eastAsia" w:ascii="方正小标宋简体" w:hAnsi="宋体" w:eastAsia="方正小标宋简体" w:cs="Times New Roman"/>
          <w:sz w:val="44"/>
          <w:szCs w:val="44"/>
        </w:rPr>
      </w:pPr>
    </w:p>
    <w:p w14:paraId="4C6A94B0">
      <w:pPr>
        <w:pStyle w:val="34"/>
        <w:widowControl w:val="0"/>
        <w:suppressAutoHyphens/>
        <w:spacing w:after="140" w:line="276" w:lineRule="auto"/>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阿坝州壤塘县2024年度卫生健康局单位部门决算公开</w:t>
      </w:r>
    </w:p>
    <w:p w14:paraId="11B9297B">
      <w:pPr>
        <w:widowControl w:val="0"/>
        <w:tabs>
          <w:tab w:val="left" w:pos="720"/>
        </w:tabs>
        <w:spacing w:line="600" w:lineRule="exact"/>
        <w:ind w:firstLine="640" w:firstLineChars="200"/>
        <w:jc w:val="both"/>
        <w:rPr>
          <w:rFonts w:hint="eastAsia" w:ascii="仿宋" w:hAnsi="仿宋" w:eastAsia="仿宋"/>
          <w:sz w:val="32"/>
        </w:rPr>
      </w:pPr>
    </w:p>
    <w:p w14:paraId="4825EC4D">
      <w:pPr>
        <w:widowControl w:val="0"/>
        <w:tabs>
          <w:tab w:val="left" w:pos="720"/>
        </w:tabs>
        <w:spacing w:line="600" w:lineRule="exact"/>
        <w:ind w:firstLine="640" w:firstLineChars="200"/>
        <w:jc w:val="both"/>
        <w:rPr>
          <w:rFonts w:hint="eastAsia" w:ascii="仿宋" w:hAnsi="仿宋" w:eastAsia="仿宋"/>
          <w:sz w:val="32"/>
        </w:rPr>
      </w:pPr>
    </w:p>
    <w:p w14:paraId="4A2F6692">
      <w:pPr>
        <w:widowControl w:val="0"/>
        <w:tabs>
          <w:tab w:val="left" w:pos="720"/>
        </w:tabs>
        <w:spacing w:line="600" w:lineRule="exact"/>
        <w:ind w:firstLine="640" w:firstLineChars="200"/>
        <w:jc w:val="both"/>
        <w:rPr>
          <w:rFonts w:hint="eastAsia" w:ascii="仿宋" w:hAnsi="仿宋" w:eastAsia="仿宋"/>
          <w:sz w:val="32"/>
        </w:rPr>
      </w:pPr>
    </w:p>
    <w:p w14:paraId="2B9B5CA0">
      <w:pPr>
        <w:widowControl w:val="0"/>
        <w:tabs>
          <w:tab w:val="left" w:pos="720"/>
        </w:tabs>
        <w:spacing w:line="600" w:lineRule="exact"/>
        <w:ind w:firstLine="640" w:firstLineChars="200"/>
        <w:jc w:val="both"/>
        <w:rPr>
          <w:rFonts w:hint="eastAsia" w:ascii="仿宋" w:hAnsi="仿宋" w:eastAsia="仿宋"/>
          <w:sz w:val="32"/>
        </w:rPr>
      </w:pPr>
    </w:p>
    <w:p w14:paraId="0210E0D0">
      <w:pPr>
        <w:widowControl w:val="0"/>
        <w:tabs>
          <w:tab w:val="left" w:pos="720"/>
        </w:tabs>
        <w:spacing w:line="600" w:lineRule="exact"/>
        <w:ind w:firstLine="640" w:firstLineChars="200"/>
        <w:jc w:val="both"/>
        <w:rPr>
          <w:rFonts w:hint="eastAsia" w:ascii="仿宋" w:hAnsi="仿宋" w:eastAsia="仿宋"/>
          <w:sz w:val="32"/>
        </w:rPr>
      </w:pPr>
    </w:p>
    <w:p w14:paraId="318D2D3E">
      <w:pPr>
        <w:widowControl w:val="0"/>
        <w:tabs>
          <w:tab w:val="left" w:pos="720"/>
        </w:tabs>
        <w:spacing w:line="600" w:lineRule="exact"/>
        <w:ind w:firstLine="640" w:firstLineChars="200"/>
        <w:jc w:val="both"/>
        <w:rPr>
          <w:rFonts w:hint="eastAsia" w:ascii="仿宋" w:hAnsi="仿宋" w:eastAsia="仿宋"/>
          <w:sz w:val="32"/>
        </w:rPr>
      </w:pPr>
    </w:p>
    <w:p w14:paraId="71809F97">
      <w:pPr>
        <w:widowControl w:val="0"/>
        <w:tabs>
          <w:tab w:val="left" w:pos="720"/>
        </w:tabs>
        <w:spacing w:line="600" w:lineRule="exact"/>
        <w:ind w:firstLine="640" w:firstLineChars="200"/>
        <w:jc w:val="both"/>
        <w:rPr>
          <w:rFonts w:hint="eastAsia" w:ascii="仿宋" w:hAnsi="仿宋" w:eastAsia="仿宋"/>
          <w:sz w:val="32"/>
        </w:rPr>
      </w:pPr>
    </w:p>
    <w:p w14:paraId="2FD70113">
      <w:pPr>
        <w:pStyle w:val="34"/>
        <w:widowControl w:val="0"/>
        <w:suppressAutoHyphens/>
        <w:spacing w:after="0" w:line="600" w:lineRule="exact"/>
        <w:jc w:val="center"/>
        <w:rPr>
          <w:rFonts w:hint="eastAsia" w:ascii="仿宋" w:hAnsi="仿宋" w:eastAsia="仿宋" w:cs="Times New Roman"/>
          <w:sz w:val="32"/>
          <w:szCs w:val="44"/>
        </w:rPr>
      </w:pPr>
      <w:r>
        <w:rPr>
          <w:rFonts w:hint="eastAsia" w:ascii="仿宋" w:hAnsi="仿宋" w:eastAsia="仿宋" w:cs="Times New Roman"/>
          <w:sz w:val="32"/>
          <w:szCs w:val="44"/>
        </w:rPr>
        <w:t>阿坝藏族羌族自治州人民政府</w:t>
      </w:r>
    </w:p>
    <w:p w14:paraId="66510746">
      <w:pPr>
        <w:pStyle w:val="34"/>
        <w:widowControl w:val="0"/>
        <w:suppressAutoHyphens/>
        <w:spacing w:after="0" w:line="600" w:lineRule="exact"/>
        <w:jc w:val="center"/>
        <w:rPr>
          <w:rFonts w:hint="eastAsia" w:ascii="仿宋" w:hAnsi="仿宋" w:eastAsia="仿宋" w:cs="Times New Roman"/>
          <w:sz w:val="32"/>
          <w:szCs w:val="44"/>
        </w:rPr>
      </w:pPr>
      <w:r>
        <w:rPr>
          <w:rFonts w:hint="eastAsia" w:ascii="仿宋" w:hAnsi="仿宋" w:eastAsia="仿宋" w:cs="Times New Roman"/>
          <w:sz w:val="32"/>
          <w:szCs w:val="44"/>
        </w:rPr>
        <w:t>发布时间：2025年10月27日</w:t>
      </w:r>
    </w:p>
    <w:p w14:paraId="4D90EC4F">
      <w:pPr>
        <w:pStyle w:val="34"/>
        <w:widowControl w:val="0"/>
        <w:suppressAutoHyphens/>
        <w:spacing w:after="0" w:line="600" w:lineRule="exact"/>
        <w:jc w:val="center"/>
        <w:rPr>
          <w:rFonts w:hint="eastAsia" w:ascii="仿宋" w:hAnsi="仿宋" w:eastAsia="仿宋" w:cs="Times New Roman"/>
          <w:sz w:val="32"/>
          <w:szCs w:val="44"/>
        </w:rPr>
      </w:pPr>
      <w:r>
        <w:rPr>
          <w:rFonts w:hint="eastAsia" w:ascii="仿宋" w:hAnsi="仿宋" w:eastAsia="仿宋" w:cs="Times New Roman"/>
          <w:sz w:val="32"/>
          <w:szCs w:val="44"/>
        </w:rPr>
        <w:t>来源： 壤塘县卫生健康局</w:t>
      </w:r>
    </w:p>
    <w:p w14:paraId="153B6931">
      <w:pPr>
        <w:widowControl w:val="0"/>
        <w:tabs>
          <w:tab w:val="left" w:pos="720"/>
        </w:tabs>
        <w:spacing w:line="600" w:lineRule="exact"/>
        <w:ind w:firstLine="640" w:firstLineChars="200"/>
        <w:jc w:val="both"/>
        <w:rPr>
          <w:rFonts w:hint="eastAsia" w:ascii="仿宋" w:hAnsi="仿宋" w:eastAsia="仿宋"/>
          <w:sz w:val="32"/>
        </w:rPr>
      </w:pPr>
    </w:p>
    <w:p w14:paraId="4B9EB4C8">
      <w:pPr>
        <w:widowControl w:val="0"/>
        <w:tabs>
          <w:tab w:val="left" w:pos="720"/>
        </w:tabs>
        <w:spacing w:line="600" w:lineRule="exact"/>
        <w:ind w:firstLine="640" w:firstLineChars="200"/>
        <w:jc w:val="both"/>
        <w:rPr>
          <w:rFonts w:hint="eastAsia" w:ascii="仿宋" w:hAnsi="仿宋" w:eastAsia="仿宋"/>
          <w:sz w:val="32"/>
        </w:rPr>
      </w:pPr>
    </w:p>
    <w:p w14:paraId="57256617">
      <w:pPr>
        <w:widowControl w:val="0"/>
        <w:tabs>
          <w:tab w:val="left" w:pos="720"/>
        </w:tabs>
        <w:spacing w:line="600" w:lineRule="exact"/>
        <w:ind w:firstLine="640" w:firstLineChars="200"/>
        <w:jc w:val="both"/>
        <w:rPr>
          <w:rFonts w:hint="eastAsia" w:ascii="仿宋" w:hAnsi="仿宋" w:eastAsia="仿宋"/>
          <w:sz w:val="32"/>
        </w:rPr>
        <w:sectPr>
          <w:footerReference r:id="rId5" w:type="first"/>
          <w:footerReference r:id="rId3" w:type="default"/>
          <w:footerReference r:id="rId4" w:type="even"/>
          <w:pgSz w:w="11907" w:h="16840"/>
          <w:pgMar w:top="1440" w:right="1797" w:bottom="1440" w:left="1797" w:header="720" w:footer="720" w:gutter="0"/>
          <w:cols w:space="425" w:num="1"/>
          <w:docGrid w:type="lines" w:linePitch="312" w:charSpace="0"/>
        </w:sectPr>
      </w:pPr>
    </w:p>
    <w:p w14:paraId="19F7877A">
      <w:pPr>
        <w:pStyle w:val="3"/>
        <w:widowControl w:val="0"/>
        <w:spacing w:before="340" w:beforeAutospacing="0" w:after="330" w:afterAutospacing="0" w:line="578" w:lineRule="auto"/>
        <w:jc w:val="center"/>
        <w:rPr>
          <w:rFonts w:ascii="黑体" w:hAnsi="黑体" w:eastAsia="黑体"/>
          <w:b w:val="0"/>
          <w:bCs/>
          <w:sz w:val="44"/>
          <w:szCs w:val="32"/>
        </w:rPr>
      </w:pPr>
      <w:bookmarkStart w:id="0" w:name="_Toc236171792"/>
      <w:r>
        <w:rPr>
          <w:rFonts w:ascii="黑体" w:hAnsi="黑体" w:eastAsia="黑体"/>
          <w:b w:val="0"/>
          <w:bCs/>
          <w:sz w:val="44"/>
          <w:szCs w:val="32"/>
        </w:rPr>
        <w:t>目录</w:t>
      </w:r>
      <w:bookmarkEnd w:id="0"/>
    </w:p>
    <w:p w14:paraId="6A6360FC">
      <w:pPr>
        <w:pStyle w:val="81"/>
        <w:widowControl w:val="0"/>
        <w:spacing w:beforeAutospacing="0" w:afterAutospacing="0" w:line="600" w:lineRule="exact"/>
        <w:ind w:firstLine="640" w:firstLineChars="200"/>
        <w:jc w:val="both"/>
        <w:rPr>
          <w:rFonts w:hint="eastAsia" w:ascii="仿宋" w:hAnsi="仿宋" w:eastAsia="仿宋" w:cs="宋体"/>
          <w:kern w:val="2"/>
          <w:sz w:val="32"/>
          <w:szCs w:val="28"/>
        </w:rPr>
      </w:pPr>
    </w:p>
    <w:p w14:paraId="4815206C">
      <w:pPr>
        <w:pStyle w:val="81"/>
        <w:widowControl w:val="0"/>
        <w:spacing w:beforeAutospacing="0" w:afterAutospacing="0" w:line="600" w:lineRule="exact"/>
        <w:jc w:val="center"/>
        <w:rPr>
          <w:rFonts w:hint="eastAsia" w:ascii="仿宋" w:hAnsi="仿宋" w:eastAsia="仿宋"/>
          <w:sz w:val="28"/>
        </w:rPr>
      </w:pPr>
      <w:r>
        <w:rPr>
          <w:rFonts w:hint="eastAsia" w:ascii="仿宋" w:hAnsi="仿宋" w:eastAsia="仿宋" w:cs="宋体"/>
          <w:kern w:val="2"/>
          <w:sz w:val="28"/>
          <w:szCs w:val="28"/>
        </w:rPr>
        <w:t>公开时间</w:t>
      </w:r>
      <w:r>
        <w:rPr>
          <w:rFonts w:hint="eastAsia" w:ascii="仿宋" w:hAnsi="仿宋" w:eastAsia="仿宋" w:cs="宋体"/>
          <w:kern w:val="2"/>
          <w:sz w:val="28"/>
          <w:szCs w:val="18"/>
        </w:rPr>
        <w:t>：</w:t>
      </w:r>
      <w:r>
        <w:rPr>
          <w:rFonts w:hint="eastAsia" w:ascii="仿宋" w:hAnsi="仿宋" w:eastAsia="仿宋" w:cs="仿宋"/>
          <w:kern w:val="2"/>
          <w:sz w:val="28"/>
          <w:szCs w:val="28"/>
        </w:rPr>
        <w:t>2025年10月26日</w:t>
      </w:r>
    </w:p>
    <w:p w14:paraId="7F79F03E">
      <w:pPr>
        <w:pStyle w:val="81"/>
        <w:widowControl w:val="0"/>
        <w:spacing w:beforeAutospacing="0" w:afterAutospacing="0" w:line="440" w:lineRule="exact"/>
        <w:ind w:firstLine="480" w:firstLineChars="200"/>
        <w:jc w:val="both"/>
        <w:rPr>
          <w:rFonts w:ascii="Times New Roman" w:hAnsi="Times New Roman" w:eastAsia="黑体"/>
        </w:rPr>
      </w:pPr>
    </w:p>
    <w:p w14:paraId="05C33400">
      <w:pPr>
        <w:pStyle w:val="59"/>
        <w:tabs>
          <w:tab w:val="right" w:leader="dot" w:pos="8303"/>
        </w:tabs>
        <w:spacing w:line="440" w:lineRule="exact"/>
        <w:rPr>
          <w:rFonts w:ascii="Times New Roman" w:hAnsi="Times New Roman" w:eastAsia="黑体"/>
          <w:sz w:val="24"/>
          <w:szCs w:val="30"/>
          <w:lang w:bidi="th-TH"/>
          <w14:ligatures w14:val="standardContextual"/>
        </w:rPr>
      </w:pPr>
      <w:r>
        <w:rPr>
          <w:rFonts w:hint="eastAsia" w:ascii="Times New Roman" w:hAnsi="Times New Roman" w:eastAsia="黑体"/>
          <w:sz w:val="24"/>
        </w:rPr>
        <w:fldChar w:fldCharType="begin"/>
      </w:r>
      <w:r>
        <w:rPr>
          <w:rFonts w:hint="eastAsia" w:ascii="Times New Roman" w:hAnsi="Times New Roman" w:eastAsia="黑体"/>
          <w:sz w:val="24"/>
        </w:rPr>
        <w:instrText xml:space="preserve"> TOC \o "1-2" \h \z \u </w:instrText>
      </w:r>
      <w:r>
        <w:rPr>
          <w:rFonts w:hint="eastAsia" w:ascii="Times New Roman" w:hAnsi="Times New Roman" w:eastAsia="黑体"/>
          <w:sz w:val="24"/>
        </w:rPr>
        <w:fldChar w:fldCharType="separate"/>
      </w:r>
      <w:r>
        <w:fldChar w:fldCharType="begin"/>
      </w:r>
      <w:r>
        <w:instrText xml:space="preserve"> HYPERLINK \l "_Toc236171793" </w:instrText>
      </w:r>
      <w:r>
        <w:fldChar w:fldCharType="separate"/>
      </w:r>
      <w:r>
        <w:rPr>
          <w:rStyle w:val="242"/>
          <w:rFonts w:hint="eastAsia" w:ascii="Times New Roman" w:hAnsi="Times New Roman" w:eastAsia="黑体"/>
          <w:bCs/>
          <w:color w:val="auto"/>
          <w:sz w:val="24"/>
        </w:rPr>
        <w:t>第一部分 部门概况</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_Toc236171793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4</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2CAE9947">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"_Toc236171794" </w:instrText>
      </w:r>
      <w:r>
        <w:fldChar w:fldCharType="separate"/>
      </w:r>
      <w:r>
        <w:rPr>
          <w:rStyle w:val="242"/>
          <w:rFonts w:hint="eastAsia" w:ascii="Times New Roman" w:hAnsi="Times New Roman" w:eastAsia="宋体"/>
          <w:bCs/>
          <w:color w:val="auto"/>
          <w:sz w:val="24"/>
        </w:rPr>
        <w:t>一、部门职责</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_Toc236171794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4</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13AF1E3">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"_Toc236171795" </w:instrText>
      </w:r>
      <w:r>
        <w:fldChar w:fldCharType="separate"/>
      </w:r>
      <w:r>
        <w:rPr>
          <w:rStyle w:val="242"/>
          <w:rFonts w:hint="eastAsia" w:ascii="Times New Roman" w:hAnsi="Times New Roman" w:eastAsia="宋体"/>
          <w:bCs/>
          <w:color w:val="auto"/>
          <w:sz w:val="24"/>
        </w:rPr>
        <w:t>二、机构设置</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_Toc236171795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0D5E7B0B">
      <w:pPr>
        <w:pStyle w:val="59"/>
        <w:tabs>
          <w:tab w:val="right" w:leader="dot" w:pos="8303"/>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"_Toc236171796" </w:instrText>
      </w:r>
      <w:r>
        <w:fldChar w:fldCharType="separate"/>
      </w:r>
      <w:r>
        <w:rPr>
          <w:rStyle w:val="242"/>
          <w:rFonts w:hint="eastAsia" w:ascii="Times New Roman" w:hAnsi="Times New Roman" w:eastAsia="黑体"/>
          <w:bCs/>
          <w:color w:val="auto"/>
          <w:sz w:val="24"/>
        </w:rPr>
        <w:t>第二部分 2024年度部门决算情况说明</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_Toc236171796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8</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7CA305D9">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"_Toc236171797" </w:instrText>
      </w:r>
      <w:r>
        <w:fldChar w:fldCharType="separate"/>
      </w:r>
      <w:r>
        <w:rPr>
          <w:rStyle w:val="242"/>
          <w:rFonts w:hint="eastAsia" w:ascii="Times New Roman" w:hAnsi="Times New Roman" w:eastAsia="宋体"/>
          <w:bCs/>
          <w:color w:val="auto"/>
          <w:sz w:val="24"/>
        </w:rPr>
        <w:t>一、收入支出决算总体情况说明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_Toc236171797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8</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5244029">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"_Toc236171798" </w:instrText>
      </w:r>
      <w:r>
        <w:fldChar w:fldCharType="separate"/>
      </w:r>
      <w:r>
        <w:rPr>
          <w:rStyle w:val="242"/>
          <w:rFonts w:hint="eastAsia" w:ascii="Times New Roman" w:hAnsi="Times New Roman" w:eastAsia="宋体"/>
          <w:bCs/>
          <w:color w:val="auto"/>
          <w:sz w:val="24"/>
        </w:rPr>
        <w:t>二、收入决算情况说明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_Toc236171798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8</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ABE0EC8">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"_Toc236171799" </w:instrText>
      </w:r>
      <w:r>
        <w:fldChar w:fldCharType="separate"/>
      </w:r>
      <w:r>
        <w:rPr>
          <w:rStyle w:val="242"/>
          <w:rFonts w:hint="eastAsia" w:ascii="Times New Roman" w:hAnsi="Times New Roman" w:eastAsia="宋体"/>
          <w:bCs/>
          <w:color w:val="auto"/>
          <w:sz w:val="24"/>
        </w:rPr>
        <w:t>三、支出决算情况说明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_Toc236171799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9</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849D6BC">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"_Toc236171800" </w:instrText>
      </w:r>
      <w:r>
        <w:fldChar w:fldCharType="separate"/>
      </w:r>
      <w:r>
        <w:rPr>
          <w:rStyle w:val="242"/>
          <w:rFonts w:hint="eastAsia" w:ascii="Times New Roman" w:hAnsi="Times New Roman" w:eastAsia="宋体"/>
          <w:bCs/>
          <w:color w:val="auto"/>
          <w:sz w:val="24"/>
        </w:rPr>
        <w:t>四、财政拨款收入支出决算总体情况说明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_Toc236171800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10</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3BFE076">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"_Toc236171801" </w:instrText>
      </w:r>
      <w:r>
        <w:fldChar w:fldCharType="separate"/>
      </w:r>
      <w:r>
        <w:rPr>
          <w:rStyle w:val="242"/>
          <w:rFonts w:hint="eastAsia" w:ascii="Times New Roman" w:hAnsi="Times New Roman" w:eastAsia="宋体"/>
          <w:bCs/>
          <w:color w:val="auto"/>
          <w:sz w:val="24"/>
        </w:rPr>
        <w:t>五、一般公共预算财政拨款支出决算情况说明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_Toc236171801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10</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312D381">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"_Toc236171802" </w:instrText>
      </w:r>
      <w:r>
        <w:fldChar w:fldCharType="separate"/>
      </w:r>
      <w:r>
        <w:rPr>
          <w:rStyle w:val="242"/>
          <w:rFonts w:hint="eastAsia" w:ascii="Times New Roman" w:hAnsi="Times New Roman" w:eastAsia="宋体"/>
          <w:bCs/>
          <w:color w:val="auto"/>
          <w:sz w:val="24"/>
        </w:rPr>
        <w:t>六、一般公共预算财政拨款基本支出决算情况说明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_Toc236171802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12</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448BE06">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"_Toc236171803" </w:instrText>
      </w:r>
      <w:r>
        <w:fldChar w:fldCharType="separate"/>
      </w:r>
      <w:r>
        <w:rPr>
          <w:rStyle w:val="242"/>
          <w:rFonts w:hint="eastAsia" w:ascii="Times New Roman" w:hAnsi="Times New Roman" w:eastAsia="宋体"/>
          <w:bCs/>
          <w:color w:val="auto"/>
          <w:sz w:val="24"/>
        </w:rPr>
        <w:t>七、财政拨款“三公”经费支出决算情况说明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_Toc236171803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05AED4EF">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"_Toc236171804" </w:instrText>
      </w:r>
      <w:r>
        <w:fldChar w:fldCharType="separate"/>
      </w:r>
      <w:r>
        <w:rPr>
          <w:rStyle w:val="242"/>
          <w:rFonts w:hint="eastAsia" w:ascii="Times New Roman" w:hAnsi="Times New Roman" w:eastAsia="宋体"/>
          <w:bCs/>
          <w:color w:val="auto"/>
          <w:sz w:val="24"/>
        </w:rPr>
        <w:t>八、政府性基金预算支出决算情况说明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_Toc236171804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F2B85C1">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"_Toc236171805" </w:instrText>
      </w:r>
      <w:r>
        <w:fldChar w:fldCharType="separate"/>
      </w:r>
      <w:r>
        <w:rPr>
          <w:rStyle w:val="242"/>
          <w:rFonts w:hint="eastAsia" w:ascii="Times New Roman" w:hAnsi="Times New Roman" w:eastAsia="宋体"/>
          <w:bCs/>
          <w:color w:val="auto"/>
          <w:sz w:val="24"/>
        </w:rPr>
        <w:t>九、国有资本经营预算支出决算情况说明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_Toc236171805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3B7080A">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"_Toc236171806" </w:instrText>
      </w:r>
      <w:r>
        <w:fldChar w:fldCharType="separate"/>
      </w:r>
      <w:r>
        <w:rPr>
          <w:rStyle w:val="242"/>
          <w:rFonts w:hint="eastAsia" w:ascii="Times New Roman" w:hAnsi="Times New Roman" w:eastAsia="宋体"/>
          <w:bCs/>
          <w:color w:val="auto"/>
          <w:sz w:val="24"/>
        </w:rPr>
        <w:t>十、其他重要事项的情况说明</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_Toc236171806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7FBC5A0B">
      <w:pPr>
        <w:pStyle w:val="59"/>
        <w:tabs>
          <w:tab w:val="right" w:leader="dot" w:pos="8303"/>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"_Toc236171807" </w:instrText>
      </w:r>
      <w:r>
        <w:fldChar w:fldCharType="separate"/>
      </w:r>
      <w:r>
        <w:rPr>
          <w:rStyle w:val="242"/>
          <w:rFonts w:hint="eastAsia" w:ascii="Times New Roman" w:hAnsi="Times New Roman" w:eastAsia="黑体"/>
          <w:bCs/>
          <w:color w:val="auto"/>
          <w:sz w:val="24"/>
        </w:rPr>
        <w:t>第三部分 名词解释</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_Toc236171807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17</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77D76635">
      <w:pPr>
        <w:pStyle w:val="59"/>
        <w:tabs>
          <w:tab w:val="right" w:leader="dot" w:pos="8303"/>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"_Toc236171808" </w:instrText>
      </w:r>
      <w:r>
        <w:fldChar w:fldCharType="separate"/>
      </w:r>
      <w:r>
        <w:rPr>
          <w:rStyle w:val="242"/>
          <w:rFonts w:hint="eastAsia" w:ascii="Times New Roman" w:hAnsi="Times New Roman" w:eastAsia="黑体"/>
          <w:bCs/>
          <w:color w:val="auto"/>
          <w:sz w:val="24"/>
        </w:rPr>
        <w:t>第四部分 附件</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_Toc236171808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21</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45A1162A">
      <w:pPr>
        <w:pStyle w:val="59"/>
        <w:tabs>
          <w:tab w:val="right" w:leader="dot" w:pos="8303"/>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"_Toc236171811" </w:instrText>
      </w:r>
      <w:r>
        <w:fldChar w:fldCharType="separate"/>
      </w:r>
      <w:r>
        <w:rPr>
          <w:rStyle w:val="242"/>
          <w:rFonts w:hint="eastAsia" w:ascii="Times New Roman" w:hAnsi="Times New Roman" w:eastAsia="黑体"/>
          <w:bCs/>
          <w:color w:val="auto"/>
          <w:sz w:val="24"/>
        </w:rPr>
        <w:t>第五部分 附表</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_Toc236171811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37</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4FDC31A2">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"_Toc236171812" </w:instrText>
      </w:r>
      <w:r>
        <w:fldChar w:fldCharType="separate"/>
      </w:r>
      <w:r>
        <w:rPr>
          <w:rStyle w:val="242"/>
          <w:rFonts w:hint="eastAsia" w:ascii="Times New Roman" w:hAnsi="Times New Roman" w:eastAsia="宋体"/>
          <w:color w:val="auto"/>
          <w:sz w:val="24"/>
        </w:rPr>
        <w:t>一、收入支出决算总表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_Toc236171812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D68EEAA">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"_Toc236171813" </w:instrText>
      </w:r>
      <w:r>
        <w:fldChar w:fldCharType="separate"/>
      </w:r>
      <w:r>
        <w:rPr>
          <w:rStyle w:val="242"/>
          <w:rFonts w:hint="eastAsia" w:ascii="Times New Roman" w:hAnsi="Times New Roman" w:eastAsia="宋体"/>
          <w:color w:val="auto"/>
          <w:sz w:val="24"/>
        </w:rPr>
        <w:t>二、收入决算表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_Toc236171813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D98CF4A">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"_Toc236171814" </w:instrText>
      </w:r>
      <w:r>
        <w:fldChar w:fldCharType="separate"/>
      </w:r>
      <w:r>
        <w:rPr>
          <w:rStyle w:val="242"/>
          <w:rFonts w:hint="eastAsia" w:ascii="Times New Roman" w:hAnsi="Times New Roman" w:eastAsia="宋体"/>
          <w:color w:val="auto"/>
          <w:sz w:val="24"/>
        </w:rPr>
        <w:t>三、支出决算表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_Toc236171814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7A553A6C">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"_Toc236171815" </w:instrText>
      </w:r>
      <w:r>
        <w:fldChar w:fldCharType="separate"/>
      </w:r>
      <w:r>
        <w:rPr>
          <w:rStyle w:val="242"/>
          <w:rFonts w:hint="eastAsia" w:ascii="Times New Roman" w:hAnsi="Times New Roman" w:eastAsia="宋体"/>
          <w:color w:val="auto"/>
          <w:sz w:val="24"/>
        </w:rPr>
        <w:t>四、财政拨款收入支出决算总表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_Toc236171815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2AF3AB2">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"_Toc236171816" </w:instrText>
      </w:r>
      <w:r>
        <w:fldChar w:fldCharType="separate"/>
      </w:r>
      <w:r>
        <w:rPr>
          <w:rStyle w:val="242"/>
          <w:rFonts w:hint="eastAsia" w:ascii="Times New Roman" w:hAnsi="Times New Roman" w:eastAsia="宋体"/>
          <w:color w:val="auto"/>
          <w:sz w:val="24"/>
        </w:rPr>
        <w:t>五、财政拨款支出决算明细表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_Toc236171816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076B8314">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"_Toc236171817" </w:instrText>
      </w:r>
      <w:r>
        <w:fldChar w:fldCharType="separate"/>
      </w:r>
      <w:r>
        <w:rPr>
          <w:rStyle w:val="242"/>
          <w:rFonts w:hint="eastAsia" w:ascii="Times New Roman" w:hAnsi="Times New Roman" w:eastAsia="宋体"/>
          <w:color w:val="auto"/>
          <w:sz w:val="24"/>
        </w:rPr>
        <w:t>六、一般公共预算财政拨款支出决算表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_Toc236171817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2904386">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"_Toc236171818" </w:instrText>
      </w:r>
      <w:r>
        <w:fldChar w:fldCharType="separate"/>
      </w:r>
      <w:r>
        <w:rPr>
          <w:rStyle w:val="242"/>
          <w:rFonts w:hint="eastAsia" w:ascii="Times New Roman" w:hAnsi="Times New Roman" w:eastAsia="宋体"/>
          <w:color w:val="auto"/>
          <w:sz w:val="24"/>
        </w:rPr>
        <w:t>七、一般公共预算财政拨款支出决算明细表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_Toc236171818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37B3A6E">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"_Toc236171819" </w:instrText>
      </w:r>
      <w:r>
        <w:fldChar w:fldCharType="separate"/>
      </w:r>
      <w:r>
        <w:rPr>
          <w:rStyle w:val="242"/>
          <w:rFonts w:hint="eastAsia" w:ascii="Times New Roman" w:hAnsi="Times New Roman" w:eastAsia="宋体"/>
          <w:color w:val="auto"/>
          <w:sz w:val="24"/>
        </w:rPr>
        <w:t>八、一般公共预算财政拨款基本支出决算表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_Toc236171819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97D6422">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"_Toc236171820" </w:instrText>
      </w:r>
      <w:r>
        <w:fldChar w:fldCharType="separate"/>
      </w:r>
      <w:r>
        <w:rPr>
          <w:rStyle w:val="242"/>
          <w:rFonts w:hint="eastAsia" w:ascii="Times New Roman" w:hAnsi="Times New Roman" w:eastAsia="宋体"/>
          <w:color w:val="auto"/>
          <w:sz w:val="24"/>
        </w:rPr>
        <w:t>九、一般公共预算财政拨款项目支出决算表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_Toc236171820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7A771B7A">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"_Toc236171821" </w:instrText>
      </w:r>
      <w:r>
        <w:fldChar w:fldCharType="separate"/>
      </w:r>
      <w:r>
        <w:rPr>
          <w:rStyle w:val="242"/>
          <w:rFonts w:hint="eastAsia" w:ascii="Times New Roman" w:hAnsi="Times New Roman" w:eastAsia="宋体"/>
          <w:color w:val="auto"/>
          <w:sz w:val="24"/>
        </w:rPr>
        <w:t>十、政府性基金预算财政拨款收入支出决算表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_Toc236171821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6662130">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"_Toc236171822" </w:instrText>
      </w:r>
      <w:r>
        <w:fldChar w:fldCharType="separate"/>
      </w:r>
      <w:r>
        <w:rPr>
          <w:rStyle w:val="242"/>
          <w:rFonts w:hint="eastAsia" w:ascii="Times New Roman" w:hAnsi="Times New Roman" w:eastAsia="宋体"/>
          <w:color w:val="auto"/>
          <w:sz w:val="24"/>
        </w:rPr>
        <w:t>十一、国有资本经营预算财政拨款收入支出决算表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_Toc236171822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71410AB">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"_Toc236171823" </w:instrText>
      </w:r>
      <w:r>
        <w:fldChar w:fldCharType="separate"/>
      </w:r>
      <w:r>
        <w:rPr>
          <w:rStyle w:val="242"/>
          <w:rFonts w:hint="eastAsia" w:ascii="Times New Roman" w:hAnsi="Times New Roman" w:eastAsia="宋体"/>
          <w:color w:val="auto"/>
          <w:sz w:val="24"/>
        </w:rPr>
        <w:t>十二、国有资本经营预算财政拨款支出决算表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_Toc236171823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7D04EFB">
      <w:pPr>
        <w:pStyle w:val="74"/>
        <w:tabs>
          <w:tab w:val="right" w:leader="dot" w:pos="8303"/>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"_Toc236171824" </w:instrText>
      </w:r>
      <w:r>
        <w:fldChar w:fldCharType="separate"/>
      </w:r>
      <w:r>
        <w:rPr>
          <w:rStyle w:val="242"/>
          <w:rFonts w:hint="eastAsia" w:ascii="Times New Roman" w:hAnsi="Times New Roman" w:eastAsia="宋体"/>
          <w:color w:val="auto"/>
          <w:sz w:val="24"/>
        </w:rPr>
        <w:t>十三、财政拨款“三公”经费支出决算表</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_Toc236171824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E53B66A">
      <w:pPr>
        <w:pStyle w:val="81"/>
        <w:widowControl w:val="0"/>
        <w:spacing w:beforeAutospacing="0" w:afterAutospacing="0" w:line="440" w:lineRule="exact"/>
        <w:ind w:firstLine="480" w:firstLineChars="200"/>
        <w:jc w:val="both"/>
        <w:rPr>
          <w:rFonts w:ascii="Times New Roman" w:hAnsi="Times New Roman" w:eastAsia="黑体"/>
        </w:rPr>
      </w:pPr>
      <w:r>
        <w:rPr>
          <w:rFonts w:hint="eastAsia" w:ascii="Times New Roman" w:hAnsi="Times New Roman" w:eastAsia="黑体"/>
        </w:rPr>
        <w:fldChar w:fldCharType="end"/>
      </w:r>
    </w:p>
    <w:p w14:paraId="75F96FE6">
      <w:pPr>
        <w:pStyle w:val="81"/>
        <w:widowControl w:val="0"/>
        <w:spacing w:beforeAutospacing="0" w:afterAutospacing="0" w:line="440" w:lineRule="exact"/>
        <w:ind w:firstLine="480" w:firstLineChars="200"/>
        <w:jc w:val="both"/>
        <w:rPr>
          <w:rFonts w:ascii="Times New Roman" w:hAnsi="Times New Roman" w:eastAsia="黑体"/>
        </w:rPr>
      </w:pPr>
    </w:p>
    <w:p w14:paraId="7045EA70">
      <w:pPr>
        <w:pStyle w:val="81"/>
        <w:widowControl w:val="0"/>
        <w:spacing w:beforeAutospacing="0" w:afterAutospacing="0" w:line="440" w:lineRule="exact"/>
        <w:ind w:firstLine="480" w:firstLineChars="200"/>
        <w:jc w:val="both"/>
        <w:rPr>
          <w:rFonts w:ascii="Times New Roman" w:hAnsi="Times New Roman" w:eastAsia="黑体"/>
        </w:rPr>
      </w:pPr>
    </w:p>
    <w:p w14:paraId="3BC499A9">
      <w:pPr>
        <w:pStyle w:val="81"/>
        <w:widowControl w:val="0"/>
        <w:spacing w:beforeAutospacing="0" w:afterAutospacing="0" w:line="440" w:lineRule="exact"/>
        <w:ind w:firstLine="480" w:firstLineChars="200"/>
        <w:jc w:val="both"/>
        <w:rPr>
          <w:rFonts w:ascii="Times New Roman" w:hAnsi="Times New Roman" w:eastAsia="黑体"/>
        </w:rPr>
      </w:pPr>
    </w:p>
    <w:p w14:paraId="5C74A3A6">
      <w:pPr>
        <w:pStyle w:val="81"/>
        <w:widowControl w:val="0"/>
        <w:spacing w:beforeAutospacing="0" w:afterAutospacing="0" w:line="440" w:lineRule="exact"/>
        <w:ind w:firstLine="480" w:firstLineChars="200"/>
        <w:jc w:val="both"/>
        <w:rPr>
          <w:rFonts w:ascii="Times New Roman" w:hAnsi="Times New Roman" w:eastAsia="黑体"/>
        </w:rPr>
      </w:pPr>
    </w:p>
    <w:p w14:paraId="63310E48">
      <w:pPr>
        <w:pStyle w:val="81"/>
        <w:widowControl w:val="0"/>
        <w:spacing w:beforeAutospacing="0" w:afterAutospacing="0" w:line="600" w:lineRule="exact"/>
        <w:ind w:firstLine="640" w:firstLineChars="200"/>
        <w:jc w:val="both"/>
        <w:rPr>
          <w:rFonts w:hint="eastAsia" w:ascii="仿宋" w:hAnsi="仿宋" w:eastAsia="仿宋"/>
          <w:sz w:val="32"/>
        </w:rPr>
      </w:pPr>
    </w:p>
    <w:p w14:paraId="02001B5B">
      <w:pPr>
        <w:pStyle w:val="81"/>
        <w:widowControl w:val="0"/>
        <w:spacing w:beforeAutospacing="0" w:afterAutospacing="0" w:line="600" w:lineRule="exact"/>
        <w:ind w:firstLine="640" w:firstLineChars="200"/>
        <w:jc w:val="both"/>
        <w:rPr>
          <w:rFonts w:hint="eastAsia" w:ascii="仿宋" w:hAnsi="仿宋" w:eastAsia="仿宋"/>
          <w:sz w:val="32"/>
        </w:rPr>
      </w:pPr>
    </w:p>
    <w:p w14:paraId="279D48E5">
      <w:pPr>
        <w:pStyle w:val="81"/>
        <w:widowControl w:val="0"/>
        <w:spacing w:beforeAutospacing="0" w:afterAutospacing="0" w:line="600" w:lineRule="exact"/>
        <w:ind w:firstLine="640" w:firstLineChars="200"/>
        <w:jc w:val="both"/>
        <w:rPr>
          <w:rFonts w:hint="eastAsia" w:ascii="仿宋" w:hAnsi="仿宋" w:eastAsia="仿宋"/>
          <w:sz w:val="32"/>
        </w:rPr>
      </w:pPr>
    </w:p>
    <w:p w14:paraId="68303A01">
      <w:pPr>
        <w:pStyle w:val="81"/>
        <w:widowControl w:val="0"/>
        <w:spacing w:beforeAutospacing="0" w:afterAutospacing="0" w:line="600" w:lineRule="exact"/>
        <w:ind w:firstLine="640" w:firstLineChars="200"/>
        <w:jc w:val="both"/>
        <w:rPr>
          <w:rFonts w:hint="eastAsia" w:ascii="仿宋" w:hAnsi="仿宋" w:eastAsia="仿宋"/>
          <w:sz w:val="32"/>
        </w:rPr>
      </w:pPr>
    </w:p>
    <w:p w14:paraId="0EAAA1F7">
      <w:pPr>
        <w:pStyle w:val="81"/>
        <w:widowControl w:val="0"/>
        <w:spacing w:beforeAutospacing="0" w:afterAutospacing="0" w:line="600" w:lineRule="exact"/>
        <w:ind w:firstLine="640" w:firstLineChars="200"/>
        <w:jc w:val="both"/>
        <w:rPr>
          <w:rFonts w:hint="eastAsia" w:ascii="仿宋" w:hAnsi="仿宋" w:eastAsia="仿宋"/>
          <w:sz w:val="32"/>
        </w:rPr>
      </w:pPr>
    </w:p>
    <w:p w14:paraId="7C84DFFF">
      <w:pPr>
        <w:pStyle w:val="81"/>
        <w:widowControl w:val="0"/>
        <w:spacing w:beforeAutospacing="0" w:afterAutospacing="0" w:line="600" w:lineRule="exact"/>
        <w:ind w:firstLine="640" w:firstLineChars="200"/>
        <w:jc w:val="both"/>
        <w:rPr>
          <w:rFonts w:hint="eastAsia" w:ascii="仿宋" w:hAnsi="仿宋" w:eastAsia="仿宋"/>
          <w:sz w:val="32"/>
        </w:rPr>
      </w:pPr>
    </w:p>
    <w:p w14:paraId="69173AC6">
      <w:pPr>
        <w:pStyle w:val="81"/>
        <w:widowControl w:val="0"/>
        <w:spacing w:beforeAutospacing="0" w:afterAutospacing="0" w:line="600" w:lineRule="exact"/>
        <w:ind w:firstLine="640" w:firstLineChars="200"/>
        <w:jc w:val="both"/>
        <w:rPr>
          <w:rFonts w:hint="eastAsia" w:ascii="仿宋" w:hAnsi="仿宋" w:eastAsia="仿宋"/>
          <w:sz w:val="32"/>
        </w:rPr>
        <w:sectPr>
          <w:footerReference r:id="rId6" w:type="default"/>
          <w:pgSz w:w="11907" w:h="16840"/>
          <w:pgMar w:top="1440" w:right="1797" w:bottom="1440" w:left="1797" w:header="720" w:footer="720" w:gutter="0"/>
          <w:cols w:space="425" w:num="1"/>
          <w:docGrid w:type="lines" w:linePitch="312" w:charSpace="0"/>
        </w:sectPr>
      </w:pPr>
    </w:p>
    <w:p w14:paraId="3CBEC052">
      <w:pPr>
        <w:widowControl w:val="0"/>
        <w:spacing w:line="600" w:lineRule="exact"/>
        <w:ind w:firstLine="640" w:firstLineChars="200"/>
        <w:jc w:val="both"/>
        <w:rPr>
          <w:rFonts w:hint="eastAsia" w:ascii="仿宋" w:hAnsi="仿宋" w:eastAsia="仿宋"/>
          <w:sz w:val="32"/>
        </w:rPr>
      </w:pPr>
      <w:bookmarkStart w:id="1" w:name="_Toc18805"/>
      <w:bookmarkEnd w:id="1"/>
      <w:bookmarkStart w:id="2" w:name="_Toc30073"/>
    </w:p>
    <w:p w14:paraId="05819748">
      <w:pPr>
        <w:pStyle w:val="3"/>
        <w:widowControl w:val="0"/>
        <w:spacing w:before="340" w:beforeAutospacing="0" w:after="330" w:afterAutospacing="0" w:line="578" w:lineRule="auto"/>
        <w:jc w:val="center"/>
        <w:rPr>
          <w:rFonts w:ascii="黑体" w:hAnsi="黑体" w:eastAsia="黑体"/>
          <w:b w:val="0"/>
          <w:bCs/>
          <w:sz w:val="44"/>
          <w:szCs w:val="32"/>
        </w:rPr>
      </w:pPr>
      <w:bookmarkStart w:id="3" w:name="_Toc236171793"/>
      <w:r>
        <w:rPr>
          <w:rFonts w:ascii="黑体" w:hAnsi="黑体" w:eastAsia="黑体"/>
          <w:b w:val="0"/>
          <w:bCs/>
          <w:sz w:val="44"/>
          <w:szCs w:val="32"/>
        </w:rPr>
        <w:t xml:space="preserve">第一部分 </w:t>
      </w:r>
      <w:bookmarkEnd w:id="2"/>
      <w:r>
        <w:rPr>
          <w:rFonts w:ascii="黑体" w:hAnsi="黑体" w:eastAsia="黑体"/>
          <w:b w:val="0"/>
          <w:bCs/>
          <w:sz w:val="44"/>
          <w:szCs w:val="32"/>
        </w:rPr>
        <w:t>部门概况</w:t>
      </w:r>
      <w:bookmarkEnd w:id="3"/>
    </w:p>
    <w:p w14:paraId="57954DB1">
      <w:pPr>
        <w:widowControl w:val="0"/>
        <w:spacing w:line="600" w:lineRule="exact"/>
        <w:ind w:firstLine="640" w:firstLineChars="200"/>
        <w:jc w:val="both"/>
        <w:rPr>
          <w:rFonts w:hint="eastAsia" w:ascii="仿宋" w:hAnsi="仿宋" w:eastAsia="仿宋"/>
          <w:sz w:val="32"/>
        </w:rPr>
      </w:pPr>
    </w:p>
    <w:p w14:paraId="15D26368">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4" w:name="_Toc30387"/>
      <w:bookmarkEnd w:id="4"/>
      <w:bookmarkStart w:id="5" w:name="_Toc236171794"/>
      <w:r>
        <w:rPr>
          <w:rFonts w:ascii="黑体" w:hAnsi="黑体" w:eastAsia="黑体"/>
          <w:b w:val="0"/>
          <w:bCs/>
          <w:sz w:val="32"/>
          <w:szCs w:val="32"/>
        </w:rPr>
        <w:t>一、</w:t>
      </w:r>
      <w:bookmarkStart w:id="6" w:name="_Toc16985"/>
      <w:r>
        <w:rPr>
          <w:rFonts w:ascii="黑体" w:hAnsi="黑体" w:eastAsia="黑体"/>
          <w:b w:val="0"/>
          <w:bCs/>
          <w:sz w:val="32"/>
          <w:szCs w:val="32"/>
        </w:rPr>
        <w:t>部门职责</w:t>
      </w:r>
      <w:bookmarkEnd w:id="5"/>
      <w:bookmarkEnd w:id="6"/>
    </w:p>
    <w:p w14:paraId="433C5A08">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1.贯彻执行党和国家关于卫生计生工作的方针、政策、法律、法规以及省、州、</w:t>
      </w:r>
      <w:r>
        <w:rPr>
          <w:rFonts w:hint="eastAsia" w:ascii="仿宋" w:hAnsi="仿宋" w:eastAsia="仿宋" w:cs="仿宋_GB2312"/>
          <w:sz w:val="32"/>
          <w:szCs w:val="32"/>
        </w:rPr>
        <w:t>县关于卫生计生工作的决策部署，制定全县卫生计生事业发展规划，统筹规划全县卫生计生资源配置，指导全县卫生计生工作。</w:t>
      </w:r>
    </w:p>
    <w:p w14:paraId="7D56C928">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2.贯彻实施党和国家医药卫生体制改革政策和国家药物政策及国家基本药物制度，执行国家基本药物目录以及我省药品增补目录，执行基本药物采购、配送、使用的政策措施。贯彻中西医并重的方针，发展我县中藏医事业。</w:t>
      </w:r>
    </w:p>
    <w:p w14:paraId="05700516">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3.贯彻实施职责范围内的职业卫生、放射卫生、环境卫生、学校卫生、公共场所卫生、饮用水卫生管理规范、标准和政策措施，组织开展相关监测、调查、评估和监督。</w:t>
      </w:r>
    </w:p>
    <w:p w14:paraId="357FD2B7">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4.负责制定全县卫生应急预案、突发公共卫生事件监测和风险评估，组织和指导全县突发公共卫生事件预防控制和各类突发公共事件的医疗卫生救援。</w:t>
      </w:r>
    </w:p>
    <w:p w14:paraId="03C39964">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5.组织实施促进全县出生人口性别平衡的政策措施，组织监测计划生育发展动态，负责全县计划生育相关数据采集和分析研究，提出发布计划生育安全预警预报信息建议，制定计划生育技术服务管理制度并监督实施，制定优生优育和提高出生人口素质的政策措施并组织实施，推动实施计划生育生殖健康促进计划，降低出生缺陷人口数量。</w:t>
      </w:r>
    </w:p>
    <w:p w14:paraId="01E03BD1">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6.实施“三项制度”，组织建立计划生育利益导向、计划生育特殊困难家庭扶助和促进计划生育家庭发展等机制，负责协调推进有关部门、群众团体履行计划生育工作相关职责，建立与经济社会发展政策的衔接机制，提出稳定低生育水平政策措施。</w:t>
      </w:r>
    </w:p>
    <w:p w14:paraId="12637408">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7.制定我县实施流动人口计划生育服务管理制度并组织落实，推动建立流动人口卫生计生信息共享与公共服务工作机制。</w:t>
      </w:r>
    </w:p>
    <w:p w14:paraId="0C6705BE">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8.负责组织拟订并实施基层卫生和妇幼卫生、计划生育服务发展规划和政策措施，指导全县基层卫生和妇幼卫生、计划生育服务体系建设，推进基本公共卫生计生服务均等化，完善乡村医生管理制度。</w:t>
      </w:r>
    </w:p>
    <w:p w14:paraId="6754024B">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9.组织实施全县医疗机构及医疗服务全行业管理办法及医疗服务、医疗技术、医疗质量、医疗安全管的规范、标准，会同有关部门贯彻执行国家卫生计生专业技术人员准入、资格标准。制定和实施卫生计生专业技术人员执业规则和服务规范，建立医疗服务评价和监督管理体系。</w:t>
      </w:r>
    </w:p>
    <w:p w14:paraId="1CE8E0E6">
      <w:pPr>
        <w:widowControl w:val="0"/>
        <w:spacing w:line="600" w:lineRule="exact"/>
        <w:ind w:firstLine="640" w:firstLineChars="200"/>
        <w:jc w:val="both"/>
        <w:rPr>
          <w:rFonts w:hint="eastAsia" w:ascii="仿宋" w:hAnsi="仿宋" w:eastAsia="仿宋" w:cs="宋体"/>
          <w:sz w:val="32"/>
          <w:szCs w:val="32"/>
          <w:lang w:bidi="ar"/>
        </w:rPr>
      </w:pPr>
      <w:r>
        <w:rPr>
          <w:rFonts w:hint="eastAsia" w:ascii="仿宋" w:hAnsi="仿宋" w:eastAsia="仿宋" w:cs="Times New Roman"/>
          <w:sz w:val="32"/>
          <w:szCs w:val="32"/>
          <w:lang w:bidi="ar"/>
        </w:rPr>
        <w:t>10.</w:t>
      </w:r>
      <w:r>
        <w:rPr>
          <w:rFonts w:hint="eastAsia" w:ascii="仿宋" w:hAnsi="仿宋" w:eastAsia="仿宋" w:cs="宋体"/>
          <w:sz w:val="32"/>
          <w:szCs w:val="32"/>
          <w:lang w:bidi="ar"/>
        </w:rPr>
        <w:t>负责卫生计生政策宣传、全民健康教育、健康促进等工作。依法组织实施统计调查，开展全县人口基础信息库建设。</w:t>
      </w:r>
    </w:p>
    <w:p w14:paraId="34BF79C9">
      <w:pPr>
        <w:widowControl w:val="0"/>
        <w:spacing w:line="600" w:lineRule="exact"/>
        <w:ind w:firstLine="640" w:firstLineChars="200"/>
        <w:jc w:val="both"/>
        <w:rPr>
          <w:rFonts w:hint="eastAsia" w:ascii="仿宋" w:hAnsi="仿宋" w:eastAsia="仿宋"/>
          <w:sz w:val="32"/>
        </w:rPr>
      </w:pPr>
    </w:p>
    <w:p w14:paraId="2D088F61">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7" w:name="_Toc15396601"/>
      <w:bookmarkEnd w:id="7"/>
      <w:bookmarkStart w:id="8" w:name="_Toc15377200"/>
      <w:bookmarkEnd w:id="8"/>
      <w:bookmarkStart w:id="9" w:name="_Toc28458"/>
      <w:bookmarkEnd w:id="9"/>
      <w:bookmarkStart w:id="10" w:name="_Toc22546"/>
      <w:bookmarkStart w:id="11" w:name="_Toc236171795"/>
      <w:r>
        <w:rPr>
          <w:rFonts w:ascii="黑体" w:hAnsi="黑体" w:eastAsia="黑体"/>
          <w:b w:val="0"/>
          <w:bCs/>
          <w:sz w:val="32"/>
          <w:szCs w:val="32"/>
        </w:rPr>
        <w:t>二、</w:t>
      </w:r>
      <w:bookmarkEnd w:id="10"/>
      <w:r>
        <w:rPr>
          <w:rFonts w:ascii="黑体" w:hAnsi="黑体" w:eastAsia="黑体"/>
          <w:b w:val="0"/>
          <w:bCs/>
          <w:sz w:val="32"/>
          <w:szCs w:val="32"/>
        </w:rPr>
        <w:t>机构设置</w:t>
      </w:r>
      <w:bookmarkEnd w:id="11"/>
    </w:p>
    <w:p w14:paraId="3C713C14">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
          <w:sz w:val="32"/>
          <w:szCs w:val="32"/>
          <w:lang w:bidi="ar"/>
        </w:rPr>
        <w:t>壤塘县卫生健康局下属二级预算单位</w:t>
      </w:r>
      <w:r>
        <w:rPr>
          <w:rFonts w:hint="eastAsia" w:ascii="仿宋" w:hAnsi="仿宋" w:eastAsia="仿宋" w:cs="Times New Roman"/>
          <w:sz w:val="32"/>
          <w:szCs w:val="32"/>
          <w:lang w:bidi="ar"/>
        </w:rPr>
        <w:t>17</w:t>
      </w:r>
      <w:r>
        <w:rPr>
          <w:rFonts w:hint="eastAsia" w:ascii="仿宋" w:hAnsi="仿宋" w:eastAsia="仿宋" w:cs="仿宋"/>
          <w:sz w:val="32"/>
          <w:szCs w:val="32"/>
          <w:lang w:bidi="ar"/>
        </w:rPr>
        <w:t>个，其中行政单位</w:t>
      </w:r>
      <w:r>
        <w:rPr>
          <w:rFonts w:hint="eastAsia" w:ascii="仿宋" w:hAnsi="仿宋" w:eastAsia="仿宋" w:cs="Times New Roman"/>
          <w:sz w:val="32"/>
          <w:szCs w:val="32"/>
          <w:lang w:bidi="ar"/>
        </w:rPr>
        <w:t>0</w:t>
      </w:r>
      <w:r>
        <w:rPr>
          <w:rFonts w:hint="eastAsia" w:ascii="仿宋" w:hAnsi="仿宋" w:eastAsia="仿宋" w:cs="仿宋"/>
          <w:sz w:val="32"/>
          <w:szCs w:val="32"/>
          <w:lang w:bidi="ar"/>
        </w:rPr>
        <w:t>个，参照公务员法管理的事业单位</w:t>
      </w:r>
      <w:r>
        <w:rPr>
          <w:rFonts w:hint="eastAsia" w:ascii="仿宋" w:hAnsi="仿宋" w:eastAsia="仿宋" w:cs="Times New Roman"/>
          <w:sz w:val="32"/>
          <w:szCs w:val="32"/>
          <w:lang w:bidi="ar"/>
        </w:rPr>
        <w:t>0</w:t>
      </w:r>
      <w:r>
        <w:rPr>
          <w:rFonts w:hint="eastAsia" w:ascii="仿宋" w:hAnsi="仿宋" w:eastAsia="仿宋" w:cs="仿宋"/>
          <w:sz w:val="32"/>
          <w:szCs w:val="32"/>
          <w:lang w:bidi="ar"/>
        </w:rPr>
        <w:t>个，其他事业单位</w:t>
      </w:r>
      <w:r>
        <w:rPr>
          <w:rFonts w:hint="eastAsia" w:ascii="仿宋" w:hAnsi="仿宋" w:eastAsia="仿宋" w:cs="Times New Roman"/>
          <w:sz w:val="32"/>
          <w:szCs w:val="32"/>
          <w:lang w:bidi="ar"/>
        </w:rPr>
        <w:t>17</w:t>
      </w:r>
      <w:r>
        <w:rPr>
          <w:rFonts w:hint="eastAsia" w:ascii="仿宋" w:hAnsi="仿宋" w:eastAsia="仿宋" w:cs="仿宋"/>
          <w:sz w:val="32"/>
          <w:szCs w:val="32"/>
          <w:lang w:bidi="ar"/>
        </w:rPr>
        <w:t>个。</w:t>
      </w:r>
    </w:p>
    <w:p w14:paraId="5F1A9BD0">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纳入壤塘县卫生健康局</w:t>
      </w:r>
      <w:r>
        <w:rPr>
          <w:rFonts w:hint="eastAsia" w:ascii="仿宋" w:hAnsi="仿宋" w:eastAsia="仿宋" w:cs="Times New Roman"/>
          <w:sz w:val="32"/>
          <w:szCs w:val="32"/>
        </w:rPr>
        <w:t>2024</w:t>
      </w:r>
      <w:r>
        <w:rPr>
          <w:rFonts w:hint="eastAsia" w:ascii="仿宋" w:hAnsi="仿宋" w:eastAsia="仿宋" w:cs="仿宋"/>
          <w:sz w:val="32"/>
          <w:szCs w:val="32"/>
        </w:rPr>
        <w:t>年度部门决算编制范围的二级预算单位包括：</w:t>
      </w:r>
    </w:p>
    <w:p w14:paraId="1AD85E85">
      <w:pPr>
        <w:pStyle w:val="81"/>
        <w:widowControl w:val="0"/>
        <w:adjustRightInd w:val="0"/>
        <w:spacing w:beforeAutospacing="0" w:afterAutospacing="0" w:line="600" w:lineRule="exact"/>
        <w:ind w:firstLine="640" w:firstLineChars="200"/>
        <w:jc w:val="both"/>
        <w:rPr>
          <w:rFonts w:hint="eastAsia" w:ascii="仿宋" w:hAnsi="仿宋" w:eastAsia="仿宋"/>
          <w:sz w:val="32"/>
        </w:rPr>
      </w:pPr>
      <w:bookmarkStart w:id="12" w:name="_Toc15306277"/>
      <w:bookmarkEnd w:id="12"/>
      <w:r>
        <w:rPr>
          <w:rFonts w:hint="eastAsia" w:ascii="仿宋" w:hAnsi="仿宋" w:eastAsia="仿宋" w:cs="Times New Roman"/>
          <w:sz w:val="32"/>
          <w:szCs w:val="32"/>
        </w:rPr>
        <w:t>1.</w:t>
      </w:r>
      <w:bookmarkStart w:id="13" w:name="_Toc15378450"/>
      <w:bookmarkEnd w:id="13"/>
      <w:bookmarkStart w:id="14" w:name="_Toc15377203"/>
      <w:bookmarkEnd w:id="14"/>
      <w:bookmarkStart w:id="15" w:name="_Toc15377434"/>
      <w:bookmarkEnd w:id="15"/>
      <w:bookmarkStart w:id="16" w:name="_Toc79163608"/>
      <w:r>
        <w:rPr>
          <w:rFonts w:hint="eastAsia" w:ascii="仿宋" w:hAnsi="仿宋" w:eastAsia="仿宋" w:cs="仿宋"/>
          <w:sz w:val="32"/>
          <w:szCs w:val="32"/>
        </w:rPr>
        <w:t>壤塘县</w:t>
      </w:r>
      <w:bookmarkEnd w:id="16"/>
      <w:r>
        <w:rPr>
          <w:rFonts w:hint="eastAsia" w:ascii="仿宋" w:hAnsi="仿宋" w:eastAsia="仿宋" w:cs="仿宋"/>
          <w:sz w:val="32"/>
          <w:szCs w:val="32"/>
        </w:rPr>
        <w:t>人民医院；</w:t>
      </w:r>
    </w:p>
    <w:p w14:paraId="79AED3A1">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2.</w:t>
      </w:r>
      <w:r>
        <w:rPr>
          <w:rFonts w:hint="eastAsia" w:ascii="仿宋" w:hAnsi="仿宋" w:eastAsia="仿宋" w:cs="仿宋"/>
          <w:sz w:val="32"/>
          <w:szCs w:val="32"/>
        </w:rPr>
        <w:t>壤塘县疾病预防控制中心；</w:t>
      </w:r>
    </w:p>
    <w:p w14:paraId="42F9B3FC">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3.</w:t>
      </w:r>
      <w:r>
        <w:rPr>
          <w:rFonts w:hint="eastAsia" w:ascii="仿宋" w:hAnsi="仿宋" w:eastAsia="仿宋" w:cs="仿宋"/>
          <w:sz w:val="32"/>
          <w:szCs w:val="32"/>
        </w:rPr>
        <w:t>壤塘县妇幼保健计划生育服务中心；</w:t>
      </w:r>
    </w:p>
    <w:p w14:paraId="007AA4FD">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4.</w:t>
      </w:r>
      <w:r>
        <w:rPr>
          <w:rFonts w:hint="eastAsia" w:ascii="仿宋" w:hAnsi="仿宋" w:eastAsia="仿宋" w:cs="仿宋"/>
          <w:sz w:val="32"/>
          <w:szCs w:val="32"/>
        </w:rPr>
        <w:t>壤塘县藏医院；</w:t>
      </w:r>
    </w:p>
    <w:p w14:paraId="7C183A99">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5.</w:t>
      </w:r>
      <w:r>
        <w:rPr>
          <w:rFonts w:hint="eastAsia" w:ascii="仿宋" w:hAnsi="仿宋" w:eastAsia="仿宋" w:cs="仿宋"/>
          <w:sz w:val="32"/>
          <w:szCs w:val="32"/>
        </w:rPr>
        <w:t>壤塘县上寨中心卫生院；</w:t>
      </w:r>
    </w:p>
    <w:p w14:paraId="488D04BB">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6.</w:t>
      </w:r>
      <w:r>
        <w:rPr>
          <w:rFonts w:hint="eastAsia" w:ascii="仿宋" w:hAnsi="仿宋" w:eastAsia="仿宋" w:cs="仿宋"/>
          <w:sz w:val="32"/>
          <w:szCs w:val="32"/>
        </w:rPr>
        <w:t>壤塘县蒲西乡卫生院；</w:t>
      </w:r>
    </w:p>
    <w:p w14:paraId="64FB56C5">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7.</w:t>
      </w:r>
      <w:r>
        <w:rPr>
          <w:rFonts w:hint="eastAsia" w:ascii="仿宋" w:hAnsi="仿宋" w:eastAsia="仿宋" w:cs="仿宋"/>
          <w:sz w:val="32"/>
          <w:szCs w:val="32"/>
        </w:rPr>
        <w:t>壤塘县宗科乡卫生院；</w:t>
      </w:r>
    </w:p>
    <w:p w14:paraId="193C9F6E">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8.</w:t>
      </w:r>
      <w:r>
        <w:rPr>
          <w:rFonts w:hint="eastAsia" w:ascii="仿宋" w:hAnsi="仿宋" w:eastAsia="仿宋" w:cs="仿宋"/>
          <w:sz w:val="32"/>
          <w:szCs w:val="32"/>
        </w:rPr>
        <w:t>壤塘县石里乡卫生院；</w:t>
      </w:r>
    </w:p>
    <w:p w14:paraId="45BD0CF6">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9.</w:t>
      </w:r>
      <w:r>
        <w:rPr>
          <w:rFonts w:hint="eastAsia" w:ascii="仿宋" w:hAnsi="仿宋" w:eastAsia="仿宋" w:cs="仿宋"/>
          <w:sz w:val="32"/>
          <w:szCs w:val="32"/>
        </w:rPr>
        <w:t>壤塘县吾依乡卫生院；</w:t>
      </w:r>
    </w:p>
    <w:p w14:paraId="00A71695">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10.</w:t>
      </w:r>
      <w:r>
        <w:rPr>
          <w:rFonts w:hint="eastAsia" w:ascii="仿宋" w:hAnsi="仿宋" w:eastAsia="仿宋" w:cs="仿宋"/>
          <w:sz w:val="32"/>
          <w:szCs w:val="32"/>
        </w:rPr>
        <w:t>壤塘县岗木达乡卫生院；</w:t>
      </w:r>
    </w:p>
    <w:p w14:paraId="251A041C">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11.</w:t>
      </w:r>
      <w:r>
        <w:rPr>
          <w:rFonts w:hint="eastAsia" w:ascii="仿宋" w:hAnsi="仿宋" w:eastAsia="仿宋" w:cs="仿宋"/>
          <w:sz w:val="32"/>
          <w:szCs w:val="32"/>
        </w:rPr>
        <w:t>壤塘县上杜柯乡卫生院；</w:t>
      </w:r>
    </w:p>
    <w:p w14:paraId="721C5F91">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12.</w:t>
      </w:r>
      <w:r>
        <w:rPr>
          <w:rFonts w:hint="eastAsia" w:ascii="仿宋" w:hAnsi="仿宋" w:eastAsia="仿宋" w:cs="仿宋"/>
          <w:sz w:val="32"/>
          <w:szCs w:val="32"/>
        </w:rPr>
        <w:t>壤塘县南木达中心卫生院；</w:t>
      </w:r>
    </w:p>
    <w:p w14:paraId="458B2843">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13.</w:t>
      </w:r>
      <w:r>
        <w:rPr>
          <w:rFonts w:hint="eastAsia" w:ascii="仿宋" w:hAnsi="仿宋" w:eastAsia="仿宋" w:cs="仿宋"/>
          <w:sz w:val="32"/>
          <w:szCs w:val="32"/>
        </w:rPr>
        <w:t>壤塘县尕多乡卫生院；</w:t>
      </w:r>
    </w:p>
    <w:p w14:paraId="069467D6">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14.</w:t>
      </w:r>
      <w:r>
        <w:rPr>
          <w:rFonts w:hint="eastAsia" w:ascii="仿宋" w:hAnsi="仿宋" w:eastAsia="仿宋" w:cs="仿宋"/>
          <w:sz w:val="32"/>
          <w:szCs w:val="32"/>
        </w:rPr>
        <w:t>壤塘县茸木达乡卫生院；</w:t>
      </w:r>
    </w:p>
    <w:p w14:paraId="066039E3">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15.</w:t>
      </w:r>
      <w:r>
        <w:rPr>
          <w:rFonts w:hint="eastAsia" w:ascii="仿宋" w:hAnsi="仿宋" w:eastAsia="仿宋" w:cs="仿宋"/>
          <w:sz w:val="32"/>
          <w:szCs w:val="32"/>
        </w:rPr>
        <w:t>壤塘县中壤塘镇卫生院；</w:t>
      </w:r>
    </w:p>
    <w:p w14:paraId="34997555">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16.</w:t>
      </w:r>
      <w:r>
        <w:rPr>
          <w:rFonts w:hint="eastAsia" w:ascii="仿宋" w:hAnsi="仿宋" w:eastAsia="仿宋" w:cs="仿宋"/>
          <w:sz w:val="32"/>
          <w:szCs w:val="32"/>
        </w:rPr>
        <w:t>壤塘县上壤塘乡卫生院；</w:t>
      </w:r>
    </w:p>
    <w:p w14:paraId="7E371CBC">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17.</w:t>
      </w:r>
      <w:r>
        <w:rPr>
          <w:rFonts w:hint="eastAsia" w:ascii="仿宋" w:hAnsi="仿宋" w:eastAsia="仿宋" w:cs="仿宋"/>
          <w:sz w:val="32"/>
          <w:szCs w:val="32"/>
        </w:rPr>
        <w:t>壤塘县岗木达镇社区卫生服务中心。</w:t>
      </w:r>
    </w:p>
    <w:p w14:paraId="235656DA">
      <w:pPr>
        <w:widowControl w:val="0"/>
        <w:spacing w:line="600" w:lineRule="exact"/>
        <w:ind w:firstLine="640" w:firstLineChars="200"/>
        <w:jc w:val="both"/>
        <w:rPr>
          <w:rFonts w:hint="eastAsia" w:ascii="仿宋" w:hAnsi="仿宋" w:eastAsia="仿宋"/>
          <w:sz w:val="32"/>
        </w:rPr>
      </w:pPr>
    </w:p>
    <w:p w14:paraId="781FA20A">
      <w:pPr>
        <w:widowControl w:val="0"/>
        <w:spacing w:line="600" w:lineRule="exact"/>
        <w:ind w:firstLine="640" w:firstLineChars="200"/>
        <w:jc w:val="both"/>
        <w:rPr>
          <w:rFonts w:hint="eastAsia" w:ascii="仿宋" w:hAnsi="仿宋" w:eastAsia="仿宋"/>
          <w:sz w:val="32"/>
        </w:rPr>
      </w:pPr>
    </w:p>
    <w:p w14:paraId="11656B06">
      <w:pPr>
        <w:widowControl w:val="0"/>
        <w:spacing w:line="600" w:lineRule="exact"/>
        <w:ind w:firstLine="640" w:firstLineChars="200"/>
        <w:jc w:val="both"/>
        <w:rPr>
          <w:rFonts w:hint="eastAsia" w:ascii="仿宋" w:hAnsi="仿宋" w:eastAsia="仿宋"/>
          <w:sz w:val="32"/>
        </w:rPr>
      </w:pPr>
    </w:p>
    <w:p w14:paraId="73194407">
      <w:pPr>
        <w:widowControl w:val="0"/>
        <w:spacing w:line="600" w:lineRule="exact"/>
        <w:ind w:firstLine="640" w:firstLineChars="200"/>
        <w:jc w:val="both"/>
        <w:rPr>
          <w:rFonts w:hint="eastAsia" w:ascii="仿宋" w:hAnsi="仿宋" w:eastAsia="仿宋"/>
          <w:sz w:val="32"/>
        </w:rPr>
        <w:sectPr>
          <w:pgSz w:w="11907" w:h="16840"/>
          <w:pgMar w:top="1440" w:right="1797" w:bottom="1440" w:left="1797" w:header="720" w:footer="720" w:gutter="0"/>
          <w:cols w:space="425" w:num="1"/>
          <w:docGrid w:type="lines" w:linePitch="312" w:charSpace="0"/>
        </w:sectPr>
      </w:pPr>
    </w:p>
    <w:p w14:paraId="05FF0D7C">
      <w:pPr>
        <w:widowControl w:val="0"/>
        <w:spacing w:line="600" w:lineRule="exact"/>
        <w:ind w:firstLine="640" w:firstLineChars="200"/>
        <w:jc w:val="both"/>
        <w:rPr>
          <w:rFonts w:hint="eastAsia" w:ascii="仿宋" w:hAnsi="仿宋" w:eastAsia="仿宋"/>
          <w:sz w:val="32"/>
        </w:rPr>
      </w:pPr>
      <w:bookmarkStart w:id="17" w:name="_Toc27273"/>
    </w:p>
    <w:p w14:paraId="13387B88">
      <w:pPr>
        <w:pStyle w:val="3"/>
        <w:widowControl w:val="0"/>
        <w:spacing w:before="340" w:beforeAutospacing="0" w:after="330" w:afterAutospacing="0" w:line="578" w:lineRule="auto"/>
        <w:jc w:val="center"/>
        <w:rPr>
          <w:rFonts w:ascii="黑体" w:hAnsi="黑体" w:eastAsia="黑体"/>
          <w:b w:val="0"/>
          <w:bCs/>
          <w:sz w:val="44"/>
          <w:szCs w:val="32"/>
        </w:rPr>
      </w:pPr>
      <w:bookmarkStart w:id="18" w:name="_Toc236171796"/>
      <w:r>
        <w:rPr>
          <w:rFonts w:ascii="黑体" w:hAnsi="黑体" w:eastAsia="黑体"/>
          <w:b w:val="0"/>
          <w:bCs/>
          <w:sz w:val="44"/>
          <w:szCs w:val="32"/>
        </w:rPr>
        <w:t xml:space="preserve">第二部分 </w:t>
      </w:r>
      <w:bookmarkEnd w:id="17"/>
      <w:r>
        <w:rPr>
          <w:rFonts w:ascii="黑体" w:hAnsi="黑体" w:eastAsia="黑体"/>
          <w:b w:val="0"/>
          <w:bCs/>
          <w:sz w:val="44"/>
          <w:szCs w:val="32"/>
        </w:rPr>
        <w:t>2024年度部门决算情况说明</w:t>
      </w:r>
      <w:bookmarkEnd w:id="18"/>
    </w:p>
    <w:p w14:paraId="78E7DD48">
      <w:pPr>
        <w:widowControl w:val="0"/>
        <w:spacing w:line="600" w:lineRule="exact"/>
        <w:ind w:firstLine="640" w:firstLineChars="200"/>
        <w:jc w:val="both"/>
        <w:rPr>
          <w:rFonts w:hint="eastAsia" w:ascii="仿宋" w:hAnsi="仿宋" w:eastAsia="仿宋"/>
          <w:sz w:val="32"/>
        </w:rPr>
      </w:pPr>
    </w:p>
    <w:p w14:paraId="7220FAEE">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9" w:name="_Toc7730"/>
      <w:bookmarkEnd w:id="19"/>
      <w:bookmarkStart w:id="20" w:name="_Toc236171797"/>
      <w:r>
        <w:rPr>
          <w:rFonts w:ascii="黑体" w:hAnsi="黑体" w:eastAsia="黑体"/>
          <w:b w:val="0"/>
          <w:bCs/>
          <w:sz w:val="32"/>
          <w:szCs w:val="32"/>
        </w:rPr>
        <w:t>一、</w:t>
      </w:r>
      <w:bookmarkStart w:id="21" w:name="_Toc24938"/>
      <w:bookmarkEnd w:id="21"/>
      <w:bookmarkStart w:id="22" w:name="_Toc15377205"/>
      <w:bookmarkEnd w:id="22"/>
      <w:bookmarkStart w:id="23" w:name="_Toc15396603"/>
      <w:r>
        <w:rPr>
          <w:rFonts w:ascii="黑体" w:hAnsi="黑体" w:eastAsia="黑体"/>
          <w:b w:val="0"/>
          <w:bCs/>
          <w:sz w:val="32"/>
          <w:szCs w:val="32"/>
        </w:rPr>
        <w:t>收</w:t>
      </w:r>
      <w:bookmarkEnd w:id="23"/>
      <w:r>
        <w:rPr>
          <w:rFonts w:ascii="黑体" w:hAnsi="黑体" w:eastAsia="黑体"/>
          <w:b w:val="0"/>
          <w:bCs/>
          <w:sz w:val="32"/>
          <w:szCs w:val="32"/>
        </w:rPr>
        <w:t>入支出决算总体情况说明</w:t>
      </w:r>
      <w:bookmarkEnd w:id="20"/>
    </w:p>
    <w:p w14:paraId="76476C53">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
          <w:sz w:val="32"/>
          <w:szCs w:val="32"/>
          <w:lang w:bidi="ar"/>
        </w:rPr>
        <w:t>年度收入</w:t>
      </w:r>
      <w:r>
        <w:rPr>
          <w:rFonts w:hint="eastAsia" w:ascii="仿宋" w:hAnsi="仿宋" w:eastAsia="仿宋" w:cs="Times New Roman"/>
          <w:sz w:val="32"/>
          <w:szCs w:val="32"/>
          <w:lang w:bidi="ar"/>
        </w:rPr>
        <w:t>2399.47万元，与2023年相比，收入增加1011.74万元，上升72.9%；</w:t>
      </w:r>
      <w:r>
        <w:rPr>
          <w:rFonts w:hint="eastAsia" w:ascii="仿宋" w:hAnsi="仿宋" w:eastAsia="仿宋" w:cs="仿宋"/>
          <w:sz w:val="32"/>
          <w:szCs w:val="32"/>
          <w:lang w:bidi="ar"/>
        </w:rPr>
        <w:t>支出总计</w:t>
      </w:r>
      <w:r>
        <w:rPr>
          <w:rFonts w:hint="eastAsia" w:ascii="仿宋" w:hAnsi="仿宋" w:eastAsia="仿宋" w:cs="Times New Roman"/>
          <w:sz w:val="32"/>
          <w:szCs w:val="32"/>
          <w:lang w:bidi="ar"/>
        </w:rPr>
        <w:t>2399.47</w:t>
      </w:r>
      <w:r>
        <w:rPr>
          <w:rFonts w:hint="eastAsia" w:ascii="仿宋" w:hAnsi="仿宋" w:eastAsia="仿宋" w:cs="仿宋"/>
          <w:sz w:val="32"/>
          <w:szCs w:val="32"/>
          <w:lang w:bidi="ar"/>
        </w:rPr>
        <w:t>万元。与</w:t>
      </w:r>
      <w:r>
        <w:rPr>
          <w:rFonts w:hint="eastAsia" w:ascii="仿宋" w:hAnsi="仿宋" w:eastAsia="仿宋" w:cs="Times New Roman"/>
          <w:sz w:val="32"/>
          <w:szCs w:val="32"/>
          <w:lang w:bidi="ar"/>
        </w:rPr>
        <w:t>2023</w:t>
      </w:r>
      <w:r>
        <w:rPr>
          <w:rFonts w:hint="eastAsia" w:ascii="仿宋" w:hAnsi="仿宋" w:eastAsia="仿宋" w:cs="仿宋"/>
          <w:sz w:val="32"/>
          <w:szCs w:val="32"/>
          <w:lang w:bidi="ar"/>
        </w:rPr>
        <w:t>年相比，支出总计增加</w:t>
      </w:r>
      <w:r>
        <w:rPr>
          <w:rFonts w:hint="eastAsia" w:ascii="仿宋" w:hAnsi="仿宋" w:eastAsia="仿宋" w:cs="Times New Roman"/>
          <w:sz w:val="32"/>
          <w:szCs w:val="32"/>
          <w:lang w:bidi="ar"/>
        </w:rPr>
        <w:t>754.36</w:t>
      </w:r>
      <w:r>
        <w:rPr>
          <w:rFonts w:hint="eastAsia" w:ascii="仿宋" w:hAnsi="仿宋" w:eastAsia="仿宋" w:cs="仿宋"/>
          <w:sz w:val="32"/>
          <w:szCs w:val="32"/>
          <w:lang w:bidi="ar"/>
        </w:rPr>
        <w:t>万元，上升</w:t>
      </w:r>
      <w:r>
        <w:rPr>
          <w:rFonts w:hint="eastAsia" w:ascii="仿宋" w:hAnsi="仿宋" w:eastAsia="仿宋" w:cs="Times New Roman"/>
          <w:sz w:val="32"/>
          <w:szCs w:val="32"/>
          <w:lang w:bidi="ar"/>
        </w:rPr>
        <w:t>45.85%</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项目拨款增加。</w:t>
      </w:r>
    </w:p>
    <w:p w14:paraId="2D13B3B3">
      <w:pPr>
        <w:pStyle w:val="81"/>
        <w:keepNext/>
        <w:widowControl w:val="0"/>
        <w:spacing w:beforeAutospacing="0" w:afterAutospacing="0"/>
        <w:jc w:val="center"/>
        <w:rPr>
          <w:rFonts w:hint="eastAsia" w:ascii="仿宋" w:hAnsi="仿宋" w:eastAsia="仿宋"/>
          <w:sz w:val="32"/>
        </w:rPr>
      </w:pPr>
      <w:r>
        <w:rPr>
          <w:rFonts w:hint="eastAsia" w:ascii="仿宋" w:hAnsi="仿宋" w:eastAsia="仿宋"/>
          <w:sz w:val="32"/>
        </w:rPr>
        <w:drawing>
          <wp:inline distT="0" distB="0" distL="114300" distR="114300">
            <wp:extent cx="4076700" cy="2257425"/>
            <wp:effectExtent l="0" t="0" r="0" b="9525"/>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56"/>
                    <pic:cNvPicPr>
                      <a:picLocks noChangeAspect="1"/>
                    </pic:cNvPicPr>
                  </pic:nvPicPr>
                  <pic:blipFill>
                    <a:blip r:embed="rId8"/>
                    <a:stretch>
                      <a:fillRect/>
                    </a:stretch>
                  </pic:blipFill>
                  <pic:spPr>
                    <a:xfrm>
                      <a:off x="0" y="0"/>
                      <a:ext cx="4076700" cy="2257425"/>
                    </a:xfrm>
                    <a:prstGeom prst="rect">
                      <a:avLst/>
                    </a:prstGeom>
                    <a:noFill/>
                    <a:ln w="9525">
                      <a:noFill/>
                    </a:ln>
                  </pic:spPr>
                </pic:pic>
              </a:graphicData>
            </a:graphic>
          </wp:inline>
        </w:drawing>
      </w:r>
    </w:p>
    <w:p w14:paraId="67E1A421">
      <w:pPr>
        <w:pStyle w:val="81"/>
        <w:widowControl w:val="0"/>
        <w:spacing w:beforeAutospacing="0" w:afterAutospacing="0" w:line="600" w:lineRule="exact"/>
        <w:jc w:val="center"/>
        <w:rPr>
          <w:rFonts w:hint="eastAsia" w:ascii="仿宋" w:hAnsi="仿宋" w:eastAsia="仿宋" w:cs="仿宋"/>
          <w:kern w:val="2"/>
          <w:sz w:val="32"/>
          <w:szCs w:val="32"/>
        </w:rPr>
      </w:pPr>
      <w:r>
        <w:rPr>
          <w:rFonts w:hint="eastAsia" w:ascii="仿宋" w:hAnsi="仿宋" w:eastAsia="仿宋" w:cs="仿宋"/>
          <w:kern w:val="2"/>
          <w:sz w:val="32"/>
          <w:szCs w:val="32"/>
        </w:rPr>
        <w:t>（图</w:t>
      </w:r>
      <w:r>
        <w:rPr>
          <w:rFonts w:hint="eastAsia" w:ascii="仿宋" w:hAnsi="仿宋" w:eastAsia="仿宋" w:cs="Times New Roman"/>
          <w:kern w:val="2"/>
          <w:sz w:val="32"/>
          <w:szCs w:val="32"/>
        </w:rPr>
        <w:t>1</w:t>
      </w:r>
      <w:r>
        <w:rPr>
          <w:rFonts w:hint="eastAsia" w:ascii="仿宋" w:hAnsi="仿宋" w:eastAsia="仿宋" w:cs="仿宋"/>
          <w:kern w:val="2"/>
          <w:sz w:val="32"/>
          <w:szCs w:val="32"/>
        </w:rPr>
        <w:t>）</w:t>
      </w:r>
    </w:p>
    <w:p w14:paraId="1C70F72F">
      <w:pPr>
        <w:widowControl w:val="0"/>
        <w:spacing w:line="600" w:lineRule="exact"/>
        <w:ind w:firstLine="640" w:firstLineChars="200"/>
        <w:jc w:val="both"/>
        <w:rPr>
          <w:rFonts w:hint="eastAsia" w:ascii="仿宋" w:hAnsi="仿宋" w:eastAsia="仿宋"/>
          <w:sz w:val="32"/>
        </w:rPr>
      </w:pPr>
    </w:p>
    <w:p w14:paraId="5662787A">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24" w:name="_Toc15396604"/>
      <w:bookmarkEnd w:id="24"/>
      <w:bookmarkStart w:id="25" w:name="_Toc236171798"/>
      <w:r>
        <w:rPr>
          <w:rFonts w:ascii="黑体" w:hAnsi="黑体" w:eastAsia="黑体"/>
          <w:b w:val="0"/>
          <w:bCs/>
          <w:sz w:val="32"/>
          <w:szCs w:val="32"/>
        </w:rPr>
        <w:t>二、</w:t>
      </w:r>
      <w:bookmarkStart w:id="26" w:name="_Toc20541"/>
      <w:bookmarkEnd w:id="26"/>
      <w:bookmarkStart w:id="27" w:name="_Toc15377206"/>
      <w:bookmarkEnd w:id="27"/>
      <w:bookmarkStart w:id="28" w:name="_Toc11395"/>
      <w:r>
        <w:rPr>
          <w:rFonts w:ascii="黑体" w:hAnsi="黑体" w:eastAsia="黑体"/>
          <w:b w:val="0"/>
          <w:bCs/>
          <w:sz w:val="32"/>
          <w:szCs w:val="32"/>
        </w:rPr>
        <w:t>收</w:t>
      </w:r>
      <w:bookmarkEnd w:id="28"/>
      <w:r>
        <w:rPr>
          <w:rFonts w:ascii="黑体" w:hAnsi="黑体" w:eastAsia="黑体"/>
          <w:b w:val="0"/>
          <w:bCs/>
          <w:sz w:val="32"/>
          <w:szCs w:val="32"/>
        </w:rPr>
        <w:t>入决算情况说明</w:t>
      </w:r>
      <w:bookmarkEnd w:id="25"/>
    </w:p>
    <w:p w14:paraId="1AB4CF24">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
          <w:sz w:val="32"/>
          <w:szCs w:val="32"/>
          <w:lang w:bidi="ar"/>
        </w:rPr>
        <w:t>年本年收入合计</w:t>
      </w:r>
      <w:r>
        <w:rPr>
          <w:rFonts w:hint="eastAsia" w:ascii="仿宋" w:hAnsi="仿宋" w:eastAsia="仿宋" w:cs="Times New Roman"/>
          <w:sz w:val="32"/>
          <w:szCs w:val="32"/>
          <w:lang w:bidi="ar"/>
        </w:rPr>
        <w:t>2399.47</w:t>
      </w:r>
      <w:r>
        <w:rPr>
          <w:rFonts w:hint="eastAsia" w:ascii="仿宋" w:hAnsi="仿宋" w:eastAsia="仿宋" w:cs="仿宋"/>
          <w:sz w:val="32"/>
          <w:szCs w:val="32"/>
          <w:lang w:bidi="ar"/>
        </w:rPr>
        <w:t>万元，其中：一般公共预算财政拨款收入</w:t>
      </w:r>
      <w:r>
        <w:rPr>
          <w:rFonts w:hint="eastAsia" w:ascii="仿宋" w:hAnsi="仿宋" w:eastAsia="仿宋" w:cs="Times New Roman"/>
          <w:sz w:val="32"/>
          <w:szCs w:val="32"/>
          <w:lang w:bidi="ar"/>
        </w:rPr>
        <w:t>2399.47</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100%</w:t>
      </w:r>
      <w:r>
        <w:rPr>
          <w:rFonts w:hint="eastAsia" w:ascii="仿宋" w:hAnsi="仿宋" w:eastAsia="仿宋" w:cs="仿宋"/>
          <w:sz w:val="32"/>
          <w:szCs w:val="32"/>
          <w:lang w:bidi="ar"/>
        </w:rPr>
        <w:t>；政府性基金预算财政拨款收入</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；上级补助收入</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；事业收入</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；经营收入</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；附属单位上缴收入</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；其他收入</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w:t>
      </w:r>
    </w:p>
    <w:p w14:paraId="263FFB41">
      <w:pPr>
        <w:widowControl w:val="0"/>
        <w:spacing w:line="600" w:lineRule="exact"/>
        <w:ind w:firstLine="640" w:firstLineChars="200"/>
        <w:jc w:val="both"/>
        <w:rPr>
          <w:rFonts w:hint="eastAsia" w:ascii="仿宋" w:hAnsi="仿宋" w:eastAsia="仿宋"/>
          <w:sz w:val="32"/>
        </w:rPr>
      </w:pPr>
    </w:p>
    <w:p w14:paraId="7F96B358">
      <w:pPr>
        <w:widowControl w:val="0"/>
        <w:spacing w:line="600" w:lineRule="exact"/>
        <w:ind w:firstLine="640" w:firstLineChars="200"/>
        <w:jc w:val="both"/>
        <w:rPr>
          <w:rFonts w:hint="eastAsia" w:ascii="仿宋" w:hAnsi="仿宋" w:eastAsia="仿宋"/>
          <w:sz w:val="32"/>
        </w:rPr>
      </w:pPr>
    </w:p>
    <w:p w14:paraId="536B22CA">
      <w:pPr>
        <w:keepNext/>
        <w:widowControl w:val="0"/>
        <w:jc w:val="center"/>
        <w:rPr>
          <w:rFonts w:hint="eastAsia" w:ascii="仿宋" w:hAnsi="仿宋" w:eastAsia="仿宋"/>
          <w:sz w:val="32"/>
        </w:rPr>
      </w:pPr>
      <w:r>
        <w:rPr>
          <w:rFonts w:hint="eastAsia" w:ascii="仿宋" w:hAnsi="仿宋" w:eastAsia="仿宋" w:cs="宋体"/>
          <w:kern w:val="0"/>
          <w:sz w:val="32"/>
          <w:lang w:bidi="ar"/>
        </w:rPr>
        <w:drawing>
          <wp:inline distT="0" distB="0" distL="114300" distR="114300">
            <wp:extent cx="3924300" cy="2324100"/>
            <wp:effectExtent l="0" t="0" r="0" b="0"/>
            <wp:docPr id="20" name="图片 2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57"/>
                    <pic:cNvPicPr>
                      <a:picLocks noChangeAspect="1"/>
                    </pic:cNvPicPr>
                  </pic:nvPicPr>
                  <pic:blipFill>
                    <a:blip r:embed="rId9"/>
                    <a:stretch>
                      <a:fillRect/>
                    </a:stretch>
                  </pic:blipFill>
                  <pic:spPr>
                    <a:xfrm>
                      <a:off x="0" y="0"/>
                      <a:ext cx="3924300" cy="2324100"/>
                    </a:xfrm>
                    <a:prstGeom prst="rect">
                      <a:avLst/>
                    </a:prstGeom>
                    <a:noFill/>
                    <a:ln w="9525">
                      <a:noFill/>
                    </a:ln>
                  </pic:spPr>
                </pic:pic>
              </a:graphicData>
            </a:graphic>
          </wp:inline>
        </w:drawing>
      </w:r>
    </w:p>
    <w:p w14:paraId="30D4E233">
      <w:pPr>
        <w:widowControl w:val="0"/>
        <w:spacing w:line="600" w:lineRule="exact"/>
        <w:jc w:val="center"/>
        <w:rPr>
          <w:rFonts w:hint="eastAsia" w:ascii="仿宋" w:hAnsi="仿宋" w:eastAsia="仿宋" w:cs="仿宋"/>
          <w:sz w:val="32"/>
          <w:szCs w:val="32"/>
          <w:lang w:bidi="ar"/>
        </w:rPr>
      </w:pPr>
      <w:bookmarkStart w:id="29" w:name="_Toc15336"/>
      <w:bookmarkEnd w:id="29"/>
      <w:r>
        <w:rPr>
          <w:rFonts w:hint="eastAsia" w:ascii="仿宋" w:hAnsi="仿宋" w:eastAsia="仿宋" w:cs="仿宋"/>
          <w:sz w:val="32"/>
          <w:szCs w:val="32"/>
          <w:lang w:bidi="ar"/>
        </w:rPr>
        <w:t>（图</w:t>
      </w:r>
      <w:r>
        <w:rPr>
          <w:rFonts w:hint="eastAsia" w:ascii="仿宋" w:hAnsi="仿宋" w:eastAsia="仿宋" w:cs="Times New Roman"/>
          <w:sz w:val="32"/>
          <w:szCs w:val="32"/>
          <w:lang w:bidi="ar"/>
        </w:rPr>
        <w:t>2</w:t>
      </w:r>
      <w:r>
        <w:rPr>
          <w:rFonts w:hint="eastAsia" w:ascii="仿宋" w:hAnsi="仿宋" w:eastAsia="仿宋" w:cs="仿宋"/>
          <w:sz w:val="32"/>
          <w:szCs w:val="32"/>
          <w:lang w:bidi="ar"/>
        </w:rPr>
        <w:t>）</w:t>
      </w:r>
    </w:p>
    <w:p w14:paraId="1EC7D4A2">
      <w:pPr>
        <w:widowControl w:val="0"/>
        <w:spacing w:line="600" w:lineRule="exact"/>
        <w:ind w:firstLine="640" w:firstLineChars="200"/>
        <w:jc w:val="both"/>
        <w:rPr>
          <w:rFonts w:hint="eastAsia" w:ascii="仿宋" w:hAnsi="仿宋" w:eastAsia="仿宋"/>
          <w:sz w:val="32"/>
        </w:rPr>
      </w:pPr>
    </w:p>
    <w:p w14:paraId="20B9B180">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30" w:name="_Toc236171799"/>
      <w:r>
        <w:rPr>
          <w:rFonts w:ascii="黑体" w:hAnsi="黑体" w:eastAsia="黑体"/>
          <w:b w:val="0"/>
          <w:bCs/>
          <w:sz w:val="32"/>
          <w:szCs w:val="32"/>
        </w:rPr>
        <w:t>三、</w:t>
      </w:r>
      <w:bookmarkStart w:id="31" w:name="_Toc26743"/>
      <w:bookmarkEnd w:id="31"/>
      <w:bookmarkStart w:id="32" w:name="_Toc15396605"/>
      <w:bookmarkEnd w:id="32"/>
      <w:bookmarkStart w:id="33" w:name="_Toc15377207"/>
      <w:r>
        <w:rPr>
          <w:rFonts w:ascii="黑体" w:hAnsi="黑体" w:eastAsia="黑体"/>
          <w:b w:val="0"/>
          <w:bCs/>
          <w:sz w:val="32"/>
          <w:szCs w:val="32"/>
        </w:rPr>
        <w:t>支</w:t>
      </w:r>
      <w:bookmarkEnd w:id="33"/>
      <w:r>
        <w:rPr>
          <w:rFonts w:ascii="黑体" w:hAnsi="黑体" w:eastAsia="黑体"/>
          <w:b w:val="0"/>
          <w:bCs/>
          <w:sz w:val="32"/>
          <w:szCs w:val="32"/>
        </w:rPr>
        <w:t>出决算情况说明</w:t>
      </w:r>
      <w:bookmarkEnd w:id="30"/>
    </w:p>
    <w:p w14:paraId="0BA5A77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_GB2312"/>
          <w:sz w:val="32"/>
          <w:szCs w:val="32"/>
          <w:lang w:bidi="ar"/>
        </w:rPr>
        <w:t>年本年支出合计</w:t>
      </w:r>
      <w:r>
        <w:rPr>
          <w:rFonts w:hint="eastAsia" w:ascii="仿宋" w:hAnsi="仿宋" w:eastAsia="仿宋" w:cs="Times New Roman"/>
          <w:sz w:val="32"/>
          <w:szCs w:val="32"/>
          <w:lang w:bidi="ar"/>
        </w:rPr>
        <w:t>2399.47</w:t>
      </w:r>
      <w:r>
        <w:rPr>
          <w:rFonts w:hint="eastAsia" w:ascii="仿宋" w:hAnsi="仿宋" w:eastAsia="仿宋" w:cs="仿宋_GB2312"/>
          <w:sz w:val="32"/>
          <w:szCs w:val="32"/>
          <w:lang w:bidi="ar"/>
        </w:rPr>
        <w:t>万元，其中：基本支出</w:t>
      </w:r>
      <w:r>
        <w:rPr>
          <w:rFonts w:hint="eastAsia" w:ascii="仿宋" w:hAnsi="仿宋" w:eastAsia="仿宋" w:cs="Times New Roman"/>
          <w:sz w:val="32"/>
          <w:szCs w:val="32"/>
          <w:lang w:bidi="ar"/>
        </w:rPr>
        <w:t>457.76</w:t>
      </w:r>
      <w:r>
        <w:rPr>
          <w:rFonts w:hint="eastAsia" w:ascii="仿宋" w:hAnsi="仿宋" w:eastAsia="仿宋" w:cs="仿宋_GB2312"/>
          <w:sz w:val="32"/>
          <w:szCs w:val="32"/>
          <w:lang w:bidi="ar"/>
        </w:rPr>
        <w:t>万元，占</w:t>
      </w:r>
      <w:r>
        <w:rPr>
          <w:rFonts w:hint="eastAsia" w:ascii="仿宋" w:hAnsi="仿宋" w:eastAsia="仿宋" w:cs="Times New Roman"/>
          <w:sz w:val="32"/>
          <w:szCs w:val="32"/>
          <w:lang w:bidi="ar"/>
        </w:rPr>
        <w:t>19.10%</w:t>
      </w:r>
      <w:r>
        <w:rPr>
          <w:rFonts w:hint="eastAsia" w:ascii="仿宋" w:hAnsi="仿宋" w:eastAsia="仿宋" w:cs="仿宋_GB2312"/>
          <w:sz w:val="32"/>
          <w:szCs w:val="32"/>
          <w:lang w:bidi="ar"/>
        </w:rPr>
        <w:t>；项目支出</w:t>
      </w:r>
      <w:r>
        <w:rPr>
          <w:rFonts w:hint="eastAsia" w:ascii="仿宋" w:hAnsi="仿宋" w:eastAsia="仿宋" w:cs="Times New Roman"/>
          <w:sz w:val="32"/>
          <w:szCs w:val="32"/>
          <w:lang w:bidi="ar"/>
        </w:rPr>
        <w:t>1941.71</w:t>
      </w:r>
      <w:r>
        <w:rPr>
          <w:rFonts w:hint="eastAsia" w:ascii="仿宋" w:hAnsi="仿宋" w:eastAsia="仿宋" w:cs="仿宋_GB2312"/>
          <w:sz w:val="32"/>
          <w:szCs w:val="32"/>
          <w:lang w:bidi="ar"/>
        </w:rPr>
        <w:t>万元，占</w:t>
      </w:r>
      <w:r>
        <w:rPr>
          <w:rFonts w:hint="eastAsia" w:ascii="仿宋" w:hAnsi="仿宋" w:eastAsia="仿宋" w:cs="Times New Roman"/>
          <w:sz w:val="32"/>
          <w:szCs w:val="32"/>
          <w:lang w:bidi="ar"/>
        </w:rPr>
        <w:t>80.9%</w:t>
      </w:r>
      <w:r>
        <w:rPr>
          <w:rFonts w:hint="eastAsia" w:ascii="仿宋" w:hAnsi="仿宋" w:eastAsia="仿宋" w:cs="仿宋_GB2312"/>
          <w:sz w:val="32"/>
          <w:szCs w:val="32"/>
          <w:lang w:bidi="ar"/>
        </w:rPr>
        <w:t>；上缴上级支出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；经营支出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；对附属单位补助支出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万元，占</w:t>
      </w:r>
      <w:r>
        <w:rPr>
          <w:rFonts w:hint="eastAsia" w:ascii="仿宋" w:hAnsi="仿宋" w:eastAsia="仿宋" w:cs="Times New Roman"/>
          <w:sz w:val="32"/>
          <w:szCs w:val="32"/>
          <w:lang w:bidi="ar"/>
        </w:rPr>
        <w:t>0%</w:t>
      </w:r>
    </w:p>
    <w:p w14:paraId="6D16A1B3">
      <w:pPr>
        <w:pStyle w:val="81"/>
        <w:keepNext/>
        <w:widowControl w:val="0"/>
        <w:spacing w:beforeAutospacing="0" w:afterAutospacing="0"/>
        <w:jc w:val="center"/>
        <w:rPr>
          <w:rFonts w:hint="eastAsia" w:ascii="仿宋" w:hAnsi="仿宋" w:eastAsia="仿宋"/>
          <w:sz w:val="32"/>
        </w:rPr>
      </w:pPr>
      <w:r>
        <w:rPr>
          <w:rFonts w:hint="eastAsia" w:ascii="仿宋" w:hAnsi="仿宋" w:eastAsia="仿宋"/>
          <w:sz w:val="32"/>
        </w:rPr>
        <w:drawing>
          <wp:inline distT="0" distB="0" distL="114300" distR="114300">
            <wp:extent cx="4057650" cy="2162175"/>
            <wp:effectExtent l="0" t="0" r="0" b="9525"/>
            <wp:docPr id="25" name="图片 2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descr="IMG_258"/>
                    <pic:cNvPicPr>
                      <a:picLocks noChangeAspect="1"/>
                    </pic:cNvPicPr>
                  </pic:nvPicPr>
                  <pic:blipFill>
                    <a:blip r:embed="rId10"/>
                    <a:stretch>
                      <a:fillRect/>
                    </a:stretch>
                  </pic:blipFill>
                  <pic:spPr>
                    <a:xfrm>
                      <a:off x="0" y="0"/>
                      <a:ext cx="4057650" cy="2162175"/>
                    </a:xfrm>
                    <a:prstGeom prst="rect">
                      <a:avLst/>
                    </a:prstGeom>
                    <a:noFill/>
                    <a:ln w="9525">
                      <a:noFill/>
                    </a:ln>
                  </pic:spPr>
                </pic:pic>
              </a:graphicData>
            </a:graphic>
          </wp:inline>
        </w:drawing>
      </w:r>
    </w:p>
    <w:p w14:paraId="18463A94">
      <w:pPr>
        <w:widowControl w:val="0"/>
        <w:spacing w:line="600" w:lineRule="exact"/>
        <w:jc w:val="center"/>
        <w:rPr>
          <w:rFonts w:hint="eastAsia" w:ascii="仿宋" w:hAnsi="仿宋" w:eastAsia="仿宋" w:cs="Times New Roman"/>
          <w:sz w:val="32"/>
          <w:szCs w:val="32"/>
          <w:lang w:bidi="ar"/>
        </w:rPr>
      </w:pPr>
      <w:r>
        <w:rPr>
          <w:rFonts w:hint="eastAsia" w:ascii="仿宋" w:hAnsi="仿宋" w:eastAsia="仿宋" w:cs="仿宋"/>
          <w:sz w:val="32"/>
          <w:szCs w:val="32"/>
          <w:lang w:bidi="ar"/>
        </w:rPr>
        <w:t>（图</w:t>
      </w:r>
      <w:r>
        <w:rPr>
          <w:rFonts w:hint="eastAsia" w:ascii="仿宋" w:hAnsi="仿宋" w:eastAsia="仿宋" w:cs="Times New Roman"/>
          <w:sz w:val="32"/>
          <w:szCs w:val="32"/>
          <w:lang w:bidi="ar"/>
        </w:rPr>
        <w:t>3）</w:t>
      </w:r>
    </w:p>
    <w:p w14:paraId="74C9BB89">
      <w:pPr>
        <w:widowControl w:val="0"/>
        <w:spacing w:line="600" w:lineRule="exact"/>
        <w:ind w:firstLine="640" w:firstLineChars="200"/>
        <w:jc w:val="both"/>
        <w:rPr>
          <w:rFonts w:hint="eastAsia" w:ascii="仿宋" w:hAnsi="仿宋" w:eastAsia="仿宋"/>
          <w:sz w:val="32"/>
        </w:rPr>
      </w:pPr>
    </w:p>
    <w:p w14:paraId="5941FEA1">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34" w:name="_Toc15377208"/>
      <w:bookmarkEnd w:id="34"/>
      <w:bookmarkStart w:id="35" w:name="_Toc14087"/>
      <w:bookmarkEnd w:id="35"/>
      <w:bookmarkStart w:id="36" w:name="_Toc15396606"/>
      <w:bookmarkEnd w:id="36"/>
      <w:bookmarkStart w:id="37" w:name="_Toc5223"/>
      <w:bookmarkStart w:id="38" w:name="_Toc236171800"/>
      <w:r>
        <w:rPr>
          <w:rFonts w:ascii="黑体" w:hAnsi="黑体" w:eastAsia="黑体"/>
          <w:b w:val="0"/>
          <w:bCs/>
          <w:sz w:val="32"/>
          <w:szCs w:val="32"/>
        </w:rPr>
        <w:t>四、财</w:t>
      </w:r>
      <w:bookmarkEnd w:id="37"/>
      <w:r>
        <w:rPr>
          <w:rFonts w:ascii="黑体" w:hAnsi="黑体" w:eastAsia="黑体"/>
          <w:b w:val="0"/>
          <w:bCs/>
          <w:sz w:val="32"/>
          <w:szCs w:val="32"/>
        </w:rPr>
        <w:t>政拨款收入支出决算总体情况说明</w:t>
      </w:r>
      <w:bookmarkEnd w:id="38"/>
    </w:p>
    <w:p w14:paraId="53D24F89">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
          <w:sz w:val="32"/>
          <w:szCs w:val="32"/>
          <w:lang w:bidi="ar"/>
        </w:rPr>
        <w:t>年度收入</w:t>
      </w:r>
      <w:r>
        <w:rPr>
          <w:rFonts w:hint="eastAsia" w:ascii="仿宋" w:hAnsi="仿宋" w:eastAsia="仿宋" w:cs="Times New Roman"/>
          <w:sz w:val="32"/>
          <w:szCs w:val="32"/>
          <w:lang w:bidi="ar"/>
        </w:rPr>
        <w:t>2399.47万元，与2023年相比，收入增加1011.74万元，上升82.37%，主要变动</w:t>
      </w:r>
      <w:r>
        <w:rPr>
          <w:rFonts w:hint="eastAsia" w:ascii="仿宋" w:hAnsi="仿宋" w:eastAsia="仿宋" w:cs="Times New Roman"/>
          <w:sz w:val="32"/>
          <w:szCs w:val="32"/>
          <w:lang w:eastAsia="zh-CN" w:bidi="ar"/>
        </w:rPr>
        <w:t>原因</w:t>
      </w:r>
      <w:r>
        <w:rPr>
          <w:rFonts w:hint="eastAsia" w:ascii="仿宋" w:hAnsi="仿宋" w:eastAsia="仿宋" w:cs="Times New Roman"/>
          <w:sz w:val="32"/>
          <w:szCs w:val="32"/>
          <w:lang w:bidi="ar"/>
        </w:rPr>
        <w:t>项目经费的增加；</w:t>
      </w:r>
      <w:r>
        <w:rPr>
          <w:rFonts w:hint="eastAsia" w:ascii="仿宋" w:hAnsi="仿宋" w:eastAsia="仿宋" w:cs="仿宋"/>
          <w:sz w:val="32"/>
          <w:szCs w:val="32"/>
          <w:lang w:bidi="ar"/>
        </w:rPr>
        <w:t>支出总计</w:t>
      </w:r>
      <w:r>
        <w:rPr>
          <w:rFonts w:hint="eastAsia" w:ascii="仿宋" w:hAnsi="仿宋" w:eastAsia="仿宋" w:cs="Times New Roman"/>
          <w:sz w:val="32"/>
          <w:szCs w:val="32"/>
          <w:lang w:bidi="ar"/>
        </w:rPr>
        <w:t>2399.47</w:t>
      </w:r>
      <w:r>
        <w:rPr>
          <w:rFonts w:hint="eastAsia" w:ascii="仿宋" w:hAnsi="仿宋" w:eastAsia="仿宋" w:cs="仿宋"/>
          <w:sz w:val="32"/>
          <w:szCs w:val="32"/>
          <w:lang w:bidi="ar"/>
        </w:rPr>
        <w:t>万元。与</w:t>
      </w:r>
      <w:r>
        <w:rPr>
          <w:rFonts w:hint="eastAsia" w:ascii="仿宋" w:hAnsi="仿宋" w:eastAsia="仿宋" w:cs="Times New Roman"/>
          <w:sz w:val="32"/>
          <w:szCs w:val="32"/>
          <w:lang w:bidi="ar"/>
        </w:rPr>
        <w:t>2023</w:t>
      </w:r>
      <w:r>
        <w:rPr>
          <w:rFonts w:hint="eastAsia" w:ascii="仿宋" w:hAnsi="仿宋" w:eastAsia="仿宋" w:cs="仿宋"/>
          <w:sz w:val="32"/>
          <w:szCs w:val="32"/>
          <w:lang w:bidi="ar"/>
        </w:rPr>
        <w:t>年相比，支出总计增加</w:t>
      </w:r>
      <w:r>
        <w:rPr>
          <w:rFonts w:hint="eastAsia" w:ascii="仿宋" w:hAnsi="仿宋" w:eastAsia="仿宋" w:cs="Times New Roman"/>
          <w:sz w:val="32"/>
          <w:szCs w:val="32"/>
          <w:lang w:bidi="ar"/>
        </w:rPr>
        <w:t>754.36</w:t>
      </w:r>
      <w:r>
        <w:rPr>
          <w:rFonts w:hint="eastAsia" w:ascii="仿宋" w:hAnsi="仿宋" w:eastAsia="仿宋" w:cs="仿宋"/>
          <w:sz w:val="32"/>
          <w:szCs w:val="32"/>
          <w:lang w:bidi="ar"/>
        </w:rPr>
        <w:t>万元，上升</w:t>
      </w:r>
      <w:r>
        <w:rPr>
          <w:rFonts w:hint="eastAsia" w:ascii="仿宋" w:hAnsi="仿宋" w:eastAsia="仿宋" w:cs="Times New Roman"/>
          <w:sz w:val="32"/>
          <w:szCs w:val="32"/>
          <w:lang w:bidi="ar"/>
        </w:rPr>
        <w:t>45.85%</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项目支出增加。</w:t>
      </w:r>
    </w:p>
    <w:p w14:paraId="46422DEF">
      <w:pPr>
        <w:pStyle w:val="81"/>
        <w:keepNext/>
        <w:widowControl w:val="0"/>
        <w:spacing w:beforeAutospacing="0" w:afterAutospacing="0"/>
        <w:jc w:val="center"/>
        <w:rPr>
          <w:rFonts w:hint="eastAsia" w:ascii="仿宋" w:hAnsi="仿宋" w:eastAsia="仿宋"/>
          <w:sz w:val="32"/>
        </w:rPr>
      </w:pPr>
      <w:r>
        <w:rPr>
          <w:rFonts w:hint="eastAsia" w:ascii="仿宋" w:hAnsi="仿宋" w:eastAsia="仿宋"/>
          <w:sz w:val="32"/>
        </w:rPr>
        <w:drawing>
          <wp:inline distT="0" distB="0" distL="114300" distR="114300">
            <wp:extent cx="4257675" cy="1819275"/>
            <wp:effectExtent l="0" t="0" r="9525" b="9525"/>
            <wp:docPr id="22" name="图片 2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59"/>
                    <pic:cNvPicPr>
                      <a:picLocks noChangeAspect="1"/>
                    </pic:cNvPicPr>
                  </pic:nvPicPr>
                  <pic:blipFill>
                    <a:blip r:embed="rId11"/>
                    <a:stretch>
                      <a:fillRect/>
                    </a:stretch>
                  </pic:blipFill>
                  <pic:spPr>
                    <a:xfrm>
                      <a:off x="0" y="0"/>
                      <a:ext cx="4257675" cy="1819275"/>
                    </a:xfrm>
                    <a:prstGeom prst="rect">
                      <a:avLst/>
                    </a:prstGeom>
                    <a:noFill/>
                    <a:ln w="9525">
                      <a:noFill/>
                    </a:ln>
                  </pic:spPr>
                </pic:pic>
              </a:graphicData>
            </a:graphic>
          </wp:inline>
        </w:drawing>
      </w:r>
    </w:p>
    <w:p w14:paraId="73E90AA1">
      <w:pPr>
        <w:widowControl w:val="0"/>
        <w:spacing w:line="600" w:lineRule="exact"/>
        <w:jc w:val="center"/>
        <w:rPr>
          <w:rFonts w:hint="eastAsia" w:ascii="仿宋" w:hAnsi="仿宋" w:eastAsia="仿宋" w:cs="仿宋"/>
          <w:sz w:val="32"/>
          <w:szCs w:val="32"/>
          <w:lang w:bidi="ar"/>
        </w:rPr>
      </w:pPr>
      <w:r>
        <w:rPr>
          <w:rFonts w:hint="eastAsia" w:ascii="仿宋" w:hAnsi="仿宋" w:eastAsia="仿宋" w:cs="仿宋"/>
          <w:sz w:val="32"/>
          <w:szCs w:val="32"/>
          <w:lang w:bidi="ar"/>
        </w:rPr>
        <w:t>（图</w:t>
      </w:r>
      <w:r>
        <w:rPr>
          <w:rFonts w:hint="eastAsia" w:ascii="仿宋" w:hAnsi="仿宋" w:eastAsia="仿宋" w:cs="Times New Roman"/>
          <w:sz w:val="32"/>
          <w:szCs w:val="32"/>
          <w:lang w:bidi="ar"/>
        </w:rPr>
        <w:t>4</w:t>
      </w:r>
      <w:r>
        <w:rPr>
          <w:rFonts w:hint="eastAsia" w:ascii="仿宋" w:hAnsi="仿宋" w:eastAsia="仿宋" w:cs="仿宋"/>
          <w:sz w:val="32"/>
          <w:szCs w:val="32"/>
          <w:lang w:bidi="ar"/>
        </w:rPr>
        <w:t>）</w:t>
      </w:r>
    </w:p>
    <w:p w14:paraId="6F215AD2">
      <w:pPr>
        <w:widowControl w:val="0"/>
        <w:spacing w:line="600" w:lineRule="exact"/>
        <w:ind w:firstLine="640" w:firstLineChars="200"/>
        <w:jc w:val="both"/>
        <w:rPr>
          <w:rFonts w:hint="eastAsia" w:ascii="仿宋" w:hAnsi="仿宋" w:eastAsia="仿宋"/>
          <w:sz w:val="32"/>
        </w:rPr>
      </w:pPr>
    </w:p>
    <w:p w14:paraId="4E49B667">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39" w:name="_Toc24991"/>
      <w:bookmarkEnd w:id="39"/>
      <w:bookmarkStart w:id="40" w:name="_Toc15396607"/>
      <w:bookmarkEnd w:id="40"/>
      <w:bookmarkStart w:id="41" w:name="_Toc29620"/>
      <w:bookmarkEnd w:id="41"/>
      <w:bookmarkStart w:id="42" w:name="_Toc15377209"/>
      <w:bookmarkStart w:id="43" w:name="_Toc236171801"/>
      <w:r>
        <w:rPr>
          <w:rFonts w:ascii="黑体" w:hAnsi="黑体" w:eastAsia="黑体"/>
          <w:b w:val="0"/>
          <w:bCs/>
          <w:sz w:val="32"/>
          <w:szCs w:val="32"/>
        </w:rPr>
        <w:t>五、</w:t>
      </w:r>
      <w:bookmarkEnd w:id="42"/>
      <w:r>
        <w:rPr>
          <w:rFonts w:ascii="黑体" w:hAnsi="黑体" w:eastAsia="黑体"/>
          <w:b w:val="0"/>
          <w:bCs/>
          <w:sz w:val="32"/>
          <w:szCs w:val="32"/>
        </w:rPr>
        <w:t>一般公共预算财政拨款支出决算情况说明</w:t>
      </w:r>
      <w:bookmarkEnd w:id="43"/>
    </w:p>
    <w:p w14:paraId="7CE76741">
      <w:pPr>
        <w:widowControl w:val="0"/>
        <w:spacing w:line="600" w:lineRule="exact"/>
        <w:ind w:firstLine="643" w:firstLineChars="200"/>
        <w:jc w:val="both"/>
        <w:rPr>
          <w:rFonts w:hint="eastAsia" w:ascii="仿宋" w:hAnsi="仿宋" w:eastAsia="仿宋"/>
          <w:sz w:val="32"/>
        </w:rPr>
      </w:pPr>
      <w:bookmarkStart w:id="44" w:name="_Toc15377210"/>
      <w:bookmarkEnd w:id="44"/>
      <w:bookmarkStart w:id="45" w:name="_Toc9727"/>
      <w:bookmarkEnd w:id="45"/>
      <w:bookmarkStart w:id="46" w:name="_Toc10660"/>
      <w:r>
        <w:rPr>
          <w:rFonts w:hint="eastAsia" w:ascii="仿宋" w:hAnsi="仿宋" w:eastAsia="仿宋" w:cs="仿宋"/>
          <w:b/>
          <w:sz w:val="32"/>
          <w:szCs w:val="32"/>
          <w:lang w:bidi="ar"/>
        </w:rPr>
        <w:t>（一）一般公共预算财政拨款支出决算总体情况</w:t>
      </w:r>
      <w:bookmarkEnd w:id="46"/>
    </w:p>
    <w:p w14:paraId="547120A6">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
          <w:sz w:val="32"/>
          <w:szCs w:val="32"/>
          <w:lang w:bidi="ar"/>
        </w:rPr>
        <w:t>年一般公共预算财政拨款支出</w:t>
      </w:r>
      <w:r>
        <w:rPr>
          <w:rFonts w:hint="eastAsia" w:ascii="仿宋" w:hAnsi="仿宋" w:eastAsia="仿宋" w:cs="Times New Roman"/>
          <w:sz w:val="32"/>
          <w:szCs w:val="32"/>
          <w:lang w:bidi="ar"/>
        </w:rPr>
        <w:t>2399.47</w:t>
      </w:r>
      <w:r>
        <w:rPr>
          <w:rFonts w:hint="eastAsia" w:ascii="仿宋" w:hAnsi="仿宋" w:eastAsia="仿宋" w:cs="仿宋"/>
          <w:sz w:val="32"/>
          <w:szCs w:val="32"/>
          <w:lang w:bidi="ar"/>
        </w:rPr>
        <w:t>万元，占本年支出合计的</w:t>
      </w:r>
      <w:r>
        <w:rPr>
          <w:rFonts w:hint="eastAsia" w:ascii="仿宋" w:hAnsi="仿宋" w:eastAsia="仿宋" w:cs="Times New Roman"/>
          <w:sz w:val="32"/>
          <w:szCs w:val="32"/>
          <w:lang w:bidi="ar"/>
        </w:rPr>
        <w:t>100%</w:t>
      </w:r>
      <w:r>
        <w:rPr>
          <w:rFonts w:hint="eastAsia" w:ascii="仿宋" w:hAnsi="仿宋" w:eastAsia="仿宋" w:cs="仿宋"/>
          <w:sz w:val="32"/>
          <w:szCs w:val="32"/>
          <w:lang w:bidi="ar"/>
        </w:rPr>
        <w:t>。与</w:t>
      </w:r>
      <w:r>
        <w:rPr>
          <w:rFonts w:hint="eastAsia" w:ascii="仿宋" w:hAnsi="仿宋" w:eastAsia="仿宋" w:cs="Times New Roman"/>
          <w:sz w:val="32"/>
          <w:szCs w:val="32"/>
          <w:lang w:bidi="ar"/>
        </w:rPr>
        <w:t>2023</w:t>
      </w:r>
      <w:r>
        <w:rPr>
          <w:rFonts w:hint="eastAsia" w:ascii="仿宋" w:hAnsi="仿宋" w:eastAsia="仿宋" w:cs="仿宋"/>
          <w:sz w:val="32"/>
          <w:szCs w:val="32"/>
          <w:lang w:bidi="ar"/>
        </w:rPr>
        <w:t>年相比，一般公共预算财政拨款支出增加</w:t>
      </w:r>
      <w:r>
        <w:rPr>
          <w:rFonts w:hint="eastAsia" w:ascii="仿宋" w:hAnsi="仿宋" w:eastAsia="仿宋" w:cs="Times New Roman"/>
          <w:sz w:val="32"/>
          <w:szCs w:val="32"/>
          <w:lang w:bidi="ar"/>
        </w:rPr>
        <w:t>754.36</w:t>
      </w:r>
      <w:r>
        <w:rPr>
          <w:rFonts w:hint="eastAsia" w:ascii="仿宋" w:hAnsi="仿宋" w:eastAsia="仿宋" w:cs="仿宋"/>
          <w:sz w:val="32"/>
          <w:szCs w:val="32"/>
          <w:lang w:bidi="ar"/>
        </w:rPr>
        <w:t>万元，上升</w:t>
      </w:r>
      <w:r>
        <w:rPr>
          <w:rFonts w:hint="eastAsia" w:ascii="仿宋" w:hAnsi="仿宋" w:eastAsia="仿宋" w:cs="Times New Roman"/>
          <w:sz w:val="32"/>
          <w:szCs w:val="32"/>
          <w:lang w:bidi="ar"/>
        </w:rPr>
        <w:t>45.85%</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项目支出增加</w:t>
      </w:r>
    </w:p>
    <w:p w14:paraId="12FE59D9">
      <w:pPr>
        <w:pStyle w:val="81"/>
        <w:keepNext/>
        <w:widowControl w:val="0"/>
        <w:spacing w:beforeAutospacing="0" w:afterAutospacing="0"/>
        <w:jc w:val="center"/>
        <w:rPr>
          <w:rFonts w:hint="eastAsia" w:ascii="仿宋" w:hAnsi="仿宋" w:eastAsia="仿宋"/>
          <w:sz w:val="32"/>
        </w:rPr>
      </w:pPr>
      <w:r>
        <w:rPr>
          <w:rFonts w:hint="eastAsia" w:ascii="仿宋" w:hAnsi="仿宋" w:eastAsia="仿宋"/>
          <w:sz w:val="32"/>
        </w:rPr>
        <w:drawing>
          <wp:inline distT="0" distB="0" distL="114300" distR="114300">
            <wp:extent cx="4295775" cy="2371725"/>
            <wp:effectExtent l="0" t="0" r="9525" b="9525"/>
            <wp:docPr id="23" name="图片 2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60"/>
                    <pic:cNvPicPr>
                      <a:picLocks noChangeAspect="1"/>
                    </pic:cNvPicPr>
                  </pic:nvPicPr>
                  <pic:blipFill>
                    <a:blip r:embed="rId12"/>
                    <a:stretch>
                      <a:fillRect/>
                    </a:stretch>
                  </pic:blipFill>
                  <pic:spPr>
                    <a:xfrm>
                      <a:off x="0" y="0"/>
                      <a:ext cx="4295775" cy="2371725"/>
                    </a:xfrm>
                    <a:prstGeom prst="rect">
                      <a:avLst/>
                    </a:prstGeom>
                    <a:noFill/>
                    <a:ln w="9525">
                      <a:noFill/>
                    </a:ln>
                  </pic:spPr>
                </pic:pic>
              </a:graphicData>
            </a:graphic>
          </wp:inline>
        </w:drawing>
      </w:r>
    </w:p>
    <w:p w14:paraId="42C98FA1">
      <w:pPr>
        <w:widowControl w:val="0"/>
        <w:spacing w:line="600" w:lineRule="exact"/>
        <w:jc w:val="center"/>
        <w:rPr>
          <w:rFonts w:hint="eastAsia" w:ascii="仿宋" w:hAnsi="仿宋" w:eastAsia="仿宋"/>
          <w:sz w:val="32"/>
        </w:rPr>
      </w:pPr>
      <w:r>
        <w:rPr>
          <w:rFonts w:hint="eastAsia" w:ascii="仿宋" w:hAnsi="仿宋" w:eastAsia="仿宋" w:cs="仿宋"/>
          <w:sz w:val="32"/>
          <w:szCs w:val="32"/>
          <w:lang w:bidi="ar"/>
        </w:rPr>
        <w:t>（图</w:t>
      </w:r>
      <w:r>
        <w:rPr>
          <w:rFonts w:hint="eastAsia" w:ascii="仿宋" w:hAnsi="仿宋" w:eastAsia="仿宋" w:cs="Times New Roman"/>
          <w:sz w:val="32"/>
          <w:szCs w:val="32"/>
          <w:lang w:bidi="ar"/>
        </w:rPr>
        <w:t>5）</w:t>
      </w:r>
    </w:p>
    <w:p w14:paraId="4997FD5D">
      <w:pPr>
        <w:widowControl w:val="0"/>
        <w:spacing w:line="600" w:lineRule="exact"/>
        <w:ind w:firstLine="643" w:firstLineChars="200"/>
        <w:jc w:val="both"/>
        <w:rPr>
          <w:rFonts w:hint="eastAsia" w:ascii="仿宋" w:hAnsi="仿宋" w:eastAsia="仿宋"/>
          <w:sz w:val="32"/>
        </w:rPr>
      </w:pPr>
      <w:bookmarkStart w:id="47" w:name="_Toc21693"/>
      <w:bookmarkEnd w:id="47"/>
      <w:bookmarkStart w:id="48" w:name="_Toc15377211"/>
      <w:bookmarkEnd w:id="48"/>
      <w:bookmarkStart w:id="49" w:name="_Toc14038"/>
      <w:r>
        <w:rPr>
          <w:rFonts w:hint="eastAsia" w:ascii="仿宋" w:hAnsi="仿宋" w:eastAsia="仿宋" w:cs="仿宋"/>
          <w:b/>
          <w:sz w:val="32"/>
          <w:szCs w:val="32"/>
          <w:lang w:bidi="ar"/>
        </w:rPr>
        <w:t>（二）一般公共预算财政拨款支出决算结构情况</w:t>
      </w:r>
      <w:bookmarkEnd w:id="49"/>
    </w:p>
    <w:p w14:paraId="66DFA582">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
          <w:sz w:val="32"/>
          <w:szCs w:val="32"/>
          <w:lang w:bidi="ar"/>
        </w:rPr>
        <w:t>年一般公共预算财政拨款支出</w:t>
      </w:r>
      <w:r>
        <w:rPr>
          <w:rFonts w:hint="eastAsia" w:ascii="仿宋" w:hAnsi="仿宋" w:eastAsia="仿宋" w:cs="Times New Roman"/>
          <w:sz w:val="32"/>
          <w:szCs w:val="32"/>
          <w:lang w:bidi="ar"/>
        </w:rPr>
        <w:t>2399.47</w:t>
      </w:r>
      <w:r>
        <w:rPr>
          <w:rFonts w:hint="eastAsia" w:ascii="仿宋" w:hAnsi="仿宋" w:eastAsia="仿宋" w:cs="仿宋"/>
          <w:sz w:val="32"/>
          <w:szCs w:val="32"/>
          <w:lang w:bidi="ar"/>
        </w:rPr>
        <w:t>万元，主要用于以下方面</w:t>
      </w:r>
      <w:r>
        <w:rPr>
          <w:rFonts w:hint="eastAsia" w:ascii="仿宋" w:hAnsi="仿宋" w:eastAsia="仿宋" w:cs="Times New Roman"/>
          <w:sz w:val="32"/>
          <w:szCs w:val="32"/>
          <w:lang w:bidi="ar"/>
        </w:rPr>
        <w:t>:</w:t>
      </w:r>
      <w:r>
        <w:rPr>
          <w:rFonts w:hint="eastAsia" w:ascii="仿宋" w:hAnsi="仿宋" w:eastAsia="仿宋" w:cs="仿宋"/>
          <w:sz w:val="32"/>
          <w:szCs w:val="32"/>
          <w:lang w:bidi="ar"/>
        </w:rPr>
        <w:t>一般公共服务支出</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；教育支出</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；科学技术支出</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；文化旅游体育与传媒支出</w:t>
      </w:r>
      <w:r>
        <w:rPr>
          <w:rFonts w:hint="eastAsia" w:ascii="仿宋" w:hAnsi="仿宋" w:eastAsia="仿宋" w:cs="Times New Roman"/>
          <w:sz w:val="32"/>
          <w:szCs w:val="32"/>
          <w:lang w:bidi="ar"/>
        </w:rPr>
        <w:t>3.87</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0.16%</w:t>
      </w:r>
      <w:r>
        <w:rPr>
          <w:rFonts w:hint="eastAsia" w:ascii="仿宋" w:hAnsi="仿宋" w:eastAsia="仿宋" w:cs="仿宋"/>
          <w:sz w:val="32"/>
          <w:szCs w:val="32"/>
          <w:lang w:bidi="ar"/>
        </w:rPr>
        <w:t>；社会保障和就业支出</w:t>
      </w:r>
      <w:r>
        <w:rPr>
          <w:rFonts w:hint="eastAsia" w:ascii="仿宋" w:hAnsi="仿宋" w:eastAsia="仿宋" w:cs="Times New Roman"/>
          <w:sz w:val="32"/>
          <w:szCs w:val="32"/>
          <w:lang w:bidi="ar"/>
        </w:rPr>
        <w:t>60.05</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2.50%</w:t>
      </w:r>
      <w:r>
        <w:rPr>
          <w:rFonts w:hint="eastAsia" w:ascii="仿宋" w:hAnsi="仿宋" w:eastAsia="仿宋" w:cs="仿宋"/>
          <w:sz w:val="32"/>
          <w:szCs w:val="32"/>
          <w:lang w:bidi="ar"/>
        </w:rPr>
        <w:t>；卫生健康支出</w:t>
      </w:r>
      <w:r>
        <w:rPr>
          <w:rFonts w:hint="eastAsia" w:ascii="仿宋" w:hAnsi="仿宋" w:eastAsia="仿宋" w:cs="Times New Roman"/>
          <w:sz w:val="32"/>
          <w:szCs w:val="32"/>
          <w:lang w:bidi="ar"/>
        </w:rPr>
        <w:t>2304.52</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96.04%</w:t>
      </w:r>
      <w:r>
        <w:rPr>
          <w:rFonts w:hint="eastAsia" w:ascii="仿宋" w:hAnsi="仿宋" w:eastAsia="仿宋" w:cs="仿宋"/>
          <w:sz w:val="32"/>
          <w:szCs w:val="32"/>
          <w:lang w:bidi="ar"/>
        </w:rPr>
        <w:t>；住房保障支出</w:t>
      </w:r>
      <w:r>
        <w:rPr>
          <w:rFonts w:hint="eastAsia" w:ascii="仿宋" w:hAnsi="仿宋" w:eastAsia="仿宋" w:cs="Times New Roman"/>
          <w:sz w:val="32"/>
          <w:szCs w:val="32"/>
          <w:lang w:bidi="ar"/>
        </w:rPr>
        <w:t>31.02</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1.29%</w:t>
      </w:r>
      <w:r>
        <w:rPr>
          <w:rFonts w:hint="eastAsia" w:ascii="仿宋" w:hAnsi="仿宋" w:eastAsia="仿宋" w:cs="仿宋"/>
          <w:sz w:val="32"/>
          <w:szCs w:val="32"/>
          <w:lang w:bidi="ar"/>
        </w:rPr>
        <w:t>占</w:t>
      </w:r>
      <w:r>
        <w:rPr>
          <w:rFonts w:hint="eastAsia" w:ascii="仿宋" w:hAnsi="仿宋" w:eastAsia="仿宋" w:cs="Times New Roman"/>
          <w:sz w:val="32"/>
          <w:szCs w:val="32"/>
          <w:lang w:bidi="ar"/>
        </w:rPr>
        <w:t>0%。</w:t>
      </w:r>
    </w:p>
    <w:p w14:paraId="2CDD6C6E">
      <w:pPr>
        <w:pStyle w:val="81"/>
        <w:keepNext/>
        <w:widowControl w:val="0"/>
        <w:spacing w:beforeAutospacing="0" w:afterAutospacing="0"/>
        <w:jc w:val="center"/>
        <w:rPr>
          <w:rFonts w:hint="eastAsia" w:ascii="仿宋" w:hAnsi="仿宋" w:eastAsia="仿宋"/>
          <w:sz w:val="32"/>
        </w:rPr>
      </w:pPr>
      <w:r>
        <w:rPr>
          <w:rFonts w:hint="eastAsia" w:ascii="仿宋" w:hAnsi="仿宋" w:eastAsia="仿宋"/>
          <w:sz w:val="32"/>
        </w:rPr>
        <w:drawing>
          <wp:inline distT="0" distB="0" distL="114300" distR="114300">
            <wp:extent cx="4591050" cy="2762250"/>
            <wp:effectExtent l="0" t="0" r="0" b="0"/>
            <wp:docPr id="24" name="图片 2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61"/>
                    <pic:cNvPicPr>
                      <a:picLocks noChangeAspect="1"/>
                    </pic:cNvPicPr>
                  </pic:nvPicPr>
                  <pic:blipFill>
                    <a:blip r:embed="rId13"/>
                    <a:stretch>
                      <a:fillRect/>
                    </a:stretch>
                  </pic:blipFill>
                  <pic:spPr>
                    <a:xfrm>
                      <a:off x="0" y="0"/>
                      <a:ext cx="4591050" cy="2762250"/>
                    </a:xfrm>
                    <a:prstGeom prst="rect">
                      <a:avLst/>
                    </a:prstGeom>
                    <a:noFill/>
                    <a:ln w="9525">
                      <a:noFill/>
                    </a:ln>
                  </pic:spPr>
                </pic:pic>
              </a:graphicData>
            </a:graphic>
          </wp:inline>
        </w:drawing>
      </w:r>
    </w:p>
    <w:p w14:paraId="459589A2">
      <w:pPr>
        <w:widowControl w:val="0"/>
        <w:spacing w:line="600" w:lineRule="exact"/>
        <w:jc w:val="center"/>
        <w:rPr>
          <w:rFonts w:hint="eastAsia" w:ascii="仿宋" w:hAnsi="仿宋" w:eastAsia="仿宋"/>
          <w:sz w:val="32"/>
        </w:rPr>
      </w:pPr>
      <w:r>
        <w:rPr>
          <w:rFonts w:hint="eastAsia" w:ascii="仿宋" w:hAnsi="仿宋" w:eastAsia="仿宋" w:cs="仿宋"/>
          <w:sz w:val="32"/>
          <w:szCs w:val="32"/>
          <w:lang w:bidi="ar"/>
        </w:rPr>
        <w:t>（图</w:t>
      </w:r>
      <w:r>
        <w:rPr>
          <w:rFonts w:hint="eastAsia" w:ascii="仿宋" w:hAnsi="仿宋" w:eastAsia="仿宋" w:cs="Times New Roman"/>
          <w:sz w:val="32"/>
          <w:szCs w:val="32"/>
          <w:lang w:bidi="ar"/>
        </w:rPr>
        <w:t>6）</w:t>
      </w:r>
    </w:p>
    <w:p w14:paraId="14CDE53E">
      <w:pPr>
        <w:widowControl w:val="0"/>
        <w:spacing w:line="600" w:lineRule="exact"/>
        <w:ind w:firstLine="643" w:firstLineChars="200"/>
        <w:jc w:val="both"/>
        <w:rPr>
          <w:rFonts w:hint="eastAsia" w:ascii="仿宋" w:hAnsi="仿宋" w:eastAsia="仿宋"/>
          <w:sz w:val="32"/>
        </w:rPr>
      </w:pPr>
      <w:bookmarkStart w:id="50" w:name="_Toc15377212"/>
      <w:bookmarkEnd w:id="50"/>
      <w:bookmarkStart w:id="51" w:name="_Toc21349"/>
      <w:bookmarkEnd w:id="51"/>
      <w:bookmarkStart w:id="52" w:name="_Toc11032"/>
      <w:r>
        <w:rPr>
          <w:rFonts w:hint="eastAsia" w:ascii="仿宋" w:hAnsi="仿宋" w:eastAsia="仿宋" w:cs="仿宋"/>
          <w:b/>
          <w:sz w:val="32"/>
          <w:szCs w:val="32"/>
          <w:lang w:bidi="ar"/>
        </w:rPr>
        <w:t>（三）一般公共预算财政拨款支出决算具体情况</w:t>
      </w:r>
      <w:bookmarkEnd w:id="52"/>
    </w:p>
    <w:p w14:paraId="39E049C0">
      <w:pPr>
        <w:widowControl w:val="0"/>
        <w:spacing w:line="600" w:lineRule="exact"/>
        <w:ind w:firstLine="643" w:firstLineChars="200"/>
        <w:jc w:val="both"/>
        <w:rPr>
          <w:rFonts w:hint="eastAsia" w:ascii="仿宋" w:hAnsi="仿宋" w:eastAsia="仿宋"/>
          <w:sz w:val="32"/>
        </w:rPr>
      </w:pPr>
      <w:bookmarkStart w:id="53" w:name="_Toc15378460"/>
      <w:bookmarkEnd w:id="53"/>
      <w:bookmarkStart w:id="54" w:name="_Toc25477"/>
      <w:bookmarkEnd w:id="54"/>
      <w:bookmarkStart w:id="55" w:name="_Toc15377444"/>
      <w:bookmarkEnd w:id="55"/>
      <w:bookmarkStart w:id="56" w:name="_Toc22512"/>
      <w:bookmarkEnd w:id="56"/>
      <w:bookmarkStart w:id="57" w:name="_Toc15377213"/>
      <w:r>
        <w:rPr>
          <w:rFonts w:hint="eastAsia" w:ascii="仿宋" w:hAnsi="仿宋" w:eastAsia="仿宋" w:cs="Times New Roman"/>
          <w:b/>
          <w:sz w:val="32"/>
          <w:szCs w:val="32"/>
          <w:lang w:bidi="ar"/>
        </w:rPr>
        <w:t>20</w:t>
      </w:r>
      <w:bookmarkEnd w:id="57"/>
      <w:r>
        <w:rPr>
          <w:rFonts w:hint="eastAsia" w:ascii="仿宋" w:hAnsi="仿宋" w:eastAsia="仿宋" w:cs="Times New Roman"/>
          <w:b/>
          <w:sz w:val="32"/>
          <w:szCs w:val="32"/>
          <w:lang w:bidi="ar"/>
        </w:rPr>
        <w:t>24</w:t>
      </w:r>
      <w:r>
        <w:rPr>
          <w:rFonts w:hint="eastAsia" w:ascii="仿宋" w:hAnsi="仿宋" w:eastAsia="仿宋" w:cs="仿宋"/>
          <w:b/>
          <w:sz w:val="32"/>
          <w:szCs w:val="32"/>
          <w:lang w:bidi="ar"/>
        </w:rPr>
        <w:t>年一般公共预算支出决算数为</w:t>
      </w:r>
      <w:r>
        <w:rPr>
          <w:rFonts w:hint="eastAsia" w:ascii="仿宋" w:hAnsi="仿宋" w:eastAsia="仿宋" w:cs="Times New Roman"/>
          <w:b/>
          <w:sz w:val="32"/>
          <w:szCs w:val="32"/>
          <w:lang w:bidi="ar"/>
        </w:rPr>
        <w:t>2399.47</w:t>
      </w:r>
      <w:r>
        <w:rPr>
          <w:rFonts w:hint="eastAsia" w:ascii="仿宋" w:hAnsi="仿宋" w:eastAsia="仿宋" w:cs="仿宋"/>
          <w:sz w:val="32"/>
          <w:szCs w:val="32"/>
          <w:lang w:bidi="ar"/>
        </w:rPr>
        <w:t>，</w:t>
      </w:r>
      <w:r>
        <w:rPr>
          <w:rFonts w:hint="eastAsia" w:ascii="仿宋" w:hAnsi="仿宋" w:eastAsia="仿宋" w:cs="仿宋"/>
          <w:b/>
          <w:kern w:val="0"/>
          <w:sz w:val="32"/>
          <w:szCs w:val="32"/>
          <w:lang w:bidi="ar"/>
        </w:rPr>
        <w:t>完成预算100%。其中：</w:t>
      </w:r>
    </w:p>
    <w:p w14:paraId="6C7A1680">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kern w:val="0"/>
          <w:sz w:val="32"/>
          <w:szCs w:val="32"/>
          <w:lang w:bidi="ar"/>
        </w:rPr>
        <w:t>1.社会保障和就业（208类）05（款）05（项）机关事业单位基本养老保险缴费支出:</w:t>
      </w:r>
      <w:r>
        <w:rPr>
          <w:rFonts w:hint="eastAsia" w:ascii="仿宋" w:hAnsi="仿宋" w:eastAsia="仿宋" w:cs="仿宋"/>
          <w:kern w:val="0"/>
          <w:sz w:val="32"/>
          <w:szCs w:val="32"/>
          <w:lang w:bidi="ar"/>
        </w:rPr>
        <w:t>支出决算为40.03万元，完成预算100%。</w:t>
      </w:r>
    </w:p>
    <w:p w14:paraId="22BE1ED8">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kern w:val="0"/>
          <w:sz w:val="32"/>
          <w:szCs w:val="32"/>
          <w:lang w:bidi="ar"/>
        </w:rPr>
        <w:t>2.社会保障和就业（208类）05（款）06（项）机关事业单位职业年金缴费支出:</w:t>
      </w:r>
      <w:r>
        <w:rPr>
          <w:rFonts w:hint="eastAsia" w:ascii="仿宋" w:hAnsi="仿宋" w:eastAsia="仿宋" w:cs="仿宋"/>
          <w:kern w:val="0"/>
          <w:sz w:val="32"/>
          <w:szCs w:val="32"/>
          <w:lang w:bidi="ar"/>
        </w:rPr>
        <w:t>支出决算为20.02万元，完成预算100%。</w:t>
      </w:r>
    </w:p>
    <w:p w14:paraId="72B1FF23">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kern w:val="0"/>
          <w:sz w:val="32"/>
          <w:szCs w:val="32"/>
          <w:lang w:bidi="ar"/>
        </w:rPr>
        <w:t>3.卫生健康（210类）01（款）01（项）卫生健康支出:</w:t>
      </w:r>
      <w:r>
        <w:rPr>
          <w:rFonts w:hint="eastAsia" w:ascii="仿宋" w:hAnsi="仿宋" w:eastAsia="仿宋" w:cs="仿宋"/>
          <w:kern w:val="0"/>
          <w:sz w:val="32"/>
          <w:szCs w:val="32"/>
          <w:lang w:bidi="ar"/>
        </w:rPr>
        <w:t>支出决算为2304.52万元，完成预算100%。</w:t>
      </w:r>
    </w:p>
    <w:p w14:paraId="3195C42C">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kern w:val="0"/>
          <w:sz w:val="32"/>
          <w:szCs w:val="32"/>
          <w:lang w:bidi="ar"/>
        </w:rPr>
        <w:t>4.住房保障支出221（类）02（款）01（项）住房公积金：</w:t>
      </w:r>
      <w:r>
        <w:rPr>
          <w:rFonts w:hint="eastAsia" w:ascii="仿宋" w:hAnsi="仿宋" w:eastAsia="仿宋" w:cs="仿宋"/>
          <w:kern w:val="0"/>
          <w:sz w:val="32"/>
          <w:szCs w:val="32"/>
          <w:lang w:bidi="ar"/>
        </w:rPr>
        <w:t>支出</w:t>
      </w:r>
      <w:r>
        <w:rPr>
          <w:rFonts w:hint="eastAsia" w:ascii="仿宋" w:hAnsi="仿宋" w:eastAsia="仿宋" w:cs="仿宋"/>
          <w:sz w:val="32"/>
          <w:szCs w:val="32"/>
          <w:lang w:bidi="ar"/>
        </w:rPr>
        <w:t>决算数为</w:t>
      </w:r>
      <w:r>
        <w:rPr>
          <w:rFonts w:hint="eastAsia" w:ascii="仿宋" w:hAnsi="仿宋" w:eastAsia="仿宋" w:cs="Times New Roman"/>
          <w:sz w:val="32"/>
          <w:szCs w:val="32"/>
          <w:lang w:bidi="ar"/>
        </w:rPr>
        <w:t>31.02</w:t>
      </w:r>
      <w:r>
        <w:rPr>
          <w:rFonts w:hint="eastAsia" w:ascii="仿宋" w:hAnsi="仿宋" w:eastAsia="仿宋" w:cs="仿宋"/>
          <w:sz w:val="32"/>
          <w:szCs w:val="32"/>
          <w:lang w:bidi="ar"/>
        </w:rPr>
        <w:t>万元，</w:t>
      </w:r>
      <w:r>
        <w:rPr>
          <w:rFonts w:hint="eastAsia" w:ascii="仿宋" w:hAnsi="仿宋" w:eastAsia="仿宋" w:cs="仿宋"/>
          <w:kern w:val="0"/>
          <w:sz w:val="32"/>
          <w:szCs w:val="32"/>
          <w:lang w:bidi="ar"/>
        </w:rPr>
        <w:t>完成预算100%。</w:t>
      </w:r>
    </w:p>
    <w:p w14:paraId="59939989">
      <w:pPr>
        <w:widowControl w:val="0"/>
        <w:spacing w:line="600" w:lineRule="exact"/>
        <w:ind w:firstLine="643" w:firstLineChars="200"/>
        <w:jc w:val="both"/>
        <w:rPr>
          <w:rFonts w:hint="eastAsia" w:ascii="仿宋" w:hAnsi="仿宋" w:eastAsia="仿宋"/>
          <w:sz w:val="32"/>
        </w:rPr>
      </w:pPr>
      <w:r>
        <w:rPr>
          <w:rFonts w:hint="eastAsia" w:ascii="仿宋" w:hAnsi="仿宋" w:eastAsia="仿宋" w:cs="Times New Roman"/>
          <w:b/>
          <w:sz w:val="32"/>
          <w:szCs w:val="32"/>
          <w:lang w:bidi="ar"/>
        </w:rPr>
        <w:t>5.文化旅游体育与传媒支出(207类）01（款)08（项）文化活动：</w:t>
      </w:r>
      <w:r>
        <w:rPr>
          <w:rFonts w:hint="eastAsia" w:ascii="仿宋" w:hAnsi="仿宋" w:eastAsia="仿宋" w:cs="仿宋"/>
          <w:sz w:val="32"/>
          <w:szCs w:val="32"/>
          <w:lang w:bidi="ar"/>
        </w:rPr>
        <w:t>支出决算为</w:t>
      </w:r>
      <w:r>
        <w:rPr>
          <w:rFonts w:hint="eastAsia" w:ascii="仿宋" w:hAnsi="仿宋" w:eastAsia="仿宋" w:cs="Times New Roman"/>
          <w:sz w:val="32"/>
          <w:szCs w:val="32"/>
          <w:lang w:bidi="ar"/>
        </w:rPr>
        <w:t>3.78万元，完成预算100%</w:t>
      </w:r>
    </w:p>
    <w:p w14:paraId="0E75F689">
      <w:pPr>
        <w:widowControl w:val="0"/>
        <w:spacing w:line="600" w:lineRule="exact"/>
        <w:ind w:firstLine="640" w:firstLineChars="200"/>
        <w:jc w:val="both"/>
        <w:rPr>
          <w:rFonts w:hint="eastAsia" w:ascii="仿宋" w:hAnsi="仿宋" w:eastAsia="仿宋"/>
          <w:sz w:val="32"/>
        </w:rPr>
      </w:pPr>
    </w:p>
    <w:p w14:paraId="5E7FB079">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58" w:name="_Toc15396608"/>
      <w:bookmarkEnd w:id="58"/>
      <w:bookmarkStart w:id="59" w:name="_Toc31428"/>
      <w:bookmarkEnd w:id="59"/>
      <w:bookmarkStart w:id="60" w:name="_Toc11019"/>
      <w:bookmarkEnd w:id="60"/>
      <w:bookmarkStart w:id="61" w:name="_Toc15377214"/>
      <w:bookmarkStart w:id="62" w:name="_Toc236171802"/>
      <w:r>
        <w:rPr>
          <w:rFonts w:ascii="黑体" w:hAnsi="黑体" w:eastAsia="黑体"/>
          <w:b w:val="0"/>
          <w:bCs/>
          <w:sz w:val="32"/>
          <w:szCs w:val="32"/>
        </w:rPr>
        <w:t>六</w:t>
      </w:r>
      <w:bookmarkEnd w:id="61"/>
      <w:r>
        <w:rPr>
          <w:rFonts w:ascii="黑体" w:hAnsi="黑体" w:eastAsia="黑体"/>
          <w:b w:val="0"/>
          <w:bCs/>
          <w:sz w:val="32"/>
          <w:szCs w:val="32"/>
        </w:rPr>
        <w:t>、一般公共预算财政拨款基本支出决算情况说明</w:t>
      </w:r>
      <w:bookmarkEnd w:id="62"/>
    </w:p>
    <w:p w14:paraId="63A1EF77">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
          <w:sz w:val="32"/>
          <w:szCs w:val="32"/>
          <w:lang w:bidi="ar"/>
        </w:rPr>
        <w:t>年一般公共预算财政拨款基本支出</w:t>
      </w:r>
      <w:r>
        <w:rPr>
          <w:rFonts w:hint="eastAsia" w:ascii="仿宋" w:hAnsi="仿宋" w:eastAsia="仿宋" w:cs="Times New Roman"/>
          <w:sz w:val="32"/>
          <w:szCs w:val="32"/>
          <w:lang w:bidi="ar"/>
        </w:rPr>
        <w:t>482.19</w:t>
      </w:r>
      <w:r>
        <w:rPr>
          <w:rFonts w:hint="eastAsia" w:ascii="仿宋" w:hAnsi="仿宋" w:eastAsia="仿宋" w:cs="仿宋"/>
          <w:sz w:val="32"/>
          <w:szCs w:val="32"/>
          <w:lang w:bidi="ar"/>
        </w:rPr>
        <w:t>万元，其中：</w:t>
      </w:r>
    </w:p>
    <w:p w14:paraId="566C9C71">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
          <w:sz w:val="32"/>
          <w:szCs w:val="32"/>
          <w:lang w:bidi="ar"/>
        </w:rPr>
        <w:t>人员经费</w:t>
      </w:r>
      <w:r>
        <w:rPr>
          <w:rFonts w:hint="eastAsia" w:ascii="仿宋" w:hAnsi="仿宋" w:eastAsia="仿宋" w:cs="Times New Roman"/>
          <w:sz w:val="32"/>
          <w:szCs w:val="30"/>
          <w:lang w:bidi="ar"/>
        </w:rPr>
        <w:t>384.46</w:t>
      </w:r>
      <w:r>
        <w:rPr>
          <w:rFonts w:hint="eastAsia" w:ascii="仿宋" w:hAnsi="仿宋" w:eastAsia="仿宋" w:cs="仿宋"/>
          <w:sz w:val="32"/>
          <w:szCs w:val="32"/>
          <w:lang w:bidi="ar"/>
        </w:rPr>
        <w:t>万元，主要包括：基本工资</w:t>
      </w:r>
      <w:r>
        <w:rPr>
          <w:rFonts w:hint="eastAsia" w:ascii="仿宋" w:hAnsi="仿宋" w:eastAsia="仿宋" w:cs="Times New Roman"/>
          <w:sz w:val="32"/>
          <w:szCs w:val="32"/>
          <w:lang w:bidi="ar"/>
        </w:rPr>
        <w:t>68.43万元</w:t>
      </w:r>
      <w:r>
        <w:rPr>
          <w:rFonts w:hint="eastAsia" w:ascii="仿宋" w:hAnsi="仿宋" w:eastAsia="仿宋" w:cs="仿宋"/>
          <w:sz w:val="32"/>
          <w:szCs w:val="32"/>
          <w:lang w:bidi="ar"/>
        </w:rPr>
        <w:t>、津贴补贴</w:t>
      </w:r>
      <w:r>
        <w:rPr>
          <w:rFonts w:hint="eastAsia" w:ascii="仿宋" w:hAnsi="仿宋" w:eastAsia="仿宋" w:cs="Times New Roman"/>
          <w:sz w:val="32"/>
          <w:szCs w:val="32"/>
          <w:lang w:bidi="ar"/>
        </w:rPr>
        <w:t>125.68万元</w:t>
      </w:r>
      <w:r>
        <w:rPr>
          <w:rFonts w:hint="eastAsia" w:ascii="仿宋" w:hAnsi="仿宋" w:eastAsia="仿宋" w:cs="仿宋"/>
          <w:sz w:val="32"/>
          <w:szCs w:val="32"/>
          <w:lang w:bidi="ar"/>
        </w:rPr>
        <w:t>、奖金</w:t>
      </w:r>
      <w:r>
        <w:rPr>
          <w:rFonts w:hint="eastAsia" w:ascii="仿宋" w:hAnsi="仿宋" w:eastAsia="仿宋" w:cs="Times New Roman"/>
          <w:sz w:val="32"/>
          <w:szCs w:val="32"/>
          <w:lang w:bidi="ar"/>
        </w:rPr>
        <w:t>73.49万元</w:t>
      </w:r>
      <w:r>
        <w:rPr>
          <w:rFonts w:hint="eastAsia" w:ascii="仿宋" w:hAnsi="仿宋" w:eastAsia="仿宋" w:cs="仿宋"/>
          <w:sz w:val="32"/>
          <w:szCs w:val="32"/>
          <w:lang w:bidi="ar"/>
        </w:rPr>
        <w:t>、机关事业单位基本养老保险缴费</w:t>
      </w:r>
      <w:r>
        <w:rPr>
          <w:rFonts w:hint="eastAsia" w:ascii="仿宋" w:hAnsi="仿宋" w:eastAsia="仿宋" w:cs="Times New Roman"/>
          <w:sz w:val="32"/>
          <w:szCs w:val="32"/>
          <w:lang w:bidi="ar"/>
        </w:rPr>
        <w:t>40.03万元</w:t>
      </w:r>
      <w:r>
        <w:rPr>
          <w:rFonts w:hint="eastAsia" w:ascii="仿宋" w:hAnsi="仿宋" w:eastAsia="仿宋" w:cs="仿宋"/>
          <w:sz w:val="32"/>
          <w:szCs w:val="32"/>
          <w:lang w:bidi="ar"/>
        </w:rPr>
        <w:t>、职业年金缴费</w:t>
      </w:r>
      <w:r>
        <w:rPr>
          <w:rFonts w:hint="eastAsia" w:ascii="仿宋" w:hAnsi="仿宋" w:eastAsia="仿宋" w:cs="Times New Roman"/>
          <w:sz w:val="32"/>
          <w:szCs w:val="32"/>
          <w:lang w:bidi="ar"/>
        </w:rPr>
        <w:t>20.02万元</w:t>
      </w:r>
      <w:r>
        <w:rPr>
          <w:rFonts w:hint="eastAsia" w:ascii="仿宋" w:hAnsi="仿宋" w:eastAsia="仿宋" w:cs="仿宋"/>
          <w:sz w:val="32"/>
          <w:szCs w:val="32"/>
          <w:lang w:bidi="ar"/>
        </w:rPr>
        <w:t>、其他社会保障缴费</w:t>
      </w:r>
      <w:r>
        <w:rPr>
          <w:rFonts w:hint="eastAsia" w:ascii="仿宋" w:hAnsi="仿宋" w:eastAsia="仿宋" w:cs="Times New Roman"/>
          <w:sz w:val="32"/>
          <w:szCs w:val="32"/>
          <w:lang w:bidi="ar"/>
        </w:rPr>
        <w:t>3.86万元</w:t>
      </w:r>
      <w:r>
        <w:rPr>
          <w:rFonts w:hint="eastAsia" w:ascii="仿宋" w:hAnsi="仿宋" w:eastAsia="仿宋" w:cs="仿宋"/>
          <w:sz w:val="32"/>
          <w:szCs w:val="32"/>
          <w:lang w:bidi="ar"/>
        </w:rPr>
        <w:t>、职工基本医疗保险缴费</w:t>
      </w:r>
      <w:r>
        <w:rPr>
          <w:rFonts w:hint="eastAsia" w:ascii="仿宋" w:hAnsi="仿宋" w:eastAsia="仿宋" w:cs="Times New Roman"/>
          <w:sz w:val="32"/>
          <w:szCs w:val="32"/>
          <w:lang w:bidi="ar"/>
        </w:rPr>
        <w:t>17.01万元</w:t>
      </w:r>
      <w:r>
        <w:rPr>
          <w:rFonts w:hint="eastAsia" w:ascii="仿宋" w:hAnsi="仿宋" w:eastAsia="仿宋" w:cs="仿宋"/>
          <w:sz w:val="32"/>
          <w:szCs w:val="32"/>
          <w:lang w:bidi="ar"/>
        </w:rPr>
        <w:t>、公务员医疗补助缴费</w:t>
      </w:r>
      <w:r>
        <w:rPr>
          <w:rFonts w:hint="eastAsia" w:ascii="仿宋" w:hAnsi="仿宋" w:eastAsia="仿宋" w:cs="Times New Roman"/>
          <w:sz w:val="32"/>
          <w:szCs w:val="32"/>
          <w:lang w:bidi="ar"/>
        </w:rPr>
        <w:t>5.96万元、医疗费补助0万元</w:t>
      </w:r>
      <w:r>
        <w:rPr>
          <w:rFonts w:hint="eastAsia" w:ascii="仿宋" w:hAnsi="仿宋" w:eastAsia="仿宋" w:cs="仿宋"/>
          <w:sz w:val="32"/>
          <w:szCs w:val="32"/>
          <w:lang w:bidi="ar"/>
        </w:rPr>
        <w:t>、住房公积金</w:t>
      </w:r>
      <w:r>
        <w:rPr>
          <w:rFonts w:hint="eastAsia" w:ascii="仿宋" w:hAnsi="仿宋" w:eastAsia="仿宋" w:cs="Times New Roman"/>
          <w:sz w:val="32"/>
          <w:szCs w:val="32"/>
          <w:lang w:bidi="ar"/>
        </w:rPr>
        <w:t>29.58万元、其他工资福利支出0.4万元。</w:t>
      </w:r>
      <w:r>
        <w:rPr>
          <w:rFonts w:hint="eastAsia" w:ascii="仿宋" w:hAnsi="仿宋" w:eastAsia="仿宋" w:cs="Times New Roman"/>
          <w:sz w:val="32"/>
          <w:szCs w:val="32"/>
          <w:lang w:bidi="ar"/>
        </w:rPr>
        <w:br w:type="textWrapping"/>
      </w:r>
      <w:r>
        <w:rPr>
          <w:rFonts w:hint="eastAsia" w:ascii="仿宋" w:hAnsi="仿宋" w:eastAsia="仿宋" w:cs="仿宋"/>
          <w:sz w:val="32"/>
          <w:szCs w:val="32"/>
          <w:lang w:bidi="ar"/>
        </w:rPr>
        <w:t xml:space="preserve">  日常公用经费</w:t>
      </w:r>
      <w:r>
        <w:rPr>
          <w:rFonts w:hint="eastAsia" w:ascii="仿宋" w:hAnsi="仿宋" w:eastAsia="仿宋" w:cs="Times New Roman"/>
          <w:sz w:val="32"/>
          <w:szCs w:val="32"/>
          <w:lang w:bidi="ar"/>
        </w:rPr>
        <w:t>97.73</w:t>
      </w:r>
      <w:r>
        <w:rPr>
          <w:rFonts w:hint="eastAsia" w:ascii="仿宋" w:hAnsi="仿宋" w:eastAsia="仿宋" w:cs="仿宋"/>
          <w:sz w:val="32"/>
          <w:szCs w:val="32"/>
          <w:lang w:bidi="ar"/>
        </w:rPr>
        <w:t>万元，主要包括：办公费</w:t>
      </w:r>
      <w:r>
        <w:rPr>
          <w:rFonts w:hint="eastAsia" w:ascii="仿宋" w:hAnsi="仿宋" w:eastAsia="仿宋" w:cs="Times New Roman"/>
          <w:sz w:val="32"/>
          <w:szCs w:val="32"/>
          <w:lang w:bidi="ar"/>
        </w:rPr>
        <w:t>44.6万元</w:t>
      </w:r>
      <w:r>
        <w:rPr>
          <w:rFonts w:hint="eastAsia" w:ascii="仿宋" w:hAnsi="仿宋" w:eastAsia="仿宋" w:cs="仿宋"/>
          <w:sz w:val="32"/>
          <w:szCs w:val="32"/>
          <w:lang w:bidi="ar"/>
        </w:rPr>
        <w:t>、水费</w:t>
      </w:r>
      <w:r>
        <w:rPr>
          <w:rFonts w:hint="eastAsia" w:ascii="仿宋" w:hAnsi="仿宋" w:eastAsia="仿宋" w:cs="Times New Roman"/>
          <w:sz w:val="32"/>
          <w:szCs w:val="32"/>
          <w:lang w:bidi="ar"/>
        </w:rPr>
        <w:t>0万元</w:t>
      </w:r>
      <w:r>
        <w:rPr>
          <w:rFonts w:hint="eastAsia" w:ascii="仿宋" w:hAnsi="仿宋" w:eastAsia="仿宋" w:cs="仿宋"/>
          <w:sz w:val="32"/>
          <w:szCs w:val="32"/>
          <w:lang w:bidi="ar"/>
        </w:rPr>
        <w:t>、电费</w:t>
      </w:r>
      <w:r>
        <w:rPr>
          <w:rFonts w:hint="eastAsia" w:ascii="仿宋" w:hAnsi="仿宋" w:eastAsia="仿宋" w:cs="Times New Roman"/>
          <w:sz w:val="32"/>
          <w:szCs w:val="32"/>
          <w:lang w:bidi="ar"/>
        </w:rPr>
        <w:t>2.11万元</w:t>
      </w:r>
      <w:r>
        <w:rPr>
          <w:rFonts w:hint="eastAsia" w:ascii="仿宋" w:hAnsi="仿宋" w:eastAsia="仿宋" w:cs="仿宋"/>
          <w:sz w:val="32"/>
          <w:szCs w:val="32"/>
          <w:lang w:bidi="ar"/>
        </w:rPr>
        <w:t>、邮电费</w:t>
      </w:r>
      <w:r>
        <w:rPr>
          <w:rFonts w:hint="eastAsia" w:ascii="仿宋" w:hAnsi="仿宋" w:eastAsia="仿宋" w:cs="Times New Roman"/>
          <w:sz w:val="32"/>
          <w:szCs w:val="32"/>
          <w:lang w:bidi="ar"/>
        </w:rPr>
        <w:t>2.76万元</w:t>
      </w:r>
      <w:r>
        <w:rPr>
          <w:rFonts w:hint="eastAsia" w:ascii="仿宋" w:hAnsi="仿宋" w:eastAsia="仿宋" w:cs="仿宋"/>
          <w:sz w:val="32"/>
          <w:szCs w:val="32"/>
          <w:lang w:bidi="ar"/>
        </w:rPr>
        <w:t>、差旅费</w:t>
      </w:r>
      <w:r>
        <w:rPr>
          <w:rFonts w:hint="eastAsia" w:ascii="仿宋" w:hAnsi="仿宋" w:eastAsia="仿宋" w:cs="Times New Roman"/>
          <w:sz w:val="32"/>
          <w:szCs w:val="32"/>
          <w:lang w:bidi="ar"/>
        </w:rPr>
        <w:t>34.92万元</w:t>
      </w:r>
      <w:r>
        <w:rPr>
          <w:rFonts w:hint="eastAsia" w:ascii="仿宋" w:hAnsi="仿宋" w:eastAsia="仿宋" w:cs="仿宋"/>
          <w:sz w:val="32"/>
          <w:szCs w:val="32"/>
          <w:lang w:bidi="ar"/>
        </w:rPr>
        <w:t>、、劳务费</w:t>
      </w:r>
      <w:r>
        <w:rPr>
          <w:rFonts w:hint="eastAsia" w:ascii="仿宋" w:hAnsi="仿宋" w:eastAsia="仿宋" w:cs="Times New Roman"/>
          <w:sz w:val="32"/>
          <w:szCs w:val="32"/>
          <w:lang w:bidi="ar"/>
        </w:rPr>
        <w:t>0.86万元</w:t>
      </w:r>
      <w:r>
        <w:rPr>
          <w:rFonts w:hint="eastAsia" w:ascii="仿宋" w:hAnsi="仿宋" w:eastAsia="仿宋" w:cs="仿宋"/>
          <w:sz w:val="32"/>
          <w:szCs w:val="32"/>
          <w:lang w:bidi="ar"/>
        </w:rPr>
        <w:t>、公务用车运行维护费</w:t>
      </w:r>
      <w:r>
        <w:rPr>
          <w:rFonts w:hint="eastAsia" w:ascii="仿宋" w:hAnsi="仿宋" w:eastAsia="仿宋" w:cs="Times New Roman"/>
          <w:sz w:val="32"/>
          <w:szCs w:val="32"/>
          <w:lang w:bidi="ar"/>
        </w:rPr>
        <w:t>12.48万元</w:t>
      </w:r>
      <w:r>
        <w:rPr>
          <w:rFonts w:hint="eastAsia" w:ascii="仿宋" w:hAnsi="仿宋" w:eastAsia="仿宋" w:cs="仿宋"/>
          <w:sz w:val="32"/>
          <w:szCs w:val="32"/>
          <w:lang w:bidi="ar"/>
        </w:rPr>
        <w:t>。</w:t>
      </w:r>
    </w:p>
    <w:p w14:paraId="1FBA90B1">
      <w:pPr>
        <w:widowControl w:val="0"/>
        <w:spacing w:line="600" w:lineRule="exact"/>
        <w:ind w:firstLine="640" w:firstLineChars="200"/>
        <w:jc w:val="both"/>
        <w:rPr>
          <w:rFonts w:hint="eastAsia" w:ascii="仿宋" w:hAnsi="仿宋" w:eastAsia="仿宋"/>
          <w:sz w:val="32"/>
        </w:rPr>
      </w:pPr>
    </w:p>
    <w:p w14:paraId="534D9085">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63" w:name="_Toc15377215"/>
      <w:bookmarkEnd w:id="63"/>
      <w:bookmarkStart w:id="64" w:name="_Toc22586"/>
      <w:bookmarkEnd w:id="64"/>
      <w:bookmarkStart w:id="65" w:name="_Toc929"/>
      <w:bookmarkEnd w:id="65"/>
      <w:bookmarkStart w:id="66" w:name="_Toc15396609"/>
      <w:bookmarkStart w:id="67" w:name="_Toc236171803"/>
      <w:r>
        <w:rPr>
          <w:rFonts w:ascii="黑体" w:hAnsi="黑体" w:eastAsia="黑体"/>
          <w:b w:val="0"/>
          <w:bCs/>
          <w:sz w:val="32"/>
          <w:szCs w:val="32"/>
        </w:rPr>
        <w:t>七、</w:t>
      </w:r>
      <w:bookmarkEnd w:id="66"/>
      <w:r>
        <w:rPr>
          <w:rFonts w:ascii="黑体" w:hAnsi="黑体" w:eastAsia="黑体"/>
          <w:b w:val="0"/>
          <w:bCs/>
          <w:sz w:val="32"/>
          <w:szCs w:val="32"/>
        </w:rPr>
        <w:t>财政拨款“三公”经费支出决算情况说明</w:t>
      </w:r>
      <w:bookmarkEnd w:id="67"/>
    </w:p>
    <w:p w14:paraId="61AE1D53">
      <w:pPr>
        <w:widowControl w:val="0"/>
        <w:spacing w:line="600" w:lineRule="exact"/>
        <w:ind w:firstLine="643" w:firstLineChars="200"/>
        <w:jc w:val="both"/>
        <w:rPr>
          <w:rFonts w:hint="eastAsia" w:ascii="仿宋" w:hAnsi="仿宋" w:eastAsia="仿宋"/>
          <w:sz w:val="32"/>
        </w:rPr>
      </w:pPr>
      <w:bookmarkStart w:id="68" w:name="_Toc3243"/>
      <w:bookmarkEnd w:id="68"/>
      <w:bookmarkStart w:id="69" w:name="_Toc15377216"/>
      <w:bookmarkEnd w:id="69"/>
      <w:bookmarkStart w:id="70" w:name="_Toc17170"/>
      <w:r>
        <w:rPr>
          <w:rFonts w:hint="eastAsia" w:ascii="仿宋" w:hAnsi="仿宋" w:eastAsia="仿宋" w:cs="仿宋"/>
          <w:b/>
          <w:sz w:val="32"/>
          <w:szCs w:val="32"/>
          <w:lang w:bidi="ar"/>
        </w:rPr>
        <w:t>（一）</w:t>
      </w:r>
      <w:r>
        <w:rPr>
          <w:rFonts w:hint="eastAsia" w:ascii="仿宋" w:hAnsi="仿宋" w:eastAsia="仿宋" w:cs="Times New Roman"/>
          <w:b/>
          <w:sz w:val="32"/>
          <w:szCs w:val="32"/>
          <w:lang w:bidi="ar"/>
        </w:rPr>
        <w:t>“三公”经费财政拨款支出决算总体情况说明</w:t>
      </w:r>
      <w:bookmarkEnd w:id="70"/>
    </w:p>
    <w:p w14:paraId="6FA7DF47">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
          <w:sz w:val="32"/>
          <w:szCs w:val="32"/>
          <w:lang w:bidi="ar"/>
        </w:rPr>
        <w:t>年</w:t>
      </w:r>
      <w:r>
        <w:rPr>
          <w:rFonts w:hint="eastAsia" w:ascii="仿宋" w:hAnsi="仿宋" w:eastAsia="仿宋" w:cs="Times New Roman"/>
          <w:sz w:val="32"/>
          <w:szCs w:val="32"/>
          <w:lang w:bidi="ar"/>
        </w:rPr>
        <w:t>“三公”经费财政拨款支出决算为12.48</w:t>
      </w:r>
      <w:r>
        <w:rPr>
          <w:rFonts w:hint="eastAsia" w:ascii="仿宋" w:hAnsi="仿宋" w:eastAsia="仿宋" w:cs="仿宋"/>
          <w:sz w:val="32"/>
          <w:szCs w:val="32"/>
          <w:lang w:bidi="ar"/>
        </w:rPr>
        <w:t>万元，完成预算</w:t>
      </w:r>
      <w:r>
        <w:rPr>
          <w:rFonts w:hint="eastAsia" w:ascii="仿宋" w:hAnsi="仿宋" w:eastAsia="仿宋" w:cs="Times New Roman"/>
          <w:sz w:val="32"/>
          <w:szCs w:val="32"/>
          <w:lang w:bidi="ar"/>
        </w:rPr>
        <w:t>100%</w:t>
      </w:r>
      <w:r>
        <w:rPr>
          <w:rFonts w:hint="eastAsia" w:ascii="仿宋" w:hAnsi="仿宋" w:eastAsia="仿宋" w:cs="仿宋"/>
          <w:sz w:val="32"/>
          <w:szCs w:val="32"/>
          <w:lang w:bidi="ar"/>
        </w:rPr>
        <w:t>，较上年减少</w:t>
      </w:r>
      <w:r>
        <w:rPr>
          <w:rFonts w:hint="eastAsia" w:ascii="仿宋" w:hAnsi="仿宋" w:eastAsia="仿宋" w:cs="Times New Roman"/>
          <w:sz w:val="32"/>
          <w:szCs w:val="32"/>
          <w:lang w:bidi="ar"/>
        </w:rPr>
        <w:t>0.06万元，下降0.48%。</w:t>
      </w:r>
      <w:r>
        <w:rPr>
          <w:rFonts w:hint="eastAsia" w:ascii="仿宋" w:hAnsi="仿宋" w:eastAsia="仿宋" w:cs="仿宋"/>
          <w:sz w:val="32"/>
          <w:szCs w:val="32"/>
          <w:lang w:bidi="ar"/>
        </w:rPr>
        <w:t>决算数与预算数持平的主要</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下乡与车辆维护发生费用较为稳定。</w:t>
      </w:r>
    </w:p>
    <w:p w14:paraId="6DFC9285">
      <w:pPr>
        <w:widowControl w:val="0"/>
        <w:spacing w:line="600" w:lineRule="exact"/>
        <w:ind w:firstLine="643" w:firstLineChars="200"/>
        <w:jc w:val="both"/>
        <w:rPr>
          <w:rFonts w:hint="eastAsia" w:ascii="仿宋" w:hAnsi="仿宋" w:eastAsia="仿宋"/>
          <w:sz w:val="32"/>
        </w:rPr>
      </w:pPr>
      <w:bookmarkStart w:id="71" w:name="_Toc15377217"/>
      <w:bookmarkEnd w:id="71"/>
      <w:bookmarkStart w:id="72" w:name="_Toc24473"/>
      <w:bookmarkEnd w:id="72"/>
      <w:bookmarkStart w:id="73" w:name="_Toc29259"/>
      <w:r>
        <w:rPr>
          <w:rFonts w:hint="eastAsia" w:ascii="仿宋" w:hAnsi="仿宋" w:eastAsia="仿宋" w:cs="仿宋"/>
          <w:b/>
          <w:sz w:val="32"/>
          <w:szCs w:val="32"/>
          <w:lang w:bidi="ar"/>
        </w:rPr>
        <w:t>（二）</w:t>
      </w:r>
      <w:r>
        <w:rPr>
          <w:rFonts w:hint="eastAsia" w:ascii="仿宋" w:hAnsi="仿宋" w:eastAsia="仿宋" w:cs="Times New Roman"/>
          <w:b/>
          <w:sz w:val="32"/>
          <w:szCs w:val="32"/>
          <w:lang w:bidi="ar"/>
        </w:rPr>
        <w:t>“三公”经费财政拨款支出决算具体情况说明</w:t>
      </w:r>
      <w:bookmarkEnd w:id="73"/>
    </w:p>
    <w:p w14:paraId="0D8DEB8F">
      <w:pPr>
        <w:widowControl w:val="0"/>
        <w:spacing w:line="600" w:lineRule="exact"/>
        <w:ind w:firstLine="640" w:firstLineChars="200"/>
        <w:jc w:val="both"/>
        <w:rPr>
          <w:rFonts w:hint="eastAsia" w:ascii="仿宋" w:hAnsi="仿宋" w:eastAsia="仿宋"/>
          <w:sz w:val="32"/>
        </w:rPr>
      </w:pPr>
      <w:bookmarkStart w:id="74" w:name="_Toc15396610"/>
      <w:bookmarkEnd w:id="74"/>
      <w:bookmarkStart w:id="75" w:name="_Toc15377218"/>
      <w:r>
        <w:rPr>
          <w:rFonts w:hint="eastAsia" w:ascii="仿宋" w:hAnsi="仿宋" w:eastAsia="仿宋" w:cs="Times New Roman"/>
          <w:sz w:val="32"/>
          <w:szCs w:val="32"/>
          <w:lang w:bidi="ar"/>
        </w:rPr>
        <w:t>20</w:t>
      </w:r>
      <w:bookmarkEnd w:id="75"/>
      <w:r>
        <w:rPr>
          <w:rFonts w:hint="eastAsia" w:ascii="仿宋" w:hAnsi="仿宋" w:eastAsia="仿宋" w:cs="Times New Roman"/>
          <w:sz w:val="32"/>
          <w:szCs w:val="32"/>
          <w:lang w:bidi="ar"/>
        </w:rPr>
        <w:t>24</w:t>
      </w:r>
      <w:r>
        <w:rPr>
          <w:rFonts w:hint="eastAsia" w:ascii="仿宋" w:hAnsi="仿宋" w:eastAsia="仿宋" w:cs="仿宋"/>
          <w:sz w:val="32"/>
          <w:szCs w:val="32"/>
          <w:lang w:bidi="ar"/>
        </w:rPr>
        <w:t>年</w:t>
      </w:r>
      <w:r>
        <w:rPr>
          <w:rFonts w:hint="eastAsia" w:ascii="仿宋" w:hAnsi="仿宋" w:eastAsia="仿宋" w:cs="Times New Roman"/>
          <w:sz w:val="32"/>
          <w:szCs w:val="32"/>
          <w:lang w:bidi="ar"/>
        </w:rPr>
        <w:t>“三公”经费财政拨款支出决算中，因公出国（境）费支出决算0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；公务用车购置及运行维护费支出决算</w:t>
      </w:r>
      <w:r>
        <w:rPr>
          <w:rFonts w:hint="eastAsia" w:ascii="仿宋" w:hAnsi="仿宋" w:eastAsia="仿宋" w:cs="Times New Roman"/>
          <w:sz w:val="32"/>
          <w:szCs w:val="32"/>
          <w:lang w:bidi="ar"/>
        </w:rPr>
        <w:t>12.48</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100%</w:t>
      </w:r>
      <w:r>
        <w:rPr>
          <w:rFonts w:hint="eastAsia" w:ascii="仿宋" w:hAnsi="仿宋" w:eastAsia="仿宋" w:cs="仿宋"/>
          <w:sz w:val="32"/>
          <w:szCs w:val="32"/>
          <w:lang w:bidi="ar"/>
        </w:rPr>
        <w:t>；公务接待费支出决算</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。具体情况如下：</w:t>
      </w:r>
    </w:p>
    <w:p w14:paraId="18928E84">
      <w:pPr>
        <w:widowControl w:val="0"/>
        <w:spacing w:line="600" w:lineRule="exact"/>
        <w:ind w:firstLine="643" w:firstLineChars="200"/>
        <w:jc w:val="both"/>
        <w:rPr>
          <w:rFonts w:hint="eastAsia" w:ascii="仿宋" w:hAnsi="仿宋" w:eastAsia="仿宋"/>
          <w:sz w:val="32"/>
        </w:rPr>
      </w:pPr>
      <w:r>
        <w:rPr>
          <w:rFonts w:hint="eastAsia" w:ascii="仿宋" w:hAnsi="仿宋" w:eastAsia="仿宋" w:cs="Times New Roman"/>
          <w:b/>
          <w:sz w:val="32"/>
          <w:szCs w:val="32"/>
          <w:lang w:bidi="ar"/>
        </w:rPr>
        <w:t>1.</w:t>
      </w:r>
      <w:r>
        <w:rPr>
          <w:rFonts w:hint="eastAsia" w:ascii="仿宋" w:hAnsi="仿宋" w:eastAsia="仿宋" w:cs="仿宋_GB2312"/>
          <w:b/>
          <w:sz w:val="32"/>
          <w:szCs w:val="32"/>
          <w:lang w:bidi="ar"/>
        </w:rPr>
        <w:t>因公出国（境）经费支出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r>
        <w:rPr>
          <w:rFonts w:hint="eastAsia" w:ascii="仿宋" w:hAnsi="仿宋" w:eastAsia="仿宋" w:cs="仿宋"/>
          <w:kern w:val="0"/>
          <w:sz w:val="32"/>
          <w:szCs w:val="32"/>
          <w:lang w:bidi="ar"/>
        </w:rPr>
        <w:t>完成预算0%。</w:t>
      </w:r>
      <w:r>
        <w:rPr>
          <w:rFonts w:hint="eastAsia" w:ascii="仿宋" w:hAnsi="仿宋" w:eastAsia="仿宋" w:cs="仿宋_GB2312"/>
          <w:sz w:val="32"/>
          <w:szCs w:val="32"/>
          <w:lang w:bidi="ar"/>
        </w:rPr>
        <w:t>全年安排因公出国（境）团组</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次，出国（境）</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人。</w:t>
      </w:r>
    </w:p>
    <w:p w14:paraId="49720EF5">
      <w:pPr>
        <w:widowControl w:val="0"/>
        <w:spacing w:line="600" w:lineRule="exact"/>
        <w:ind w:firstLine="643" w:firstLineChars="200"/>
        <w:jc w:val="both"/>
        <w:rPr>
          <w:rFonts w:hint="eastAsia" w:ascii="仿宋" w:hAnsi="仿宋" w:eastAsia="仿宋"/>
          <w:sz w:val="32"/>
        </w:rPr>
      </w:pPr>
      <w:r>
        <w:rPr>
          <w:rFonts w:hint="eastAsia" w:ascii="仿宋" w:hAnsi="仿宋" w:eastAsia="仿宋" w:cs="Times New Roman"/>
          <w:b/>
          <w:sz w:val="32"/>
          <w:szCs w:val="32"/>
          <w:lang w:bidi="ar"/>
        </w:rPr>
        <w:t>2.</w:t>
      </w:r>
      <w:r>
        <w:rPr>
          <w:rFonts w:hint="eastAsia" w:ascii="仿宋" w:hAnsi="仿宋" w:eastAsia="仿宋" w:cs="仿宋_GB2312"/>
          <w:b/>
          <w:sz w:val="32"/>
          <w:szCs w:val="32"/>
          <w:lang w:bidi="ar"/>
        </w:rPr>
        <w:t>公务用车购置及运行维护费支出</w:t>
      </w:r>
      <w:r>
        <w:rPr>
          <w:rFonts w:hint="eastAsia" w:ascii="仿宋" w:hAnsi="仿宋" w:eastAsia="仿宋" w:cs="Times New Roman"/>
          <w:sz w:val="32"/>
          <w:szCs w:val="32"/>
          <w:lang w:bidi="ar"/>
        </w:rPr>
        <w:t>12.48</w:t>
      </w:r>
      <w:r>
        <w:rPr>
          <w:rFonts w:hint="eastAsia" w:ascii="仿宋" w:hAnsi="仿宋" w:eastAsia="仿宋" w:cs="仿宋_GB2312"/>
          <w:sz w:val="32"/>
          <w:szCs w:val="32"/>
          <w:lang w:bidi="ar"/>
        </w:rPr>
        <w:t>万元</w:t>
      </w:r>
      <w:r>
        <w:rPr>
          <w:rFonts w:hint="eastAsia" w:ascii="仿宋" w:hAnsi="仿宋" w:eastAsia="仿宋" w:cs="Times New Roman"/>
          <w:sz w:val="32"/>
          <w:szCs w:val="32"/>
          <w:lang w:bidi="ar"/>
        </w:rPr>
        <w:t>,</w:t>
      </w:r>
      <w:r>
        <w:rPr>
          <w:rFonts w:hint="eastAsia" w:ascii="仿宋" w:hAnsi="仿宋" w:eastAsia="仿宋" w:cs="仿宋"/>
          <w:kern w:val="0"/>
          <w:sz w:val="32"/>
          <w:szCs w:val="32"/>
          <w:lang w:bidi="ar"/>
        </w:rPr>
        <w:t>完成预算100%。</w:t>
      </w:r>
      <w:r>
        <w:rPr>
          <w:rFonts w:hint="eastAsia" w:ascii="仿宋" w:hAnsi="仿宋" w:eastAsia="仿宋" w:cs="仿宋_GB2312"/>
          <w:sz w:val="32"/>
          <w:szCs w:val="32"/>
          <w:lang w:bidi="ar"/>
        </w:rPr>
        <w:t>公务用车购置及运行维护费支出决算比</w:t>
      </w:r>
      <w:r>
        <w:rPr>
          <w:rFonts w:hint="eastAsia" w:ascii="仿宋" w:hAnsi="仿宋" w:eastAsia="仿宋" w:cs="Times New Roman"/>
          <w:sz w:val="32"/>
          <w:szCs w:val="32"/>
          <w:lang w:bidi="ar"/>
        </w:rPr>
        <w:t>2023</w:t>
      </w:r>
      <w:r>
        <w:rPr>
          <w:rFonts w:hint="eastAsia" w:ascii="仿宋" w:hAnsi="仿宋" w:eastAsia="仿宋" w:cs="仿宋_GB2312"/>
          <w:sz w:val="32"/>
          <w:szCs w:val="32"/>
          <w:lang w:bidi="ar"/>
        </w:rPr>
        <w:t>年减少</w:t>
      </w:r>
      <w:r>
        <w:rPr>
          <w:rFonts w:hint="eastAsia" w:ascii="仿宋" w:hAnsi="仿宋" w:eastAsia="仿宋" w:cs="Times New Roman"/>
          <w:sz w:val="32"/>
          <w:szCs w:val="32"/>
          <w:lang w:bidi="ar"/>
        </w:rPr>
        <w:t>0.06</w:t>
      </w:r>
      <w:r>
        <w:rPr>
          <w:rFonts w:hint="eastAsia" w:ascii="仿宋" w:hAnsi="仿宋" w:eastAsia="仿宋" w:cs="仿宋_GB2312"/>
          <w:sz w:val="32"/>
          <w:szCs w:val="32"/>
          <w:lang w:bidi="ar"/>
        </w:rPr>
        <w:t>万元，下降</w:t>
      </w:r>
      <w:r>
        <w:rPr>
          <w:rFonts w:hint="eastAsia" w:ascii="仿宋" w:hAnsi="仿宋" w:eastAsia="仿宋" w:cs="Times New Roman"/>
          <w:sz w:val="32"/>
          <w:szCs w:val="32"/>
          <w:lang w:bidi="ar"/>
        </w:rPr>
        <w:t>5.9%</w:t>
      </w:r>
      <w:r>
        <w:rPr>
          <w:rFonts w:hint="eastAsia" w:ascii="仿宋" w:hAnsi="仿宋" w:eastAsia="仿宋" w:cs="仿宋_GB2312"/>
          <w:sz w:val="32"/>
          <w:szCs w:val="32"/>
          <w:lang w:bidi="ar"/>
        </w:rPr>
        <w:t>。主要</w:t>
      </w:r>
      <w:r>
        <w:rPr>
          <w:rFonts w:hint="eastAsia" w:ascii="仿宋" w:hAnsi="仿宋" w:eastAsia="仿宋" w:cs="仿宋_GB2312"/>
          <w:sz w:val="32"/>
          <w:szCs w:val="32"/>
          <w:lang w:eastAsia="zh-CN" w:bidi="ar"/>
        </w:rPr>
        <w:t>原因</w:t>
      </w:r>
      <w:r>
        <w:rPr>
          <w:rFonts w:hint="eastAsia" w:ascii="仿宋" w:hAnsi="仿宋" w:eastAsia="仿宋" w:cs="仿宋_GB2312"/>
          <w:sz w:val="32"/>
          <w:szCs w:val="32"/>
          <w:lang w:bidi="ar"/>
        </w:rPr>
        <w:t>下乡和出差等较</w:t>
      </w:r>
      <w:r>
        <w:rPr>
          <w:rFonts w:hint="eastAsia" w:ascii="仿宋" w:hAnsi="仿宋" w:eastAsia="仿宋" w:cs="Times New Roman"/>
          <w:sz w:val="32"/>
          <w:szCs w:val="32"/>
          <w:lang w:bidi="ar"/>
        </w:rPr>
        <w:t>2023年有所下降</w:t>
      </w:r>
      <w:r>
        <w:rPr>
          <w:rFonts w:hint="eastAsia" w:ascii="仿宋" w:hAnsi="仿宋" w:eastAsia="仿宋" w:cs="仿宋_GB2312"/>
          <w:sz w:val="32"/>
          <w:szCs w:val="32"/>
          <w:lang w:bidi="ar"/>
        </w:rPr>
        <w:t>。</w:t>
      </w:r>
    </w:p>
    <w:p w14:paraId="37B49EE7">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_GB2312"/>
          <w:sz w:val="32"/>
          <w:szCs w:val="32"/>
          <w:lang w:bidi="ar"/>
        </w:rPr>
        <w:t>其中：</w:t>
      </w:r>
      <w:r>
        <w:rPr>
          <w:rFonts w:hint="eastAsia" w:ascii="仿宋" w:hAnsi="仿宋" w:eastAsia="仿宋" w:cs="仿宋_GB2312"/>
          <w:b/>
          <w:sz w:val="32"/>
          <w:szCs w:val="32"/>
          <w:lang w:bidi="ar"/>
        </w:rPr>
        <w:t>公务用车购置支出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万元。全年按规定更新购置公务用车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辆，其中：轿车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万元，越野车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万元，载客汽车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r>
        <w:rPr>
          <w:rFonts w:hint="eastAsia" w:ascii="仿宋" w:hAnsi="仿宋" w:eastAsia="仿宋" w:cs="Times New Roman"/>
          <w:sz w:val="32"/>
          <w:szCs w:val="32"/>
          <w:lang w:bidi="ar"/>
        </w:rPr>
        <w:t>2024</w:t>
      </w:r>
      <w:r>
        <w:rPr>
          <w:rFonts w:hint="eastAsia" w:ascii="仿宋" w:hAnsi="仿宋" w:eastAsia="仿宋" w:cs="仿宋_GB2312"/>
          <w:sz w:val="32"/>
          <w:szCs w:val="32"/>
          <w:lang w:bidi="ar"/>
        </w:rPr>
        <w:t>年</w:t>
      </w:r>
      <w:r>
        <w:rPr>
          <w:rFonts w:hint="eastAsia" w:ascii="仿宋" w:hAnsi="仿宋" w:eastAsia="仿宋" w:cs="Times New Roman"/>
          <w:sz w:val="32"/>
          <w:szCs w:val="32"/>
          <w:lang w:bidi="ar"/>
        </w:rPr>
        <w:t>12</w:t>
      </w:r>
      <w:r>
        <w:rPr>
          <w:rFonts w:hint="eastAsia" w:ascii="仿宋" w:hAnsi="仿宋" w:eastAsia="仿宋" w:cs="仿宋_GB2312"/>
          <w:sz w:val="32"/>
          <w:szCs w:val="32"/>
          <w:lang w:bidi="ar"/>
        </w:rPr>
        <w:t>月底，单位共有公务用车</w:t>
      </w:r>
      <w:r>
        <w:rPr>
          <w:rFonts w:hint="eastAsia" w:ascii="仿宋" w:hAnsi="仿宋" w:eastAsia="仿宋" w:cs="Times New Roman"/>
          <w:sz w:val="32"/>
          <w:szCs w:val="32"/>
          <w:lang w:bidi="ar"/>
        </w:rPr>
        <w:t>2</w:t>
      </w:r>
      <w:r>
        <w:rPr>
          <w:rFonts w:hint="eastAsia" w:ascii="仿宋" w:hAnsi="仿宋" w:eastAsia="仿宋" w:cs="仿宋_GB2312"/>
          <w:sz w:val="32"/>
          <w:szCs w:val="32"/>
          <w:lang w:bidi="ar"/>
        </w:rPr>
        <w:t>辆，其中：轿车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辆、越野车辆、载客汽车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辆，其他车辆</w:t>
      </w:r>
      <w:r>
        <w:rPr>
          <w:rFonts w:hint="eastAsia" w:ascii="仿宋" w:hAnsi="仿宋" w:eastAsia="仿宋" w:cs="Times New Roman"/>
          <w:sz w:val="32"/>
          <w:szCs w:val="32"/>
          <w:lang w:bidi="ar"/>
        </w:rPr>
        <w:t>2辆</w:t>
      </w:r>
      <w:r>
        <w:rPr>
          <w:rFonts w:hint="eastAsia" w:ascii="仿宋" w:hAnsi="仿宋" w:eastAsia="仿宋" w:cs="仿宋_GB2312"/>
          <w:sz w:val="32"/>
          <w:szCs w:val="32"/>
          <w:lang w:bidi="ar"/>
        </w:rPr>
        <w:t>。</w:t>
      </w:r>
    </w:p>
    <w:p w14:paraId="2740CBDA">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_GB2312"/>
          <w:b/>
          <w:sz w:val="32"/>
          <w:szCs w:val="32"/>
          <w:lang w:bidi="ar"/>
        </w:rPr>
        <w:t>公务用车运行维护费支出</w:t>
      </w:r>
      <w:r>
        <w:rPr>
          <w:rFonts w:hint="eastAsia" w:ascii="仿宋" w:hAnsi="仿宋" w:eastAsia="仿宋" w:cs="Times New Roman"/>
          <w:sz w:val="32"/>
          <w:szCs w:val="32"/>
          <w:lang w:bidi="ar"/>
        </w:rPr>
        <w:t>12.48</w:t>
      </w:r>
      <w:r>
        <w:rPr>
          <w:rFonts w:hint="eastAsia" w:ascii="仿宋" w:hAnsi="仿宋" w:eastAsia="仿宋" w:cs="仿宋_GB2312"/>
          <w:sz w:val="32"/>
          <w:szCs w:val="32"/>
          <w:lang w:bidi="ar"/>
        </w:rPr>
        <w:t>万元。主要用于下乡和出差等所需的公务用车燃料费、维修费、过路过桥费、保险费等支出。</w:t>
      </w:r>
    </w:p>
    <w:p w14:paraId="7BD92C0E">
      <w:pPr>
        <w:widowControl w:val="0"/>
        <w:spacing w:line="600" w:lineRule="exact"/>
        <w:ind w:firstLine="643" w:firstLineChars="200"/>
        <w:jc w:val="both"/>
        <w:rPr>
          <w:rFonts w:hint="eastAsia" w:ascii="仿宋" w:hAnsi="仿宋" w:eastAsia="仿宋"/>
          <w:sz w:val="32"/>
        </w:rPr>
      </w:pPr>
      <w:r>
        <w:rPr>
          <w:rFonts w:hint="eastAsia" w:ascii="仿宋" w:hAnsi="仿宋" w:eastAsia="仿宋" w:cs="Times New Roman"/>
          <w:b/>
          <w:sz w:val="32"/>
          <w:szCs w:val="32"/>
          <w:lang w:bidi="ar"/>
        </w:rPr>
        <w:t>3.</w:t>
      </w:r>
      <w:r>
        <w:rPr>
          <w:rFonts w:hint="eastAsia" w:ascii="仿宋" w:hAnsi="仿宋" w:eastAsia="仿宋" w:cs="仿宋_GB2312"/>
          <w:b/>
          <w:sz w:val="32"/>
          <w:szCs w:val="32"/>
          <w:lang w:bidi="ar"/>
        </w:rPr>
        <w:t>公务接待费支出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r>
        <w:rPr>
          <w:rFonts w:hint="eastAsia" w:ascii="仿宋" w:hAnsi="仿宋" w:eastAsia="仿宋" w:cs="仿宋"/>
          <w:kern w:val="0"/>
          <w:sz w:val="32"/>
          <w:szCs w:val="32"/>
          <w:lang w:bidi="ar"/>
        </w:rPr>
        <w:t>完成预算0%。</w:t>
      </w:r>
    </w:p>
    <w:p w14:paraId="557C0853">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sz w:val="32"/>
          <w:szCs w:val="32"/>
          <w:lang w:bidi="ar"/>
        </w:rPr>
        <w:t>国内公务接待支出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万元。国内公务接待</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批次，</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人次（不包括陪同人员），共计支出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12584015">
      <w:pPr>
        <w:widowControl w:val="0"/>
        <w:spacing w:line="600" w:lineRule="exact"/>
        <w:ind w:firstLine="643" w:firstLineChars="200"/>
        <w:jc w:val="both"/>
        <w:rPr>
          <w:rFonts w:hint="eastAsia" w:ascii="仿宋" w:hAnsi="仿宋" w:eastAsia="仿宋"/>
          <w:sz w:val="32"/>
        </w:rPr>
      </w:pPr>
      <w:bookmarkStart w:id="76" w:name="_Toc20958"/>
      <w:bookmarkEnd w:id="76"/>
      <w:bookmarkStart w:id="77" w:name="_Toc141"/>
      <w:r>
        <w:rPr>
          <w:rFonts w:hint="eastAsia" w:ascii="仿宋" w:hAnsi="仿宋" w:eastAsia="仿宋" w:cs="仿宋"/>
          <w:b/>
          <w:sz w:val="32"/>
          <w:szCs w:val="32"/>
          <w:lang w:bidi="ar"/>
        </w:rPr>
        <w:t>外事接待支出</w:t>
      </w:r>
      <w:bookmarkEnd w:id="77"/>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万元，外事接待</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批次，</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人，共计支出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5CB153C9">
      <w:pPr>
        <w:widowControl w:val="0"/>
        <w:spacing w:line="600" w:lineRule="exact"/>
        <w:ind w:firstLine="640" w:firstLineChars="200"/>
        <w:jc w:val="both"/>
        <w:rPr>
          <w:rFonts w:hint="eastAsia" w:ascii="仿宋" w:hAnsi="仿宋" w:eastAsia="仿宋"/>
          <w:sz w:val="32"/>
        </w:rPr>
      </w:pPr>
    </w:p>
    <w:p w14:paraId="19E84001">
      <w:pPr>
        <w:keepNext/>
        <w:widowControl w:val="0"/>
        <w:tabs>
          <w:tab w:val="left" w:pos="135"/>
        </w:tabs>
        <w:jc w:val="center"/>
        <w:rPr>
          <w:rFonts w:hint="eastAsia" w:ascii="仿宋" w:hAnsi="仿宋" w:eastAsia="仿宋"/>
          <w:sz w:val="32"/>
        </w:rPr>
      </w:pPr>
      <w:r>
        <w:rPr>
          <w:rFonts w:hint="eastAsia" w:ascii="仿宋" w:hAnsi="仿宋" w:eastAsia="仿宋" w:cs="宋体"/>
          <w:kern w:val="0"/>
          <w:sz w:val="32"/>
          <w:lang w:bidi="ar"/>
        </w:rPr>
        <w:drawing>
          <wp:inline distT="0" distB="0" distL="114300" distR="114300">
            <wp:extent cx="4524375" cy="2952750"/>
            <wp:effectExtent l="0" t="0" r="9525" b="0"/>
            <wp:docPr id="21" name="图片 2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5" descr="IMG_262"/>
                    <pic:cNvPicPr>
                      <a:picLocks noChangeAspect="1"/>
                    </pic:cNvPicPr>
                  </pic:nvPicPr>
                  <pic:blipFill>
                    <a:blip r:embed="rId14"/>
                    <a:stretch>
                      <a:fillRect/>
                    </a:stretch>
                  </pic:blipFill>
                  <pic:spPr>
                    <a:xfrm>
                      <a:off x="0" y="0"/>
                      <a:ext cx="4524375" cy="2952750"/>
                    </a:xfrm>
                    <a:prstGeom prst="rect">
                      <a:avLst/>
                    </a:prstGeom>
                    <a:noFill/>
                    <a:ln w="9525">
                      <a:noFill/>
                    </a:ln>
                  </pic:spPr>
                </pic:pic>
              </a:graphicData>
            </a:graphic>
          </wp:inline>
        </w:drawing>
      </w:r>
    </w:p>
    <w:p w14:paraId="63416717">
      <w:pPr>
        <w:widowControl w:val="0"/>
        <w:spacing w:line="600" w:lineRule="exact"/>
        <w:jc w:val="center"/>
        <w:rPr>
          <w:rFonts w:hint="eastAsia" w:ascii="仿宋" w:hAnsi="仿宋" w:eastAsia="仿宋"/>
          <w:sz w:val="32"/>
        </w:rPr>
      </w:pPr>
      <w:r>
        <w:rPr>
          <w:rFonts w:hint="eastAsia" w:ascii="仿宋" w:hAnsi="仿宋" w:eastAsia="仿宋" w:cs="仿宋"/>
          <w:sz w:val="32"/>
          <w:szCs w:val="32"/>
          <w:lang w:bidi="ar"/>
        </w:rPr>
        <w:t>（图</w:t>
      </w:r>
      <w:r>
        <w:rPr>
          <w:rFonts w:hint="eastAsia" w:ascii="仿宋" w:hAnsi="仿宋" w:eastAsia="仿宋" w:cs="Times New Roman"/>
          <w:sz w:val="32"/>
          <w:szCs w:val="32"/>
          <w:lang w:bidi="ar"/>
        </w:rPr>
        <w:t>7</w:t>
      </w:r>
      <w:r>
        <w:rPr>
          <w:rFonts w:hint="eastAsia" w:ascii="仿宋" w:hAnsi="仿宋" w:eastAsia="仿宋" w:cs="仿宋"/>
          <w:sz w:val="32"/>
          <w:szCs w:val="32"/>
          <w:lang w:bidi="ar"/>
        </w:rPr>
        <w:t>）</w:t>
      </w:r>
    </w:p>
    <w:p w14:paraId="5F1CBDC9">
      <w:pPr>
        <w:pStyle w:val="81"/>
        <w:widowControl w:val="0"/>
        <w:spacing w:beforeAutospacing="0" w:afterAutospacing="0" w:line="600" w:lineRule="exact"/>
        <w:ind w:firstLine="640" w:firstLineChars="200"/>
        <w:jc w:val="both"/>
        <w:rPr>
          <w:rFonts w:hint="eastAsia" w:ascii="仿宋" w:hAnsi="仿宋" w:eastAsia="仿宋"/>
          <w:sz w:val="32"/>
        </w:rPr>
      </w:pPr>
    </w:p>
    <w:p w14:paraId="6CA9BF74">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78" w:name="_Toc23126"/>
      <w:bookmarkEnd w:id="78"/>
      <w:bookmarkStart w:id="79" w:name="_Toc113"/>
      <w:bookmarkStart w:id="80" w:name="_Toc236171804"/>
      <w:r>
        <w:rPr>
          <w:rFonts w:ascii="黑体" w:hAnsi="黑体" w:eastAsia="黑体"/>
          <w:b w:val="0"/>
          <w:bCs/>
          <w:sz w:val="32"/>
          <w:szCs w:val="32"/>
        </w:rPr>
        <w:t>八、</w:t>
      </w:r>
      <w:bookmarkEnd w:id="79"/>
      <w:r>
        <w:rPr>
          <w:rFonts w:ascii="黑体" w:hAnsi="黑体" w:eastAsia="黑体"/>
          <w:b w:val="0"/>
          <w:bCs/>
          <w:sz w:val="32"/>
          <w:szCs w:val="32"/>
        </w:rPr>
        <w:t>政府性基金预算支出决算情况说明</w:t>
      </w:r>
      <w:bookmarkEnd w:id="80"/>
    </w:p>
    <w:p w14:paraId="4722B383">
      <w:pPr>
        <w:widowControl w:val="0"/>
        <w:spacing w:line="600" w:lineRule="exact"/>
        <w:ind w:firstLine="640" w:firstLineChars="200"/>
        <w:jc w:val="both"/>
        <w:rPr>
          <w:rFonts w:hint="eastAsia" w:ascii="仿宋" w:hAnsi="仿宋" w:eastAsia="仿宋" w:cs="仿宋_GB2312"/>
          <w:sz w:val="32"/>
          <w:szCs w:val="32"/>
          <w:lang w:bidi="ar"/>
        </w:rPr>
      </w:pPr>
      <w:r>
        <w:rPr>
          <w:rFonts w:hint="eastAsia" w:ascii="仿宋" w:hAnsi="仿宋" w:eastAsia="仿宋" w:cs="Times New Roman"/>
          <w:sz w:val="32"/>
          <w:szCs w:val="32"/>
          <w:lang w:bidi="ar"/>
        </w:rPr>
        <w:t>2024</w:t>
      </w:r>
      <w:r>
        <w:rPr>
          <w:rFonts w:hint="eastAsia" w:ascii="仿宋" w:hAnsi="仿宋" w:eastAsia="仿宋" w:cs="仿宋_GB2312"/>
          <w:sz w:val="32"/>
          <w:szCs w:val="32"/>
          <w:lang w:bidi="ar"/>
        </w:rPr>
        <w:t>年政府性基金预算财政拨款支出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35EC29C7">
      <w:pPr>
        <w:widowControl w:val="0"/>
        <w:spacing w:line="600" w:lineRule="exact"/>
        <w:ind w:firstLine="640" w:firstLineChars="200"/>
        <w:jc w:val="both"/>
        <w:rPr>
          <w:rFonts w:hint="eastAsia" w:ascii="仿宋" w:hAnsi="仿宋" w:eastAsia="仿宋"/>
          <w:sz w:val="32"/>
        </w:rPr>
      </w:pPr>
    </w:p>
    <w:p w14:paraId="194D717F">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81" w:name="_Toc15377219"/>
      <w:bookmarkEnd w:id="81"/>
      <w:bookmarkStart w:id="82" w:name="_Toc236171805"/>
      <w:r>
        <w:rPr>
          <w:rFonts w:ascii="黑体" w:hAnsi="黑体" w:eastAsia="黑体"/>
          <w:b w:val="0"/>
          <w:bCs/>
          <w:sz w:val="32"/>
          <w:szCs w:val="32"/>
        </w:rPr>
        <w:t>九、</w:t>
      </w:r>
      <w:bookmarkStart w:id="83" w:name="_Toc17786"/>
      <w:bookmarkEnd w:id="83"/>
      <w:bookmarkStart w:id="84" w:name="_Toc455"/>
      <w:bookmarkEnd w:id="84"/>
      <w:bookmarkStart w:id="85" w:name="_Toc15396611"/>
      <w:r>
        <w:rPr>
          <w:rFonts w:ascii="黑体" w:hAnsi="黑体" w:eastAsia="黑体"/>
          <w:b w:val="0"/>
          <w:bCs/>
          <w:sz w:val="32"/>
          <w:szCs w:val="32"/>
        </w:rPr>
        <w:t>国有资本经营预算支出决算情况说明</w:t>
      </w:r>
      <w:bookmarkEnd w:id="82"/>
      <w:bookmarkEnd w:id="85"/>
    </w:p>
    <w:p w14:paraId="4B07E4DC">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_GB2312"/>
          <w:sz w:val="32"/>
          <w:szCs w:val="32"/>
          <w:lang w:bidi="ar"/>
        </w:rPr>
        <w:t>年国有资本经营预算财政拨款支出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08E3AFF4">
      <w:pPr>
        <w:widowControl w:val="0"/>
        <w:spacing w:line="600" w:lineRule="exact"/>
        <w:ind w:firstLine="640" w:firstLineChars="200"/>
        <w:jc w:val="both"/>
        <w:rPr>
          <w:rFonts w:hint="eastAsia" w:ascii="仿宋" w:hAnsi="仿宋" w:eastAsia="仿宋"/>
          <w:sz w:val="32"/>
        </w:rPr>
      </w:pPr>
    </w:p>
    <w:p w14:paraId="21E1E9ED">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86" w:name="_Toc15396612"/>
      <w:bookmarkEnd w:id="86"/>
      <w:bookmarkStart w:id="87" w:name="_Toc236171806"/>
      <w:r>
        <w:rPr>
          <w:rFonts w:ascii="黑体" w:hAnsi="黑体" w:eastAsia="黑体"/>
          <w:b w:val="0"/>
          <w:bCs/>
          <w:sz w:val="32"/>
          <w:szCs w:val="32"/>
        </w:rPr>
        <w:t>十、</w:t>
      </w:r>
      <w:bookmarkStart w:id="88" w:name="_Toc15377221"/>
      <w:bookmarkEnd w:id="88"/>
      <w:bookmarkStart w:id="89" w:name="_Toc27865"/>
      <w:bookmarkEnd w:id="89"/>
      <w:bookmarkStart w:id="90" w:name="_Toc6709"/>
      <w:r>
        <w:rPr>
          <w:rFonts w:ascii="黑体" w:hAnsi="黑体" w:eastAsia="黑体"/>
          <w:b w:val="0"/>
          <w:bCs/>
          <w:sz w:val="32"/>
          <w:szCs w:val="32"/>
        </w:rPr>
        <w:t>其他重要事项的情况说明</w:t>
      </w:r>
      <w:bookmarkEnd w:id="87"/>
      <w:bookmarkEnd w:id="90"/>
    </w:p>
    <w:p w14:paraId="72D7EB1B">
      <w:pPr>
        <w:widowControl w:val="0"/>
        <w:spacing w:line="600" w:lineRule="exact"/>
        <w:ind w:firstLine="643" w:firstLineChars="200"/>
        <w:jc w:val="both"/>
        <w:rPr>
          <w:rFonts w:hint="eastAsia" w:ascii="仿宋" w:hAnsi="仿宋" w:eastAsia="仿宋"/>
          <w:sz w:val="32"/>
        </w:rPr>
      </w:pPr>
      <w:bookmarkStart w:id="91" w:name="_Toc6836"/>
      <w:bookmarkEnd w:id="91"/>
      <w:bookmarkStart w:id="92" w:name="_Toc23453"/>
      <w:bookmarkEnd w:id="92"/>
      <w:bookmarkStart w:id="93" w:name="_Toc15377222"/>
      <w:r>
        <w:rPr>
          <w:rFonts w:hint="eastAsia" w:ascii="仿宋" w:hAnsi="仿宋" w:eastAsia="仿宋" w:cs="仿宋"/>
          <w:b/>
          <w:sz w:val="32"/>
          <w:szCs w:val="32"/>
          <w:lang w:bidi="ar"/>
        </w:rPr>
        <w:t>（一）机关运行经费支出情况</w:t>
      </w:r>
      <w:bookmarkEnd w:id="93"/>
    </w:p>
    <w:p w14:paraId="60636BFC">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_GB2312"/>
          <w:sz w:val="32"/>
          <w:szCs w:val="32"/>
          <w:lang w:bidi="ar"/>
        </w:rPr>
        <w:t>年，</w:t>
      </w:r>
      <w:bookmarkStart w:id="109" w:name="_GoBack"/>
      <w:bookmarkEnd w:id="109"/>
      <w:r>
        <w:rPr>
          <w:rFonts w:hint="eastAsia" w:ascii="仿宋" w:hAnsi="仿宋" w:eastAsia="仿宋" w:cs="仿宋_GB2312"/>
          <w:sz w:val="32"/>
          <w:szCs w:val="32"/>
          <w:lang w:bidi="ar"/>
        </w:rPr>
        <w:t>机关运行经费支出</w:t>
      </w:r>
      <w:r>
        <w:rPr>
          <w:rFonts w:hint="eastAsia" w:ascii="仿宋" w:hAnsi="仿宋" w:eastAsia="仿宋" w:cs="Times New Roman"/>
          <w:sz w:val="32"/>
          <w:szCs w:val="32"/>
          <w:lang w:bidi="ar"/>
        </w:rPr>
        <w:t>22.58</w:t>
      </w:r>
      <w:r>
        <w:rPr>
          <w:rFonts w:hint="eastAsia" w:ascii="仿宋" w:hAnsi="仿宋" w:eastAsia="仿宋" w:cs="仿宋_GB2312"/>
          <w:sz w:val="32"/>
          <w:szCs w:val="32"/>
          <w:lang w:bidi="ar"/>
        </w:rPr>
        <w:t>万元，比</w:t>
      </w:r>
      <w:r>
        <w:rPr>
          <w:rFonts w:hint="eastAsia" w:ascii="仿宋" w:hAnsi="仿宋" w:eastAsia="仿宋" w:cs="Times New Roman"/>
          <w:sz w:val="32"/>
          <w:szCs w:val="32"/>
          <w:lang w:bidi="ar"/>
        </w:rPr>
        <w:t>2023</w:t>
      </w:r>
      <w:r>
        <w:rPr>
          <w:rFonts w:hint="eastAsia" w:ascii="仿宋" w:hAnsi="仿宋" w:eastAsia="仿宋" w:cs="仿宋_GB2312"/>
          <w:sz w:val="32"/>
          <w:szCs w:val="32"/>
          <w:lang w:bidi="ar"/>
        </w:rPr>
        <w:t>年减少</w:t>
      </w:r>
      <w:r>
        <w:rPr>
          <w:rFonts w:hint="eastAsia" w:ascii="仿宋" w:hAnsi="仿宋" w:eastAsia="仿宋" w:cs="Times New Roman"/>
          <w:sz w:val="32"/>
          <w:szCs w:val="32"/>
          <w:lang w:bidi="ar"/>
        </w:rPr>
        <w:t>13.32</w:t>
      </w:r>
      <w:r>
        <w:rPr>
          <w:rFonts w:hint="eastAsia" w:ascii="仿宋" w:hAnsi="仿宋" w:eastAsia="仿宋" w:cs="仿宋_GB2312"/>
          <w:sz w:val="32"/>
          <w:szCs w:val="32"/>
          <w:lang w:bidi="ar"/>
        </w:rPr>
        <w:t>万元，下降</w:t>
      </w:r>
      <w:r>
        <w:rPr>
          <w:rFonts w:hint="eastAsia" w:ascii="仿宋" w:hAnsi="仿宋" w:eastAsia="仿宋" w:cs="Times New Roman"/>
          <w:sz w:val="32"/>
          <w:szCs w:val="32"/>
          <w:lang w:bidi="ar"/>
        </w:rPr>
        <w:t>37.1%</w:t>
      </w:r>
      <w:r>
        <w:rPr>
          <w:rFonts w:hint="eastAsia" w:ascii="仿宋" w:hAnsi="仿宋" w:eastAsia="仿宋" w:cs="仿宋_GB2312"/>
          <w:sz w:val="32"/>
          <w:szCs w:val="32"/>
          <w:lang w:bidi="ar"/>
        </w:rPr>
        <w:t>。主要</w:t>
      </w:r>
      <w:r>
        <w:rPr>
          <w:rFonts w:hint="eastAsia" w:ascii="仿宋" w:hAnsi="仿宋" w:eastAsia="仿宋" w:cs="仿宋_GB2312"/>
          <w:sz w:val="32"/>
          <w:szCs w:val="32"/>
          <w:lang w:eastAsia="zh-CN" w:bidi="ar"/>
        </w:rPr>
        <w:t>原因</w:t>
      </w:r>
      <w:r>
        <w:rPr>
          <w:rFonts w:hint="eastAsia" w:ascii="仿宋" w:hAnsi="仿宋" w:eastAsia="仿宋" w:cs="仿宋_GB2312"/>
          <w:sz w:val="32"/>
          <w:szCs w:val="32"/>
          <w:lang w:bidi="ar"/>
        </w:rPr>
        <w:t>项目减少，科室运行成本减少。</w:t>
      </w:r>
    </w:p>
    <w:p w14:paraId="61328214">
      <w:pPr>
        <w:widowControl w:val="0"/>
        <w:adjustRightInd w:val="0"/>
        <w:spacing w:line="600" w:lineRule="exact"/>
        <w:ind w:firstLine="643" w:firstLineChars="200"/>
        <w:jc w:val="both"/>
        <w:rPr>
          <w:rFonts w:hint="eastAsia" w:ascii="仿宋" w:hAnsi="仿宋" w:eastAsia="仿宋"/>
          <w:sz w:val="32"/>
        </w:rPr>
      </w:pPr>
      <w:bookmarkStart w:id="94" w:name="_Toc17108"/>
      <w:bookmarkEnd w:id="94"/>
      <w:bookmarkStart w:id="95" w:name="_Toc15377223"/>
      <w:bookmarkEnd w:id="95"/>
      <w:bookmarkStart w:id="96" w:name="_Toc7825"/>
      <w:r>
        <w:rPr>
          <w:rFonts w:hint="eastAsia" w:ascii="仿宋" w:hAnsi="仿宋" w:eastAsia="仿宋" w:cs="仿宋"/>
          <w:b/>
          <w:sz w:val="32"/>
          <w:szCs w:val="32"/>
          <w:lang w:bidi="ar"/>
        </w:rPr>
        <w:t>（二）政府采购支出情况</w:t>
      </w:r>
      <w:bookmarkEnd w:id="96"/>
    </w:p>
    <w:p w14:paraId="69B529CE">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_GB2312"/>
          <w:sz w:val="32"/>
          <w:szCs w:val="32"/>
          <w:lang w:bidi="ar"/>
        </w:rPr>
        <w:t>年，壤塘县卫生健康局政府采购支出总额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万元，其中：政府采购货物支出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万元、政府采购工程支出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万元、政府采购服务支出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万元授予中小企业合同金额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万元，占政府采购支出总额的</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，其中：授予小微企业合同金额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万元，占政府采购支出总额的</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w:t>
      </w:r>
    </w:p>
    <w:p w14:paraId="6611BD4B">
      <w:pPr>
        <w:widowControl w:val="0"/>
        <w:adjustRightInd w:val="0"/>
        <w:spacing w:line="600" w:lineRule="exact"/>
        <w:ind w:firstLine="643" w:firstLineChars="200"/>
        <w:jc w:val="both"/>
        <w:rPr>
          <w:rFonts w:hint="eastAsia" w:ascii="仿宋" w:hAnsi="仿宋" w:eastAsia="仿宋"/>
          <w:sz w:val="32"/>
        </w:rPr>
      </w:pPr>
      <w:bookmarkStart w:id="97" w:name="_Toc16025"/>
      <w:bookmarkEnd w:id="97"/>
      <w:bookmarkStart w:id="98" w:name="_Toc26715"/>
      <w:bookmarkEnd w:id="98"/>
      <w:bookmarkStart w:id="99" w:name="_Toc15377224"/>
      <w:r>
        <w:rPr>
          <w:rFonts w:hint="eastAsia" w:ascii="仿宋" w:hAnsi="仿宋" w:eastAsia="仿宋" w:cs="仿宋"/>
          <w:b/>
          <w:sz w:val="32"/>
          <w:szCs w:val="32"/>
          <w:lang w:bidi="ar"/>
        </w:rPr>
        <w:t>（三）国有资产占有使用情况</w:t>
      </w:r>
      <w:bookmarkEnd w:id="99"/>
    </w:p>
    <w:p w14:paraId="5197D0F1">
      <w:pPr>
        <w:widowControl w:val="0"/>
        <w:adjustRightInd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2024</w:t>
      </w:r>
      <w:r>
        <w:rPr>
          <w:rFonts w:hint="eastAsia" w:ascii="仿宋" w:hAnsi="仿宋" w:eastAsia="仿宋" w:cs="仿宋_GB2312"/>
          <w:sz w:val="32"/>
          <w:szCs w:val="32"/>
          <w:lang w:bidi="ar"/>
        </w:rPr>
        <w:t>年</w:t>
      </w:r>
      <w:r>
        <w:rPr>
          <w:rFonts w:hint="eastAsia" w:ascii="仿宋" w:hAnsi="仿宋" w:eastAsia="仿宋" w:cs="Times New Roman"/>
          <w:sz w:val="32"/>
          <w:szCs w:val="32"/>
          <w:lang w:bidi="ar"/>
        </w:rPr>
        <w:t>12</w:t>
      </w:r>
      <w:r>
        <w:rPr>
          <w:rFonts w:hint="eastAsia" w:ascii="仿宋" w:hAnsi="仿宋" w:eastAsia="仿宋" w:cs="仿宋_GB2312"/>
          <w:sz w:val="32"/>
          <w:szCs w:val="32"/>
          <w:lang w:bidi="ar"/>
        </w:rPr>
        <w:t>月</w:t>
      </w:r>
      <w:r>
        <w:rPr>
          <w:rFonts w:hint="eastAsia" w:ascii="仿宋" w:hAnsi="仿宋" w:eastAsia="仿宋" w:cs="Times New Roman"/>
          <w:sz w:val="32"/>
          <w:szCs w:val="32"/>
          <w:lang w:bidi="ar"/>
        </w:rPr>
        <w:t>31</w:t>
      </w:r>
      <w:r>
        <w:rPr>
          <w:rFonts w:hint="eastAsia" w:ascii="仿宋" w:hAnsi="仿宋" w:eastAsia="仿宋" w:cs="仿宋_GB2312"/>
          <w:sz w:val="32"/>
          <w:szCs w:val="32"/>
          <w:lang w:bidi="ar"/>
        </w:rPr>
        <w:t>日，壤塘县卫生健康局共有车辆</w:t>
      </w:r>
      <w:r>
        <w:rPr>
          <w:rFonts w:hint="eastAsia" w:ascii="仿宋" w:hAnsi="仿宋" w:eastAsia="仿宋" w:cs="Times New Roman"/>
          <w:sz w:val="32"/>
          <w:szCs w:val="32"/>
          <w:lang w:bidi="ar"/>
        </w:rPr>
        <w:t>2</w:t>
      </w:r>
      <w:r>
        <w:rPr>
          <w:rFonts w:hint="eastAsia" w:ascii="仿宋" w:hAnsi="仿宋" w:eastAsia="仿宋" w:cs="仿宋_GB2312"/>
          <w:sz w:val="32"/>
          <w:szCs w:val="32"/>
          <w:lang w:bidi="ar"/>
        </w:rPr>
        <w:t>辆，其中：主要领导干部用车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辆、机要通信用车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辆、应急保障用车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辆、其他用车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辆。单价</w:t>
      </w:r>
      <w:r>
        <w:rPr>
          <w:rFonts w:hint="eastAsia" w:ascii="仿宋" w:hAnsi="仿宋" w:eastAsia="仿宋" w:cs="Times New Roman"/>
          <w:sz w:val="32"/>
          <w:szCs w:val="32"/>
          <w:lang w:bidi="ar"/>
        </w:rPr>
        <w:t>100</w:t>
      </w:r>
      <w:r>
        <w:rPr>
          <w:rFonts w:hint="eastAsia" w:ascii="仿宋" w:hAnsi="仿宋" w:eastAsia="仿宋" w:cs="仿宋_GB2312"/>
          <w:sz w:val="32"/>
          <w:szCs w:val="32"/>
          <w:lang w:bidi="ar"/>
        </w:rPr>
        <w:t>万元以上专用设备</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台（套）。</w:t>
      </w:r>
    </w:p>
    <w:p w14:paraId="4837A091">
      <w:pPr>
        <w:widowControl w:val="0"/>
        <w:adjustRightInd w:val="0"/>
        <w:spacing w:line="600" w:lineRule="exact"/>
        <w:ind w:firstLine="643" w:firstLineChars="200"/>
        <w:jc w:val="both"/>
        <w:rPr>
          <w:rFonts w:hint="eastAsia" w:ascii="仿宋" w:hAnsi="仿宋" w:eastAsia="仿宋"/>
          <w:sz w:val="32"/>
        </w:rPr>
      </w:pPr>
      <w:bookmarkStart w:id="100" w:name="_Toc26775"/>
      <w:bookmarkEnd w:id="100"/>
      <w:bookmarkStart w:id="101" w:name="_Toc17715"/>
      <w:r>
        <w:rPr>
          <w:rFonts w:hint="eastAsia" w:ascii="仿宋" w:hAnsi="仿宋" w:eastAsia="仿宋" w:cs="仿宋"/>
          <w:b/>
          <w:sz w:val="32"/>
          <w:szCs w:val="32"/>
          <w:lang w:bidi="ar"/>
        </w:rPr>
        <w:t>（四）预算绩效管理情况</w:t>
      </w:r>
      <w:bookmarkEnd w:id="101"/>
    </w:p>
    <w:p w14:paraId="1917AD8D">
      <w:pPr>
        <w:widowControl w:val="0"/>
        <w:spacing w:line="600" w:lineRule="exact"/>
        <w:ind w:firstLine="640" w:firstLineChars="200"/>
        <w:jc w:val="both"/>
        <w:rPr>
          <w:rFonts w:hint="eastAsia" w:ascii="仿宋" w:hAnsi="仿宋" w:eastAsia="仿宋" w:cs="仿宋_GB2312"/>
          <w:sz w:val="32"/>
          <w:szCs w:val="32"/>
          <w:lang w:bidi="ar"/>
        </w:rPr>
      </w:pPr>
      <w:r>
        <w:rPr>
          <w:rFonts w:hint="eastAsia" w:ascii="仿宋" w:hAnsi="仿宋" w:eastAsia="仿宋" w:cs="仿宋_GB2312"/>
          <w:sz w:val="32"/>
          <w:szCs w:val="32"/>
          <w:lang w:bidi="ar"/>
        </w:rPr>
        <w:t>根据预算绩效管理要求，本部门在2024年度预算编制阶段，组织对2个个项目开展了预算事前绩效评估，对2个项目编制了绩效目标，预算执行过程中，选取2个项目开展绩效监控。</w:t>
      </w:r>
    </w:p>
    <w:p w14:paraId="38E1D362">
      <w:pPr>
        <w:widowControl w:val="0"/>
        <w:spacing w:line="600" w:lineRule="exact"/>
        <w:ind w:firstLine="640" w:firstLineChars="200"/>
        <w:jc w:val="both"/>
        <w:rPr>
          <w:rFonts w:hint="eastAsia" w:ascii="仿宋" w:hAnsi="仿宋" w:eastAsia="仿宋" w:cs="仿宋_GB2312"/>
          <w:sz w:val="32"/>
          <w:szCs w:val="32"/>
          <w:lang w:bidi="ar"/>
        </w:rPr>
      </w:pPr>
    </w:p>
    <w:p w14:paraId="58E937F7">
      <w:pPr>
        <w:widowControl w:val="0"/>
        <w:spacing w:line="600" w:lineRule="exact"/>
        <w:ind w:firstLine="640" w:firstLineChars="200"/>
        <w:jc w:val="both"/>
        <w:rPr>
          <w:rFonts w:hint="eastAsia" w:ascii="仿宋" w:hAnsi="仿宋" w:eastAsia="仿宋" w:cs="仿宋_GB2312"/>
          <w:sz w:val="32"/>
          <w:szCs w:val="32"/>
          <w:lang w:bidi="ar"/>
        </w:rPr>
      </w:pPr>
    </w:p>
    <w:p w14:paraId="68CAEA73">
      <w:pPr>
        <w:widowControl w:val="0"/>
        <w:spacing w:line="600" w:lineRule="exact"/>
        <w:ind w:firstLine="640" w:firstLineChars="200"/>
        <w:jc w:val="both"/>
        <w:rPr>
          <w:rFonts w:hint="eastAsia" w:ascii="仿宋" w:hAnsi="仿宋" w:eastAsia="仿宋" w:cs="仿宋_GB2312"/>
          <w:sz w:val="32"/>
          <w:szCs w:val="32"/>
          <w:lang w:bidi="ar"/>
        </w:rPr>
      </w:pPr>
    </w:p>
    <w:p w14:paraId="12FD8AA2">
      <w:pPr>
        <w:widowControl w:val="0"/>
        <w:spacing w:line="600" w:lineRule="exact"/>
        <w:ind w:firstLine="640" w:firstLineChars="200"/>
        <w:jc w:val="both"/>
        <w:rPr>
          <w:rFonts w:hint="eastAsia" w:ascii="仿宋" w:hAnsi="仿宋" w:eastAsia="仿宋"/>
          <w:sz w:val="32"/>
        </w:rPr>
        <w:sectPr>
          <w:pgSz w:w="11907" w:h="16840"/>
          <w:pgMar w:top="1440" w:right="1797" w:bottom="1440" w:left="1797" w:header="720" w:footer="720" w:gutter="0"/>
          <w:cols w:space="425" w:num="1"/>
          <w:docGrid w:type="lines" w:linePitch="312" w:charSpace="0"/>
        </w:sectPr>
      </w:pPr>
    </w:p>
    <w:p w14:paraId="099A593B">
      <w:pPr>
        <w:widowControl w:val="0"/>
        <w:spacing w:line="600" w:lineRule="exact"/>
        <w:ind w:firstLine="640" w:firstLineChars="200"/>
        <w:jc w:val="both"/>
        <w:rPr>
          <w:rFonts w:hint="eastAsia" w:ascii="仿宋" w:hAnsi="仿宋" w:eastAsia="仿宋"/>
          <w:sz w:val="32"/>
        </w:rPr>
      </w:pPr>
      <w:bookmarkStart w:id="102" w:name="_Toc27022"/>
      <w:bookmarkEnd w:id="102"/>
    </w:p>
    <w:p w14:paraId="3C69A9A7">
      <w:pPr>
        <w:pStyle w:val="3"/>
        <w:widowControl w:val="0"/>
        <w:spacing w:before="340" w:beforeAutospacing="0" w:after="330" w:afterAutospacing="0" w:line="578" w:lineRule="auto"/>
        <w:jc w:val="center"/>
        <w:rPr>
          <w:rFonts w:ascii="黑体" w:hAnsi="黑体" w:eastAsia="黑体"/>
          <w:b w:val="0"/>
          <w:bCs/>
          <w:sz w:val="44"/>
          <w:szCs w:val="32"/>
        </w:rPr>
      </w:pPr>
      <w:bookmarkStart w:id="103" w:name="_Toc236171807"/>
      <w:r>
        <w:rPr>
          <w:rFonts w:ascii="黑体" w:hAnsi="黑体" w:eastAsia="黑体"/>
          <w:b w:val="0"/>
          <w:bCs/>
          <w:sz w:val="44"/>
          <w:szCs w:val="32"/>
        </w:rPr>
        <w:t>第三部分</w:t>
      </w:r>
      <w:bookmarkStart w:id="104" w:name="_Toc25999"/>
      <w:bookmarkEnd w:id="104"/>
      <w:bookmarkStart w:id="105" w:name="_Toc15396613"/>
      <w:bookmarkEnd w:id="105"/>
      <w:bookmarkStart w:id="106" w:name="_Toc15377225"/>
      <w:r>
        <w:rPr>
          <w:rFonts w:ascii="黑体" w:hAnsi="黑体" w:eastAsia="黑体"/>
          <w:b w:val="0"/>
          <w:bCs/>
          <w:sz w:val="44"/>
          <w:szCs w:val="32"/>
        </w:rPr>
        <w:t xml:space="preserve"> 名</w:t>
      </w:r>
      <w:bookmarkEnd w:id="106"/>
      <w:r>
        <w:rPr>
          <w:rFonts w:ascii="黑体" w:hAnsi="黑体" w:eastAsia="黑体"/>
          <w:b w:val="0"/>
          <w:bCs/>
          <w:sz w:val="44"/>
          <w:szCs w:val="32"/>
        </w:rPr>
        <w:t>词解释</w:t>
      </w:r>
      <w:bookmarkEnd w:id="103"/>
    </w:p>
    <w:p w14:paraId="3C9E44AF">
      <w:pPr>
        <w:widowControl w:val="0"/>
        <w:spacing w:line="600" w:lineRule="exact"/>
        <w:ind w:firstLine="640" w:firstLineChars="200"/>
        <w:jc w:val="both"/>
        <w:rPr>
          <w:rFonts w:hint="eastAsia" w:ascii="仿宋" w:hAnsi="仿宋" w:eastAsia="仿宋"/>
          <w:sz w:val="32"/>
        </w:rPr>
      </w:pPr>
    </w:p>
    <w:p w14:paraId="1EBDBF53">
      <w:pPr>
        <w:pStyle w:val="81"/>
        <w:widowControl w:val="0"/>
        <w:spacing w:beforeAutospacing="0" w:afterAutospacing="0" w:line="600" w:lineRule="exact"/>
        <w:ind w:firstLine="640" w:firstLineChars="200"/>
        <w:jc w:val="both"/>
        <w:rPr>
          <w:rFonts w:hint="eastAsia" w:ascii="仿宋" w:hAnsi="仿宋" w:eastAsia="仿宋"/>
          <w:sz w:val="32"/>
        </w:rPr>
      </w:pPr>
      <w:bookmarkStart w:id="107" w:name="_Toc8775"/>
      <w:bookmarkEnd w:id="107"/>
      <w:bookmarkStart w:id="108" w:name="_Toc29247"/>
      <w:r>
        <w:rPr>
          <w:rFonts w:hint="eastAsia" w:ascii="仿宋" w:hAnsi="仿宋" w:eastAsia="仿宋" w:cs="仿宋"/>
          <w:sz w:val="32"/>
          <w:szCs w:val="32"/>
        </w:rPr>
        <w:t>1.</w:t>
      </w:r>
      <w:bookmarkEnd w:id="108"/>
      <w:r>
        <w:rPr>
          <w:rFonts w:hint="eastAsia" w:ascii="仿宋" w:hAnsi="仿宋" w:eastAsia="仿宋" w:cs="仿宋_GB2312"/>
          <w:sz w:val="32"/>
          <w:szCs w:val="32"/>
        </w:rPr>
        <w:t>财政拨款收入：指单位从同级财政部门取得的财政预算资金。</w:t>
      </w:r>
    </w:p>
    <w:p w14:paraId="70618D25">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2.</w:t>
      </w:r>
      <w:r>
        <w:rPr>
          <w:rFonts w:hint="eastAsia" w:ascii="仿宋" w:hAnsi="仿宋" w:eastAsia="仿宋" w:cs="仿宋_GB2312"/>
          <w:sz w:val="32"/>
          <w:szCs w:val="32"/>
        </w:rPr>
        <w:t>事业收入：指事业单位开展专业业务活动及辅助活动取得的收入。如</w:t>
      </w:r>
      <w:r>
        <w:rPr>
          <w:rFonts w:hint="eastAsia" w:ascii="仿宋" w:hAnsi="仿宋" w:eastAsia="仿宋" w:cs="仿宋"/>
          <w:sz w:val="32"/>
          <w:szCs w:val="32"/>
        </w:rPr>
        <w:t>…（二级预算单位事业收入情况）等。</w:t>
      </w:r>
    </w:p>
    <w:p w14:paraId="6970B4E8">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3.</w:t>
      </w:r>
      <w:r>
        <w:rPr>
          <w:rFonts w:hint="eastAsia" w:ascii="仿宋" w:hAnsi="仿宋" w:eastAsia="仿宋" w:cs="仿宋_GB2312"/>
          <w:sz w:val="32"/>
          <w:szCs w:val="32"/>
        </w:rPr>
        <w:t>经营收入：指事业单位在专业业务活动及其辅助活动之外开展非独立核算经营活动取得的收入。如</w:t>
      </w:r>
      <w:r>
        <w:rPr>
          <w:rFonts w:hint="eastAsia" w:ascii="仿宋" w:hAnsi="仿宋" w:eastAsia="仿宋" w:cs="仿宋"/>
          <w:sz w:val="32"/>
          <w:szCs w:val="32"/>
        </w:rPr>
        <w:t>…（二级预算单位经营收入情况）等。</w:t>
      </w:r>
    </w:p>
    <w:p w14:paraId="23D91AD9">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4.</w:t>
      </w:r>
      <w:r>
        <w:rPr>
          <w:rFonts w:hint="eastAsia" w:ascii="仿宋" w:hAnsi="仿宋" w:eastAsia="仿宋" w:cs="仿宋_GB2312"/>
          <w:sz w:val="32"/>
          <w:szCs w:val="32"/>
        </w:rPr>
        <w:t>其他收入：指单位取得的除上述收入以外的各项收入。主要是</w:t>
      </w:r>
      <w:r>
        <w:rPr>
          <w:rFonts w:hint="eastAsia" w:ascii="仿宋" w:hAnsi="仿宋" w:eastAsia="仿宋" w:cs="仿宋"/>
          <w:sz w:val="32"/>
          <w:szCs w:val="32"/>
        </w:rPr>
        <w:t>…（收入类型）等。</w:t>
      </w:r>
    </w:p>
    <w:p w14:paraId="5AE7C641">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5.</w:t>
      </w:r>
      <w:r>
        <w:rPr>
          <w:rFonts w:hint="eastAsia" w:ascii="仿宋" w:hAnsi="仿宋" w:eastAsia="仿宋" w:cs="仿宋_GB2312"/>
          <w:sz w:val="32"/>
          <w:szCs w:val="32"/>
        </w:rPr>
        <w:t>使用非财政拨款结余：指事业单位使用以前年度积累的非财政拨款结余弥补当年收支差额的金额。</w:t>
      </w:r>
    </w:p>
    <w:p w14:paraId="08AD9A23">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6.</w:t>
      </w:r>
      <w:r>
        <w:rPr>
          <w:rFonts w:hint="eastAsia" w:ascii="仿宋" w:hAnsi="仿宋" w:eastAsia="仿宋" w:cs="仿宋_GB2312"/>
          <w:sz w:val="32"/>
          <w:szCs w:val="32"/>
        </w:rPr>
        <w:t>年初结转和结余：指以前年度尚未完成、结转到本年按有关规定继续使用的资金。</w:t>
      </w:r>
    </w:p>
    <w:p w14:paraId="06FEE11F">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7.</w:t>
      </w:r>
      <w:r>
        <w:rPr>
          <w:rFonts w:hint="eastAsia" w:ascii="仿宋" w:hAnsi="仿宋" w:eastAsia="仿宋" w:cs="仿宋_GB2312"/>
          <w:sz w:val="32"/>
          <w:szCs w:val="32"/>
        </w:rPr>
        <w:t>结余分配：指事业单位按照会计制度规定缴纳的所得税、提取的专用结余以及转入非财政拨款结余的金额等。</w:t>
      </w:r>
    </w:p>
    <w:p w14:paraId="7B0F22C6">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8.</w:t>
      </w:r>
      <w:r>
        <w:rPr>
          <w:rFonts w:hint="eastAsia" w:ascii="仿宋" w:hAnsi="仿宋" w:eastAsia="仿宋" w:cs="仿宋_GB2312"/>
          <w:sz w:val="32"/>
          <w:szCs w:val="32"/>
        </w:rPr>
        <w:t>年末结转和结余：指单位按有关规定结转到下年或以后年度继续使用的资金。</w:t>
      </w:r>
    </w:p>
    <w:p w14:paraId="0EB5EED5">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9.</w:t>
      </w:r>
      <w:r>
        <w:rPr>
          <w:rFonts w:hint="eastAsia" w:ascii="仿宋" w:hAnsi="仿宋" w:eastAsia="仿宋" w:cs="仿宋_GB2312"/>
          <w:sz w:val="32"/>
          <w:szCs w:val="32"/>
          <w:lang w:bidi="ar"/>
        </w:rPr>
        <w:t>机关事业单位基本养老保险支出</w:t>
      </w:r>
      <w:r>
        <w:rPr>
          <w:rFonts w:hint="eastAsia" w:ascii="仿宋" w:hAnsi="仿宋" w:eastAsia="仿宋" w:cs="Times New Roman"/>
          <w:sz w:val="32"/>
          <w:szCs w:val="32"/>
          <w:lang w:bidi="ar"/>
        </w:rPr>
        <w:t>208（类）05（款）05（项）：指反应机关事业单位实施养老保险制度由单位缴纳的基本养老保险费支出。</w:t>
      </w:r>
    </w:p>
    <w:p w14:paraId="7498203E">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10.机关单位职业年金缴费支出208（类）05（款）06（项）：指反应机关事业单位实施养老保险制度由单位缴纳的职业年金支出。</w:t>
      </w:r>
    </w:p>
    <w:p w14:paraId="0B19D394">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 xml:space="preserve">11. </w:t>
      </w:r>
      <w:r>
        <w:rPr>
          <w:rFonts w:hint="eastAsia" w:ascii="仿宋" w:hAnsi="仿宋" w:eastAsia="仿宋" w:cs="仿宋_GB2312"/>
          <w:sz w:val="32"/>
          <w:szCs w:val="32"/>
          <w:lang w:bidi="ar"/>
        </w:rPr>
        <w:t>社会保障和就业</w:t>
      </w:r>
      <w:r>
        <w:rPr>
          <w:rFonts w:hint="eastAsia" w:ascii="仿宋" w:hAnsi="仿宋" w:eastAsia="仿宋" w:cs="Times New Roman"/>
          <w:sz w:val="32"/>
          <w:szCs w:val="32"/>
          <w:lang w:bidi="ar"/>
        </w:rPr>
        <w:t>208（类）08（款）05（项）：指反映机关事业单位基本养老保险缴费支出和机关事业单位职业年金缴费支出。</w:t>
      </w:r>
    </w:p>
    <w:p w14:paraId="78D67B5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12.行政运行210（类）01（款）01（项）：指反应行政单位（包括实行公务员管理的事业单位）的基本支出。</w:t>
      </w:r>
    </w:p>
    <w:p w14:paraId="57471A70">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13.一般行政管理事务210（类）01（款）02（项）：指反映行政单位工作制服经费。</w:t>
      </w:r>
    </w:p>
    <w:p w14:paraId="5DCE2682">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14. 其他卫生健康管理事务支出210（类）01（款）99（项）：指反映事业的工资支出。</w:t>
      </w:r>
    </w:p>
    <w:p w14:paraId="48A831AD">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15.</w:t>
      </w:r>
      <w:r>
        <w:rPr>
          <w:rFonts w:hint="eastAsia" w:ascii="仿宋" w:hAnsi="仿宋" w:eastAsia="仿宋" w:cs="仿宋_GB2312"/>
          <w:sz w:val="32"/>
          <w:szCs w:val="32"/>
          <w:lang w:bidi="ar"/>
        </w:rPr>
        <w:t>综合医院</w:t>
      </w:r>
      <w:r>
        <w:rPr>
          <w:rFonts w:hint="eastAsia" w:ascii="仿宋" w:hAnsi="仿宋" w:eastAsia="仿宋" w:cs="Times New Roman"/>
          <w:sz w:val="32"/>
          <w:szCs w:val="32"/>
          <w:lang w:bidi="ar"/>
        </w:rPr>
        <w:t>210（类）02（款）01（项）：指反映卫健局2020年中央财政卫生健康专项补助资金公立医院综合改革补助人口因素、绩效考核、行政区划因素支出。</w:t>
      </w:r>
    </w:p>
    <w:p w14:paraId="77869BA0">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16.</w:t>
      </w:r>
      <w:r>
        <w:rPr>
          <w:rFonts w:hint="eastAsia" w:ascii="仿宋" w:hAnsi="仿宋" w:eastAsia="仿宋" w:cs="仿宋_GB2312"/>
          <w:sz w:val="32"/>
          <w:szCs w:val="32"/>
          <w:lang w:bidi="ar"/>
        </w:rPr>
        <w:t>其他基层医疗卫生机构支出</w:t>
      </w:r>
      <w:r>
        <w:rPr>
          <w:rFonts w:hint="eastAsia" w:ascii="仿宋" w:hAnsi="仿宋" w:eastAsia="仿宋" w:cs="Times New Roman"/>
          <w:sz w:val="32"/>
          <w:szCs w:val="32"/>
          <w:lang w:bidi="ar"/>
        </w:rPr>
        <w:t>210（类）03（款）99（项）：指反映其他基层医疗卫生机构方面的支出。</w:t>
      </w:r>
    </w:p>
    <w:p w14:paraId="020D4AE8">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17.</w:t>
      </w:r>
      <w:r>
        <w:rPr>
          <w:rFonts w:hint="eastAsia" w:ascii="仿宋" w:hAnsi="仿宋" w:eastAsia="仿宋" w:cs="仿宋_GB2312"/>
          <w:sz w:val="32"/>
          <w:szCs w:val="32"/>
          <w:lang w:bidi="ar"/>
        </w:rPr>
        <w:t>基本公共卫生服务</w:t>
      </w:r>
      <w:r>
        <w:rPr>
          <w:rFonts w:hint="eastAsia" w:ascii="仿宋" w:hAnsi="仿宋" w:eastAsia="仿宋" w:cs="Times New Roman"/>
          <w:sz w:val="32"/>
          <w:szCs w:val="32"/>
          <w:lang w:bidi="ar"/>
        </w:rPr>
        <w:t>210（类）04（款）08（项）：指反映基本公共卫生服务支出。</w:t>
      </w:r>
    </w:p>
    <w:p w14:paraId="52FF4A79">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18.重大公共卫生专项210（类）04（款）09（项）：指反映重大疾病预防控制等重大公共卫生服务项目支出。</w:t>
      </w:r>
    </w:p>
    <w:p w14:paraId="26D8D389">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19. 计划生育服务210（类）07（款）17（项）：指反映计划生育服务支出。</w:t>
      </w:r>
    </w:p>
    <w:p w14:paraId="6737F580">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20.其他计划生育事务支出210（类）07（款）99（项）：指反映其他用于计划生育管理事务方面的支出。</w:t>
      </w:r>
    </w:p>
    <w:p w14:paraId="68D21B52">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21. 行政单位医疗210（类）11（款）01（项）：指反映部门集中安排的行政单位基本医疗缴费经费，未参加医疗保险的行政单位的公费医疗经费，按国家规定享受离休人员、红军老战士待遇人员的医疗经费。</w:t>
      </w:r>
    </w:p>
    <w:p w14:paraId="5F6F013D">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22.其他医疗保障管理事务支出210（类）15（款）99（项）：指反映用于其他医疗保障管理事务方面的支出。</w:t>
      </w:r>
    </w:p>
    <w:p w14:paraId="408F62F1">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23.</w:t>
      </w:r>
      <w:r>
        <w:rPr>
          <w:rFonts w:hint="eastAsia" w:ascii="仿宋" w:hAnsi="仿宋" w:eastAsia="仿宋" w:cs="仿宋_GB2312"/>
          <w:sz w:val="32"/>
          <w:szCs w:val="32"/>
          <w:lang w:bidi="ar"/>
        </w:rPr>
        <w:t>其他卫生健康支出</w:t>
      </w:r>
      <w:r>
        <w:rPr>
          <w:rFonts w:hint="eastAsia" w:ascii="仿宋" w:hAnsi="仿宋" w:eastAsia="仿宋" w:cs="Times New Roman"/>
          <w:sz w:val="32"/>
          <w:szCs w:val="32"/>
          <w:lang w:bidi="ar"/>
        </w:rPr>
        <w:t>210（类）99（款）01（项）：指反映其他卫生健康方面的支出。</w:t>
      </w:r>
    </w:p>
    <w:p w14:paraId="57D392F6">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23.</w:t>
      </w:r>
      <w:r>
        <w:rPr>
          <w:rFonts w:hint="eastAsia" w:ascii="仿宋" w:hAnsi="仿宋" w:eastAsia="仿宋" w:cs="仿宋_GB2312"/>
          <w:sz w:val="32"/>
          <w:szCs w:val="32"/>
          <w:lang w:bidi="ar"/>
        </w:rPr>
        <w:t>其他扶贫支出</w:t>
      </w:r>
      <w:r>
        <w:rPr>
          <w:rFonts w:hint="eastAsia" w:ascii="仿宋" w:hAnsi="仿宋" w:eastAsia="仿宋" w:cs="Times New Roman"/>
          <w:sz w:val="32"/>
          <w:szCs w:val="32"/>
          <w:lang w:bidi="ar"/>
        </w:rPr>
        <w:t>213（类）05（款）99（项）：指其他用于扶贫方面的支出。</w:t>
      </w:r>
    </w:p>
    <w:p w14:paraId="6AB9D848">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24.住房公积金221（类）02（款）01（项）：指反映行政事业单位按照人力资源和社会保障部、财政部规定的基本工资和津贴补贴及规定比例为职工缴纳的住房公积金。</w:t>
      </w:r>
    </w:p>
    <w:p w14:paraId="76AB3817">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25.</w:t>
      </w:r>
      <w:r>
        <w:rPr>
          <w:rFonts w:hint="eastAsia" w:ascii="仿宋" w:hAnsi="仿宋" w:eastAsia="仿宋" w:cs="仿宋_GB2312"/>
          <w:sz w:val="32"/>
          <w:szCs w:val="32"/>
          <w:lang w:bidi="ar"/>
        </w:rPr>
        <w:t>公共卫生体系建设</w:t>
      </w:r>
      <w:r>
        <w:rPr>
          <w:rFonts w:hint="eastAsia" w:ascii="仿宋" w:hAnsi="仿宋" w:eastAsia="仿宋" w:cs="Times New Roman"/>
          <w:sz w:val="32"/>
          <w:szCs w:val="32"/>
          <w:lang w:bidi="ar"/>
        </w:rPr>
        <w:t>234（类）01（款）01（项）：指用于基金的支出。</w:t>
      </w:r>
    </w:p>
    <w:p w14:paraId="2193C6D0">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26.</w:t>
      </w:r>
      <w:r>
        <w:rPr>
          <w:rFonts w:hint="eastAsia" w:ascii="仿宋" w:hAnsi="仿宋" w:eastAsia="仿宋" w:cs="仿宋_GB2312"/>
          <w:sz w:val="32"/>
          <w:szCs w:val="32"/>
          <w:lang w:bidi="ar"/>
        </w:rPr>
        <w:t>其他抗疫相关支出</w:t>
      </w:r>
      <w:r>
        <w:rPr>
          <w:rFonts w:hint="eastAsia" w:ascii="仿宋" w:hAnsi="仿宋" w:eastAsia="仿宋" w:cs="Times New Roman"/>
          <w:sz w:val="32"/>
          <w:szCs w:val="32"/>
          <w:lang w:bidi="ar"/>
        </w:rPr>
        <w:t>234（类）02（款）99（项）：指用于其他抗疫方面相关支出。</w:t>
      </w:r>
    </w:p>
    <w:p w14:paraId="3D3EE82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27.</w:t>
      </w:r>
      <w:r>
        <w:rPr>
          <w:rFonts w:hint="eastAsia" w:ascii="仿宋" w:hAnsi="仿宋" w:eastAsia="仿宋" w:cs="仿宋_GB2312"/>
          <w:sz w:val="32"/>
          <w:szCs w:val="32"/>
          <w:lang w:bidi="ar"/>
        </w:rPr>
        <w:t>基本支出：指为保障机构正常运转、完成日常工作任务而发生的人员支出和公用支出。</w:t>
      </w:r>
    </w:p>
    <w:p w14:paraId="315D5B7D">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28.</w:t>
      </w:r>
      <w:r>
        <w:rPr>
          <w:rFonts w:hint="eastAsia" w:ascii="仿宋" w:hAnsi="仿宋" w:eastAsia="仿宋" w:cs="仿宋_GB2312"/>
          <w:sz w:val="32"/>
          <w:szCs w:val="32"/>
          <w:lang w:bidi="ar"/>
        </w:rPr>
        <w:t>项目支出：指在基本支出之外为完成特定行政任务和事业发展目标所发生的支出。</w:t>
      </w:r>
    </w:p>
    <w:p w14:paraId="658BA825">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29.</w:t>
      </w:r>
      <w:r>
        <w:rPr>
          <w:rFonts w:hint="eastAsia" w:ascii="仿宋" w:hAnsi="仿宋" w:eastAsia="仿宋" w:cs="仿宋_GB2312"/>
          <w:sz w:val="32"/>
          <w:szCs w:val="32"/>
          <w:lang w:bidi="ar"/>
        </w:rPr>
        <w:t>经营支出：指事业单位在专业业务活动及其辅助活动之外开展非独立核算经营活动发生的支出。</w:t>
      </w:r>
    </w:p>
    <w:p w14:paraId="39BE7633">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AC94570">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31.</w:t>
      </w:r>
      <w:r>
        <w:rPr>
          <w:rFonts w:hint="eastAsia" w:ascii="仿宋" w:hAnsi="仿宋" w:eastAsia="仿宋"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679BB64">
      <w:pPr>
        <w:pStyle w:val="81"/>
        <w:widowControl w:val="0"/>
        <w:spacing w:beforeAutospacing="0" w:afterAutospacing="0" w:line="600" w:lineRule="exact"/>
        <w:ind w:firstLine="640" w:firstLineChars="200"/>
        <w:jc w:val="both"/>
        <w:rPr>
          <w:rFonts w:hint="eastAsia" w:ascii="仿宋" w:hAnsi="仿宋" w:eastAsia="仿宋" w:cs="黑体"/>
          <w:sz w:val="32"/>
          <w:szCs w:val="32"/>
        </w:rPr>
      </w:pPr>
    </w:p>
    <w:p w14:paraId="240F7AF6">
      <w:pPr>
        <w:pStyle w:val="81"/>
        <w:widowControl w:val="0"/>
        <w:spacing w:beforeAutospacing="0" w:afterAutospacing="0" w:line="600" w:lineRule="exact"/>
        <w:ind w:firstLine="640" w:firstLineChars="200"/>
        <w:jc w:val="both"/>
        <w:rPr>
          <w:rFonts w:hint="eastAsia" w:ascii="仿宋" w:hAnsi="仿宋" w:eastAsia="仿宋" w:cs="黑体"/>
          <w:sz w:val="32"/>
          <w:szCs w:val="32"/>
        </w:rPr>
      </w:pPr>
    </w:p>
    <w:p w14:paraId="30A3F705">
      <w:pPr>
        <w:pStyle w:val="81"/>
        <w:widowControl w:val="0"/>
        <w:spacing w:beforeAutospacing="0" w:afterAutospacing="0" w:line="600" w:lineRule="exact"/>
        <w:ind w:firstLine="640" w:firstLineChars="200"/>
        <w:jc w:val="both"/>
        <w:rPr>
          <w:rFonts w:hint="eastAsia" w:ascii="仿宋" w:hAnsi="仿宋" w:eastAsia="仿宋" w:cs="黑体"/>
          <w:sz w:val="32"/>
          <w:szCs w:val="32"/>
        </w:rPr>
      </w:pPr>
    </w:p>
    <w:p w14:paraId="64236180">
      <w:pPr>
        <w:pStyle w:val="81"/>
        <w:widowControl w:val="0"/>
        <w:spacing w:beforeAutospacing="0" w:afterAutospacing="0" w:line="600" w:lineRule="exact"/>
        <w:ind w:firstLine="640" w:firstLineChars="200"/>
        <w:jc w:val="both"/>
        <w:rPr>
          <w:rFonts w:hint="eastAsia" w:ascii="仿宋" w:hAnsi="仿宋" w:eastAsia="仿宋" w:cs="黑体"/>
          <w:sz w:val="32"/>
          <w:szCs w:val="32"/>
        </w:rPr>
      </w:pPr>
    </w:p>
    <w:sectPr>
      <w:pgSz w:w="11907" w:h="16840"/>
      <w:pgMar w:top="1440" w:right="1797" w:bottom="1440" w:left="1797"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rdia New">
    <w:panose1 w:val="020B0304020202020204"/>
    <w:charset w:val="DE"/>
    <w:family w:val="swiss"/>
    <w:pitch w:val="default"/>
    <w:sig w:usb0="81000003" w:usb1="00000000" w:usb2="00000000" w:usb3="00000000" w:csb0="00010001" w:csb1="00000000"/>
  </w:font>
  <w:font w:name="Angsana New">
    <w:panose1 w:val="02020603050405020304"/>
    <w:charset w:val="DE"/>
    <w:family w:val="roman"/>
    <w:pitch w:val="default"/>
    <w:sig w:usb0="81000003" w:usb1="00000000" w:usb2="00000000" w:usb3="00000000" w:csb0="00010001"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B3303">
    <w:pPr>
      <w:pStyle w:val="55"/>
      <w:jc w:val="center"/>
      <w:rPr>
        <w:rFonts w:ascii="Times New Roman" w:hAnsi="Times New Roman" w:eastAsia="宋体"/>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F40AE">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1603A">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1FABB">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dit="readOnly"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B5C41"/>
    <w:rsid w:val="00095861"/>
    <w:rsid w:val="000C0CF4"/>
    <w:rsid w:val="001722B2"/>
    <w:rsid w:val="00177C3D"/>
    <w:rsid w:val="001C54C2"/>
    <w:rsid w:val="002D4E9F"/>
    <w:rsid w:val="002E50CA"/>
    <w:rsid w:val="003E18A9"/>
    <w:rsid w:val="006975DE"/>
    <w:rsid w:val="006D171B"/>
    <w:rsid w:val="0075308E"/>
    <w:rsid w:val="00A227B9"/>
    <w:rsid w:val="00AE0C52"/>
    <w:rsid w:val="00C230DE"/>
    <w:rsid w:val="00C960EF"/>
    <w:rsid w:val="00CD1870"/>
    <w:rsid w:val="00D83B9A"/>
    <w:rsid w:val="00FF4397"/>
    <w:rsid w:val="017212AE"/>
    <w:rsid w:val="031C0BD3"/>
    <w:rsid w:val="043D1924"/>
    <w:rsid w:val="04A0634C"/>
    <w:rsid w:val="04B12B41"/>
    <w:rsid w:val="05640EFD"/>
    <w:rsid w:val="0A675634"/>
    <w:rsid w:val="0D1240BD"/>
    <w:rsid w:val="0E3F0A80"/>
    <w:rsid w:val="12F27075"/>
    <w:rsid w:val="144E3A38"/>
    <w:rsid w:val="14F4550C"/>
    <w:rsid w:val="15EC6516"/>
    <w:rsid w:val="16F3247F"/>
    <w:rsid w:val="1ED75321"/>
    <w:rsid w:val="21DD5905"/>
    <w:rsid w:val="223B0A68"/>
    <w:rsid w:val="23ED0ED5"/>
    <w:rsid w:val="2E55770E"/>
    <w:rsid w:val="312167A8"/>
    <w:rsid w:val="36AD21DA"/>
    <w:rsid w:val="3BC211E4"/>
    <w:rsid w:val="3D7628DF"/>
    <w:rsid w:val="3E541399"/>
    <w:rsid w:val="415B3276"/>
    <w:rsid w:val="489F578E"/>
    <w:rsid w:val="509F5EDC"/>
    <w:rsid w:val="50EB5C41"/>
    <w:rsid w:val="51924993"/>
    <w:rsid w:val="54051103"/>
    <w:rsid w:val="5719248B"/>
    <w:rsid w:val="58877149"/>
    <w:rsid w:val="5928604C"/>
    <w:rsid w:val="5F300B97"/>
    <w:rsid w:val="601A14A7"/>
    <w:rsid w:val="60973B6E"/>
    <w:rsid w:val="6120408F"/>
    <w:rsid w:val="69A53CA3"/>
    <w:rsid w:val="6D775E67"/>
    <w:rsid w:val="700722DF"/>
    <w:rsid w:val="70327C53"/>
    <w:rsid w:val="78E5678D"/>
    <w:rsid w:val="795C2C66"/>
    <w:rsid w:val="79F663D3"/>
    <w:rsid w:val="7A854638"/>
    <w:rsid w:val="7B9621AF"/>
    <w:rsid w:val="7FD932A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iPriority="99" w:name="Placeholder Text"/>
    <w:lsdException w:uiPriority="99"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99" w:name="List Paragraph"/>
    <w:lsdException w:uiPriority="99" w:name="Quote"/>
    <w:lsdException w:uiPriority="99"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qFormat="1"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outlineLvl w:val="0"/>
    </w:pPr>
    <w:rPr>
      <w:rFonts w:hint="eastAsia" w:ascii="宋体" w:hAnsi="宋体" w:eastAsia="宋体" w:cs="Angsana New"/>
      <w:b/>
      <w:kern w:val="44"/>
      <w:sz w:val="48"/>
      <w:szCs w:val="48"/>
      <w:lang w:bidi="th-TH"/>
    </w:rPr>
  </w:style>
  <w:style w:type="paragraph" w:styleId="4">
    <w:name w:val="heading 2"/>
    <w:basedOn w:val="1"/>
    <w:next w:val="1"/>
    <w:unhideWhenUsed/>
    <w:qFormat/>
    <w:uiPriority w:val="0"/>
    <w:pPr>
      <w:spacing w:beforeAutospacing="1" w:afterAutospacing="1"/>
      <w:outlineLvl w:val="1"/>
    </w:pPr>
    <w:rPr>
      <w:rFonts w:hint="eastAsia" w:ascii="宋体" w:hAnsi="宋体" w:eastAsia="宋体" w:cs="Angsana New"/>
      <w:b/>
      <w:kern w:val="0"/>
      <w:sz w:val="36"/>
      <w:szCs w:val="36"/>
      <w:lang w:bidi="th-TH"/>
    </w:rPr>
  </w:style>
  <w:style w:type="paragraph" w:styleId="5">
    <w:name w:val="heading 3"/>
    <w:basedOn w:val="1"/>
    <w:next w:val="1"/>
    <w:link w:val="258"/>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259"/>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260"/>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261"/>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262"/>
    <w:semiHidden/>
    <w:unhideWhenUsed/>
    <w:qFormat/>
    <w:uiPriority w:val="0"/>
    <w:pPr>
      <w:keepNext/>
      <w:keepLines/>
      <w:spacing w:before="240" w:after="64" w:line="320" w:lineRule="auto"/>
      <w:outlineLvl w:val="6"/>
    </w:pPr>
    <w:rPr>
      <w:b/>
      <w:bCs/>
      <w:sz w:val="24"/>
    </w:rPr>
  </w:style>
  <w:style w:type="paragraph" w:styleId="10">
    <w:name w:val="heading 8"/>
    <w:basedOn w:val="1"/>
    <w:next w:val="1"/>
    <w:link w:val="263"/>
    <w:semiHidden/>
    <w:unhideWhenUsed/>
    <w:qFormat/>
    <w:uiPriority w:val="0"/>
    <w:pPr>
      <w:keepNext/>
      <w:keepLines/>
      <w:spacing w:before="240" w:after="64" w:line="320" w:lineRule="auto"/>
      <w:outlineLvl w:val="7"/>
    </w:pPr>
    <w:rPr>
      <w:rFonts w:asciiTheme="majorHAnsi" w:hAnsiTheme="majorHAnsi" w:eastAsiaTheme="majorEastAsia" w:cstheme="majorBidi"/>
      <w:sz w:val="24"/>
    </w:rPr>
  </w:style>
  <w:style w:type="paragraph" w:styleId="11">
    <w:name w:val="heading 9"/>
    <w:basedOn w:val="1"/>
    <w:next w:val="1"/>
    <w:link w:val="264"/>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231">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271"/>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uiPriority w:val="0"/>
    <w:pPr>
      <w:ind w:left="100" w:leftChars="400" w:hanging="200" w:hangingChars="200"/>
      <w:contextualSpacing/>
    </w:pPr>
  </w:style>
  <w:style w:type="paragraph" w:styleId="13">
    <w:name w:val="toc 7"/>
    <w:basedOn w:val="1"/>
    <w:next w:val="1"/>
    <w:uiPriority w:val="0"/>
    <w:pPr>
      <w:ind w:left="2520" w:leftChars="1200"/>
    </w:pPr>
  </w:style>
  <w:style w:type="paragraph" w:styleId="14">
    <w:name w:val="List Number 2"/>
    <w:basedOn w:val="1"/>
    <w:uiPriority w:val="0"/>
    <w:pPr>
      <w:numPr>
        <w:ilvl w:val="0"/>
        <w:numId w:val="1"/>
      </w:numPr>
      <w:contextualSpacing/>
    </w:pPr>
  </w:style>
  <w:style w:type="paragraph" w:styleId="15">
    <w:name w:val="table of authorities"/>
    <w:basedOn w:val="1"/>
    <w:next w:val="1"/>
    <w:uiPriority w:val="0"/>
    <w:pPr>
      <w:ind w:left="420" w:leftChars="200"/>
    </w:pPr>
  </w:style>
  <w:style w:type="paragraph" w:styleId="16">
    <w:name w:val="Note Heading"/>
    <w:basedOn w:val="1"/>
    <w:next w:val="1"/>
    <w:link w:val="409"/>
    <w:qFormat/>
    <w:uiPriority w:val="0"/>
    <w:pPr>
      <w:jc w:val="center"/>
    </w:pPr>
  </w:style>
  <w:style w:type="paragraph" w:styleId="17">
    <w:name w:val="List Bullet 4"/>
    <w:basedOn w:val="1"/>
    <w:uiPriority w:val="0"/>
    <w:pPr>
      <w:numPr>
        <w:ilvl w:val="0"/>
        <w:numId w:val="2"/>
      </w:numPr>
      <w:contextualSpacing/>
    </w:pPr>
  </w:style>
  <w:style w:type="paragraph" w:styleId="18">
    <w:name w:val="index 8"/>
    <w:basedOn w:val="1"/>
    <w:next w:val="1"/>
    <w:uiPriority w:val="0"/>
    <w:pPr>
      <w:ind w:left="1400" w:leftChars="1400"/>
    </w:pPr>
  </w:style>
  <w:style w:type="paragraph" w:styleId="19">
    <w:name w:val="E-mail Signature"/>
    <w:basedOn w:val="1"/>
    <w:link w:val="269"/>
    <w:uiPriority w:val="0"/>
  </w:style>
  <w:style w:type="paragraph" w:styleId="20">
    <w:name w:val="List Number"/>
    <w:basedOn w:val="1"/>
    <w:uiPriority w:val="0"/>
    <w:pPr>
      <w:numPr>
        <w:ilvl w:val="0"/>
        <w:numId w:val="3"/>
      </w:numPr>
      <w:contextualSpacing/>
    </w:pPr>
  </w:style>
  <w:style w:type="paragraph" w:styleId="21">
    <w:name w:val="Normal Indent"/>
    <w:basedOn w:val="1"/>
    <w:uiPriority w:val="0"/>
    <w:pPr>
      <w:ind w:firstLine="420" w:firstLineChars="200"/>
    </w:pPr>
  </w:style>
  <w:style w:type="paragraph" w:styleId="22">
    <w:name w:val="caption"/>
    <w:basedOn w:val="1"/>
    <w:next w:val="1"/>
    <w:semiHidden/>
    <w:unhideWhenUsed/>
    <w:qFormat/>
    <w:uiPriority w:val="0"/>
    <w:rPr>
      <w:rFonts w:eastAsia="黑体" w:asciiTheme="majorHAnsi" w:hAnsiTheme="majorHAnsi" w:cstheme="majorBidi"/>
      <w:sz w:val="20"/>
      <w:szCs w:val="20"/>
    </w:rPr>
  </w:style>
  <w:style w:type="paragraph" w:styleId="23">
    <w:name w:val="index 5"/>
    <w:basedOn w:val="1"/>
    <w:next w:val="1"/>
    <w:uiPriority w:val="0"/>
    <w:pPr>
      <w:ind w:left="800" w:leftChars="800"/>
    </w:pPr>
  </w:style>
  <w:style w:type="paragraph" w:styleId="24">
    <w:name w:val="List Bullet"/>
    <w:basedOn w:val="1"/>
    <w:uiPriority w:val="0"/>
    <w:pPr>
      <w:numPr>
        <w:ilvl w:val="0"/>
        <w:numId w:val="4"/>
      </w:numPr>
      <w:contextualSpacing/>
    </w:pPr>
  </w:style>
  <w:style w:type="paragraph" w:styleId="25">
    <w:name w:val="envelope address"/>
    <w:basedOn w:val="1"/>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26">
    <w:name w:val="Document Map"/>
    <w:basedOn w:val="1"/>
    <w:link w:val="388"/>
    <w:uiPriority w:val="0"/>
    <w:rPr>
      <w:rFonts w:ascii="Microsoft YaHei UI" w:eastAsia="Microsoft YaHei UI"/>
      <w:sz w:val="18"/>
      <w:szCs w:val="18"/>
    </w:rPr>
  </w:style>
  <w:style w:type="paragraph" w:styleId="27">
    <w:name w:val="toa heading"/>
    <w:basedOn w:val="1"/>
    <w:next w:val="1"/>
    <w:uiPriority w:val="0"/>
    <w:pPr>
      <w:spacing w:before="120"/>
    </w:pPr>
    <w:rPr>
      <w:rFonts w:asciiTheme="majorHAnsi" w:hAnsiTheme="majorHAnsi" w:eastAsiaTheme="majorEastAsia" w:cstheme="majorBidi"/>
      <w:sz w:val="24"/>
    </w:rPr>
  </w:style>
  <w:style w:type="paragraph" w:styleId="28">
    <w:name w:val="annotation text"/>
    <w:basedOn w:val="1"/>
    <w:link w:val="281"/>
    <w:uiPriority w:val="0"/>
  </w:style>
  <w:style w:type="paragraph" w:styleId="29">
    <w:name w:val="index 6"/>
    <w:basedOn w:val="1"/>
    <w:next w:val="1"/>
    <w:uiPriority w:val="0"/>
    <w:pPr>
      <w:ind w:left="1000" w:leftChars="1000"/>
    </w:pPr>
  </w:style>
  <w:style w:type="paragraph" w:styleId="30">
    <w:name w:val="Salutation"/>
    <w:basedOn w:val="1"/>
    <w:next w:val="1"/>
    <w:link w:val="267"/>
    <w:uiPriority w:val="0"/>
  </w:style>
  <w:style w:type="paragraph" w:styleId="31">
    <w:name w:val="Body Text 3"/>
    <w:basedOn w:val="1"/>
    <w:link w:val="401"/>
    <w:uiPriority w:val="0"/>
    <w:pPr>
      <w:spacing w:after="120"/>
    </w:pPr>
    <w:rPr>
      <w:sz w:val="16"/>
      <w:szCs w:val="16"/>
    </w:rPr>
  </w:style>
  <w:style w:type="paragraph" w:styleId="32">
    <w:name w:val="Closing"/>
    <w:basedOn w:val="1"/>
    <w:link w:val="273"/>
    <w:uiPriority w:val="0"/>
    <w:pPr>
      <w:ind w:left="100" w:leftChars="2100"/>
    </w:pPr>
  </w:style>
  <w:style w:type="paragraph" w:styleId="33">
    <w:name w:val="List Bullet 3"/>
    <w:basedOn w:val="1"/>
    <w:uiPriority w:val="0"/>
    <w:pPr>
      <w:numPr>
        <w:ilvl w:val="0"/>
        <w:numId w:val="5"/>
      </w:numPr>
      <w:contextualSpacing/>
    </w:pPr>
  </w:style>
  <w:style w:type="paragraph" w:styleId="34">
    <w:name w:val="Body Text"/>
    <w:basedOn w:val="1"/>
    <w:link w:val="399"/>
    <w:uiPriority w:val="0"/>
    <w:pPr>
      <w:spacing w:after="120"/>
    </w:pPr>
  </w:style>
  <w:style w:type="paragraph" w:styleId="35">
    <w:name w:val="Body Text Indent"/>
    <w:basedOn w:val="1"/>
    <w:link w:val="403"/>
    <w:uiPriority w:val="0"/>
    <w:pPr>
      <w:spacing w:after="120"/>
      <w:ind w:left="420" w:leftChars="200"/>
    </w:pPr>
  </w:style>
  <w:style w:type="paragraph" w:styleId="36">
    <w:name w:val="List Number 3"/>
    <w:basedOn w:val="1"/>
    <w:uiPriority w:val="0"/>
    <w:pPr>
      <w:numPr>
        <w:ilvl w:val="0"/>
        <w:numId w:val="6"/>
      </w:numPr>
      <w:contextualSpacing/>
    </w:pPr>
  </w:style>
  <w:style w:type="paragraph" w:styleId="37">
    <w:name w:val="List 2"/>
    <w:basedOn w:val="1"/>
    <w:uiPriority w:val="0"/>
    <w:pPr>
      <w:ind w:left="100" w:leftChars="200" w:hanging="200" w:hangingChars="200"/>
      <w:contextualSpacing/>
    </w:pPr>
  </w:style>
  <w:style w:type="paragraph" w:styleId="38">
    <w:name w:val="List Continue"/>
    <w:basedOn w:val="1"/>
    <w:uiPriority w:val="0"/>
    <w:pPr>
      <w:spacing w:after="120"/>
      <w:ind w:left="420" w:leftChars="200"/>
      <w:contextualSpacing/>
    </w:pPr>
  </w:style>
  <w:style w:type="paragraph" w:styleId="39">
    <w:name w:val="Block Text"/>
    <w:basedOn w:val="1"/>
    <w:uiPriority w:val="0"/>
    <w:pPr>
      <w:spacing w:after="120"/>
      <w:ind w:left="1440" w:leftChars="700" w:right="1440" w:rightChars="700"/>
    </w:pPr>
  </w:style>
  <w:style w:type="paragraph" w:styleId="40">
    <w:name w:val="List Bullet 2"/>
    <w:basedOn w:val="1"/>
    <w:uiPriority w:val="0"/>
    <w:pPr>
      <w:numPr>
        <w:ilvl w:val="0"/>
        <w:numId w:val="7"/>
      </w:numPr>
      <w:contextualSpacing/>
    </w:pPr>
  </w:style>
  <w:style w:type="paragraph" w:styleId="41">
    <w:name w:val="HTML Address"/>
    <w:basedOn w:val="1"/>
    <w:link w:val="254"/>
    <w:uiPriority w:val="0"/>
    <w:rPr>
      <w:i/>
      <w:iCs/>
    </w:rPr>
  </w:style>
  <w:style w:type="paragraph" w:styleId="42">
    <w:name w:val="index 4"/>
    <w:basedOn w:val="1"/>
    <w:next w:val="1"/>
    <w:uiPriority w:val="0"/>
    <w:pPr>
      <w:ind w:left="600" w:leftChars="600"/>
    </w:pPr>
  </w:style>
  <w:style w:type="paragraph" w:styleId="43">
    <w:name w:val="toc 5"/>
    <w:basedOn w:val="1"/>
    <w:next w:val="1"/>
    <w:uiPriority w:val="0"/>
    <w:pPr>
      <w:ind w:left="1680" w:leftChars="800"/>
    </w:pPr>
  </w:style>
  <w:style w:type="paragraph" w:styleId="44">
    <w:name w:val="toc 3"/>
    <w:basedOn w:val="1"/>
    <w:next w:val="1"/>
    <w:uiPriority w:val="0"/>
    <w:pPr>
      <w:ind w:left="840" w:leftChars="400"/>
    </w:pPr>
  </w:style>
  <w:style w:type="paragraph" w:styleId="45">
    <w:name w:val="Plain Text"/>
    <w:basedOn w:val="1"/>
    <w:link w:val="268"/>
    <w:uiPriority w:val="0"/>
    <w:rPr>
      <w:rFonts w:hAnsi="Courier New" w:cs="Courier New" w:asciiTheme="minorEastAsia"/>
    </w:rPr>
  </w:style>
  <w:style w:type="paragraph" w:styleId="46">
    <w:name w:val="List Bullet 5"/>
    <w:basedOn w:val="1"/>
    <w:uiPriority w:val="0"/>
    <w:pPr>
      <w:numPr>
        <w:ilvl w:val="0"/>
        <w:numId w:val="8"/>
      </w:numPr>
      <w:contextualSpacing/>
    </w:pPr>
  </w:style>
  <w:style w:type="paragraph" w:styleId="47">
    <w:name w:val="List Number 4"/>
    <w:basedOn w:val="1"/>
    <w:uiPriority w:val="0"/>
    <w:pPr>
      <w:numPr>
        <w:ilvl w:val="0"/>
        <w:numId w:val="9"/>
      </w:numPr>
      <w:contextualSpacing/>
    </w:pPr>
  </w:style>
  <w:style w:type="paragraph" w:styleId="48">
    <w:name w:val="toc 8"/>
    <w:basedOn w:val="1"/>
    <w:next w:val="1"/>
    <w:uiPriority w:val="0"/>
    <w:pPr>
      <w:ind w:left="2940" w:leftChars="1400"/>
    </w:pPr>
  </w:style>
  <w:style w:type="paragraph" w:styleId="49">
    <w:name w:val="index 3"/>
    <w:basedOn w:val="1"/>
    <w:next w:val="1"/>
    <w:uiPriority w:val="0"/>
    <w:pPr>
      <w:ind w:left="400" w:leftChars="400"/>
    </w:pPr>
  </w:style>
  <w:style w:type="paragraph" w:styleId="50">
    <w:name w:val="Date"/>
    <w:basedOn w:val="1"/>
    <w:next w:val="1"/>
    <w:link w:val="333"/>
    <w:uiPriority w:val="0"/>
    <w:pPr>
      <w:ind w:left="100" w:leftChars="2500"/>
    </w:pPr>
  </w:style>
  <w:style w:type="paragraph" w:styleId="51">
    <w:name w:val="Body Text Indent 2"/>
    <w:basedOn w:val="1"/>
    <w:link w:val="405"/>
    <w:uiPriority w:val="0"/>
    <w:pPr>
      <w:spacing w:after="120" w:line="480" w:lineRule="auto"/>
      <w:ind w:left="420" w:leftChars="200"/>
    </w:pPr>
  </w:style>
  <w:style w:type="paragraph" w:styleId="52">
    <w:name w:val="endnote text"/>
    <w:basedOn w:val="1"/>
    <w:link w:val="386"/>
    <w:uiPriority w:val="0"/>
    <w:pPr>
      <w:snapToGrid w:val="0"/>
    </w:pPr>
  </w:style>
  <w:style w:type="paragraph" w:styleId="53">
    <w:name w:val="List Continue 5"/>
    <w:basedOn w:val="1"/>
    <w:uiPriority w:val="0"/>
    <w:pPr>
      <w:spacing w:after="120"/>
      <w:ind w:left="2100" w:leftChars="1000"/>
      <w:contextualSpacing/>
    </w:pPr>
  </w:style>
  <w:style w:type="paragraph" w:styleId="54">
    <w:name w:val="Balloon Text"/>
    <w:basedOn w:val="1"/>
    <w:link w:val="280"/>
    <w:uiPriority w:val="0"/>
    <w:rPr>
      <w:sz w:val="18"/>
      <w:szCs w:val="18"/>
    </w:rPr>
  </w:style>
  <w:style w:type="paragraph" w:styleId="55">
    <w:name w:val="footer"/>
    <w:basedOn w:val="1"/>
    <w:link w:val="252"/>
    <w:uiPriority w:val="0"/>
    <w:pPr>
      <w:tabs>
        <w:tab w:val="center" w:pos="4153"/>
        <w:tab w:val="right" w:pos="8306"/>
      </w:tabs>
      <w:snapToGrid w:val="0"/>
    </w:pPr>
    <w:rPr>
      <w:sz w:val="18"/>
      <w:szCs w:val="18"/>
    </w:rPr>
  </w:style>
  <w:style w:type="paragraph" w:styleId="56">
    <w:name w:val="envelope return"/>
    <w:basedOn w:val="1"/>
    <w:uiPriority w:val="0"/>
    <w:pPr>
      <w:snapToGrid w:val="0"/>
    </w:pPr>
    <w:rPr>
      <w:rFonts w:asciiTheme="majorHAnsi" w:hAnsiTheme="majorHAnsi" w:eastAsiaTheme="majorEastAsia" w:cstheme="majorBidi"/>
    </w:rPr>
  </w:style>
  <w:style w:type="paragraph" w:styleId="57">
    <w:name w:val="header"/>
    <w:basedOn w:val="1"/>
    <w:link w:val="251"/>
    <w:uiPriority w:val="0"/>
    <w:pPr>
      <w:tabs>
        <w:tab w:val="center" w:pos="4153"/>
        <w:tab w:val="right" w:pos="8306"/>
      </w:tabs>
      <w:snapToGrid w:val="0"/>
      <w:jc w:val="center"/>
    </w:pPr>
    <w:rPr>
      <w:sz w:val="18"/>
      <w:szCs w:val="18"/>
    </w:rPr>
  </w:style>
  <w:style w:type="paragraph" w:styleId="58">
    <w:name w:val="Signature"/>
    <w:basedOn w:val="1"/>
    <w:link w:val="283"/>
    <w:uiPriority w:val="0"/>
    <w:pPr>
      <w:ind w:left="100" w:leftChars="2100"/>
    </w:pPr>
  </w:style>
  <w:style w:type="paragraph" w:styleId="59">
    <w:name w:val="toc 1"/>
    <w:basedOn w:val="1"/>
    <w:next w:val="1"/>
    <w:uiPriority w:val="39"/>
  </w:style>
  <w:style w:type="paragraph" w:styleId="60">
    <w:name w:val="List Continue 4"/>
    <w:basedOn w:val="1"/>
    <w:uiPriority w:val="0"/>
    <w:pPr>
      <w:spacing w:after="120"/>
      <w:ind w:left="1680" w:leftChars="800"/>
      <w:contextualSpacing/>
    </w:pPr>
  </w:style>
  <w:style w:type="paragraph" w:styleId="61">
    <w:name w:val="toc 4"/>
    <w:basedOn w:val="1"/>
    <w:next w:val="1"/>
    <w:uiPriority w:val="0"/>
    <w:pPr>
      <w:ind w:left="1260" w:leftChars="600"/>
    </w:pPr>
  </w:style>
  <w:style w:type="paragraph" w:styleId="62">
    <w:name w:val="index heading"/>
    <w:basedOn w:val="1"/>
    <w:next w:val="63"/>
    <w:uiPriority w:val="0"/>
    <w:rPr>
      <w:rFonts w:asciiTheme="majorHAnsi" w:hAnsiTheme="majorHAnsi" w:eastAsiaTheme="majorEastAsia" w:cstheme="majorBidi"/>
      <w:b/>
      <w:bCs/>
    </w:rPr>
  </w:style>
  <w:style w:type="paragraph" w:styleId="63">
    <w:name w:val="index 1"/>
    <w:basedOn w:val="1"/>
    <w:next w:val="1"/>
    <w:uiPriority w:val="0"/>
  </w:style>
  <w:style w:type="paragraph" w:styleId="64">
    <w:name w:val="Subtitle"/>
    <w:basedOn w:val="1"/>
    <w:next w:val="1"/>
    <w:link w:val="270"/>
    <w:qFormat/>
    <w:uiPriority w:val="0"/>
    <w:pPr>
      <w:spacing w:before="240" w:after="60" w:line="312" w:lineRule="auto"/>
      <w:jc w:val="center"/>
      <w:outlineLvl w:val="1"/>
    </w:pPr>
    <w:rPr>
      <w:b/>
      <w:bCs/>
      <w:kern w:val="28"/>
      <w:sz w:val="32"/>
      <w:szCs w:val="32"/>
    </w:rPr>
  </w:style>
  <w:style w:type="paragraph" w:styleId="65">
    <w:name w:val="List Number 5"/>
    <w:basedOn w:val="1"/>
    <w:uiPriority w:val="0"/>
    <w:pPr>
      <w:numPr>
        <w:ilvl w:val="0"/>
        <w:numId w:val="10"/>
      </w:numPr>
      <w:contextualSpacing/>
    </w:pPr>
  </w:style>
  <w:style w:type="paragraph" w:styleId="66">
    <w:name w:val="List"/>
    <w:basedOn w:val="1"/>
    <w:uiPriority w:val="0"/>
    <w:pPr>
      <w:ind w:left="200" w:hanging="200" w:hangingChars="200"/>
      <w:contextualSpacing/>
    </w:pPr>
  </w:style>
  <w:style w:type="paragraph" w:styleId="67">
    <w:name w:val="footnote text"/>
    <w:basedOn w:val="1"/>
    <w:link w:val="272"/>
    <w:uiPriority w:val="0"/>
    <w:pPr>
      <w:snapToGrid w:val="0"/>
    </w:pPr>
    <w:rPr>
      <w:sz w:val="18"/>
      <w:szCs w:val="18"/>
    </w:rPr>
  </w:style>
  <w:style w:type="paragraph" w:styleId="68">
    <w:name w:val="toc 6"/>
    <w:basedOn w:val="1"/>
    <w:next w:val="1"/>
    <w:uiPriority w:val="0"/>
    <w:pPr>
      <w:ind w:left="2100" w:leftChars="1000"/>
    </w:pPr>
  </w:style>
  <w:style w:type="paragraph" w:styleId="69">
    <w:name w:val="List 5"/>
    <w:basedOn w:val="1"/>
    <w:uiPriority w:val="0"/>
    <w:pPr>
      <w:ind w:left="100" w:leftChars="800" w:hanging="200" w:hangingChars="200"/>
      <w:contextualSpacing/>
    </w:pPr>
  </w:style>
  <w:style w:type="paragraph" w:styleId="70">
    <w:name w:val="Body Text Indent 3"/>
    <w:basedOn w:val="1"/>
    <w:link w:val="406"/>
    <w:uiPriority w:val="0"/>
    <w:pPr>
      <w:spacing w:after="120"/>
      <w:ind w:left="420" w:leftChars="200"/>
    </w:pPr>
    <w:rPr>
      <w:sz w:val="16"/>
      <w:szCs w:val="16"/>
    </w:rPr>
  </w:style>
  <w:style w:type="paragraph" w:styleId="71">
    <w:name w:val="index 7"/>
    <w:basedOn w:val="1"/>
    <w:next w:val="1"/>
    <w:uiPriority w:val="0"/>
    <w:pPr>
      <w:ind w:left="1200" w:leftChars="1200"/>
    </w:pPr>
  </w:style>
  <w:style w:type="paragraph" w:styleId="72">
    <w:name w:val="index 9"/>
    <w:basedOn w:val="1"/>
    <w:next w:val="1"/>
    <w:uiPriority w:val="0"/>
    <w:pPr>
      <w:ind w:left="1600" w:leftChars="1600"/>
    </w:pPr>
  </w:style>
  <w:style w:type="paragraph" w:styleId="73">
    <w:name w:val="table of figures"/>
    <w:basedOn w:val="1"/>
    <w:next w:val="1"/>
    <w:uiPriority w:val="0"/>
    <w:pPr>
      <w:ind w:left="200" w:leftChars="200" w:hanging="200" w:hangingChars="200"/>
    </w:pPr>
  </w:style>
  <w:style w:type="paragraph" w:styleId="74">
    <w:name w:val="toc 2"/>
    <w:basedOn w:val="1"/>
    <w:next w:val="1"/>
    <w:uiPriority w:val="39"/>
    <w:pPr>
      <w:ind w:left="420" w:leftChars="200"/>
    </w:pPr>
  </w:style>
  <w:style w:type="paragraph" w:styleId="75">
    <w:name w:val="toc 9"/>
    <w:basedOn w:val="1"/>
    <w:next w:val="1"/>
    <w:uiPriority w:val="0"/>
    <w:pPr>
      <w:ind w:left="3360" w:leftChars="1600"/>
    </w:pPr>
  </w:style>
  <w:style w:type="paragraph" w:styleId="76">
    <w:name w:val="Body Text 2"/>
    <w:basedOn w:val="1"/>
    <w:link w:val="400"/>
    <w:uiPriority w:val="0"/>
    <w:pPr>
      <w:spacing w:after="120" w:line="480" w:lineRule="auto"/>
    </w:pPr>
  </w:style>
  <w:style w:type="paragraph" w:styleId="77">
    <w:name w:val="List 4"/>
    <w:basedOn w:val="1"/>
    <w:uiPriority w:val="0"/>
    <w:pPr>
      <w:ind w:left="100" w:leftChars="600" w:hanging="200" w:hangingChars="200"/>
      <w:contextualSpacing/>
    </w:pPr>
  </w:style>
  <w:style w:type="paragraph" w:styleId="78">
    <w:name w:val="List Continue 2"/>
    <w:basedOn w:val="1"/>
    <w:uiPriority w:val="0"/>
    <w:pPr>
      <w:spacing w:after="120"/>
      <w:ind w:left="840" w:leftChars="400"/>
      <w:contextualSpacing/>
    </w:pPr>
  </w:style>
  <w:style w:type="paragraph" w:styleId="79">
    <w:name w:val="Message Header"/>
    <w:basedOn w:val="1"/>
    <w:link w:val="395"/>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link w:val="255"/>
    <w:uiPriority w:val="0"/>
    <w:rPr>
      <w:rFonts w:ascii="Courier New" w:hAnsi="Courier New" w:cs="Courier New"/>
      <w:sz w:val="20"/>
      <w:szCs w:val="20"/>
    </w:rPr>
  </w:style>
  <w:style w:type="paragraph" w:styleId="81">
    <w:name w:val="Normal (Web)"/>
    <w:basedOn w:val="1"/>
    <w:uiPriority w:val="0"/>
    <w:pPr>
      <w:spacing w:beforeAutospacing="1" w:afterAutospacing="1"/>
    </w:pPr>
    <w:rPr>
      <w:rFonts w:cs="Angsana New"/>
      <w:kern w:val="0"/>
      <w:sz w:val="24"/>
      <w:lang w:bidi="th-TH"/>
    </w:rPr>
  </w:style>
  <w:style w:type="paragraph" w:styleId="82">
    <w:name w:val="List Continue 3"/>
    <w:basedOn w:val="1"/>
    <w:uiPriority w:val="0"/>
    <w:pPr>
      <w:spacing w:after="120"/>
      <w:ind w:left="1260" w:leftChars="600"/>
      <w:contextualSpacing/>
    </w:pPr>
  </w:style>
  <w:style w:type="paragraph" w:styleId="83">
    <w:name w:val="index 2"/>
    <w:basedOn w:val="1"/>
    <w:next w:val="1"/>
    <w:uiPriority w:val="0"/>
    <w:pPr>
      <w:ind w:left="200" w:leftChars="200"/>
    </w:pPr>
  </w:style>
  <w:style w:type="paragraph" w:styleId="84">
    <w:name w:val="Title"/>
    <w:basedOn w:val="1"/>
    <w:next w:val="1"/>
    <w:link w:val="257"/>
    <w:qFormat/>
    <w:uiPriority w:val="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282"/>
    <w:uiPriority w:val="0"/>
    <w:rPr>
      <w:b/>
      <w:bCs/>
    </w:rPr>
  </w:style>
  <w:style w:type="paragraph" w:styleId="86">
    <w:name w:val="Body Text First Indent"/>
    <w:basedOn w:val="34"/>
    <w:link w:val="402"/>
    <w:uiPriority w:val="0"/>
    <w:pPr>
      <w:ind w:firstLine="420" w:firstLineChars="100"/>
    </w:pPr>
  </w:style>
  <w:style w:type="paragraph" w:styleId="87">
    <w:name w:val="Body Text First Indent 2"/>
    <w:basedOn w:val="35"/>
    <w:link w:val="404"/>
    <w:uiPriority w:val="0"/>
    <w:pPr>
      <w:ind w:firstLine="420" w:firstLineChars="200"/>
    </w:pPr>
  </w:style>
  <w:style w:type="table" w:styleId="89">
    <w:name w:val="Table Grid"/>
    <w:basedOn w:val="8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uiPriority w:val="0"/>
    <w:pPr>
      <w:widowControl w:val="0"/>
      <w:jc w:val="both"/>
    </w:pPr>
    <w:rPr>
      <w:rFonts w:cs="Angsana New"/>
      <w:szCs w:val="25"/>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uiPriority w:val="0"/>
    <w:pPr>
      <w:widowControl w:val="0"/>
      <w:jc w:val="both"/>
    </w:pPr>
    <w:rPr>
      <w:rFonts w:cs="Angsana New"/>
      <w:color w:val="FFFFFF"/>
      <w:szCs w:val="25"/>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uiPriority w:val="0"/>
    <w:pPr>
      <w:widowControl w:val="0"/>
      <w:jc w:val="both"/>
    </w:pPr>
    <w:rPr>
      <w:rFonts w:cs="Angsana New"/>
      <w:szCs w:val="25"/>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uiPriority w:val="0"/>
    <w:pPr>
      <w:widowControl w:val="0"/>
      <w:jc w:val="both"/>
    </w:pPr>
    <w:rPr>
      <w:rFonts w:cs="Angsana New"/>
      <w:szCs w:val="25"/>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uiPriority w:val="0"/>
    <w:pPr>
      <w:widowControl w:val="0"/>
      <w:jc w:val="both"/>
    </w:pPr>
    <w:rPr>
      <w:rFonts w:cs="Angsana New"/>
      <w:szCs w:val="25"/>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uiPriority w:val="0"/>
    <w:pPr>
      <w:widowControl w:val="0"/>
      <w:jc w:val="both"/>
    </w:pPr>
    <w:rPr>
      <w:rFonts w:cs="Angsana New"/>
      <w:color w:val="000080"/>
      <w:szCs w:val="25"/>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uiPriority w:val="0"/>
    <w:pPr>
      <w:widowControl w:val="0"/>
      <w:jc w:val="both"/>
    </w:pPr>
    <w:rPr>
      <w:rFonts w:cs="Angsana New"/>
      <w:szCs w:val="25"/>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uiPriority w:val="0"/>
    <w:pPr>
      <w:widowControl w:val="0"/>
      <w:jc w:val="both"/>
    </w:pPr>
    <w:rPr>
      <w:rFonts w:cs="Angsana New"/>
      <w:szCs w:val="25"/>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uiPriority w:val="0"/>
    <w:pPr>
      <w:widowControl w:val="0"/>
      <w:jc w:val="both"/>
    </w:pPr>
    <w:rPr>
      <w:rFonts w:cs="Angsana New"/>
      <w:szCs w:val="25"/>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uiPriority w:val="0"/>
    <w:pPr>
      <w:widowControl w:val="0"/>
      <w:jc w:val="both"/>
    </w:pPr>
    <w:rPr>
      <w:rFonts w:cs="Angsana New"/>
      <w:szCs w:val="25"/>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uiPriority w:val="0"/>
    <w:pPr>
      <w:widowControl w:val="0"/>
      <w:jc w:val="both"/>
    </w:pPr>
    <w:rPr>
      <w:rFonts w:cs="Angsana New"/>
      <w:szCs w:val="25"/>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uiPriority w:val="0"/>
    <w:pPr>
      <w:widowControl w:val="0"/>
      <w:jc w:val="both"/>
    </w:pPr>
    <w:rPr>
      <w:rFonts w:cs="Angsana New"/>
      <w:szCs w:val="25"/>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uiPriority w:val="0"/>
    <w:pPr>
      <w:widowControl w:val="0"/>
      <w:jc w:val="both"/>
    </w:pPr>
    <w:rPr>
      <w:rFonts w:cs="Angsana New"/>
      <w:szCs w:val="25"/>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uiPriority w:val="0"/>
    <w:pPr>
      <w:widowControl w:val="0"/>
      <w:jc w:val="both"/>
    </w:pPr>
    <w:rPr>
      <w:rFonts w:cs="Angsana New"/>
      <w:szCs w:val="25"/>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uiPriority w:val="0"/>
    <w:pPr>
      <w:widowControl w:val="0"/>
      <w:jc w:val="both"/>
    </w:pPr>
    <w:rPr>
      <w:rFonts w:cs="Angsana New"/>
      <w:szCs w:val="25"/>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uiPriority w:val="0"/>
    <w:pPr>
      <w:widowControl w:val="0"/>
      <w:jc w:val="both"/>
    </w:pPr>
    <w:rPr>
      <w:rFonts w:cs="Angsana New"/>
      <w:szCs w:val="25"/>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uiPriority w:val="0"/>
    <w:pPr>
      <w:widowControl w:val="0"/>
      <w:jc w:val="both"/>
    </w:pPr>
    <w:rPr>
      <w:rFonts w:cs="Angsana New"/>
      <w:szCs w:val="25"/>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uiPriority w:val="0"/>
    <w:pPr>
      <w:widowControl w:val="0"/>
      <w:jc w:val="both"/>
    </w:pPr>
    <w:rPr>
      <w:rFonts w:cs="Angsana New"/>
      <w:szCs w:val="25"/>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uiPriority w:val="0"/>
    <w:pPr>
      <w:widowControl w:val="0"/>
      <w:jc w:val="both"/>
    </w:pPr>
    <w:rPr>
      <w:rFonts w:cs="Angsana New"/>
      <w:szCs w:val="25"/>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uiPriority w:val="0"/>
    <w:pPr>
      <w:widowControl w:val="0"/>
      <w:jc w:val="both"/>
    </w:pPr>
    <w:rPr>
      <w:rFonts w:cs="Angsana New"/>
      <w:b/>
      <w:bCs/>
      <w:szCs w:val="25"/>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uiPriority w:val="0"/>
    <w:pPr>
      <w:widowControl w:val="0"/>
      <w:jc w:val="both"/>
    </w:pPr>
    <w:rPr>
      <w:rFonts w:cs="Angsana New"/>
      <w:b/>
      <w:bCs/>
      <w:szCs w:val="25"/>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uiPriority w:val="0"/>
    <w:pPr>
      <w:widowControl w:val="0"/>
      <w:jc w:val="both"/>
    </w:pPr>
    <w:rPr>
      <w:rFonts w:cs="Angsana New"/>
      <w:szCs w:val="25"/>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uiPriority w:val="0"/>
    <w:pPr>
      <w:widowControl w:val="0"/>
      <w:jc w:val="both"/>
    </w:pPr>
    <w:rPr>
      <w:rFonts w:cs="Angsana New"/>
      <w:szCs w:val="25"/>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uiPriority w:val="0"/>
    <w:pPr>
      <w:widowControl w:val="0"/>
      <w:jc w:val="both"/>
    </w:pPr>
    <w:rPr>
      <w:rFonts w:cs="Angsana New"/>
      <w:szCs w:val="25"/>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uiPriority w:val="0"/>
    <w:pPr>
      <w:widowControl w:val="0"/>
      <w:jc w:val="both"/>
    </w:pPr>
    <w:rPr>
      <w:rFonts w:cs="Angsana New"/>
      <w:szCs w:val="25"/>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uiPriority w:val="0"/>
    <w:pPr>
      <w:widowControl w:val="0"/>
      <w:jc w:val="both"/>
    </w:pPr>
    <w:rPr>
      <w:rFonts w:cs="Angsana New"/>
      <w:szCs w:val="25"/>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uiPriority w:val="0"/>
    <w:pPr>
      <w:widowControl w:val="0"/>
      <w:jc w:val="both"/>
    </w:pPr>
    <w:rPr>
      <w:rFonts w:cs="Angsana New"/>
      <w:szCs w:val="25"/>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uiPriority w:val="0"/>
    <w:pPr>
      <w:widowControl w:val="0"/>
      <w:jc w:val="both"/>
    </w:pPr>
    <w:rPr>
      <w:rFonts w:cs="Angsana New"/>
      <w:szCs w:val="25"/>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uiPriority w:val="0"/>
    <w:pPr>
      <w:widowControl w:val="0"/>
      <w:jc w:val="both"/>
    </w:pPr>
    <w:rPr>
      <w:rFonts w:cs="Angsana New"/>
      <w:szCs w:val="25"/>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uiPriority w:val="0"/>
    <w:pPr>
      <w:widowControl w:val="0"/>
      <w:jc w:val="both"/>
    </w:pPr>
    <w:rPr>
      <w:rFonts w:cs="Angsana New"/>
      <w:szCs w:val="25"/>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CBE9CF" w:themeFill="background1"/>
      </w:tcPr>
    </w:tblStylePr>
    <w:tblStylePr w:type="lastRow">
      <w:tblPr/>
      <w:tcPr>
        <w:tcBorders>
          <w:top w:val="single" w:color="000000" w:themeColor="tex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000000" w:themeColor="text1" w:sz="8" w:space="0"/>
          <w:insideH w:val="nil"/>
          <w:insideV w:val="nil"/>
        </w:tcBorders>
        <w:shd w:val="clear" w:color="auto" w:fill="CBE9CF" w:themeFill="background1"/>
      </w:tcPr>
    </w:tblStylePr>
    <w:tblStylePr w:type="lastCol">
      <w:tblPr/>
      <w:tcPr>
        <w:tcBorders>
          <w:top w:val="nil"/>
          <w:left w:val="single" w:color="000000" w:themeColor="tex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CBE9CF" w:themeFill="background1"/>
      </w:tcPr>
    </w:tblStylePr>
    <w:tblStylePr w:type="swCell">
      <w:tblPr/>
      <w:tcPr>
        <w:tcBorders>
          <w:top w:val="nil"/>
        </w:tcBorders>
      </w:tcPr>
    </w:tblStylePr>
  </w:style>
  <w:style w:type="table" w:styleId="176">
    <w:name w:val="Medium List 2 Accent 1"/>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CBE9CF" w:themeFill="background1"/>
      </w:tcPr>
    </w:tblStylePr>
    <w:tblStylePr w:type="lastRow">
      <w:tblPr/>
      <w:tcPr>
        <w:tcBorders>
          <w:top w:val="single" w:color="5B9BD5" w:themeColor="accen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5B9BD5" w:themeColor="accent1" w:sz="8" w:space="0"/>
          <w:insideH w:val="nil"/>
          <w:insideV w:val="nil"/>
        </w:tcBorders>
        <w:shd w:val="clear" w:color="auto" w:fill="CBE9CF" w:themeFill="background1"/>
      </w:tcPr>
    </w:tblStylePr>
    <w:tblStylePr w:type="lastCol">
      <w:tblPr/>
      <w:tcPr>
        <w:tcBorders>
          <w:top w:val="nil"/>
          <w:left w:val="single" w:color="5B9BD5" w:themeColor="accen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CBE9CF" w:themeFill="background1"/>
      </w:tcPr>
    </w:tblStylePr>
    <w:tblStylePr w:type="swCell">
      <w:tblPr/>
      <w:tcPr>
        <w:tcBorders>
          <w:top w:val="nil"/>
        </w:tcBorders>
      </w:tcPr>
    </w:tblStylePr>
  </w:style>
  <w:style w:type="table" w:styleId="177">
    <w:name w:val="Medium List 2 Accent 2"/>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tblPr/>
      <w:tcPr>
        <w:tcBorders>
          <w:top w:val="single" w:color="ED7D31" w:themeColor="accent2" w:sz="8" w:space="0"/>
          <w:left w:val="nil"/>
          <w:right w:val="nil"/>
          <w:insideH w:val="nil"/>
          <w:insideV w:val="nil"/>
        </w:tcBorders>
        <w:shd w:val="clear" w:color="auto" w:fill="CBE9CF" w:themeFill="background1"/>
      </w:tcPr>
    </w:tblStylePr>
    <w:tblStylePr w:type="firstCol">
      <w:tblPr/>
      <w:tcPr>
        <w:tcBorders>
          <w:top w:val="nil"/>
          <w:left w:val="nil"/>
          <w:bottom w:val="nil"/>
          <w:right w:val="single" w:color="ED7D31" w:themeColor="accent2" w:sz="8" w:space="0"/>
          <w:insideH w:val="nil"/>
          <w:insideV w:val="nil"/>
        </w:tcBorders>
        <w:shd w:val="clear" w:color="auto" w:fill="CBE9CF" w:themeFill="background1"/>
      </w:tcPr>
    </w:tblStylePr>
    <w:tblStylePr w:type="lastCol">
      <w:tblPr/>
      <w:tcPr>
        <w:tcBorders>
          <w:top w:val="nil"/>
          <w:left w:val="single" w:color="ED7D31" w:themeColor="accent2"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CBE9CF" w:themeFill="background1"/>
      </w:tcPr>
    </w:tblStylePr>
    <w:tblStylePr w:type="swCell">
      <w:tblPr/>
      <w:tcPr>
        <w:tcBorders>
          <w:top w:val="nil"/>
        </w:tcBorders>
      </w:tcPr>
    </w:tblStylePr>
  </w:style>
  <w:style w:type="table" w:styleId="178">
    <w:name w:val="Medium List 2 Accent 3"/>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tblPr/>
      <w:tcPr>
        <w:tcBorders>
          <w:top w:val="single" w:color="A5A5A5" w:themeColor="accent3"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A5A5A5" w:themeColor="accent3" w:sz="8" w:space="0"/>
          <w:insideH w:val="nil"/>
          <w:insideV w:val="nil"/>
        </w:tcBorders>
        <w:shd w:val="clear" w:color="auto" w:fill="CBE9CF" w:themeFill="background1"/>
      </w:tcPr>
    </w:tblStylePr>
    <w:tblStylePr w:type="lastCol">
      <w:tblPr/>
      <w:tcPr>
        <w:tcBorders>
          <w:top w:val="nil"/>
          <w:left w:val="single" w:color="A5A5A5" w:themeColor="accent3"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CBE9CF" w:themeFill="background1"/>
      </w:tcPr>
    </w:tblStylePr>
    <w:tblStylePr w:type="swCell">
      <w:tblPr/>
      <w:tcPr>
        <w:tcBorders>
          <w:top w:val="nil"/>
        </w:tcBorders>
      </w:tcPr>
    </w:tblStylePr>
  </w:style>
  <w:style w:type="table" w:styleId="179">
    <w:name w:val="Medium List 2 Accent 4"/>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tblPr/>
      <w:tcPr>
        <w:tcBorders>
          <w:top w:val="single" w:color="FFC000" w:themeColor="accent4"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FFC000" w:themeColor="accent4" w:sz="8" w:space="0"/>
          <w:insideH w:val="nil"/>
          <w:insideV w:val="nil"/>
        </w:tcBorders>
        <w:shd w:val="clear" w:color="auto" w:fill="CBE9CF" w:themeFill="background1"/>
      </w:tcPr>
    </w:tblStylePr>
    <w:tblStylePr w:type="lastCol">
      <w:tblPr/>
      <w:tcPr>
        <w:tcBorders>
          <w:top w:val="nil"/>
          <w:left w:val="single" w:color="FFC000" w:themeColor="accent4"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CBE9CF" w:themeFill="background1"/>
      </w:tcPr>
    </w:tblStylePr>
    <w:tblStylePr w:type="swCell">
      <w:tblPr/>
      <w:tcPr>
        <w:tcBorders>
          <w:top w:val="nil"/>
        </w:tcBorders>
      </w:tcPr>
    </w:tblStylePr>
  </w:style>
  <w:style w:type="table" w:styleId="180">
    <w:name w:val="Medium List 2 Accent 5"/>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tblPr/>
      <w:tcPr>
        <w:tcBorders>
          <w:top w:val="single" w:color="4472C4" w:themeColor="accent5"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4472C4" w:themeColor="accent5" w:sz="8" w:space="0"/>
          <w:insideH w:val="nil"/>
          <w:insideV w:val="nil"/>
        </w:tcBorders>
        <w:shd w:val="clear" w:color="auto" w:fill="CBE9CF" w:themeFill="background1"/>
      </w:tcPr>
    </w:tblStylePr>
    <w:tblStylePr w:type="lastCol">
      <w:tblPr/>
      <w:tcPr>
        <w:tcBorders>
          <w:top w:val="nil"/>
          <w:left w:val="single" w:color="4472C4" w:themeColor="accent5"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CBE9CF" w:themeFill="background1"/>
      </w:tcPr>
    </w:tblStylePr>
    <w:tblStylePr w:type="swCell">
      <w:tblPr/>
      <w:tcPr>
        <w:tcBorders>
          <w:top w:val="nil"/>
        </w:tcBorders>
      </w:tcPr>
    </w:tblStylePr>
  </w:style>
  <w:style w:type="table" w:styleId="181">
    <w:name w:val="Medium List 2 Accent 6"/>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tblPr/>
      <w:tcPr>
        <w:tcBorders>
          <w:top w:val="single" w:color="70AD47" w:themeColor="accent6"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70AD47" w:themeColor="accent6" w:sz="8" w:space="0"/>
          <w:insideH w:val="nil"/>
          <w:insideV w:val="nil"/>
        </w:tcBorders>
        <w:shd w:val="clear" w:color="auto" w:fill="CBE9CF" w:themeFill="background1"/>
      </w:tcPr>
    </w:tblStylePr>
    <w:tblStylePr w:type="lastCol">
      <w:tblPr/>
      <w:tcPr>
        <w:tcBorders>
          <w:top w:val="nil"/>
          <w:left w:val="single" w:color="70AD47" w:themeColor="accent6"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CBE9CF" w:themeFill="background1"/>
      </w:tcPr>
    </w:tblStylePr>
    <w:tblStylePr w:type="swCell">
      <w:tblPr/>
      <w:tcPr>
        <w:tcBorders>
          <w:top w:val="nil"/>
        </w:tcBorders>
      </w:tcPr>
    </w:tblStylePr>
  </w:style>
  <w:style w:type="table" w:styleId="182">
    <w:name w:val="Medium Grid 1"/>
    <w:basedOn w:val="88"/>
    <w:semiHidden/>
    <w:unhideWhenUsed/>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CBE9CF" w:themeFill="background1"/>
      </w:tcPr>
    </w:tblStylePr>
  </w:style>
  <w:style w:type="table" w:styleId="190">
    <w:name w:val="Medium Grid 2 Accent 1"/>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CBE9CF" w:themeFill="background1"/>
      </w:tcPr>
    </w:tblStylePr>
  </w:style>
  <w:style w:type="table" w:styleId="191">
    <w:name w:val="Medium Grid 2 Accent 2"/>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CBE9CF" w:themeFill="background1"/>
      </w:tcPr>
    </w:tblStylePr>
  </w:style>
  <w:style w:type="table" w:styleId="192">
    <w:name w:val="Medium Grid 2 Accent 3"/>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CBE9CF" w:themeFill="background1"/>
      </w:tcPr>
    </w:tblStylePr>
  </w:style>
  <w:style w:type="table" w:styleId="193">
    <w:name w:val="Medium Grid 2 Accent 4"/>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CBE9CF" w:themeFill="background1"/>
      </w:tcPr>
    </w:tblStylePr>
  </w:style>
  <w:style w:type="table" w:styleId="194">
    <w:name w:val="Medium Grid 2 Accent 5"/>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CBE9CF" w:themeFill="background1"/>
      </w:tcPr>
    </w:tblStylePr>
  </w:style>
  <w:style w:type="table" w:styleId="195">
    <w:name w:val="Medium Grid 2 Accent 6"/>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CBE9CF" w:themeFill="background1"/>
      </w:tcPr>
    </w:tblStylePr>
  </w:style>
  <w:style w:type="table" w:styleId="196">
    <w:name w:val="Medium Grid 3"/>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BFBFBF" w:themeFill="tex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000000" w:themeFill="tex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000000" w:themeFill="tex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000000" w:themeFill="tex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000000" w:themeFill="tex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7F7F7F" w:themeFill="tex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6E6F4" w:themeFill="accen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5B9BD5" w:themeFill="accen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5B9BD5" w:themeFill="accen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5B9BD5" w:themeFill="accen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5B9BD5" w:themeFill="accen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DCDEA" w:themeFill="accen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ADECC" w:themeFill="accent2"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ED7D31" w:themeFill="accent2"/>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ED7D31" w:themeFill="accent2"/>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ED7D31" w:themeFill="accent2"/>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ED7D31" w:themeFill="accent2"/>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6BE98" w:themeFill="accent2"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E8E8E8" w:themeFill="accent3"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A5A5A5" w:themeFill="accent3"/>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A5A5A5" w:themeFill="accent3"/>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A5A5A5" w:themeFill="accent3"/>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A5A5A5" w:themeFill="accent3"/>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D2D2D2" w:themeFill="accent3"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FEFBF" w:themeFill="accent4"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FFC000" w:themeFill="accent4"/>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FFC000" w:themeFill="accent4"/>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FFC000" w:themeFill="accent4"/>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FFC000" w:themeFill="accent4"/>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FDF7F" w:themeFill="accent4"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0DCF0" w:themeFill="accent5"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4472C4" w:themeFill="accent5"/>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4472C4" w:themeFill="accent5"/>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4472C4" w:themeFill="accent5"/>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4472C4" w:themeFill="accent5"/>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1B8E1" w:themeFill="accent5"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BEBD0" w:themeFill="accent6"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70AD47" w:themeFill="accent6"/>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70AD47" w:themeFill="accent6"/>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70AD47" w:themeFill="accent6"/>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70AD47" w:themeFill="accent6"/>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B7D8A1" w:themeFill="accent6"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CBE9CF" w:themeColor="background1" w:sz="18" w:space="0"/>
          <w:insideH w:val="nil"/>
          <w:insideV w:val="nil"/>
        </w:tcBorders>
        <w:shd w:val="clear" w:color="auto" w:fill="000000" w:themeFill="text1" w:themeFillShade="BF"/>
      </w:tcPr>
    </w:tblStylePr>
    <w:tblStylePr w:type="lastCol">
      <w:tblPr/>
      <w:tcPr>
        <w:tcBorders>
          <w:top w:val="nil"/>
          <w:left w:val="single" w:color="CBE9C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CBE9CF" w:themeColor="background1" w:sz="18" w:space="0"/>
          <w:insideH w:val="nil"/>
          <w:insideV w:val="nil"/>
        </w:tcBorders>
        <w:shd w:val="clear" w:color="auto" w:fill="2E75B5" w:themeFill="accent1" w:themeFillShade="BF"/>
      </w:tcPr>
    </w:tblStylePr>
    <w:tblStylePr w:type="lastCol">
      <w:tblPr/>
      <w:tcPr>
        <w:tcBorders>
          <w:top w:val="nil"/>
          <w:left w:val="single" w:color="CBE9C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CBE9CF" w:themeColor="background1" w:sz="18" w:space="0"/>
          <w:insideH w:val="nil"/>
          <w:insideV w:val="nil"/>
        </w:tcBorders>
        <w:shd w:val="clear" w:color="auto" w:fill="C55911" w:themeFill="accent2" w:themeFillShade="BF"/>
      </w:tcPr>
    </w:tblStylePr>
    <w:tblStylePr w:type="lastCol">
      <w:tblPr/>
      <w:tcPr>
        <w:tcBorders>
          <w:top w:val="nil"/>
          <w:left w:val="single" w:color="CBE9C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CBE9CF" w:themeColor="background1" w:sz="18" w:space="0"/>
          <w:insideH w:val="nil"/>
          <w:insideV w:val="nil"/>
        </w:tcBorders>
        <w:shd w:val="clear" w:color="auto" w:fill="7B7B7B" w:themeFill="accent3" w:themeFillShade="BF"/>
      </w:tcPr>
    </w:tblStylePr>
    <w:tblStylePr w:type="lastCol">
      <w:tblPr/>
      <w:tcPr>
        <w:tcBorders>
          <w:top w:val="nil"/>
          <w:left w:val="single" w:color="CBE9C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CBE9CF" w:themeColor="background1" w:sz="18" w:space="0"/>
          <w:insideH w:val="nil"/>
          <w:insideV w:val="nil"/>
        </w:tcBorders>
        <w:shd w:val="clear" w:color="auto" w:fill="BE8F00" w:themeFill="accent4" w:themeFillShade="BF"/>
      </w:tcPr>
    </w:tblStylePr>
    <w:tblStylePr w:type="lastCol">
      <w:tblPr/>
      <w:tcPr>
        <w:tcBorders>
          <w:top w:val="nil"/>
          <w:left w:val="single" w:color="CBE9C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CBE9CF" w:themeColor="background1" w:sz="18" w:space="0"/>
          <w:insideH w:val="nil"/>
          <w:insideV w:val="nil"/>
        </w:tcBorders>
        <w:shd w:val="clear" w:color="auto" w:fill="2F5496" w:themeFill="accent5" w:themeFillShade="BF"/>
      </w:tcPr>
    </w:tblStylePr>
    <w:tblStylePr w:type="lastCol">
      <w:tblPr/>
      <w:tcPr>
        <w:tcBorders>
          <w:top w:val="nil"/>
          <w:left w:val="single" w:color="CBE9C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CBE9CF" w:themeColor="background1" w:sz="18" w:space="0"/>
          <w:insideH w:val="nil"/>
          <w:insideV w:val="nil"/>
        </w:tcBorders>
        <w:shd w:val="clear" w:color="auto" w:fill="538135" w:themeFill="accent6" w:themeFillShade="BF"/>
      </w:tcPr>
    </w:tblStylePr>
    <w:tblStylePr w:type="lastCol">
      <w:tblPr/>
      <w:tcPr>
        <w:tcBorders>
          <w:top w:val="nil"/>
          <w:left w:val="single" w:color="CBE9C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CBE9CF" w:themeColor="background1" w:sz="4" w:space="0"/>
        <w:insideV w:val="single" w:color="CBE9C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000000" w:themeFill="tex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CBE9CF" w:themeColor="background1" w:sz="4" w:space="0"/>
        <w:insideV w:val="single" w:color="CBE9C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5D91" w:themeFill="accen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CBE9CF" w:themeColor="background1" w:sz="4" w:space="0"/>
        <w:insideV w:val="single" w:color="CBE9C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D480D" w:themeFill="accent2"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CBE9CF" w:themeColor="background1" w:sz="4" w:space="0"/>
        <w:insideV w:val="single" w:color="CBE9C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626262" w:themeFill="accent3"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CBE9CF" w:themeColor="background1" w:sz="4" w:space="0"/>
        <w:insideV w:val="single" w:color="CBE9C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97300" w:themeFill="accent4"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CBE9CF" w:themeColor="background1" w:sz="4" w:space="0"/>
        <w:insideV w:val="single" w:color="CBE9C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4378" w:themeFill="accent5"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CBE9CF" w:themeColor="background1" w:sz="4" w:space="0"/>
        <w:insideV w:val="single" w:color="CBE9C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43672A" w:themeFill="accent6"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CBE9CF" w:themeColor="background1"/>
        <w14:textFill>
          <w14:solidFill>
            <w14:schemeClr w14:val="bg1"/>
          </w14:solidFill>
        </w14:textFill>
      </w:rPr>
      <w:tblPr/>
      <w:tcPr>
        <w:shd w:val="clear" w:color="auto" w:fill="000000" w:themeFill="text1" w:themeFillShade="BF"/>
      </w:tcPr>
    </w:tblStylePr>
    <w:tblStylePr w:type="lastCol">
      <w:rPr>
        <w:color w:val="CBE9C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CBE9CF" w:themeColor="background1"/>
        <w14:textFill>
          <w14:solidFill>
            <w14:schemeClr w14:val="bg1"/>
          </w14:solidFill>
        </w14:textFill>
      </w:rPr>
      <w:tblPr/>
      <w:tcPr>
        <w:shd w:val="clear" w:color="auto" w:fill="2E75B5" w:themeFill="accent1" w:themeFillShade="BF"/>
      </w:tcPr>
    </w:tblStylePr>
    <w:tblStylePr w:type="lastCol">
      <w:rPr>
        <w:color w:val="CBE9C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CBE9CF" w:themeColor="background1"/>
        <w14:textFill>
          <w14:solidFill>
            <w14:schemeClr w14:val="bg1"/>
          </w14:solidFill>
        </w14:textFill>
      </w:rPr>
      <w:tblPr/>
      <w:tcPr>
        <w:shd w:val="clear" w:color="auto" w:fill="C55911" w:themeFill="accent2" w:themeFillShade="BF"/>
      </w:tcPr>
    </w:tblStylePr>
    <w:tblStylePr w:type="lastCol">
      <w:rPr>
        <w:color w:val="CBE9C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CBE9CF" w:themeColor="background1"/>
        <w14:textFill>
          <w14:solidFill>
            <w14:schemeClr w14:val="bg1"/>
          </w14:solidFill>
        </w14:textFill>
      </w:rPr>
      <w:tblPr/>
      <w:tcPr>
        <w:shd w:val="clear" w:color="auto" w:fill="7B7B7B" w:themeFill="accent3" w:themeFillShade="BF"/>
      </w:tcPr>
    </w:tblStylePr>
    <w:tblStylePr w:type="lastCol">
      <w:rPr>
        <w:color w:val="CBE9C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CBE9CF" w:themeColor="background1"/>
        <w14:textFill>
          <w14:solidFill>
            <w14:schemeClr w14:val="bg1"/>
          </w14:solidFill>
        </w14:textFill>
      </w:rPr>
      <w:tblPr/>
      <w:tcPr>
        <w:shd w:val="clear" w:color="auto" w:fill="BE8F00" w:themeFill="accent4" w:themeFillShade="BF"/>
      </w:tcPr>
    </w:tblStylePr>
    <w:tblStylePr w:type="lastCol">
      <w:rPr>
        <w:color w:val="CBE9C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CBE9CF" w:themeColor="background1"/>
        <w14:textFill>
          <w14:solidFill>
            <w14:schemeClr w14:val="bg1"/>
          </w14:solidFill>
        </w14:textFill>
      </w:rPr>
      <w:tblPr/>
      <w:tcPr>
        <w:shd w:val="clear" w:color="auto" w:fill="2F5496" w:themeFill="accent5" w:themeFillShade="BF"/>
      </w:tcPr>
    </w:tblStylePr>
    <w:tblStylePr w:type="lastCol">
      <w:rPr>
        <w:color w:val="CBE9C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CBE9CF" w:themeColor="background1"/>
        <w14:textFill>
          <w14:solidFill>
            <w14:schemeClr w14:val="bg1"/>
          </w14:solidFill>
        </w14:textFill>
      </w:rPr>
      <w:tblPr/>
      <w:tcPr>
        <w:shd w:val="clear" w:color="auto" w:fill="538135" w:themeFill="accent6" w:themeFillShade="BF"/>
      </w:tcPr>
    </w:tblStylePr>
    <w:tblStylePr w:type="lastCol">
      <w:rPr>
        <w:color w:val="CBE9C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0"/>
    <w:rPr>
      <w:b/>
      <w:bCs/>
    </w:rPr>
  </w:style>
  <w:style w:type="character" w:styleId="233">
    <w:name w:val="endnote reference"/>
    <w:basedOn w:val="231"/>
    <w:uiPriority w:val="0"/>
    <w:rPr>
      <w:vertAlign w:val="superscript"/>
    </w:rPr>
  </w:style>
  <w:style w:type="character" w:styleId="234">
    <w:name w:val="page number"/>
    <w:basedOn w:val="231"/>
    <w:uiPriority w:val="0"/>
  </w:style>
  <w:style w:type="character" w:styleId="235">
    <w:name w:val="FollowedHyperlink"/>
    <w:basedOn w:val="231"/>
    <w:uiPriority w:val="0"/>
    <w:rPr>
      <w:color w:val="000000"/>
      <w:u w:val="none"/>
    </w:rPr>
  </w:style>
  <w:style w:type="character" w:styleId="236">
    <w:name w:val="Emphasis"/>
    <w:basedOn w:val="231"/>
    <w:qFormat/>
    <w:uiPriority w:val="0"/>
    <w:rPr>
      <w:i/>
      <w:iCs/>
    </w:rPr>
  </w:style>
  <w:style w:type="character" w:styleId="237">
    <w:name w:val="line number"/>
    <w:basedOn w:val="231"/>
    <w:uiPriority w:val="0"/>
  </w:style>
  <w:style w:type="character" w:styleId="238">
    <w:name w:val="HTML Definition"/>
    <w:basedOn w:val="231"/>
    <w:uiPriority w:val="0"/>
    <w:rPr>
      <w:i/>
      <w:iCs/>
    </w:rPr>
  </w:style>
  <w:style w:type="character" w:styleId="239">
    <w:name w:val="HTML Typewriter"/>
    <w:basedOn w:val="231"/>
    <w:uiPriority w:val="0"/>
    <w:rPr>
      <w:rFonts w:ascii="Courier New" w:hAnsi="Courier New" w:cs="Courier New"/>
      <w:sz w:val="20"/>
      <w:szCs w:val="20"/>
    </w:rPr>
  </w:style>
  <w:style w:type="character" w:styleId="240">
    <w:name w:val="HTML Acronym"/>
    <w:basedOn w:val="231"/>
    <w:uiPriority w:val="0"/>
  </w:style>
  <w:style w:type="character" w:styleId="241">
    <w:name w:val="HTML Variable"/>
    <w:basedOn w:val="231"/>
    <w:uiPriority w:val="0"/>
    <w:rPr>
      <w:i/>
      <w:iCs/>
    </w:rPr>
  </w:style>
  <w:style w:type="character" w:styleId="242">
    <w:name w:val="Hyperlink"/>
    <w:basedOn w:val="231"/>
    <w:uiPriority w:val="99"/>
    <w:rPr>
      <w:color w:val="000000"/>
      <w:u w:val="none"/>
    </w:rPr>
  </w:style>
  <w:style w:type="character" w:styleId="243">
    <w:name w:val="HTML Code"/>
    <w:basedOn w:val="231"/>
    <w:uiPriority w:val="0"/>
    <w:rPr>
      <w:rFonts w:ascii="Courier New" w:hAnsi="Courier New" w:cs="Courier New"/>
      <w:sz w:val="20"/>
      <w:szCs w:val="20"/>
    </w:rPr>
  </w:style>
  <w:style w:type="character" w:styleId="244">
    <w:name w:val="annotation reference"/>
    <w:basedOn w:val="231"/>
    <w:uiPriority w:val="0"/>
    <w:rPr>
      <w:sz w:val="21"/>
      <w:szCs w:val="21"/>
    </w:rPr>
  </w:style>
  <w:style w:type="character" w:styleId="245">
    <w:name w:val="HTML Cite"/>
    <w:basedOn w:val="231"/>
    <w:uiPriority w:val="0"/>
    <w:rPr>
      <w:i/>
      <w:iCs/>
    </w:rPr>
  </w:style>
  <w:style w:type="character" w:styleId="246">
    <w:name w:val="footnote reference"/>
    <w:basedOn w:val="231"/>
    <w:uiPriority w:val="0"/>
    <w:rPr>
      <w:vertAlign w:val="superscript"/>
    </w:rPr>
  </w:style>
  <w:style w:type="character" w:styleId="247">
    <w:name w:val="HTML Keyboard"/>
    <w:basedOn w:val="231"/>
    <w:uiPriority w:val="0"/>
    <w:rPr>
      <w:rFonts w:ascii="Courier New" w:hAnsi="Courier New" w:cs="Courier New"/>
      <w:sz w:val="20"/>
      <w:szCs w:val="20"/>
    </w:rPr>
  </w:style>
  <w:style w:type="character" w:styleId="248">
    <w:name w:val="HTML Sample"/>
    <w:basedOn w:val="231"/>
    <w:uiPriority w:val="0"/>
    <w:rPr>
      <w:rFonts w:ascii="Courier New" w:hAnsi="Courier New" w:cs="Courier New"/>
    </w:rPr>
  </w:style>
  <w:style w:type="paragraph" w:customStyle="1" w:styleId="249">
    <w:name w:val="_Style 15"/>
    <w:basedOn w:val="1"/>
    <w:next w:val="1"/>
    <w:uiPriority w:val="0"/>
    <w:pPr>
      <w:pBdr>
        <w:bottom w:val="single" w:color="auto" w:sz="6" w:space="1"/>
      </w:pBdr>
      <w:jc w:val="center"/>
    </w:pPr>
    <w:rPr>
      <w:rFonts w:ascii="Arial" w:eastAsia="宋体"/>
      <w:vanish/>
      <w:sz w:val="16"/>
    </w:rPr>
  </w:style>
  <w:style w:type="paragraph" w:customStyle="1" w:styleId="250">
    <w:name w:val="_Style 16"/>
    <w:basedOn w:val="1"/>
    <w:next w:val="1"/>
    <w:uiPriority w:val="0"/>
    <w:pPr>
      <w:pBdr>
        <w:top w:val="single" w:color="auto" w:sz="6" w:space="1"/>
      </w:pBdr>
      <w:jc w:val="center"/>
    </w:pPr>
    <w:rPr>
      <w:rFonts w:ascii="Arial" w:eastAsia="宋体"/>
      <w:vanish/>
      <w:sz w:val="16"/>
    </w:rPr>
  </w:style>
  <w:style w:type="character" w:customStyle="1" w:styleId="251">
    <w:name w:val="页眉 字符"/>
    <w:basedOn w:val="231"/>
    <w:link w:val="57"/>
    <w:uiPriority w:val="0"/>
    <w:rPr>
      <w:rFonts w:asciiTheme="minorHAnsi" w:hAnsiTheme="minorHAnsi" w:eastAsiaTheme="minorEastAsia" w:cstheme="minorBidi"/>
      <w:kern w:val="2"/>
      <w:sz w:val="18"/>
      <w:szCs w:val="18"/>
      <w:lang w:bidi="ar-SA"/>
    </w:rPr>
  </w:style>
  <w:style w:type="character" w:customStyle="1" w:styleId="252">
    <w:name w:val="页脚 字符"/>
    <w:basedOn w:val="231"/>
    <w:link w:val="55"/>
    <w:uiPriority w:val="0"/>
    <w:rPr>
      <w:rFonts w:asciiTheme="minorHAnsi" w:hAnsiTheme="minorHAnsi" w:eastAsiaTheme="minorEastAsia" w:cstheme="minorBidi"/>
      <w:kern w:val="2"/>
      <w:sz w:val="18"/>
      <w:szCs w:val="18"/>
      <w:lang w:bidi="ar-SA"/>
    </w:rPr>
  </w:style>
  <w:style w:type="character" w:customStyle="1" w:styleId="253">
    <w:name w:val="Mention"/>
    <w:basedOn w:val="231"/>
    <w:semiHidden/>
    <w:unhideWhenUsed/>
    <w:uiPriority w:val="99"/>
    <w:rPr>
      <w:color w:val="2B579A"/>
      <w:shd w:val="clear" w:color="auto" w:fill="E1DFDD"/>
    </w:rPr>
  </w:style>
  <w:style w:type="character" w:customStyle="1" w:styleId="254">
    <w:name w:val="HTML 地址 字符"/>
    <w:basedOn w:val="231"/>
    <w:link w:val="41"/>
    <w:uiPriority w:val="0"/>
    <w:rPr>
      <w:rFonts w:asciiTheme="minorHAnsi" w:hAnsiTheme="minorHAnsi" w:eastAsiaTheme="minorEastAsia" w:cstheme="minorBidi"/>
      <w:i/>
      <w:iCs/>
      <w:kern w:val="2"/>
      <w:sz w:val="21"/>
      <w:szCs w:val="24"/>
      <w:lang w:bidi="ar-SA"/>
    </w:rPr>
  </w:style>
  <w:style w:type="character" w:customStyle="1" w:styleId="255">
    <w:name w:val="HTML 预设格式 字符"/>
    <w:basedOn w:val="231"/>
    <w:link w:val="80"/>
    <w:uiPriority w:val="0"/>
    <w:rPr>
      <w:rFonts w:ascii="Courier New" w:hAnsi="Courier New" w:cs="Courier New" w:eastAsiaTheme="minorEastAsia"/>
      <w:kern w:val="2"/>
      <w:lang w:bidi="ar-SA"/>
    </w:rPr>
  </w:style>
  <w:style w:type="paragraph" w:customStyle="1" w:styleId="256">
    <w:name w:val="TOC Heading"/>
    <w:basedOn w:val="3"/>
    <w:next w:val="1"/>
    <w:semiHidden/>
    <w:unhideWhenUsed/>
    <w:qFormat/>
    <w:uiPriority w:val="39"/>
    <w:pPr>
      <w:keepNext/>
      <w:keepLines/>
      <w:spacing w:before="340" w:beforeAutospacing="0" w:after="330" w:afterAutospacing="0" w:line="578" w:lineRule="auto"/>
      <w:jc w:val="both"/>
      <w:outlineLvl w:val="9"/>
    </w:pPr>
    <w:rPr>
      <w:rFonts w:hint="default" w:asciiTheme="minorHAnsi" w:hAnsiTheme="minorHAnsi" w:eastAsiaTheme="minorEastAsia" w:cstheme="minorBidi"/>
      <w:bCs/>
      <w:sz w:val="44"/>
      <w:szCs w:val="44"/>
      <w:lang w:bidi="ar-SA"/>
    </w:rPr>
  </w:style>
  <w:style w:type="character" w:customStyle="1" w:styleId="257">
    <w:name w:val="标题 字符"/>
    <w:basedOn w:val="231"/>
    <w:link w:val="84"/>
    <w:uiPriority w:val="0"/>
    <w:rPr>
      <w:rFonts w:asciiTheme="majorHAnsi" w:hAnsiTheme="majorHAnsi" w:eastAsiaTheme="majorEastAsia" w:cstheme="majorBidi"/>
      <w:b/>
      <w:bCs/>
      <w:kern w:val="2"/>
      <w:sz w:val="32"/>
      <w:szCs w:val="32"/>
      <w:lang w:bidi="ar-SA"/>
    </w:rPr>
  </w:style>
  <w:style w:type="character" w:customStyle="1" w:styleId="258">
    <w:name w:val="标题 3 字符"/>
    <w:basedOn w:val="231"/>
    <w:link w:val="5"/>
    <w:semiHidden/>
    <w:uiPriority w:val="0"/>
    <w:rPr>
      <w:rFonts w:asciiTheme="minorHAnsi" w:hAnsiTheme="minorHAnsi" w:eastAsiaTheme="minorEastAsia" w:cstheme="minorBidi"/>
      <w:b/>
      <w:bCs/>
      <w:kern w:val="2"/>
      <w:sz w:val="32"/>
      <w:szCs w:val="32"/>
      <w:lang w:bidi="ar-SA"/>
    </w:rPr>
  </w:style>
  <w:style w:type="character" w:customStyle="1" w:styleId="259">
    <w:name w:val="标题 4 字符"/>
    <w:basedOn w:val="231"/>
    <w:link w:val="6"/>
    <w:semiHidden/>
    <w:uiPriority w:val="0"/>
    <w:rPr>
      <w:rFonts w:asciiTheme="majorHAnsi" w:hAnsiTheme="majorHAnsi" w:eastAsiaTheme="majorEastAsia" w:cstheme="majorBidi"/>
      <w:b/>
      <w:bCs/>
      <w:kern w:val="2"/>
      <w:sz w:val="28"/>
      <w:szCs w:val="28"/>
      <w:lang w:bidi="ar-SA"/>
    </w:rPr>
  </w:style>
  <w:style w:type="character" w:customStyle="1" w:styleId="260">
    <w:name w:val="标题 5 字符"/>
    <w:basedOn w:val="231"/>
    <w:link w:val="7"/>
    <w:semiHidden/>
    <w:uiPriority w:val="0"/>
    <w:rPr>
      <w:rFonts w:asciiTheme="minorHAnsi" w:hAnsiTheme="minorHAnsi" w:eastAsiaTheme="minorEastAsia" w:cstheme="minorBidi"/>
      <w:b/>
      <w:bCs/>
      <w:kern w:val="2"/>
      <w:sz w:val="28"/>
      <w:szCs w:val="28"/>
      <w:lang w:bidi="ar-SA"/>
    </w:rPr>
  </w:style>
  <w:style w:type="character" w:customStyle="1" w:styleId="261">
    <w:name w:val="标题 6 字符"/>
    <w:basedOn w:val="231"/>
    <w:link w:val="8"/>
    <w:semiHidden/>
    <w:uiPriority w:val="0"/>
    <w:rPr>
      <w:rFonts w:asciiTheme="majorHAnsi" w:hAnsiTheme="majorHAnsi" w:eastAsiaTheme="majorEastAsia" w:cstheme="majorBidi"/>
      <w:b/>
      <w:bCs/>
      <w:kern w:val="2"/>
      <w:sz w:val="24"/>
      <w:szCs w:val="24"/>
      <w:lang w:bidi="ar-SA"/>
    </w:rPr>
  </w:style>
  <w:style w:type="character" w:customStyle="1" w:styleId="262">
    <w:name w:val="标题 7 字符"/>
    <w:basedOn w:val="231"/>
    <w:link w:val="9"/>
    <w:semiHidden/>
    <w:uiPriority w:val="0"/>
    <w:rPr>
      <w:rFonts w:asciiTheme="minorHAnsi" w:hAnsiTheme="minorHAnsi" w:eastAsiaTheme="minorEastAsia" w:cstheme="minorBidi"/>
      <w:b/>
      <w:bCs/>
      <w:kern w:val="2"/>
      <w:sz w:val="24"/>
      <w:szCs w:val="24"/>
      <w:lang w:bidi="ar-SA"/>
    </w:rPr>
  </w:style>
  <w:style w:type="character" w:customStyle="1" w:styleId="263">
    <w:name w:val="标题 8 字符"/>
    <w:basedOn w:val="231"/>
    <w:link w:val="10"/>
    <w:semiHidden/>
    <w:uiPriority w:val="0"/>
    <w:rPr>
      <w:rFonts w:asciiTheme="majorHAnsi" w:hAnsiTheme="majorHAnsi" w:eastAsiaTheme="majorEastAsia" w:cstheme="majorBidi"/>
      <w:kern w:val="2"/>
      <w:sz w:val="24"/>
      <w:szCs w:val="24"/>
      <w:lang w:bidi="ar-SA"/>
    </w:rPr>
  </w:style>
  <w:style w:type="character" w:customStyle="1" w:styleId="264">
    <w:name w:val="标题 9 字符"/>
    <w:basedOn w:val="231"/>
    <w:link w:val="11"/>
    <w:semiHidden/>
    <w:uiPriority w:val="0"/>
    <w:rPr>
      <w:rFonts w:asciiTheme="majorHAnsi" w:hAnsiTheme="majorHAnsi" w:eastAsiaTheme="majorEastAsia" w:cstheme="majorBidi"/>
      <w:kern w:val="2"/>
      <w:sz w:val="21"/>
      <w:szCs w:val="21"/>
      <w:lang w:bidi="ar-SA"/>
    </w:rPr>
  </w:style>
  <w:style w:type="character" w:customStyle="1" w:styleId="265">
    <w:name w:val="Subtle Reference"/>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66">
    <w:name w:val="Subtle Emphasis"/>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267">
    <w:name w:val="称呼 字符"/>
    <w:basedOn w:val="231"/>
    <w:link w:val="30"/>
    <w:uiPriority w:val="0"/>
    <w:rPr>
      <w:rFonts w:asciiTheme="minorHAnsi" w:hAnsiTheme="minorHAnsi" w:eastAsiaTheme="minorEastAsia" w:cstheme="minorBidi"/>
      <w:kern w:val="2"/>
      <w:sz w:val="21"/>
      <w:szCs w:val="24"/>
      <w:lang w:bidi="ar-SA"/>
    </w:rPr>
  </w:style>
  <w:style w:type="character" w:customStyle="1" w:styleId="268">
    <w:name w:val="纯文本 字符"/>
    <w:basedOn w:val="231"/>
    <w:link w:val="45"/>
    <w:uiPriority w:val="0"/>
    <w:rPr>
      <w:rFonts w:hAnsi="Courier New" w:cs="Courier New" w:asciiTheme="minorEastAsia" w:eastAsiaTheme="minorEastAsia"/>
      <w:kern w:val="2"/>
      <w:sz w:val="21"/>
      <w:szCs w:val="24"/>
      <w:lang w:bidi="ar-SA"/>
    </w:rPr>
  </w:style>
  <w:style w:type="character" w:customStyle="1" w:styleId="269">
    <w:name w:val="电子邮件签名 字符"/>
    <w:basedOn w:val="231"/>
    <w:link w:val="19"/>
    <w:uiPriority w:val="0"/>
    <w:rPr>
      <w:rFonts w:asciiTheme="minorHAnsi" w:hAnsiTheme="minorHAnsi" w:eastAsiaTheme="minorEastAsia" w:cstheme="minorBidi"/>
      <w:kern w:val="2"/>
      <w:sz w:val="21"/>
      <w:szCs w:val="24"/>
      <w:lang w:bidi="ar-SA"/>
    </w:rPr>
  </w:style>
  <w:style w:type="character" w:customStyle="1" w:styleId="270">
    <w:name w:val="副标题 字符"/>
    <w:basedOn w:val="231"/>
    <w:link w:val="64"/>
    <w:uiPriority w:val="0"/>
    <w:rPr>
      <w:rFonts w:asciiTheme="minorHAnsi" w:hAnsiTheme="minorHAnsi" w:eastAsiaTheme="minorEastAsia" w:cstheme="minorBidi"/>
      <w:b/>
      <w:bCs/>
      <w:kern w:val="28"/>
      <w:sz w:val="32"/>
      <w:szCs w:val="32"/>
      <w:lang w:bidi="ar-SA"/>
    </w:rPr>
  </w:style>
  <w:style w:type="character" w:customStyle="1" w:styleId="271">
    <w:name w:val="宏文本 字符"/>
    <w:basedOn w:val="231"/>
    <w:link w:val="2"/>
    <w:uiPriority w:val="0"/>
    <w:rPr>
      <w:rFonts w:ascii="Courier New" w:hAnsi="Courier New" w:cs="Courier New"/>
      <w:kern w:val="2"/>
      <w:sz w:val="24"/>
      <w:szCs w:val="24"/>
      <w:lang w:bidi="ar-SA"/>
    </w:rPr>
  </w:style>
  <w:style w:type="character" w:customStyle="1" w:styleId="272">
    <w:name w:val="脚注文本 字符"/>
    <w:basedOn w:val="231"/>
    <w:link w:val="67"/>
    <w:uiPriority w:val="0"/>
    <w:rPr>
      <w:rFonts w:asciiTheme="minorHAnsi" w:hAnsiTheme="minorHAnsi" w:eastAsiaTheme="minorEastAsia" w:cstheme="minorBidi"/>
      <w:kern w:val="2"/>
      <w:sz w:val="18"/>
      <w:szCs w:val="18"/>
      <w:lang w:bidi="ar-SA"/>
    </w:rPr>
  </w:style>
  <w:style w:type="character" w:customStyle="1" w:styleId="273">
    <w:name w:val="结束语 字符"/>
    <w:basedOn w:val="231"/>
    <w:link w:val="32"/>
    <w:uiPriority w:val="0"/>
    <w:rPr>
      <w:rFonts w:asciiTheme="minorHAnsi" w:hAnsiTheme="minorHAnsi" w:eastAsiaTheme="minorEastAsia" w:cstheme="minorBidi"/>
      <w:kern w:val="2"/>
      <w:sz w:val="21"/>
      <w:szCs w:val="24"/>
      <w:lang w:bidi="ar-SA"/>
    </w:rPr>
  </w:style>
  <w:style w:type="character" w:customStyle="1" w:styleId="274">
    <w:name w:val="Hashtag"/>
    <w:basedOn w:val="231"/>
    <w:semiHidden/>
    <w:unhideWhenUsed/>
    <w:uiPriority w:val="99"/>
    <w:rPr>
      <w:color w:val="2B579A"/>
      <w:shd w:val="clear" w:color="auto" w:fill="E1DFDD"/>
    </w:rPr>
  </w:style>
  <w:style w:type="paragraph" w:styleId="275">
    <w:name w:val="List Paragraph"/>
    <w:basedOn w:val="1"/>
    <w:semiHidden/>
    <w:unhideWhenUsed/>
    <w:uiPriority w:val="99"/>
    <w:pPr>
      <w:ind w:firstLine="420" w:firstLineChars="200"/>
    </w:pPr>
  </w:style>
  <w:style w:type="character" w:customStyle="1" w:styleId="276">
    <w:name w:val="Intense Reference"/>
    <w:basedOn w:val="231"/>
    <w:qFormat/>
    <w:uiPriority w:val="32"/>
    <w:rPr>
      <w:b/>
      <w:bCs/>
      <w:smallCaps/>
      <w:color w:val="5B9BD5" w:themeColor="accent1"/>
      <w:spacing w:val="5"/>
      <w14:textFill>
        <w14:solidFill>
          <w14:schemeClr w14:val="accent1"/>
        </w14:solidFill>
      </w14:textFill>
    </w:rPr>
  </w:style>
  <w:style w:type="character" w:customStyle="1" w:styleId="277">
    <w:name w:val="Intense Emphasis"/>
    <w:basedOn w:val="231"/>
    <w:qFormat/>
    <w:uiPriority w:val="21"/>
    <w:rPr>
      <w:i/>
      <w:iCs/>
      <w:color w:val="5B9BD5" w:themeColor="accent1"/>
      <w14:textFill>
        <w14:solidFill>
          <w14:schemeClr w14:val="accent1"/>
        </w14:solidFill>
      </w14:textFill>
    </w:rPr>
  </w:style>
  <w:style w:type="paragraph" w:styleId="278">
    <w:name w:val="Intense Quote"/>
    <w:basedOn w:val="1"/>
    <w:next w:val="1"/>
    <w:link w:val="279"/>
    <w:semiHidden/>
    <w:unhideWhenUsed/>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279">
    <w:name w:val="明显引用 字符"/>
    <w:basedOn w:val="231"/>
    <w:link w:val="278"/>
    <w:semiHidden/>
    <w:uiPriority w:val="99"/>
    <w:rPr>
      <w:rFonts w:asciiTheme="minorHAnsi" w:hAnsiTheme="minorHAnsi" w:eastAsiaTheme="minorEastAsia" w:cstheme="minorBidi"/>
      <w:i/>
      <w:iCs/>
      <w:color w:val="5B9BD5" w:themeColor="accent1"/>
      <w:kern w:val="2"/>
      <w:sz w:val="21"/>
      <w:szCs w:val="24"/>
      <w:lang w:bidi="ar-SA"/>
      <w14:textFill>
        <w14:solidFill>
          <w14:schemeClr w14:val="accent1"/>
        </w14:solidFill>
      </w14:textFill>
    </w:rPr>
  </w:style>
  <w:style w:type="character" w:customStyle="1" w:styleId="280">
    <w:name w:val="批注框文本 字符"/>
    <w:basedOn w:val="231"/>
    <w:link w:val="54"/>
    <w:uiPriority w:val="0"/>
    <w:rPr>
      <w:rFonts w:asciiTheme="minorHAnsi" w:hAnsiTheme="minorHAnsi" w:eastAsiaTheme="minorEastAsia" w:cstheme="minorBidi"/>
      <w:kern w:val="2"/>
      <w:sz w:val="18"/>
      <w:szCs w:val="18"/>
      <w:lang w:bidi="ar-SA"/>
    </w:rPr>
  </w:style>
  <w:style w:type="character" w:customStyle="1" w:styleId="281">
    <w:name w:val="批注文字 字符"/>
    <w:basedOn w:val="231"/>
    <w:link w:val="28"/>
    <w:uiPriority w:val="0"/>
    <w:rPr>
      <w:rFonts w:asciiTheme="minorHAnsi" w:hAnsiTheme="minorHAnsi" w:eastAsiaTheme="minorEastAsia" w:cstheme="minorBidi"/>
      <w:kern w:val="2"/>
      <w:sz w:val="21"/>
      <w:szCs w:val="24"/>
      <w:lang w:bidi="ar-SA"/>
    </w:rPr>
  </w:style>
  <w:style w:type="character" w:customStyle="1" w:styleId="282">
    <w:name w:val="批注主题 字符"/>
    <w:basedOn w:val="281"/>
    <w:link w:val="85"/>
    <w:uiPriority w:val="0"/>
    <w:rPr>
      <w:rFonts w:asciiTheme="minorHAnsi" w:hAnsiTheme="minorHAnsi" w:eastAsiaTheme="minorEastAsia" w:cstheme="minorBidi"/>
      <w:b/>
      <w:bCs/>
      <w:kern w:val="2"/>
      <w:sz w:val="21"/>
      <w:szCs w:val="24"/>
      <w:lang w:bidi="ar-SA"/>
    </w:rPr>
  </w:style>
  <w:style w:type="character" w:customStyle="1" w:styleId="283">
    <w:name w:val="签名 字符"/>
    <w:basedOn w:val="231"/>
    <w:link w:val="58"/>
    <w:uiPriority w:val="0"/>
    <w:rPr>
      <w:rFonts w:asciiTheme="minorHAnsi" w:hAnsiTheme="minorHAnsi" w:eastAsiaTheme="minorEastAsia" w:cstheme="minorBidi"/>
      <w:kern w:val="2"/>
      <w:sz w:val="21"/>
      <w:szCs w:val="24"/>
      <w:lang w:bidi="ar-SA"/>
    </w:rPr>
  </w:style>
  <w:style w:type="table" w:customStyle="1" w:styleId="284">
    <w:name w:val="List Table 1 Light"/>
    <w:basedOn w:val="88"/>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85">
    <w:name w:val="List Table 1 Light Accent 1"/>
    <w:basedOn w:val="88"/>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86">
    <w:name w:val="List Table 1 Light Accent 2"/>
    <w:basedOn w:val="88"/>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87">
    <w:name w:val="List Table 1 Light Accent 3"/>
    <w:basedOn w:val="88"/>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88">
    <w:name w:val="List Table 1 Light Accent 4"/>
    <w:basedOn w:val="88"/>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89">
    <w:name w:val="List Table 1 Light Accent 5"/>
    <w:basedOn w:val="88"/>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90">
    <w:name w:val="List Table 1 Light Accent 6"/>
    <w:basedOn w:val="88"/>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91">
    <w:name w:val="List Table 2"/>
    <w:basedOn w:val="88"/>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92">
    <w:name w:val="List Table 2 Accent 1"/>
    <w:basedOn w:val="88"/>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93">
    <w:name w:val="List Table 2 Accent 2"/>
    <w:basedOn w:val="88"/>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94">
    <w:name w:val="List Table 2 Accent 3"/>
    <w:basedOn w:val="88"/>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95">
    <w:name w:val="List Table 2 Accent 4"/>
    <w:basedOn w:val="88"/>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96">
    <w:name w:val="List Table 2 Accent 5"/>
    <w:basedOn w:val="88"/>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97">
    <w:name w:val="List Table 2 Accent 6"/>
    <w:basedOn w:val="88"/>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98">
    <w:name w:val="List Table 3"/>
    <w:basedOn w:val="88"/>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CBE9C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299">
    <w:name w:val="List Table 3 Accent 1"/>
    <w:basedOn w:val="88"/>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CBE9C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00">
    <w:name w:val="List Table 3 Accent 2"/>
    <w:basedOn w:val="88"/>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CBE9C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01">
    <w:name w:val="List Table 3 Accent 3"/>
    <w:basedOn w:val="88"/>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CBE9C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02">
    <w:name w:val="List Table 3 Accent 4"/>
    <w:basedOn w:val="88"/>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CBE9C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03">
    <w:name w:val="List Table 3 Accent 5"/>
    <w:basedOn w:val="88"/>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CBE9C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04">
    <w:name w:val="List Table 3 Accent 6"/>
    <w:basedOn w:val="88"/>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CBE9C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05">
    <w:name w:val="List Table 4"/>
    <w:basedOn w:val="88"/>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06">
    <w:name w:val="List Table 4 Accent 1"/>
    <w:basedOn w:val="88"/>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07">
    <w:name w:val="List Table 4 Accent 2"/>
    <w:basedOn w:val="88"/>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08">
    <w:name w:val="List Table 4 Accent 3"/>
    <w:basedOn w:val="88"/>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09">
    <w:name w:val="List Table 4 Accent 4"/>
    <w:basedOn w:val="88"/>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10">
    <w:name w:val="List Table 4 Accent 5"/>
    <w:basedOn w:val="88"/>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11">
    <w:name w:val="List Table 4 Accent 6"/>
    <w:basedOn w:val="88"/>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12">
    <w:name w:val="List Table 5 Dark"/>
    <w:basedOn w:val="88"/>
    <w:uiPriority w:val="50"/>
    <w:rPr>
      <w:color w:val="CBE9C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3">
    <w:name w:val="List Table 5 Dark Accent 1"/>
    <w:basedOn w:val="88"/>
    <w:uiPriority w:val="50"/>
    <w:rPr>
      <w:color w:val="CBE9C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4">
    <w:name w:val="List Table 5 Dark Accent 2"/>
    <w:basedOn w:val="88"/>
    <w:uiPriority w:val="50"/>
    <w:rPr>
      <w:color w:val="CBE9C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5">
    <w:name w:val="List Table 5 Dark Accent 3"/>
    <w:basedOn w:val="88"/>
    <w:uiPriority w:val="50"/>
    <w:rPr>
      <w:color w:val="CBE9C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6">
    <w:name w:val="List Table 5 Dark Accent 4"/>
    <w:basedOn w:val="88"/>
    <w:uiPriority w:val="50"/>
    <w:rPr>
      <w:color w:val="CBE9C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7">
    <w:name w:val="List Table 5 Dark Accent 5"/>
    <w:basedOn w:val="88"/>
    <w:uiPriority w:val="50"/>
    <w:rPr>
      <w:color w:val="CBE9C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8">
    <w:name w:val="List Table 5 Dark Accent 6"/>
    <w:basedOn w:val="88"/>
    <w:uiPriority w:val="50"/>
    <w:rPr>
      <w:color w:val="CBE9C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9">
    <w:name w:val="List Table 6 Colorful"/>
    <w:basedOn w:val="88"/>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20">
    <w:name w:val="List Table 6 Colorful Accent 1"/>
    <w:basedOn w:val="88"/>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21">
    <w:name w:val="List Table 6 Colorful Accent 2"/>
    <w:basedOn w:val="88"/>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22">
    <w:name w:val="List Table 6 Colorful Accent 3"/>
    <w:basedOn w:val="88"/>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23">
    <w:name w:val="List Table 6 Colorful Accent 4"/>
    <w:basedOn w:val="88"/>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24">
    <w:name w:val="List Table 6 Colorful Accent 5"/>
    <w:basedOn w:val="88"/>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25">
    <w:name w:val="List Table 6 Colorful Accent 6"/>
    <w:basedOn w:val="88"/>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26">
    <w:name w:val="List Table 7 Colorful"/>
    <w:basedOn w:val="88"/>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7">
    <w:name w:val="List Table 7 Colorful Accent 1"/>
    <w:basedOn w:val="88"/>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8">
    <w:name w:val="List Table 7 Colorful Accent 2"/>
    <w:basedOn w:val="88"/>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9">
    <w:name w:val="List Table 7 Colorful Accent 3"/>
    <w:basedOn w:val="88"/>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0">
    <w:name w:val="List Table 7 Colorful Accent 4"/>
    <w:basedOn w:val="88"/>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1">
    <w:name w:val="List Table 7 Colorful Accent 5"/>
    <w:basedOn w:val="88"/>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2">
    <w:name w:val="List Table 7 Colorful Accent 6"/>
    <w:basedOn w:val="88"/>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333">
    <w:name w:val="日期 字符"/>
    <w:basedOn w:val="231"/>
    <w:link w:val="50"/>
    <w:uiPriority w:val="0"/>
    <w:rPr>
      <w:rFonts w:asciiTheme="minorHAnsi" w:hAnsiTheme="minorHAnsi" w:eastAsiaTheme="minorEastAsia" w:cstheme="minorBidi"/>
      <w:kern w:val="2"/>
      <w:sz w:val="21"/>
      <w:szCs w:val="24"/>
      <w:lang w:bidi="ar-SA"/>
    </w:rPr>
  </w:style>
  <w:style w:type="character" w:customStyle="1" w:styleId="334">
    <w:name w:val="Book Title"/>
    <w:basedOn w:val="231"/>
    <w:qFormat/>
    <w:uiPriority w:val="33"/>
    <w:rPr>
      <w:b/>
      <w:bCs/>
      <w:i/>
      <w:iCs/>
      <w:spacing w:val="5"/>
    </w:rPr>
  </w:style>
  <w:style w:type="paragraph" w:customStyle="1" w:styleId="335">
    <w:name w:val="Bibliography"/>
    <w:basedOn w:val="1"/>
    <w:next w:val="1"/>
    <w:semiHidden/>
    <w:unhideWhenUsed/>
    <w:uiPriority w:val="37"/>
  </w:style>
  <w:style w:type="table" w:customStyle="1" w:styleId="336">
    <w:name w:val="Grid Table 1 Light"/>
    <w:basedOn w:val="88"/>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337">
    <w:name w:val="Grid Table 1 Light Accent 1"/>
    <w:basedOn w:val="88"/>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338">
    <w:name w:val="Grid Table 1 Light Accent 2"/>
    <w:basedOn w:val="88"/>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339">
    <w:name w:val="Grid Table 1 Light Accent 3"/>
    <w:basedOn w:val="88"/>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340">
    <w:name w:val="Grid Table 1 Light Accent 4"/>
    <w:basedOn w:val="88"/>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341">
    <w:name w:val="Grid Table 1 Light Accent 5"/>
    <w:basedOn w:val="88"/>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342">
    <w:name w:val="Grid Table 1 Light Accent 6"/>
    <w:basedOn w:val="88"/>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343">
    <w:name w:val="Grid Table 2"/>
    <w:basedOn w:val="88"/>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CBE9CF" w:themeFill="background1"/>
      </w:tcPr>
    </w:tblStylePr>
    <w:tblStylePr w:type="lastRow">
      <w:rPr>
        <w:b/>
        <w:bCs/>
      </w:rPr>
      <w:tcPr>
        <w:tcBorders>
          <w:top w:val="double" w:color="666666" w:themeColor="tex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44">
    <w:name w:val="Grid Table 2 Accent 1"/>
    <w:basedOn w:val="88"/>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CBE9CF" w:themeFill="background1"/>
      </w:tcPr>
    </w:tblStylePr>
    <w:tblStylePr w:type="lastRow">
      <w:rPr>
        <w:b/>
        <w:bCs/>
      </w:rPr>
      <w:tcPr>
        <w:tcBorders>
          <w:top w:val="double" w:color="9CC2E5" w:themeColor="accen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45">
    <w:name w:val="Grid Table 2 Accent 2"/>
    <w:basedOn w:val="88"/>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CBE9CF" w:themeFill="background1"/>
      </w:tcPr>
    </w:tblStylePr>
    <w:tblStylePr w:type="lastRow">
      <w:rPr>
        <w:b/>
        <w:bCs/>
      </w:rPr>
      <w:tcPr>
        <w:tcBorders>
          <w:top w:val="double" w:color="F4B083" w:themeColor="accent2"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46">
    <w:name w:val="Grid Table 2 Accent 3"/>
    <w:basedOn w:val="88"/>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CBE9CF" w:themeFill="background1"/>
      </w:tcPr>
    </w:tblStylePr>
    <w:tblStylePr w:type="lastRow">
      <w:rPr>
        <w:b/>
        <w:bCs/>
      </w:rPr>
      <w:tcPr>
        <w:tcBorders>
          <w:top w:val="double" w:color="C8C8C8" w:themeColor="accent3"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47">
    <w:name w:val="Grid Table 2 Accent 4"/>
    <w:basedOn w:val="88"/>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CBE9CF" w:themeFill="background1"/>
      </w:tcPr>
    </w:tblStylePr>
    <w:tblStylePr w:type="lastRow">
      <w:rPr>
        <w:b/>
        <w:bCs/>
      </w:rPr>
      <w:tcPr>
        <w:tcBorders>
          <w:top w:val="double" w:color="FFD965" w:themeColor="accent4"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48">
    <w:name w:val="Grid Table 2 Accent 5"/>
    <w:basedOn w:val="88"/>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CBE9CF" w:themeFill="background1"/>
      </w:tcPr>
    </w:tblStylePr>
    <w:tblStylePr w:type="lastRow">
      <w:rPr>
        <w:b/>
        <w:bCs/>
      </w:rPr>
      <w:tcPr>
        <w:tcBorders>
          <w:top w:val="double" w:color="8EAADB" w:themeColor="accent5"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49">
    <w:name w:val="Grid Table 2 Accent 6"/>
    <w:basedOn w:val="88"/>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CBE9CF" w:themeFill="background1"/>
      </w:tcPr>
    </w:tblStylePr>
    <w:tblStylePr w:type="lastRow">
      <w:rPr>
        <w:b/>
        <w:bCs/>
      </w:rPr>
      <w:tcPr>
        <w:tcBorders>
          <w:top w:val="double" w:color="A8D08D" w:themeColor="accent6"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50">
    <w:name w:val="Grid Table 3"/>
    <w:basedOn w:val="88"/>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51">
    <w:name w:val="Grid Table 3 Accent 1"/>
    <w:basedOn w:val="88"/>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52">
    <w:name w:val="Grid Table 3 Accent 2"/>
    <w:basedOn w:val="88"/>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53">
    <w:name w:val="Grid Table 3 Accent 3"/>
    <w:basedOn w:val="88"/>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54">
    <w:name w:val="Grid Table 3 Accent 4"/>
    <w:basedOn w:val="88"/>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55">
    <w:name w:val="Grid Table 3 Accent 5"/>
    <w:basedOn w:val="88"/>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56">
    <w:name w:val="Grid Table 3 Accent 6"/>
    <w:basedOn w:val="88"/>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57">
    <w:name w:val="Grid Table 4"/>
    <w:basedOn w:val="88"/>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58">
    <w:name w:val="Grid Table 4 Accent 1"/>
    <w:basedOn w:val="88"/>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59">
    <w:name w:val="Grid Table 4 Accent 2"/>
    <w:basedOn w:val="88"/>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60">
    <w:name w:val="Grid Table 4 Accent 3"/>
    <w:basedOn w:val="88"/>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61">
    <w:name w:val="Grid Table 4 Accent 4"/>
    <w:basedOn w:val="88"/>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62">
    <w:name w:val="Grid Table 4 Accent 5"/>
    <w:basedOn w:val="88"/>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63">
    <w:name w:val="Grid Table 4 Accent 6"/>
    <w:basedOn w:val="88"/>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64">
    <w:name w:val="Grid Table 5 Dark"/>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CCCCCC" w:themeFill="tex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000000" w:themeFill="tex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000000" w:themeFill="tex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000000" w:themeFill="tex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365">
    <w:name w:val="Grid Table 5 Dark Accent 1"/>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EEAF6" w:themeFill="accen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5B9BD5" w:themeFill="accen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5B9BD5" w:themeFill="accen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5B9BD5" w:themeFill="accen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366">
    <w:name w:val="Grid Table 5 Dark Accent 2"/>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BE4D5" w:themeFill="accent2"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ED7D31" w:themeFill="accent2"/>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ED7D31" w:themeFill="accent2"/>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ED7D31" w:themeFill="accent2"/>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367">
    <w:name w:val="Grid Table 5 Dark Accent 3"/>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CECEC" w:themeFill="accent3"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A5A5A5" w:themeFill="accent3"/>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A5A5A5" w:themeFill="accent3"/>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A5A5A5" w:themeFill="accent3"/>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368">
    <w:name w:val="Grid Table 5 Dark Accent 4"/>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EF2CC" w:themeFill="accent4"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FFC000" w:themeFill="accent4"/>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FFC000" w:themeFill="accent4"/>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FFC000" w:themeFill="accent4"/>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369">
    <w:name w:val="Grid Table 5 Dark Accent 5"/>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9E2F3" w:themeFill="accent5"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4472C4" w:themeFill="accent5"/>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4472C4" w:themeFill="accent5"/>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4472C4" w:themeFill="accent5"/>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370">
    <w:name w:val="Grid Table 5 Dark Accent 6"/>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2EFD9" w:themeFill="accent6"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70AD47" w:themeFill="accent6"/>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70AD47" w:themeFill="accent6"/>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70AD47" w:themeFill="accent6"/>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371">
    <w:name w:val="Grid Table 6 Colorful"/>
    <w:basedOn w:val="88"/>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2">
    <w:name w:val="Grid Table 6 Colorful Accent 1"/>
    <w:basedOn w:val="88"/>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3">
    <w:name w:val="Grid Table 6 Colorful Accent 2"/>
    <w:basedOn w:val="88"/>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4">
    <w:name w:val="Grid Table 6 Colorful Accent 3"/>
    <w:basedOn w:val="88"/>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5">
    <w:name w:val="Grid Table 6 Colorful Accent 4"/>
    <w:basedOn w:val="88"/>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6">
    <w:name w:val="Grid Table 6 Colorful Accent 5"/>
    <w:basedOn w:val="88"/>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7">
    <w:name w:val="Grid Table 6 Colorful Accent 6"/>
    <w:basedOn w:val="88"/>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8">
    <w:name w:val="Grid Table 7 Colorful"/>
    <w:basedOn w:val="88"/>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79">
    <w:name w:val="Grid Table 7 Colorful Accent 1"/>
    <w:basedOn w:val="88"/>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80">
    <w:name w:val="Grid Table 7 Colorful Accent 2"/>
    <w:basedOn w:val="88"/>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81">
    <w:name w:val="Grid Table 7 Colorful Accent 3"/>
    <w:basedOn w:val="88"/>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82">
    <w:name w:val="Grid Table 7 Colorful Accent 4"/>
    <w:basedOn w:val="88"/>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83">
    <w:name w:val="Grid Table 7 Colorful Accent 5"/>
    <w:basedOn w:val="88"/>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84">
    <w:name w:val="Grid Table 7 Colorful Accent 6"/>
    <w:basedOn w:val="88"/>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85">
    <w:name w:val="Grid Table Light"/>
    <w:basedOn w:val="88"/>
    <w:uiPriority w:val="40"/>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style>
  <w:style w:type="character" w:customStyle="1" w:styleId="386">
    <w:name w:val="尾注文本 字符"/>
    <w:basedOn w:val="231"/>
    <w:link w:val="52"/>
    <w:uiPriority w:val="0"/>
    <w:rPr>
      <w:rFonts w:asciiTheme="minorHAnsi" w:hAnsiTheme="minorHAnsi" w:eastAsiaTheme="minorEastAsia" w:cstheme="minorBidi"/>
      <w:kern w:val="2"/>
      <w:sz w:val="21"/>
      <w:szCs w:val="24"/>
      <w:lang w:bidi="ar-SA"/>
    </w:rPr>
  </w:style>
  <w:style w:type="character" w:customStyle="1" w:styleId="387">
    <w:name w:val="Unresolved Mention"/>
    <w:basedOn w:val="231"/>
    <w:semiHidden/>
    <w:unhideWhenUsed/>
    <w:uiPriority w:val="99"/>
    <w:rPr>
      <w:color w:val="605E5C"/>
      <w:shd w:val="clear" w:color="auto" w:fill="E1DFDD"/>
    </w:rPr>
  </w:style>
  <w:style w:type="character" w:customStyle="1" w:styleId="388">
    <w:name w:val="文档结构图 字符"/>
    <w:basedOn w:val="231"/>
    <w:link w:val="26"/>
    <w:uiPriority w:val="0"/>
    <w:rPr>
      <w:rFonts w:ascii="Microsoft YaHei UI" w:eastAsia="Microsoft YaHei UI" w:hAnsiTheme="minorHAnsi" w:cstheme="minorBidi"/>
      <w:kern w:val="2"/>
      <w:sz w:val="18"/>
      <w:szCs w:val="18"/>
      <w:lang w:bidi="ar-SA"/>
    </w:rPr>
  </w:style>
  <w:style w:type="table" w:customStyle="1" w:styleId="389">
    <w:name w:val="Plain Table 1"/>
    <w:basedOn w:val="88"/>
    <w:uiPriority w:val="41"/>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tblStylePr w:type="firstRow">
      <w:rPr>
        <w:b/>
        <w:bCs/>
      </w:rPr>
    </w:tblStylePr>
    <w:tblStylePr w:type="lastRow">
      <w:rPr>
        <w:b/>
        <w:bCs/>
      </w:rPr>
      <w:tcPr>
        <w:tcBorders>
          <w:top w:val="double" w:color="7EC888" w:themeColor="background1" w:themeShade="BF" w:sz="4" w:space="0"/>
        </w:tcBorders>
      </w:tc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90">
    <w:name w:val="Plain Table 2"/>
    <w:basedOn w:val="88"/>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391">
    <w:name w:val="Plain Table 3"/>
    <w:basedOn w:val="88"/>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style>
  <w:style w:type="table" w:customStyle="1" w:styleId="392">
    <w:name w:val="Plain Table 4"/>
    <w:basedOn w:val="88"/>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93">
    <w:name w:val="Plain Table 5"/>
    <w:basedOn w:val="88"/>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CBE9CF" w:themeFill="background1"/>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394">
    <w:name w:val="No Spacing"/>
    <w:semiHidden/>
    <w:unhideWhenUsed/>
    <w:uiPriority w:val="99"/>
    <w:pPr>
      <w:widowControl w:val="0"/>
      <w:jc w:val="both"/>
    </w:pPr>
    <w:rPr>
      <w:rFonts w:asciiTheme="minorHAnsi" w:hAnsiTheme="minorHAnsi" w:eastAsiaTheme="minorEastAsia" w:cstheme="minorBidi"/>
      <w:kern w:val="2"/>
      <w:sz w:val="21"/>
      <w:szCs w:val="24"/>
      <w:lang w:val="en-US" w:eastAsia="zh-CN" w:bidi="ar-SA"/>
    </w:rPr>
  </w:style>
  <w:style w:type="character" w:customStyle="1" w:styleId="395">
    <w:name w:val="信息标题 字符"/>
    <w:basedOn w:val="231"/>
    <w:link w:val="79"/>
    <w:uiPriority w:val="0"/>
    <w:rPr>
      <w:rFonts w:asciiTheme="majorHAnsi" w:hAnsiTheme="majorHAnsi" w:eastAsiaTheme="majorEastAsia" w:cstheme="majorBidi"/>
      <w:kern w:val="2"/>
      <w:sz w:val="24"/>
      <w:szCs w:val="24"/>
      <w:shd w:val="pct20" w:color="auto" w:fill="auto"/>
      <w:lang w:bidi="ar-SA"/>
    </w:rPr>
  </w:style>
  <w:style w:type="paragraph" w:styleId="396">
    <w:name w:val="Quote"/>
    <w:basedOn w:val="1"/>
    <w:next w:val="1"/>
    <w:link w:val="397"/>
    <w:semiHidden/>
    <w:unhideWhenUsed/>
    <w:uiPriority w:val="9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97">
    <w:name w:val="引用 字符"/>
    <w:basedOn w:val="231"/>
    <w:link w:val="396"/>
    <w:semiHidden/>
    <w:uiPriority w:val="99"/>
    <w:rPr>
      <w:rFonts w:asciiTheme="minorHAnsi" w:hAnsiTheme="minorHAnsi" w:eastAsiaTheme="minorEastAsia" w:cstheme="minorBidi"/>
      <w:i/>
      <w:iCs/>
      <w:color w:val="404040" w:themeColor="text1" w:themeTint="BF"/>
      <w:kern w:val="2"/>
      <w:sz w:val="21"/>
      <w:szCs w:val="24"/>
      <w:lang w:bidi="ar-SA"/>
      <w14:textFill>
        <w14:solidFill>
          <w14:schemeClr w14:val="tx1">
            <w14:lumMod w14:val="75000"/>
            <w14:lumOff w14:val="25000"/>
          </w14:schemeClr>
        </w14:solidFill>
      </w14:textFill>
    </w:rPr>
  </w:style>
  <w:style w:type="character" w:styleId="398">
    <w:name w:val="Placeholder Text"/>
    <w:basedOn w:val="231"/>
    <w:semiHidden/>
    <w:unhideWhenUsed/>
    <w:uiPriority w:val="99"/>
    <w:rPr>
      <w:color w:val="666666"/>
    </w:rPr>
  </w:style>
  <w:style w:type="character" w:customStyle="1" w:styleId="399">
    <w:name w:val="正文文本 字符"/>
    <w:basedOn w:val="231"/>
    <w:link w:val="34"/>
    <w:uiPriority w:val="0"/>
    <w:rPr>
      <w:rFonts w:asciiTheme="minorHAnsi" w:hAnsiTheme="minorHAnsi" w:eastAsiaTheme="minorEastAsia" w:cstheme="minorBidi"/>
      <w:kern w:val="2"/>
      <w:sz w:val="21"/>
      <w:szCs w:val="24"/>
      <w:lang w:bidi="ar-SA"/>
    </w:rPr>
  </w:style>
  <w:style w:type="character" w:customStyle="1" w:styleId="400">
    <w:name w:val="正文文本 2 字符"/>
    <w:basedOn w:val="231"/>
    <w:link w:val="76"/>
    <w:uiPriority w:val="0"/>
    <w:rPr>
      <w:rFonts w:asciiTheme="minorHAnsi" w:hAnsiTheme="minorHAnsi" w:eastAsiaTheme="minorEastAsia" w:cstheme="minorBidi"/>
      <w:kern w:val="2"/>
      <w:sz w:val="21"/>
      <w:szCs w:val="24"/>
      <w:lang w:bidi="ar-SA"/>
    </w:rPr>
  </w:style>
  <w:style w:type="character" w:customStyle="1" w:styleId="401">
    <w:name w:val="正文文本 3 字符"/>
    <w:basedOn w:val="231"/>
    <w:link w:val="31"/>
    <w:uiPriority w:val="0"/>
    <w:rPr>
      <w:rFonts w:asciiTheme="minorHAnsi" w:hAnsiTheme="minorHAnsi" w:eastAsiaTheme="minorEastAsia" w:cstheme="minorBidi"/>
      <w:kern w:val="2"/>
      <w:sz w:val="16"/>
      <w:szCs w:val="16"/>
      <w:lang w:bidi="ar-SA"/>
    </w:rPr>
  </w:style>
  <w:style w:type="character" w:customStyle="1" w:styleId="402">
    <w:name w:val="正文文本首行缩进 字符"/>
    <w:basedOn w:val="399"/>
    <w:link w:val="86"/>
    <w:uiPriority w:val="0"/>
    <w:rPr>
      <w:rFonts w:asciiTheme="minorHAnsi" w:hAnsiTheme="minorHAnsi" w:eastAsiaTheme="minorEastAsia" w:cstheme="minorBidi"/>
      <w:kern w:val="2"/>
      <w:sz w:val="21"/>
      <w:szCs w:val="24"/>
      <w:lang w:bidi="ar-SA"/>
    </w:rPr>
  </w:style>
  <w:style w:type="character" w:customStyle="1" w:styleId="403">
    <w:name w:val="正文文本缩进 字符"/>
    <w:basedOn w:val="231"/>
    <w:link w:val="35"/>
    <w:uiPriority w:val="0"/>
    <w:rPr>
      <w:rFonts w:asciiTheme="minorHAnsi" w:hAnsiTheme="minorHAnsi" w:eastAsiaTheme="minorEastAsia" w:cstheme="minorBidi"/>
      <w:kern w:val="2"/>
      <w:sz w:val="21"/>
      <w:szCs w:val="24"/>
      <w:lang w:bidi="ar-SA"/>
    </w:rPr>
  </w:style>
  <w:style w:type="character" w:customStyle="1" w:styleId="404">
    <w:name w:val="正文文本首行缩进 2 字符"/>
    <w:basedOn w:val="403"/>
    <w:link w:val="87"/>
    <w:uiPriority w:val="0"/>
    <w:rPr>
      <w:rFonts w:asciiTheme="minorHAnsi" w:hAnsiTheme="minorHAnsi" w:eastAsiaTheme="minorEastAsia" w:cstheme="minorBidi"/>
      <w:kern w:val="2"/>
      <w:sz w:val="21"/>
      <w:szCs w:val="24"/>
      <w:lang w:bidi="ar-SA"/>
    </w:rPr>
  </w:style>
  <w:style w:type="character" w:customStyle="1" w:styleId="405">
    <w:name w:val="正文文本缩进 2 字符"/>
    <w:basedOn w:val="231"/>
    <w:link w:val="51"/>
    <w:uiPriority w:val="0"/>
    <w:rPr>
      <w:rFonts w:asciiTheme="minorHAnsi" w:hAnsiTheme="minorHAnsi" w:eastAsiaTheme="minorEastAsia" w:cstheme="minorBidi"/>
      <w:kern w:val="2"/>
      <w:sz w:val="21"/>
      <w:szCs w:val="24"/>
      <w:lang w:bidi="ar-SA"/>
    </w:rPr>
  </w:style>
  <w:style w:type="character" w:customStyle="1" w:styleId="406">
    <w:name w:val="正文文本缩进 3 字符"/>
    <w:basedOn w:val="231"/>
    <w:link w:val="70"/>
    <w:uiPriority w:val="0"/>
    <w:rPr>
      <w:rFonts w:asciiTheme="minorHAnsi" w:hAnsiTheme="minorHAnsi" w:eastAsiaTheme="minorEastAsia" w:cstheme="minorBidi"/>
      <w:kern w:val="2"/>
      <w:sz w:val="16"/>
      <w:szCs w:val="16"/>
      <w:lang w:bidi="ar-SA"/>
    </w:rPr>
  </w:style>
  <w:style w:type="character" w:customStyle="1" w:styleId="407">
    <w:name w:val="Smart Hyperlink"/>
    <w:basedOn w:val="231"/>
    <w:semiHidden/>
    <w:unhideWhenUsed/>
    <w:uiPriority w:val="99"/>
    <w:rPr>
      <w:u w:val="dotted"/>
    </w:rPr>
  </w:style>
  <w:style w:type="character" w:customStyle="1" w:styleId="408">
    <w:name w:val="Smart Link"/>
    <w:basedOn w:val="231"/>
    <w:semiHidden/>
    <w:unhideWhenUsed/>
    <w:uiPriority w:val="99"/>
    <w:rPr>
      <w:color w:val="0000FF"/>
      <w:u w:val="single"/>
      <w:shd w:val="clear" w:color="auto" w:fill="F3F2F1"/>
    </w:rPr>
  </w:style>
  <w:style w:type="character" w:customStyle="1" w:styleId="409">
    <w:name w:val="注释标题 字符"/>
    <w:basedOn w:val="231"/>
    <w:link w:val="16"/>
    <w:qFormat/>
    <w:uiPriority w:val="0"/>
    <w:rPr>
      <w:rFonts w:asciiTheme="minorHAnsi" w:hAnsiTheme="minorHAnsi" w:eastAsiaTheme="minorEastAsia" w:cstheme="minorBidi"/>
      <w:kern w:val="2"/>
      <w:sz w:val="21"/>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13341</Words>
  <Characters>14460</Characters>
  <Lines>121</Lines>
  <Paragraphs>34</Paragraphs>
  <TotalTime>109</TotalTime>
  <ScaleCrop>false</ScaleCrop>
  <LinksUpToDate>false</LinksUpToDate>
  <CharactersWithSpaces>14513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2026-06-18T02:19:00Z</dcterms:created>
  <dc:creator>Administrator</dc:creator>
  <cp:lastModifiedBy>地球上最后一个EMO男孩</cp:lastModifiedBy>
  <dcterms:modified xsi:type="dcterms:W3CDTF">2026-07-29T08:11:39Z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eyJoZGlkIjoiZDg0NzI2OTI3NDllNDYwMTM2ZDQzYzI1OTY5ZjBiMGYiLCJ1c2VySWQiOiI4NjA2OTc4MzUifQ==</vt:lpwstr>
  </property>
  <property fmtid="{D5CDD505-2E9C-101B-9397-08002B2CF9AE}" pid="4" name="ICV">
    <vt:lpwstr>04B113E4D3374BCFBE7ED967A49956A2_12</vt:lpwstr>
  </property>
</Properties>
</file>