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CC9D6">
      <w:pPr>
        <w:pStyle w:val="34"/>
        <w:widowControl w:val="0"/>
        <w:suppressAutoHyphens/>
        <w:spacing w:after="140" w:line="276" w:lineRule="auto"/>
        <w:jc w:val="center"/>
        <w:rPr>
          <w:rFonts w:hint="eastAsia" w:ascii="方正小标宋简体" w:hAnsi="宋体" w:eastAsia="方正小标宋简体" w:cs="Times New Roman"/>
          <w:sz w:val="44"/>
          <w:szCs w:val="44"/>
        </w:rPr>
      </w:pPr>
      <w:bookmarkStart w:id="0" w:name="_Toc24096"/>
      <w:bookmarkEnd w:id="0"/>
      <w:bookmarkStart w:id="1" w:name="_Toc4402"/>
      <w:bookmarkEnd w:id="1"/>
      <w:bookmarkStart w:id="2" w:name="_Toc2522"/>
    </w:p>
    <w:p w14:paraId="12A1A46F">
      <w:pPr>
        <w:pStyle w:val="34"/>
        <w:widowControl w:val="0"/>
        <w:suppressAutoHyphens/>
        <w:spacing w:after="140" w:line="276" w:lineRule="auto"/>
        <w:jc w:val="center"/>
        <w:rPr>
          <w:rFonts w:hint="eastAsia" w:ascii="方正小标宋简体" w:hAnsi="宋体" w:eastAsia="方正小标宋简体" w:cs="Times New Roman"/>
          <w:sz w:val="44"/>
          <w:szCs w:val="44"/>
        </w:rPr>
      </w:pPr>
    </w:p>
    <w:p w14:paraId="5E001723">
      <w:pPr>
        <w:pStyle w:val="34"/>
        <w:widowControl w:val="0"/>
        <w:suppressAutoHyphens/>
        <w:spacing w:after="140" w:line="276" w:lineRule="auto"/>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20</w:t>
      </w:r>
      <w:bookmarkEnd w:id="2"/>
      <w:r>
        <w:rPr>
          <w:rFonts w:hint="eastAsia" w:ascii="方正小标宋简体" w:hAnsi="宋体" w:eastAsia="方正小标宋简体" w:cs="Times New Roman"/>
          <w:sz w:val="44"/>
          <w:szCs w:val="44"/>
        </w:rPr>
        <w:t>23年度</w:t>
      </w:r>
    </w:p>
    <w:p w14:paraId="44848101">
      <w:pPr>
        <w:pStyle w:val="34"/>
        <w:widowControl w:val="0"/>
        <w:suppressAutoHyphens/>
        <w:spacing w:after="140" w:line="276" w:lineRule="auto"/>
        <w:jc w:val="center"/>
        <w:rPr>
          <w:rFonts w:hint="eastAsia" w:ascii="方正小标宋简体" w:hAnsi="宋体" w:eastAsia="方正小标宋简体" w:cs="Times New Roman"/>
          <w:sz w:val="44"/>
          <w:szCs w:val="44"/>
        </w:rPr>
      </w:pPr>
      <w:bookmarkStart w:id="3" w:name="_Toc11115"/>
      <w:bookmarkEnd w:id="3"/>
      <w:bookmarkStart w:id="4" w:name="_Toc15377194"/>
      <w:bookmarkEnd w:id="4"/>
      <w:bookmarkStart w:id="5" w:name="_Toc15306268"/>
      <w:bookmarkEnd w:id="5"/>
      <w:bookmarkStart w:id="6" w:name="_Toc15396476"/>
      <w:bookmarkEnd w:id="6"/>
      <w:bookmarkStart w:id="7" w:name="_Toc1416"/>
      <w:bookmarkEnd w:id="7"/>
      <w:bookmarkStart w:id="8" w:name="_Toc13492"/>
      <w:bookmarkEnd w:id="8"/>
      <w:bookmarkStart w:id="9" w:name="_Toc15396598"/>
      <w:bookmarkEnd w:id="9"/>
      <w:bookmarkStart w:id="10" w:name="_Toc15377426"/>
      <w:bookmarkEnd w:id="10"/>
      <w:bookmarkStart w:id="11" w:name="_Toc15378442"/>
      <w:r>
        <w:rPr>
          <w:rFonts w:hint="eastAsia" w:ascii="方正小标宋简体" w:hAnsi="宋体" w:eastAsia="方正小标宋简体" w:cs="Times New Roman"/>
          <w:sz w:val="44"/>
          <w:szCs w:val="44"/>
        </w:rPr>
        <w:t>壤塘县卫生健康局</w:t>
      </w:r>
      <w:bookmarkEnd w:id="11"/>
      <w:r>
        <w:rPr>
          <w:rFonts w:hint="eastAsia" w:ascii="方正小标宋简体" w:hAnsi="宋体" w:eastAsia="方正小标宋简体" w:cs="Times New Roman"/>
          <w:sz w:val="44"/>
          <w:szCs w:val="44"/>
        </w:rPr>
        <w:t>部门决算</w:t>
      </w:r>
    </w:p>
    <w:p w14:paraId="2429DB3B">
      <w:pPr>
        <w:widowControl w:val="0"/>
        <w:spacing w:line="600" w:lineRule="exact"/>
        <w:ind w:firstLine="640" w:firstLineChars="200"/>
        <w:jc w:val="both"/>
        <w:rPr>
          <w:rFonts w:hint="eastAsia" w:ascii="仿宋" w:hAnsi="仿宋" w:eastAsia="仿宋"/>
          <w:sz w:val="32"/>
        </w:rPr>
      </w:pPr>
    </w:p>
    <w:p w14:paraId="579A33D4">
      <w:pPr>
        <w:widowControl w:val="0"/>
        <w:spacing w:line="600" w:lineRule="exact"/>
        <w:ind w:firstLine="640" w:firstLineChars="200"/>
        <w:jc w:val="both"/>
        <w:rPr>
          <w:rFonts w:hint="eastAsia" w:ascii="仿宋" w:hAnsi="仿宋" w:eastAsia="仿宋"/>
          <w:sz w:val="32"/>
        </w:rPr>
      </w:pPr>
    </w:p>
    <w:p w14:paraId="286144CA">
      <w:pPr>
        <w:widowControl w:val="0"/>
        <w:spacing w:line="600" w:lineRule="exact"/>
        <w:ind w:firstLine="640" w:firstLineChars="200"/>
        <w:jc w:val="both"/>
        <w:rPr>
          <w:rFonts w:hint="eastAsia" w:ascii="仿宋" w:hAnsi="仿宋" w:eastAsia="仿宋"/>
          <w:sz w:val="32"/>
        </w:rPr>
        <w:sectPr>
          <w:footerReference r:id="rId5" w:type="first"/>
          <w:footerReference r:id="rId3" w:type="default"/>
          <w:footerReference r:id="rId4" w:type="even"/>
          <w:pgSz w:w="11906" w:h="16838"/>
          <w:pgMar w:top="1440" w:right="1797" w:bottom="1440" w:left="1797" w:header="720" w:footer="720" w:gutter="0"/>
          <w:cols w:space="425" w:num="1"/>
          <w:docGrid w:type="lines" w:linePitch="312" w:charSpace="0"/>
        </w:sectPr>
      </w:pPr>
    </w:p>
    <w:p w14:paraId="2A55D915">
      <w:pPr>
        <w:pStyle w:val="3"/>
        <w:widowControl w:val="0"/>
        <w:spacing w:before="340" w:beforeAutospacing="0" w:after="330" w:afterAutospacing="0" w:line="578" w:lineRule="auto"/>
        <w:jc w:val="center"/>
        <w:rPr>
          <w:rFonts w:ascii="黑体" w:hAnsi="黑体" w:eastAsia="黑体"/>
          <w:b w:val="0"/>
          <w:bCs/>
          <w:sz w:val="44"/>
          <w:szCs w:val="32"/>
          <w:lang w:bidi="ar"/>
        </w:rPr>
      </w:pPr>
      <w:bookmarkStart w:id="12" w:name="_Toc236170662"/>
      <w:r>
        <w:rPr>
          <w:rFonts w:ascii="黑体" w:hAnsi="黑体" w:eastAsia="黑体"/>
          <w:b w:val="0"/>
          <w:bCs/>
          <w:sz w:val="44"/>
          <w:szCs w:val="32"/>
          <w:lang w:bidi="ar"/>
        </w:rPr>
        <w:t>目录</w:t>
      </w:r>
      <w:bookmarkEnd w:id="12"/>
    </w:p>
    <w:p w14:paraId="3A75CCAD">
      <w:pPr>
        <w:widowControl w:val="0"/>
        <w:ind w:firstLine="640" w:firstLineChars="200"/>
        <w:jc w:val="both"/>
        <w:rPr>
          <w:rFonts w:hint="eastAsia" w:ascii="仿宋" w:hAnsi="仿宋" w:eastAsia="仿宋"/>
          <w:sz w:val="32"/>
        </w:rPr>
      </w:pPr>
    </w:p>
    <w:p w14:paraId="5439DEB7">
      <w:pPr>
        <w:pStyle w:val="81"/>
        <w:widowControl w:val="0"/>
        <w:spacing w:beforeAutospacing="0" w:afterAutospacing="0"/>
        <w:jc w:val="center"/>
        <w:rPr>
          <w:rFonts w:hint="eastAsia" w:ascii="仿宋" w:hAnsi="仿宋" w:eastAsia="仿宋"/>
          <w:sz w:val="28"/>
        </w:rPr>
      </w:pPr>
      <w:r>
        <w:rPr>
          <w:rFonts w:hint="eastAsia" w:ascii="仿宋" w:hAnsi="仿宋" w:eastAsia="仿宋" w:cs="仿宋"/>
          <w:kern w:val="2"/>
          <w:sz w:val="28"/>
          <w:szCs w:val="28"/>
        </w:rPr>
        <w:t>公开时间：</w:t>
      </w:r>
      <w:r>
        <w:rPr>
          <w:rFonts w:hint="eastAsia" w:ascii="仿宋" w:hAnsi="仿宋" w:eastAsia="仿宋" w:cs="Times New Roman"/>
          <w:kern w:val="2"/>
          <w:sz w:val="28"/>
          <w:szCs w:val="28"/>
        </w:rPr>
        <w:t>2023</w:t>
      </w:r>
      <w:r>
        <w:rPr>
          <w:rFonts w:hint="eastAsia" w:ascii="仿宋" w:hAnsi="仿宋" w:eastAsia="仿宋" w:cs="仿宋"/>
          <w:kern w:val="2"/>
          <w:sz w:val="28"/>
          <w:szCs w:val="28"/>
        </w:rPr>
        <w:t>年</w:t>
      </w:r>
      <w:r>
        <w:rPr>
          <w:rFonts w:hint="eastAsia" w:ascii="仿宋" w:hAnsi="仿宋" w:eastAsia="仿宋" w:cs="Times New Roman"/>
          <w:kern w:val="2"/>
          <w:sz w:val="28"/>
          <w:szCs w:val="28"/>
        </w:rPr>
        <w:t>9</w:t>
      </w:r>
      <w:r>
        <w:rPr>
          <w:rFonts w:hint="eastAsia" w:ascii="仿宋" w:hAnsi="仿宋" w:eastAsia="仿宋" w:cs="仿宋"/>
          <w:kern w:val="2"/>
          <w:sz w:val="28"/>
          <w:szCs w:val="28"/>
        </w:rPr>
        <w:t>月</w:t>
      </w:r>
      <w:r>
        <w:rPr>
          <w:rFonts w:hint="eastAsia" w:ascii="仿宋" w:hAnsi="仿宋" w:eastAsia="仿宋" w:cs="Times New Roman"/>
          <w:kern w:val="2"/>
          <w:sz w:val="28"/>
          <w:szCs w:val="28"/>
        </w:rPr>
        <w:t xml:space="preserve">24 </w:t>
      </w:r>
      <w:r>
        <w:rPr>
          <w:rFonts w:hint="eastAsia" w:ascii="仿宋" w:hAnsi="仿宋" w:eastAsia="仿宋" w:cs="仿宋"/>
          <w:kern w:val="2"/>
          <w:sz w:val="28"/>
          <w:szCs w:val="28"/>
        </w:rPr>
        <w:t>日</w:t>
      </w:r>
    </w:p>
    <w:p w14:paraId="7A2AD22C">
      <w:pPr>
        <w:widowControl w:val="0"/>
        <w:ind w:firstLine="640" w:firstLineChars="200"/>
        <w:jc w:val="both"/>
        <w:rPr>
          <w:rFonts w:hint="eastAsia" w:ascii="仿宋" w:hAnsi="仿宋" w:eastAsia="仿宋" w:cs="Times New Roman"/>
          <w:sz w:val="32"/>
          <w:szCs w:val="21"/>
          <w:lang w:bidi="ar"/>
        </w:rPr>
      </w:pPr>
    </w:p>
    <w:p w14:paraId="011BDC0E">
      <w:pPr>
        <w:pStyle w:val="59"/>
        <w:tabs>
          <w:tab w:val="right" w:leader="dot" w:pos="8302"/>
        </w:tabs>
        <w:spacing w:line="440" w:lineRule="exact"/>
        <w:rPr>
          <w:rFonts w:ascii="Times New Roman" w:hAnsi="Times New Roman" w:eastAsia="黑体"/>
          <w:sz w:val="24"/>
          <w:szCs w:val="30"/>
          <w:lang w:bidi="th-TH"/>
          <w14:ligatures w14:val="standardContextual"/>
        </w:rPr>
      </w:pPr>
      <w:r>
        <w:rPr>
          <w:rFonts w:hint="eastAsia" w:ascii="Times New Roman" w:hAnsi="Times New Roman" w:eastAsia="黑体" w:cs="Times New Roman"/>
          <w:sz w:val="24"/>
          <w:szCs w:val="21"/>
          <w:lang w:bidi="ar"/>
        </w:rPr>
        <w:fldChar w:fldCharType="begin"/>
      </w:r>
      <w:r>
        <w:rPr>
          <w:rFonts w:hint="eastAsia" w:ascii="Times New Roman" w:hAnsi="Times New Roman" w:eastAsia="黑体" w:cs="Times New Roman"/>
          <w:sz w:val="24"/>
          <w:szCs w:val="21"/>
          <w:lang w:bidi="ar"/>
        </w:rPr>
        <w:instrText xml:space="preserve"> TOC \o "1-2" \h \z \u </w:instrText>
      </w:r>
      <w:r>
        <w:rPr>
          <w:rFonts w:hint="eastAsia" w:ascii="Times New Roman" w:hAnsi="Times New Roman" w:eastAsia="黑体" w:cs="Times New Roman"/>
          <w:sz w:val="24"/>
          <w:szCs w:val="21"/>
          <w:lang w:bidi="ar"/>
        </w:rPr>
        <w:fldChar w:fldCharType="separate"/>
      </w:r>
      <w:r>
        <w:fldChar w:fldCharType="begin"/>
      </w:r>
      <w:r>
        <w:instrText xml:space="preserve"> HYPERLINK \l "_Toc236170663" </w:instrText>
      </w:r>
      <w:r>
        <w:fldChar w:fldCharType="separate"/>
      </w:r>
      <w:r>
        <w:rPr>
          <w:rStyle w:val="242"/>
          <w:rFonts w:hint="eastAsia" w:ascii="Times New Roman" w:hAnsi="Times New Roman" w:eastAsia="黑体"/>
          <w:bCs/>
          <w:color w:val="auto"/>
          <w:sz w:val="24"/>
        </w:rPr>
        <w:t>第一部分 部门概况</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_Toc236170663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4</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24D5AF93">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"_Toc236170664" </w:instrText>
      </w:r>
      <w:r>
        <w:fldChar w:fldCharType="separate"/>
      </w:r>
      <w:r>
        <w:rPr>
          <w:rStyle w:val="242"/>
          <w:rFonts w:hint="eastAsia" w:ascii="Times New Roman" w:hAnsi="Times New Roman" w:eastAsia="宋体"/>
          <w:bCs/>
          <w:color w:val="auto"/>
          <w:sz w:val="24"/>
        </w:rPr>
        <w:t>一、部门职责</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_Toc236170664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4BD4D81">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"_Toc236170665" </w:instrText>
      </w:r>
      <w:r>
        <w:fldChar w:fldCharType="separate"/>
      </w:r>
      <w:r>
        <w:rPr>
          <w:rStyle w:val="242"/>
          <w:rFonts w:hint="eastAsia" w:ascii="Times New Roman" w:hAnsi="Times New Roman" w:eastAsia="宋体"/>
          <w:bCs/>
          <w:color w:val="auto"/>
          <w:sz w:val="24"/>
        </w:rPr>
        <w:t>二、机构设置</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_Toc236170665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4</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D532E8F">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"_Toc236170666" </w:instrText>
      </w:r>
      <w:r>
        <w:fldChar w:fldCharType="separate"/>
      </w:r>
      <w:r>
        <w:rPr>
          <w:rStyle w:val="242"/>
          <w:rFonts w:hint="eastAsia" w:ascii="Times New Roman" w:hAnsi="Times New Roman" w:eastAsia="黑体"/>
          <w:bCs/>
          <w:color w:val="auto"/>
          <w:sz w:val="24"/>
        </w:rPr>
        <w:t>第二部分 2023年度部门决算情况说明</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_Toc236170666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6</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5B2DFA3A">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"_Toc236170667" </w:instrText>
      </w:r>
      <w:r>
        <w:fldChar w:fldCharType="separate"/>
      </w:r>
      <w:r>
        <w:rPr>
          <w:rStyle w:val="242"/>
          <w:rFonts w:hint="eastAsia" w:ascii="Times New Roman" w:hAnsi="Times New Roman" w:eastAsia="宋体"/>
          <w:bCs/>
          <w:color w:val="auto"/>
          <w:sz w:val="24"/>
        </w:rPr>
        <w:t>一、收入支出决算总体情况说明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_Toc236170667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DE5762A">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"_Toc236170668" </w:instrText>
      </w:r>
      <w:r>
        <w:fldChar w:fldCharType="separate"/>
      </w:r>
      <w:r>
        <w:rPr>
          <w:rStyle w:val="242"/>
          <w:rFonts w:hint="eastAsia" w:ascii="Times New Roman" w:hAnsi="Times New Roman" w:eastAsia="宋体"/>
          <w:bCs/>
          <w:color w:val="auto"/>
          <w:sz w:val="24"/>
        </w:rPr>
        <w:t>二、收入决算情况说明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_Toc236170668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6</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6F2DCBC">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"_Toc236170669" </w:instrText>
      </w:r>
      <w:r>
        <w:fldChar w:fldCharType="separate"/>
      </w:r>
      <w:r>
        <w:rPr>
          <w:rStyle w:val="242"/>
          <w:rFonts w:hint="eastAsia" w:ascii="Times New Roman" w:hAnsi="Times New Roman" w:eastAsia="宋体"/>
          <w:bCs/>
          <w:color w:val="auto"/>
          <w:sz w:val="24"/>
        </w:rPr>
        <w:t>三、支出决算情况说明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_Toc236170669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7</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E0AE9F9">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"_Toc236170670" </w:instrText>
      </w:r>
      <w:r>
        <w:fldChar w:fldCharType="separate"/>
      </w:r>
      <w:r>
        <w:rPr>
          <w:rStyle w:val="242"/>
          <w:rFonts w:hint="eastAsia" w:ascii="Times New Roman" w:hAnsi="Times New Roman" w:eastAsia="宋体"/>
          <w:bCs/>
          <w:color w:val="auto"/>
          <w:sz w:val="24"/>
        </w:rPr>
        <w:t>四、财政拨款收入支出决算总体情况说明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8</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3BEA87C">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"_Toc236170671" </w:instrText>
      </w:r>
      <w:r>
        <w:fldChar w:fldCharType="separate"/>
      </w:r>
      <w:r>
        <w:rPr>
          <w:rStyle w:val="242"/>
          <w:rFonts w:hint="eastAsia" w:ascii="Times New Roman" w:hAnsi="Times New Roman" w:eastAsia="宋体"/>
          <w:bCs/>
          <w:color w:val="auto"/>
          <w:sz w:val="24"/>
        </w:rPr>
        <w:t>五、一般公共预算财政拨款支出决算情况说明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9</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4526B45">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"_Toc236170672" </w:instrText>
      </w:r>
      <w:r>
        <w:fldChar w:fldCharType="separate"/>
      </w:r>
      <w:r>
        <w:rPr>
          <w:rStyle w:val="242"/>
          <w:rFonts w:hint="eastAsia" w:ascii="Times New Roman" w:hAnsi="Times New Roman" w:eastAsia="宋体"/>
          <w:bCs/>
          <w:color w:val="auto"/>
          <w:sz w:val="24"/>
        </w:rPr>
        <w:t>六、一般公共预算财政拨款基本支出决算情况说明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8EA282F">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"_Toc236170673" </w:instrText>
      </w:r>
      <w:r>
        <w:fldChar w:fldCharType="separate"/>
      </w:r>
      <w:r>
        <w:rPr>
          <w:rStyle w:val="242"/>
          <w:rFonts w:hint="eastAsia" w:ascii="Times New Roman" w:hAnsi="Times New Roman" w:eastAsia="宋体"/>
          <w:bCs/>
          <w:color w:val="auto"/>
          <w:sz w:val="24"/>
        </w:rPr>
        <w:t>七、财政拨款“三公”经费支出决算情况说明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A145F0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"_Toc236170674" </w:instrText>
      </w:r>
      <w:r>
        <w:fldChar w:fldCharType="separate"/>
      </w:r>
      <w:r>
        <w:rPr>
          <w:rStyle w:val="242"/>
          <w:rFonts w:hint="eastAsia" w:ascii="Times New Roman" w:hAnsi="Times New Roman" w:eastAsia="宋体"/>
          <w:bCs/>
          <w:color w:val="auto"/>
          <w:sz w:val="24"/>
        </w:rPr>
        <w:t>八、政府性基金预算支出决算情况说明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12</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A8F569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"_Toc236170675" </w:instrText>
      </w:r>
      <w:r>
        <w:fldChar w:fldCharType="separate"/>
      </w:r>
      <w:r>
        <w:rPr>
          <w:rStyle w:val="242"/>
          <w:rFonts w:hint="eastAsia" w:ascii="Times New Roman" w:hAnsi="Times New Roman" w:eastAsia="宋体"/>
          <w:bCs/>
          <w:color w:val="auto"/>
          <w:sz w:val="24"/>
        </w:rPr>
        <w:t>九、国有资本经营预算支出决算情况说明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7FA4CD4">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"_Toc236170676" </w:instrText>
      </w:r>
      <w:r>
        <w:fldChar w:fldCharType="separate"/>
      </w:r>
      <w:r>
        <w:rPr>
          <w:rStyle w:val="242"/>
          <w:rFonts w:hint="eastAsia" w:ascii="Times New Roman" w:hAnsi="Times New Roman" w:eastAsia="宋体"/>
          <w:bCs/>
          <w:color w:val="auto"/>
          <w:sz w:val="24"/>
        </w:rPr>
        <w:t>十、其他重要事项的情况说明</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_Toc236170676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13</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686236A8">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"_Toc236170677" </w:instrText>
      </w:r>
      <w:r>
        <w:fldChar w:fldCharType="separate"/>
      </w:r>
      <w:r>
        <w:rPr>
          <w:rStyle w:val="242"/>
          <w:rFonts w:hint="eastAsia" w:ascii="Times New Roman" w:hAnsi="Times New Roman" w:eastAsia="黑体"/>
          <w:bCs/>
          <w:color w:val="auto"/>
          <w:sz w:val="24"/>
        </w:rPr>
        <w:t>第三部分 名词解释</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_Toc236170677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16</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1AD7BC7A">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"_Toc236170678" </w:instrText>
      </w:r>
      <w:r>
        <w:fldChar w:fldCharType="separate"/>
      </w:r>
      <w:r>
        <w:rPr>
          <w:rStyle w:val="242"/>
          <w:rFonts w:hint="eastAsia" w:ascii="Times New Roman" w:hAnsi="Times New Roman" w:eastAsia="黑体"/>
          <w:bCs/>
          <w:color w:val="auto"/>
          <w:sz w:val="24"/>
        </w:rPr>
        <w:t>第四部分 附件</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_Toc236170678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20</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3BE55BD4">
      <w:pPr>
        <w:pStyle w:val="59"/>
        <w:tabs>
          <w:tab w:val="right" w:leader="dot" w:pos="8302"/>
        </w:tabs>
        <w:spacing w:line="440" w:lineRule="exact"/>
        <w:rPr>
          <w:rFonts w:ascii="Times New Roman" w:hAnsi="Times New Roman" w:eastAsia="黑体"/>
          <w:sz w:val="24"/>
          <w:szCs w:val="30"/>
          <w:lang w:bidi="th-TH"/>
          <w14:ligatures w14:val="standardContextual"/>
        </w:rPr>
      </w:pPr>
      <w:r>
        <w:fldChar w:fldCharType="begin"/>
      </w:r>
      <w:r>
        <w:instrText xml:space="preserve"> HYPERLINK \l "_Toc236170681" </w:instrText>
      </w:r>
      <w:r>
        <w:fldChar w:fldCharType="separate"/>
      </w:r>
      <w:r>
        <w:rPr>
          <w:rStyle w:val="242"/>
          <w:rFonts w:hint="eastAsia" w:ascii="Times New Roman" w:hAnsi="Times New Roman" w:eastAsia="黑体"/>
          <w:bCs/>
          <w:color w:val="auto"/>
          <w:sz w:val="24"/>
        </w:rPr>
        <w:t>第五部分 附表</w:t>
      </w:r>
      <w:r>
        <w:rPr>
          <w:rFonts w:hint="eastAsia" w:ascii="Times New Roman" w:hAnsi="Times New Roman" w:eastAsia="黑体" w:cs="Times New Roman"/>
          <w:sz w:val="24"/>
        </w:rPr>
        <w:tab/>
      </w:r>
      <w:r>
        <w:rPr>
          <w:rFonts w:hint="eastAsia" w:ascii="Times New Roman" w:hAnsi="Times New Roman" w:eastAsia="黑体"/>
          <w:sz w:val="24"/>
        </w:rPr>
        <w:fldChar w:fldCharType="begin"/>
      </w:r>
      <w:r>
        <w:rPr>
          <w:rFonts w:hint="eastAsia" w:ascii="Times New Roman" w:hAnsi="Times New Roman" w:eastAsia="黑体"/>
          <w:sz w:val="24"/>
        </w:rPr>
        <w:instrText xml:space="preserve"> </w:instrText>
      </w:r>
      <w:r>
        <w:rPr>
          <w:rFonts w:ascii="Times New Roman" w:hAnsi="Times New Roman" w:eastAsia="黑体"/>
          <w:sz w:val="24"/>
        </w:rPr>
        <w:instrText xml:space="preserve">PAGEREF _Toc236170681 \h</w:instrText>
      </w:r>
      <w:r>
        <w:rPr>
          <w:rFonts w:hint="eastAsia" w:ascii="Times New Roman" w:hAnsi="Times New Roman" w:eastAsia="黑体"/>
          <w:sz w:val="24"/>
        </w:rPr>
        <w:instrText xml:space="preserve"> </w:instrText>
      </w:r>
      <w:r>
        <w:rPr>
          <w:rFonts w:hint="eastAsia" w:ascii="Times New Roman" w:hAnsi="Times New Roman" w:eastAsia="黑体"/>
          <w:sz w:val="24"/>
        </w:rPr>
        <w:fldChar w:fldCharType="separate"/>
      </w:r>
      <w:r>
        <w:rPr>
          <w:rFonts w:ascii="Times New Roman" w:hAnsi="Times New Roman" w:eastAsia="黑体" w:cs="Times New Roman"/>
          <w:sz w:val="24"/>
        </w:rPr>
        <w:t>31</w:t>
      </w:r>
      <w:r>
        <w:rPr>
          <w:rFonts w:hint="eastAsia" w:ascii="Times New Roman" w:hAnsi="Times New Roman" w:eastAsia="黑体"/>
          <w:sz w:val="24"/>
        </w:rPr>
        <w:fldChar w:fldCharType="end"/>
      </w:r>
      <w:r>
        <w:rPr>
          <w:rFonts w:hint="eastAsia" w:ascii="Times New Roman" w:hAnsi="Times New Roman" w:eastAsia="黑体"/>
          <w:sz w:val="24"/>
        </w:rPr>
        <w:fldChar w:fldCharType="end"/>
      </w:r>
    </w:p>
    <w:p w14:paraId="6900A2F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"_Toc236170682" </w:instrText>
      </w:r>
      <w:r>
        <w:fldChar w:fldCharType="separate"/>
      </w:r>
      <w:r>
        <w:rPr>
          <w:rStyle w:val="242"/>
          <w:rFonts w:hint="eastAsia" w:ascii="Times New Roman" w:hAnsi="Times New Roman" w:eastAsia="宋体"/>
          <w:color w:val="auto"/>
          <w:sz w:val="24"/>
        </w:rPr>
        <w:t>一、收入支出决算总表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879AEF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"_Toc236170683" </w:instrText>
      </w:r>
      <w:r>
        <w:fldChar w:fldCharType="separate"/>
      </w:r>
      <w:r>
        <w:rPr>
          <w:rStyle w:val="242"/>
          <w:rFonts w:hint="eastAsia" w:ascii="Times New Roman" w:hAnsi="Times New Roman" w:eastAsia="宋体"/>
          <w:color w:val="auto"/>
          <w:sz w:val="24"/>
        </w:rPr>
        <w:t>二、收入决算表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4F3AC2A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"_Toc236170684" </w:instrText>
      </w:r>
      <w:r>
        <w:fldChar w:fldCharType="separate"/>
      </w:r>
      <w:r>
        <w:rPr>
          <w:rStyle w:val="242"/>
          <w:rFonts w:hint="eastAsia" w:ascii="Times New Roman" w:hAnsi="Times New Roman" w:eastAsia="宋体"/>
          <w:color w:val="auto"/>
          <w:sz w:val="24"/>
        </w:rPr>
        <w:t>三、支出决算表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C4B4B7B">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"_Toc236170685" </w:instrText>
      </w:r>
      <w:r>
        <w:fldChar w:fldCharType="separate"/>
      </w:r>
      <w:r>
        <w:rPr>
          <w:rStyle w:val="242"/>
          <w:rFonts w:hint="eastAsia" w:ascii="Times New Roman" w:hAnsi="Times New Roman" w:eastAsia="宋体"/>
          <w:color w:val="auto"/>
          <w:sz w:val="24"/>
        </w:rPr>
        <w:t>四、财政拨款收入支出决算总表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_Toc236170685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F9B5EF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"_Toc236170686" </w:instrText>
      </w:r>
      <w:r>
        <w:fldChar w:fldCharType="separate"/>
      </w:r>
      <w:r>
        <w:rPr>
          <w:rStyle w:val="242"/>
          <w:rFonts w:hint="eastAsia" w:ascii="Times New Roman" w:hAnsi="Times New Roman" w:eastAsia="宋体"/>
          <w:color w:val="auto"/>
          <w:sz w:val="24"/>
        </w:rPr>
        <w:t>五、财政拨款支出决算明细表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_Toc236170686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697D751">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"_Toc236170687" </w:instrText>
      </w:r>
      <w:r>
        <w:fldChar w:fldCharType="separate"/>
      </w:r>
      <w:r>
        <w:rPr>
          <w:rStyle w:val="242"/>
          <w:rFonts w:hint="eastAsia" w:ascii="Times New Roman" w:hAnsi="Times New Roman" w:eastAsia="宋体"/>
          <w:color w:val="auto"/>
          <w:sz w:val="24"/>
        </w:rPr>
        <w:t>六、一般公共预算财政拨款支出决算表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_Toc236170687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1A2C1C3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"_Toc236170688" </w:instrText>
      </w:r>
      <w:r>
        <w:fldChar w:fldCharType="separate"/>
      </w:r>
      <w:r>
        <w:rPr>
          <w:rStyle w:val="242"/>
          <w:rFonts w:hint="eastAsia" w:ascii="Times New Roman" w:hAnsi="Times New Roman" w:eastAsia="宋体"/>
          <w:color w:val="auto"/>
          <w:sz w:val="24"/>
        </w:rPr>
        <w:t>七、一般公共预算财政拨款支出决算明细表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_Toc236170688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944138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"_Toc236170689" </w:instrText>
      </w:r>
      <w:r>
        <w:fldChar w:fldCharType="separate"/>
      </w:r>
      <w:r>
        <w:rPr>
          <w:rStyle w:val="242"/>
          <w:rFonts w:hint="eastAsia" w:ascii="Times New Roman" w:hAnsi="Times New Roman" w:eastAsia="宋体"/>
          <w:color w:val="auto"/>
          <w:sz w:val="24"/>
        </w:rPr>
        <w:t>八、一般公共预算财政拨款基本支出决算表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_Toc236170689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3ADBA78">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"_Toc236170690" </w:instrText>
      </w:r>
      <w:r>
        <w:fldChar w:fldCharType="separate"/>
      </w:r>
      <w:r>
        <w:rPr>
          <w:rStyle w:val="242"/>
          <w:rFonts w:hint="eastAsia" w:ascii="Times New Roman" w:hAnsi="Times New Roman" w:eastAsia="宋体"/>
          <w:color w:val="auto"/>
          <w:sz w:val="24"/>
        </w:rPr>
        <w:t>九、一般公共预算财政拨款项目支出决算表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_Toc236170690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AD76FAD">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"_Toc236170691" </w:instrText>
      </w:r>
      <w:r>
        <w:fldChar w:fldCharType="separate"/>
      </w:r>
      <w:r>
        <w:rPr>
          <w:rStyle w:val="242"/>
          <w:rFonts w:hint="eastAsia" w:ascii="Times New Roman" w:hAnsi="Times New Roman" w:eastAsia="宋体"/>
          <w:color w:val="auto"/>
          <w:sz w:val="24"/>
        </w:rPr>
        <w:t>十、政府性基金预算财政拨款收入支出决算表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_Toc236170691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25E410C6">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"_Toc236170692" </w:instrText>
      </w:r>
      <w:r>
        <w:fldChar w:fldCharType="separate"/>
      </w:r>
      <w:r>
        <w:rPr>
          <w:rStyle w:val="242"/>
          <w:rFonts w:hint="eastAsia" w:ascii="Times New Roman" w:hAnsi="Times New Roman" w:eastAsia="宋体"/>
          <w:color w:val="auto"/>
          <w:sz w:val="24"/>
        </w:rPr>
        <w:t>十一、国有资本经营预算财政拨款收入支出决算表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_Toc236170692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39643600">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"_Toc236170693" </w:instrText>
      </w:r>
      <w:r>
        <w:fldChar w:fldCharType="separate"/>
      </w:r>
      <w:r>
        <w:rPr>
          <w:rStyle w:val="242"/>
          <w:rFonts w:hint="eastAsia" w:ascii="Times New Roman" w:hAnsi="Times New Roman" w:eastAsia="宋体"/>
          <w:color w:val="auto"/>
          <w:sz w:val="24"/>
        </w:rPr>
        <w:t>十二、国有资本经营预算财政拨款支出决算表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_Toc236170693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54786F12">
      <w:pPr>
        <w:pStyle w:val="74"/>
        <w:tabs>
          <w:tab w:val="right" w:leader="dot" w:pos="8302"/>
        </w:tabs>
        <w:spacing w:line="440" w:lineRule="exact"/>
        <w:rPr>
          <w:rFonts w:ascii="Times New Roman" w:hAnsi="Times New Roman" w:eastAsia="宋体"/>
          <w:sz w:val="24"/>
          <w:szCs w:val="30"/>
          <w:lang w:bidi="th-TH"/>
          <w14:ligatures w14:val="standardContextual"/>
        </w:rPr>
      </w:pPr>
      <w:r>
        <w:fldChar w:fldCharType="begin"/>
      </w:r>
      <w:r>
        <w:instrText xml:space="preserve"> HYPERLINK \l "_Toc236170694" </w:instrText>
      </w:r>
      <w:r>
        <w:fldChar w:fldCharType="separate"/>
      </w:r>
      <w:r>
        <w:rPr>
          <w:rStyle w:val="242"/>
          <w:rFonts w:hint="eastAsia" w:ascii="Times New Roman" w:hAnsi="Times New Roman" w:eastAsia="宋体"/>
          <w:color w:val="auto"/>
          <w:sz w:val="24"/>
        </w:rPr>
        <w:t>十三、财政拨款“三公”经费支出决算表</w:t>
      </w:r>
      <w:r>
        <w:rPr>
          <w:rFonts w:hint="eastAsia" w:ascii="Times New Roman" w:hAnsi="Times New Roman" w:eastAsia="宋体" w:cs="Times New Roman"/>
          <w:sz w:val="24"/>
        </w:rPr>
        <w:tab/>
      </w:r>
      <w:r>
        <w:rPr>
          <w:rFonts w:hint="eastAsia" w:ascii="Times New Roman" w:hAnsi="Times New Roman" w:eastAsia="宋体"/>
          <w:sz w:val="24"/>
        </w:rPr>
        <w:fldChar w:fldCharType="begin"/>
      </w:r>
      <w:r>
        <w:rPr>
          <w:rFonts w:hint="eastAsia" w:ascii="Times New Roman" w:hAnsi="Times New Roman" w:eastAsia="宋体"/>
          <w:sz w:val="24"/>
        </w:rPr>
        <w:instrText xml:space="preserve"> </w:instrText>
      </w:r>
      <w:r>
        <w:rPr>
          <w:rFonts w:ascii="Times New Roman" w:hAnsi="Times New Roman" w:eastAsia="宋体"/>
          <w:sz w:val="24"/>
        </w:rPr>
        <w:instrText xml:space="preserve">PAGEREF _Toc236170694 \h</w:instrText>
      </w:r>
      <w:r>
        <w:rPr>
          <w:rFonts w:hint="eastAsia" w:ascii="Times New Roman" w:hAnsi="Times New Roman" w:eastAsia="宋体"/>
          <w:sz w:val="24"/>
        </w:rPr>
        <w:instrText xml:space="preserve"> </w:instrText>
      </w:r>
      <w:r>
        <w:rPr>
          <w:rFonts w:hint="eastAsia" w:ascii="Times New Roman" w:hAnsi="Times New Roman" w:eastAsia="宋体"/>
          <w:sz w:val="24"/>
        </w:rPr>
        <w:fldChar w:fldCharType="separate"/>
      </w:r>
      <w:r>
        <w:rPr>
          <w:rFonts w:ascii="Times New Roman" w:hAnsi="Times New Roman" w:eastAsia="宋体" w:cs="Times New Roman"/>
          <w:sz w:val="24"/>
        </w:rPr>
        <w:t>31</w:t>
      </w:r>
      <w:r>
        <w:rPr>
          <w:rFonts w:hint="eastAsia" w:ascii="Times New Roman" w:hAnsi="Times New Roman" w:eastAsia="宋体"/>
          <w:sz w:val="24"/>
        </w:rPr>
        <w:fldChar w:fldCharType="end"/>
      </w:r>
      <w:r>
        <w:rPr>
          <w:rFonts w:hint="eastAsia" w:ascii="Times New Roman" w:hAnsi="Times New Roman" w:eastAsia="宋体"/>
          <w:sz w:val="24"/>
        </w:rPr>
        <w:fldChar w:fldCharType="end"/>
      </w:r>
    </w:p>
    <w:p w14:paraId="0BF82E3A">
      <w:pPr>
        <w:widowControl w:val="0"/>
        <w:spacing w:line="440" w:lineRule="exact"/>
        <w:ind w:firstLine="480" w:firstLineChars="200"/>
        <w:jc w:val="both"/>
        <w:rPr>
          <w:rFonts w:ascii="Times New Roman" w:hAnsi="Times New Roman" w:eastAsia="黑体" w:cs="Times New Roman"/>
          <w:sz w:val="24"/>
          <w:szCs w:val="21"/>
          <w:lang w:bidi="ar"/>
        </w:rPr>
      </w:pPr>
      <w:r>
        <w:rPr>
          <w:rFonts w:hint="eastAsia" w:ascii="Times New Roman" w:hAnsi="Times New Roman" w:eastAsia="黑体" w:cs="Times New Roman"/>
          <w:sz w:val="24"/>
          <w:szCs w:val="21"/>
          <w:lang w:bidi="ar"/>
        </w:rPr>
        <w:fldChar w:fldCharType="end"/>
      </w:r>
    </w:p>
    <w:p w14:paraId="4D5D5C4D">
      <w:pPr>
        <w:widowControl w:val="0"/>
        <w:spacing w:line="440" w:lineRule="exact"/>
        <w:ind w:firstLine="480" w:firstLineChars="200"/>
        <w:jc w:val="both"/>
        <w:rPr>
          <w:rFonts w:ascii="Times New Roman" w:hAnsi="Times New Roman" w:eastAsia="黑体" w:cs="Times New Roman"/>
          <w:sz w:val="24"/>
          <w:szCs w:val="21"/>
          <w:lang w:bidi="ar"/>
        </w:rPr>
      </w:pPr>
    </w:p>
    <w:p w14:paraId="60F6101A">
      <w:pPr>
        <w:widowControl w:val="0"/>
        <w:spacing w:line="440" w:lineRule="exact"/>
        <w:ind w:firstLine="480" w:firstLineChars="200"/>
        <w:jc w:val="both"/>
        <w:rPr>
          <w:rFonts w:ascii="Times New Roman" w:hAnsi="Times New Roman" w:eastAsia="黑体" w:cs="Times New Roman"/>
          <w:sz w:val="24"/>
          <w:szCs w:val="21"/>
          <w:lang w:bidi="ar"/>
        </w:rPr>
      </w:pPr>
    </w:p>
    <w:p w14:paraId="2C9A1ADE">
      <w:pPr>
        <w:widowControl w:val="0"/>
        <w:spacing w:line="440" w:lineRule="exact"/>
        <w:ind w:firstLine="480" w:firstLineChars="200"/>
        <w:jc w:val="both"/>
        <w:rPr>
          <w:rFonts w:ascii="Times New Roman" w:hAnsi="Times New Roman" w:eastAsia="黑体" w:cs="Times New Roman"/>
          <w:sz w:val="24"/>
          <w:szCs w:val="21"/>
          <w:lang w:bidi="ar"/>
        </w:rPr>
      </w:pPr>
    </w:p>
    <w:p w14:paraId="00E15B7A">
      <w:pPr>
        <w:widowControl w:val="0"/>
        <w:spacing w:line="440" w:lineRule="exact"/>
        <w:ind w:firstLine="480" w:firstLineChars="200"/>
        <w:jc w:val="both"/>
        <w:rPr>
          <w:rFonts w:ascii="Times New Roman" w:hAnsi="Times New Roman" w:eastAsia="黑体" w:cs="Times New Roman"/>
          <w:sz w:val="24"/>
          <w:szCs w:val="21"/>
          <w:lang w:bidi="ar"/>
        </w:rPr>
      </w:pPr>
    </w:p>
    <w:p w14:paraId="06241665">
      <w:pPr>
        <w:widowControl w:val="0"/>
        <w:spacing w:line="600" w:lineRule="exact"/>
        <w:ind w:firstLine="640" w:firstLineChars="200"/>
        <w:jc w:val="both"/>
        <w:rPr>
          <w:rFonts w:hint="eastAsia" w:ascii="仿宋" w:hAnsi="仿宋" w:eastAsia="仿宋" w:cs="Times New Roman"/>
          <w:sz w:val="32"/>
          <w:szCs w:val="21"/>
          <w:lang w:bidi="ar"/>
        </w:rPr>
      </w:pPr>
    </w:p>
    <w:p w14:paraId="796CE5EC">
      <w:pPr>
        <w:widowControl w:val="0"/>
        <w:spacing w:line="600" w:lineRule="exact"/>
        <w:ind w:firstLine="640" w:firstLineChars="200"/>
        <w:jc w:val="both"/>
        <w:rPr>
          <w:rFonts w:hint="eastAsia" w:ascii="仿宋" w:hAnsi="仿宋" w:eastAsia="仿宋" w:cs="Times New Roman"/>
          <w:sz w:val="32"/>
          <w:szCs w:val="21"/>
          <w:lang w:bidi="ar"/>
        </w:rPr>
      </w:pPr>
    </w:p>
    <w:p w14:paraId="41B3CCD4">
      <w:pPr>
        <w:widowControl w:val="0"/>
        <w:spacing w:line="600" w:lineRule="exact"/>
        <w:ind w:firstLine="640" w:firstLineChars="200"/>
        <w:jc w:val="both"/>
        <w:rPr>
          <w:rFonts w:hint="eastAsia" w:ascii="仿宋" w:hAnsi="仿宋" w:eastAsia="仿宋" w:cs="Times New Roman"/>
          <w:sz w:val="32"/>
          <w:szCs w:val="21"/>
          <w:lang w:bidi="ar"/>
        </w:rPr>
      </w:pPr>
    </w:p>
    <w:p w14:paraId="225ECC91">
      <w:pPr>
        <w:widowControl w:val="0"/>
        <w:spacing w:line="600" w:lineRule="exact"/>
        <w:ind w:firstLine="640" w:firstLineChars="200"/>
        <w:jc w:val="both"/>
        <w:rPr>
          <w:rFonts w:hint="eastAsia" w:ascii="仿宋" w:hAnsi="仿宋" w:eastAsia="仿宋" w:cs="Times New Roman"/>
          <w:sz w:val="32"/>
          <w:szCs w:val="21"/>
          <w:lang w:bidi="ar"/>
        </w:rPr>
      </w:pPr>
    </w:p>
    <w:p w14:paraId="447EF776">
      <w:pPr>
        <w:widowControl w:val="0"/>
        <w:spacing w:line="600" w:lineRule="exact"/>
        <w:ind w:firstLine="640" w:firstLineChars="200"/>
        <w:jc w:val="both"/>
        <w:rPr>
          <w:rFonts w:hint="eastAsia" w:ascii="仿宋" w:hAnsi="仿宋" w:eastAsia="仿宋" w:cs="Times New Roman"/>
          <w:sz w:val="32"/>
          <w:szCs w:val="21"/>
          <w:lang w:bidi="ar"/>
        </w:rPr>
      </w:pPr>
    </w:p>
    <w:p w14:paraId="4D40487B">
      <w:pPr>
        <w:widowControl w:val="0"/>
        <w:spacing w:line="600" w:lineRule="exact"/>
        <w:ind w:firstLine="640" w:firstLineChars="200"/>
        <w:jc w:val="both"/>
        <w:rPr>
          <w:rFonts w:hint="eastAsia" w:ascii="仿宋" w:hAnsi="仿宋" w:eastAsia="仿宋" w:cs="Times New Roman"/>
          <w:sz w:val="32"/>
          <w:szCs w:val="21"/>
          <w:lang w:bidi="ar"/>
        </w:rPr>
      </w:pPr>
    </w:p>
    <w:p w14:paraId="0A4016A8">
      <w:pPr>
        <w:widowControl w:val="0"/>
        <w:spacing w:line="600" w:lineRule="exact"/>
        <w:ind w:firstLine="640" w:firstLineChars="200"/>
        <w:jc w:val="both"/>
        <w:rPr>
          <w:rFonts w:hint="eastAsia" w:ascii="仿宋" w:hAnsi="仿宋" w:eastAsia="仿宋" w:cs="Times New Roman"/>
          <w:sz w:val="32"/>
          <w:szCs w:val="21"/>
          <w:lang w:bidi="ar"/>
        </w:rPr>
      </w:pPr>
    </w:p>
    <w:p w14:paraId="6AF03D97">
      <w:pPr>
        <w:widowControl w:val="0"/>
        <w:spacing w:line="600" w:lineRule="exact"/>
        <w:ind w:firstLine="640" w:firstLineChars="200"/>
        <w:jc w:val="both"/>
        <w:rPr>
          <w:rFonts w:hint="eastAsia" w:ascii="仿宋" w:hAnsi="仿宋" w:eastAsia="仿宋" w:cs="Times New Roman"/>
          <w:sz w:val="32"/>
          <w:szCs w:val="21"/>
          <w:lang w:bidi="ar"/>
        </w:rPr>
      </w:pPr>
    </w:p>
    <w:p w14:paraId="479EBA92">
      <w:pPr>
        <w:widowControl w:val="0"/>
        <w:spacing w:line="600" w:lineRule="exact"/>
        <w:ind w:firstLine="640" w:firstLineChars="200"/>
        <w:jc w:val="both"/>
        <w:rPr>
          <w:rFonts w:hint="eastAsia" w:ascii="仿宋" w:hAnsi="仿宋" w:eastAsia="仿宋" w:cs="Times New Roman"/>
          <w:sz w:val="32"/>
          <w:szCs w:val="21"/>
          <w:lang w:bidi="ar"/>
        </w:rPr>
        <w:sectPr>
          <w:footerReference r:id="rId6" w:type="default"/>
          <w:pgSz w:w="11906" w:h="16838"/>
          <w:pgMar w:top="1440" w:right="1797" w:bottom="1440" w:left="1797" w:header="720" w:footer="720" w:gutter="0"/>
          <w:cols w:space="425" w:num="1"/>
          <w:docGrid w:type="lines" w:linePitch="312" w:charSpace="0"/>
        </w:sectPr>
      </w:pPr>
    </w:p>
    <w:p w14:paraId="54ED5587">
      <w:pPr>
        <w:widowControl w:val="0"/>
        <w:spacing w:line="600" w:lineRule="exact"/>
        <w:ind w:firstLine="640" w:firstLineChars="200"/>
        <w:jc w:val="both"/>
        <w:rPr>
          <w:rFonts w:hint="eastAsia" w:ascii="仿宋" w:hAnsi="仿宋" w:eastAsia="仿宋"/>
          <w:sz w:val="32"/>
        </w:rPr>
      </w:pPr>
      <w:bookmarkStart w:id="13" w:name="_Toc15396599"/>
      <w:bookmarkEnd w:id="13"/>
    </w:p>
    <w:p w14:paraId="0F774070">
      <w:pPr>
        <w:pStyle w:val="3"/>
        <w:widowControl w:val="0"/>
        <w:spacing w:before="340" w:beforeAutospacing="0" w:after="330" w:afterAutospacing="0" w:line="578" w:lineRule="auto"/>
        <w:jc w:val="center"/>
        <w:rPr>
          <w:rFonts w:ascii="黑体" w:hAnsi="黑体" w:eastAsia="黑体"/>
          <w:b w:val="0"/>
          <w:bCs/>
          <w:sz w:val="44"/>
          <w:szCs w:val="32"/>
        </w:rPr>
      </w:pPr>
      <w:bookmarkStart w:id="14" w:name="_Toc236170663"/>
      <w:r>
        <w:rPr>
          <w:rFonts w:ascii="黑体" w:hAnsi="黑体" w:eastAsia="黑体"/>
          <w:b w:val="0"/>
          <w:bCs/>
          <w:sz w:val="44"/>
          <w:szCs w:val="32"/>
        </w:rPr>
        <w:t>第一部分 部门概况</w:t>
      </w:r>
      <w:bookmarkEnd w:id="14"/>
    </w:p>
    <w:p w14:paraId="6CEFB7AA">
      <w:pPr>
        <w:widowControl w:val="0"/>
        <w:spacing w:line="600" w:lineRule="exact"/>
        <w:ind w:firstLine="640" w:firstLineChars="200"/>
        <w:jc w:val="both"/>
        <w:rPr>
          <w:rFonts w:hint="eastAsia" w:ascii="仿宋" w:hAnsi="仿宋" w:eastAsia="仿宋"/>
          <w:sz w:val="32"/>
        </w:rPr>
      </w:pPr>
    </w:p>
    <w:p w14:paraId="4365F0B0">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5" w:name="_Toc15396600"/>
      <w:bookmarkEnd w:id="15"/>
      <w:bookmarkStart w:id="16" w:name="_Toc15377197"/>
      <w:bookmarkEnd w:id="16"/>
      <w:bookmarkStart w:id="17" w:name="_Toc22733"/>
      <w:bookmarkStart w:id="18" w:name="_Toc236170664"/>
      <w:r>
        <w:rPr>
          <w:rFonts w:ascii="黑体" w:hAnsi="黑体" w:eastAsia="黑体"/>
          <w:b w:val="0"/>
          <w:bCs/>
          <w:sz w:val="32"/>
          <w:szCs w:val="32"/>
        </w:rPr>
        <w:t>一、</w:t>
      </w:r>
      <w:bookmarkEnd w:id="17"/>
      <w:r>
        <w:rPr>
          <w:rFonts w:ascii="黑体" w:hAnsi="黑体" w:eastAsia="黑体"/>
          <w:b w:val="0"/>
          <w:bCs/>
          <w:sz w:val="32"/>
          <w:szCs w:val="32"/>
        </w:rPr>
        <w:t>部门职责</w:t>
      </w:r>
      <w:bookmarkEnd w:id="18"/>
    </w:p>
    <w:p w14:paraId="32813427">
      <w:pPr>
        <w:widowControl w:val="0"/>
        <w:spacing w:line="600" w:lineRule="exact"/>
        <w:ind w:firstLine="640" w:firstLineChars="200"/>
        <w:jc w:val="both"/>
        <w:rPr>
          <w:rFonts w:hint="eastAsia" w:ascii="仿宋" w:hAnsi="仿宋" w:eastAsia="仿宋" w:cs="Times New Roman"/>
          <w:sz w:val="32"/>
          <w:szCs w:val="21"/>
          <w:lang w:bidi="ar"/>
        </w:rPr>
      </w:pPr>
    </w:p>
    <w:p w14:paraId="38CF7A90">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19" w:name="_Toc15396601"/>
      <w:bookmarkEnd w:id="19"/>
      <w:bookmarkStart w:id="20" w:name="_Toc30704"/>
      <w:bookmarkEnd w:id="20"/>
      <w:bookmarkStart w:id="21" w:name="_Toc15377200"/>
      <w:bookmarkStart w:id="22" w:name="_Toc236170665"/>
      <w:r>
        <w:rPr>
          <w:rFonts w:ascii="黑体" w:hAnsi="黑体" w:eastAsia="黑体"/>
          <w:b w:val="0"/>
          <w:bCs/>
          <w:sz w:val="32"/>
          <w:szCs w:val="32"/>
        </w:rPr>
        <w:t>二、</w:t>
      </w:r>
      <w:bookmarkEnd w:id="21"/>
      <w:r>
        <w:rPr>
          <w:rFonts w:ascii="黑体" w:hAnsi="黑体" w:eastAsia="黑体"/>
          <w:b w:val="0"/>
          <w:bCs/>
          <w:sz w:val="32"/>
          <w:szCs w:val="32"/>
        </w:rPr>
        <w:t>机构设置</w:t>
      </w:r>
      <w:bookmarkEnd w:id="22"/>
    </w:p>
    <w:p w14:paraId="0A9DAC00">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
          <w:sz w:val="32"/>
          <w:szCs w:val="32"/>
          <w:lang w:bidi="ar"/>
        </w:rPr>
        <w:t>壤塘县卫生健康局下属二级预算单位</w:t>
      </w:r>
      <w:r>
        <w:rPr>
          <w:rFonts w:hint="eastAsia" w:ascii="仿宋" w:hAnsi="仿宋" w:eastAsia="仿宋" w:cs="Times New Roman"/>
          <w:sz w:val="32"/>
          <w:szCs w:val="32"/>
          <w:lang w:bidi="ar"/>
        </w:rPr>
        <w:t>18</w:t>
      </w:r>
      <w:r>
        <w:rPr>
          <w:rFonts w:hint="eastAsia" w:ascii="仿宋" w:hAnsi="仿宋" w:eastAsia="仿宋" w:cs="仿宋"/>
          <w:sz w:val="32"/>
          <w:szCs w:val="32"/>
          <w:lang w:bidi="ar"/>
        </w:rPr>
        <w:t>个，其中行政单位</w:t>
      </w:r>
      <w:r>
        <w:rPr>
          <w:rFonts w:hint="eastAsia" w:ascii="仿宋" w:hAnsi="仿宋" w:eastAsia="仿宋" w:cs="Times New Roman"/>
          <w:sz w:val="32"/>
          <w:szCs w:val="32"/>
          <w:lang w:bidi="ar"/>
        </w:rPr>
        <w:t>1</w:t>
      </w:r>
      <w:r>
        <w:rPr>
          <w:rFonts w:hint="eastAsia" w:ascii="仿宋" w:hAnsi="仿宋" w:eastAsia="仿宋" w:cs="仿宋"/>
          <w:sz w:val="32"/>
          <w:szCs w:val="32"/>
          <w:lang w:bidi="ar"/>
        </w:rPr>
        <w:t>个，参照公务员法管理的事业单位</w:t>
      </w:r>
      <w:r>
        <w:rPr>
          <w:rFonts w:hint="eastAsia" w:ascii="仿宋" w:hAnsi="仿宋" w:eastAsia="仿宋" w:cs="Times New Roman"/>
          <w:sz w:val="32"/>
          <w:szCs w:val="32"/>
          <w:lang w:bidi="ar"/>
        </w:rPr>
        <w:t>0</w:t>
      </w:r>
      <w:r>
        <w:rPr>
          <w:rFonts w:hint="eastAsia" w:ascii="仿宋" w:hAnsi="仿宋" w:eastAsia="仿宋" w:cs="仿宋"/>
          <w:sz w:val="32"/>
          <w:szCs w:val="32"/>
          <w:lang w:bidi="ar"/>
        </w:rPr>
        <w:t>个，其他事业单位</w:t>
      </w:r>
      <w:r>
        <w:rPr>
          <w:rFonts w:hint="eastAsia" w:ascii="仿宋" w:hAnsi="仿宋" w:eastAsia="仿宋" w:cs="Times New Roman"/>
          <w:sz w:val="32"/>
          <w:szCs w:val="32"/>
          <w:lang w:bidi="ar"/>
        </w:rPr>
        <w:t>17</w:t>
      </w:r>
      <w:r>
        <w:rPr>
          <w:rFonts w:hint="eastAsia" w:ascii="仿宋" w:hAnsi="仿宋" w:eastAsia="仿宋" w:cs="仿宋"/>
          <w:sz w:val="32"/>
          <w:szCs w:val="32"/>
          <w:lang w:bidi="ar"/>
        </w:rPr>
        <w:t>个。</w:t>
      </w:r>
    </w:p>
    <w:p w14:paraId="5DDC2CA1">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kern w:val="2"/>
          <w:sz w:val="32"/>
          <w:szCs w:val="32"/>
        </w:rPr>
        <w:t>纳入壤塘县卫生健康局</w:t>
      </w:r>
      <w:r>
        <w:rPr>
          <w:rFonts w:hint="eastAsia" w:ascii="仿宋" w:hAnsi="仿宋" w:eastAsia="仿宋" w:cs="Times New Roman"/>
          <w:kern w:val="2"/>
          <w:sz w:val="32"/>
          <w:szCs w:val="32"/>
        </w:rPr>
        <w:t>2023</w:t>
      </w:r>
      <w:r>
        <w:rPr>
          <w:rFonts w:hint="eastAsia" w:ascii="仿宋" w:hAnsi="仿宋" w:eastAsia="仿宋" w:cs="仿宋"/>
          <w:kern w:val="2"/>
          <w:sz w:val="32"/>
          <w:szCs w:val="32"/>
        </w:rPr>
        <w:t>年度部门决算编制范围的二级预算单位包括：</w:t>
      </w:r>
    </w:p>
    <w:p w14:paraId="62A8F1E8">
      <w:pPr>
        <w:pStyle w:val="81"/>
        <w:widowControl w:val="0"/>
        <w:adjustRightInd w:val="0"/>
        <w:spacing w:beforeAutospacing="0" w:afterAutospacing="0" w:line="600" w:lineRule="exact"/>
        <w:ind w:firstLine="640" w:firstLineChars="200"/>
        <w:jc w:val="both"/>
        <w:rPr>
          <w:rFonts w:hint="eastAsia" w:ascii="仿宋" w:hAnsi="仿宋" w:eastAsia="仿宋"/>
          <w:sz w:val="32"/>
        </w:rPr>
      </w:pPr>
      <w:bookmarkStart w:id="23" w:name="_Toc79163608"/>
      <w:bookmarkEnd w:id="23"/>
      <w:r>
        <w:rPr>
          <w:rFonts w:hint="eastAsia" w:ascii="仿宋" w:hAnsi="仿宋" w:eastAsia="仿宋" w:cs="Times New Roman"/>
          <w:kern w:val="2"/>
          <w:sz w:val="32"/>
          <w:szCs w:val="32"/>
        </w:rPr>
        <w:t>1.</w:t>
      </w:r>
      <w:bookmarkStart w:id="24" w:name="_Toc15377203"/>
      <w:bookmarkEnd w:id="24"/>
      <w:bookmarkStart w:id="25" w:name="_Toc15377434"/>
      <w:bookmarkEnd w:id="25"/>
      <w:bookmarkStart w:id="26" w:name="_Toc15378450"/>
      <w:bookmarkEnd w:id="26"/>
      <w:bookmarkStart w:id="27" w:name="_Toc15306277"/>
      <w:r>
        <w:rPr>
          <w:rFonts w:hint="eastAsia" w:ascii="仿宋" w:hAnsi="仿宋" w:eastAsia="仿宋" w:cs="仿宋"/>
          <w:kern w:val="2"/>
          <w:sz w:val="32"/>
          <w:szCs w:val="32"/>
        </w:rPr>
        <w:t>壤塘县</w:t>
      </w:r>
      <w:bookmarkEnd w:id="27"/>
      <w:r>
        <w:rPr>
          <w:rFonts w:hint="eastAsia" w:ascii="仿宋" w:hAnsi="仿宋" w:eastAsia="仿宋" w:cs="仿宋"/>
          <w:kern w:val="2"/>
          <w:sz w:val="32"/>
          <w:szCs w:val="32"/>
        </w:rPr>
        <w:t>人民医院；</w:t>
      </w:r>
    </w:p>
    <w:p w14:paraId="06552DD2">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2.</w:t>
      </w:r>
      <w:r>
        <w:rPr>
          <w:rFonts w:hint="eastAsia" w:ascii="仿宋" w:hAnsi="仿宋" w:eastAsia="仿宋" w:cs="仿宋"/>
          <w:kern w:val="2"/>
          <w:sz w:val="32"/>
          <w:szCs w:val="32"/>
        </w:rPr>
        <w:t>壤塘县疾病预防控制中心；</w:t>
      </w:r>
    </w:p>
    <w:p w14:paraId="0CCB9148">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3.</w:t>
      </w:r>
      <w:r>
        <w:rPr>
          <w:rFonts w:hint="eastAsia" w:ascii="仿宋" w:hAnsi="仿宋" w:eastAsia="仿宋" w:cs="仿宋"/>
          <w:kern w:val="2"/>
          <w:sz w:val="32"/>
          <w:szCs w:val="32"/>
        </w:rPr>
        <w:t>壤塘县妇幼保健计划生育服务中心；</w:t>
      </w:r>
    </w:p>
    <w:p w14:paraId="78912F46">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4.</w:t>
      </w:r>
      <w:r>
        <w:rPr>
          <w:rFonts w:hint="eastAsia" w:ascii="仿宋" w:hAnsi="仿宋" w:eastAsia="仿宋" w:cs="仿宋"/>
          <w:kern w:val="2"/>
          <w:sz w:val="32"/>
          <w:szCs w:val="32"/>
        </w:rPr>
        <w:t>壤塘县藏医院；</w:t>
      </w:r>
    </w:p>
    <w:p w14:paraId="74CF9281">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5.</w:t>
      </w:r>
      <w:r>
        <w:rPr>
          <w:rFonts w:hint="eastAsia" w:ascii="仿宋" w:hAnsi="仿宋" w:eastAsia="仿宋" w:cs="仿宋"/>
          <w:kern w:val="2"/>
          <w:sz w:val="32"/>
          <w:szCs w:val="32"/>
        </w:rPr>
        <w:t>壤塘县上寨中心卫生院；</w:t>
      </w:r>
    </w:p>
    <w:p w14:paraId="5A34454A">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6.</w:t>
      </w:r>
      <w:r>
        <w:rPr>
          <w:rFonts w:hint="eastAsia" w:ascii="仿宋" w:hAnsi="仿宋" w:eastAsia="仿宋" w:cs="仿宋"/>
          <w:kern w:val="2"/>
          <w:sz w:val="32"/>
          <w:szCs w:val="32"/>
        </w:rPr>
        <w:t>壤塘县蒲西乡卫生院；</w:t>
      </w:r>
    </w:p>
    <w:p w14:paraId="22530D6A">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7.</w:t>
      </w:r>
      <w:r>
        <w:rPr>
          <w:rFonts w:hint="eastAsia" w:ascii="仿宋" w:hAnsi="仿宋" w:eastAsia="仿宋" w:cs="仿宋"/>
          <w:kern w:val="2"/>
          <w:sz w:val="32"/>
          <w:szCs w:val="32"/>
        </w:rPr>
        <w:t>壤塘县宗科乡卫生院；</w:t>
      </w:r>
    </w:p>
    <w:p w14:paraId="673653B4">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8.</w:t>
      </w:r>
      <w:r>
        <w:rPr>
          <w:rFonts w:hint="eastAsia" w:ascii="仿宋" w:hAnsi="仿宋" w:eastAsia="仿宋" w:cs="仿宋"/>
          <w:kern w:val="2"/>
          <w:sz w:val="32"/>
          <w:szCs w:val="32"/>
        </w:rPr>
        <w:t>壤塘县石里乡卫生院；</w:t>
      </w:r>
    </w:p>
    <w:p w14:paraId="2A360313">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9.</w:t>
      </w:r>
      <w:r>
        <w:rPr>
          <w:rFonts w:hint="eastAsia" w:ascii="仿宋" w:hAnsi="仿宋" w:eastAsia="仿宋" w:cs="仿宋"/>
          <w:kern w:val="2"/>
          <w:sz w:val="32"/>
          <w:szCs w:val="32"/>
        </w:rPr>
        <w:t>壤塘县吾依乡卫生院；</w:t>
      </w:r>
    </w:p>
    <w:p w14:paraId="7520ABD8">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10.</w:t>
      </w:r>
      <w:r>
        <w:rPr>
          <w:rFonts w:hint="eastAsia" w:ascii="仿宋" w:hAnsi="仿宋" w:eastAsia="仿宋" w:cs="仿宋"/>
          <w:kern w:val="2"/>
          <w:sz w:val="32"/>
          <w:szCs w:val="32"/>
        </w:rPr>
        <w:t>壤塘县岗木达乡卫生院；</w:t>
      </w:r>
    </w:p>
    <w:p w14:paraId="016D634D">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11.</w:t>
      </w:r>
      <w:r>
        <w:rPr>
          <w:rFonts w:hint="eastAsia" w:ascii="仿宋" w:hAnsi="仿宋" w:eastAsia="仿宋" w:cs="仿宋"/>
          <w:kern w:val="2"/>
          <w:sz w:val="32"/>
          <w:szCs w:val="32"/>
        </w:rPr>
        <w:t>壤塘县上杜柯乡卫生院；</w:t>
      </w:r>
    </w:p>
    <w:p w14:paraId="5C872EC1">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12.</w:t>
      </w:r>
      <w:r>
        <w:rPr>
          <w:rFonts w:hint="eastAsia" w:ascii="仿宋" w:hAnsi="仿宋" w:eastAsia="仿宋" w:cs="仿宋"/>
          <w:kern w:val="2"/>
          <w:sz w:val="32"/>
          <w:szCs w:val="32"/>
        </w:rPr>
        <w:t>壤塘县南木达中心卫生院；</w:t>
      </w:r>
    </w:p>
    <w:p w14:paraId="49197B47">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13.</w:t>
      </w:r>
      <w:r>
        <w:rPr>
          <w:rFonts w:hint="eastAsia" w:ascii="仿宋" w:hAnsi="仿宋" w:eastAsia="仿宋" w:cs="仿宋"/>
          <w:kern w:val="2"/>
          <w:sz w:val="32"/>
          <w:szCs w:val="32"/>
        </w:rPr>
        <w:t>壤塘县尕多乡卫生院；</w:t>
      </w:r>
    </w:p>
    <w:p w14:paraId="719B3DF0">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14.</w:t>
      </w:r>
      <w:r>
        <w:rPr>
          <w:rFonts w:hint="eastAsia" w:ascii="仿宋" w:hAnsi="仿宋" w:eastAsia="仿宋" w:cs="仿宋"/>
          <w:kern w:val="2"/>
          <w:sz w:val="32"/>
          <w:szCs w:val="32"/>
        </w:rPr>
        <w:t>壤塘县茸木达乡卫生院；</w:t>
      </w:r>
    </w:p>
    <w:p w14:paraId="6BA416A6">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15.</w:t>
      </w:r>
      <w:r>
        <w:rPr>
          <w:rFonts w:hint="eastAsia" w:ascii="仿宋" w:hAnsi="仿宋" w:eastAsia="仿宋" w:cs="仿宋"/>
          <w:kern w:val="2"/>
          <w:sz w:val="32"/>
          <w:szCs w:val="32"/>
        </w:rPr>
        <w:t>壤塘县中壤塘镇卫生院；</w:t>
      </w:r>
    </w:p>
    <w:p w14:paraId="1105BEE4">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16.</w:t>
      </w:r>
      <w:r>
        <w:rPr>
          <w:rFonts w:hint="eastAsia" w:ascii="仿宋" w:hAnsi="仿宋" w:eastAsia="仿宋" w:cs="仿宋"/>
          <w:kern w:val="2"/>
          <w:sz w:val="32"/>
          <w:szCs w:val="32"/>
        </w:rPr>
        <w:t>壤塘县上壤塘乡卫生院；</w:t>
      </w:r>
    </w:p>
    <w:p w14:paraId="2478E98D">
      <w:pPr>
        <w:pStyle w:val="81"/>
        <w:widowControl w:val="0"/>
        <w:adjustRightInd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Times New Roman"/>
          <w:kern w:val="2"/>
          <w:sz w:val="32"/>
          <w:szCs w:val="32"/>
        </w:rPr>
        <w:t>17.</w:t>
      </w:r>
      <w:r>
        <w:rPr>
          <w:rFonts w:hint="eastAsia" w:ascii="仿宋" w:hAnsi="仿宋" w:eastAsia="仿宋" w:cs="仿宋"/>
          <w:kern w:val="2"/>
          <w:sz w:val="32"/>
          <w:szCs w:val="32"/>
        </w:rPr>
        <w:t>壤塘县岗木达镇社区卫生服务中心。</w:t>
      </w:r>
    </w:p>
    <w:p w14:paraId="4DA48CF4">
      <w:pPr>
        <w:widowControl w:val="0"/>
        <w:spacing w:line="600" w:lineRule="exact"/>
        <w:ind w:firstLine="640" w:firstLineChars="200"/>
        <w:jc w:val="both"/>
        <w:rPr>
          <w:rFonts w:hint="eastAsia" w:ascii="仿宋" w:hAnsi="仿宋" w:eastAsia="仿宋" w:cs="Times New Roman"/>
          <w:sz w:val="32"/>
          <w:szCs w:val="32"/>
          <w:lang w:bidi="ar"/>
        </w:rPr>
      </w:pPr>
    </w:p>
    <w:p w14:paraId="716C5837">
      <w:pPr>
        <w:widowControl w:val="0"/>
        <w:spacing w:line="600" w:lineRule="exact"/>
        <w:ind w:firstLine="640" w:firstLineChars="200"/>
        <w:jc w:val="both"/>
        <w:rPr>
          <w:rFonts w:hint="eastAsia" w:ascii="仿宋" w:hAnsi="仿宋" w:eastAsia="仿宋" w:cs="Times New Roman"/>
          <w:sz w:val="32"/>
          <w:szCs w:val="32"/>
          <w:lang w:bidi="ar"/>
        </w:rPr>
      </w:pPr>
    </w:p>
    <w:p w14:paraId="4BCC1D9D">
      <w:pPr>
        <w:widowControl w:val="0"/>
        <w:spacing w:line="600" w:lineRule="exact"/>
        <w:ind w:firstLine="640" w:firstLineChars="200"/>
        <w:jc w:val="both"/>
        <w:rPr>
          <w:rFonts w:hint="eastAsia" w:ascii="仿宋" w:hAnsi="仿宋" w:eastAsia="仿宋" w:cs="Times New Roman"/>
          <w:sz w:val="32"/>
          <w:szCs w:val="32"/>
          <w:lang w:bidi="ar"/>
        </w:rPr>
      </w:pPr>
    </w:p>
    <w:p w14:paraId="330F420B">
      <w:pPr>
        <w:widowControl w:val="0"/>
        <w:spacing w:line="600" w:lineRule="exact"/>
        <w:ind w:firstLine="640" w:firstLineChars="200"/>
        <w:jc w:val="both"/>
        <w:rPr>
          <w:rFonts w:hint="eastAsia" w:ascii="仿宋" w:hAnsi="仿宋" w:eastAsia="仿宋" w:cs="Times New Roman"/>
          <w:sz w:val="32"/>
          <w:szCs w:val="32"/>
          <w:lang w:bidi="ar"/>
        </w:rPr>
      </w:pPr>
    </w:p>
    <w:p w14:paraId="2C98B417">
      <w:pPr>
        <w:widowControl w:val="0"/>
        <w:spacing w:line="600" w:lineRule="exact"/>
        <w:ind w:firstLine="640" w:firstLineChars="200"/>
        <w:jc w:val="both"/>
        <w:rPr>
          <w:rFonts w:hint="eastAsia" w:ascii="仿宋" w:hAnsi="仿宋" w:eastAsia="仿宋" w:cs="Times New Roman"/>
          <w:sz w:val="32"/>
          <w:szCs w:val="32"/>
          <w:lang w:bidi="ar"/>
        </w:rPr>
      </w:pPr>
    </w:p>
    <w:p w14:paraId="67EEC163">
      <w:pPr>
        <w:widowControl w:val="0"/>
        <w:spacing w:line="600" w:lineRule="exact"/>
        <w:ind w:firstLine="640" w:firstLineChars="200"/>
        <w:jc w:val="both"/>
        <w:rPr>
          <w:rFonts w:hint="eastAsia" w:ascii="仿宋" w:hAnsi="仿宋" w:eastAsia="仿宋" w:cs="Times New Roman"/>
          <w:sz w:val="32"/>
          <w:szCs w:val="32"/>
          <w:lang w:bidi="ar"/>
        </w:rPr>
      </w:pPr>
    </w:p>
    <w:p w14:paraId="691C00DF">
      <w:pPr>
        <w:widowControl w:val="0"/>
        <w:spacing w:line="600" w:lineRule="exact"/>
        <w:ind w:firstLine="640" w:firstLineChars="200"/>
        <w:jc w:val="both"/>
        <w:rPr>
          <w:rFonts w:hint="eastAsia" w:ascii="仿宋" w:hAnsi="仿宋" w:eastAsia="仿宋"/>
          <w:sz w:val="32"/>
        </w:rPr>
        <w:sectPr>
          <w:pgSz w:w="11906" w:h="16838"/>
          <w:pgMar w:top="1440" w:right="1797" w:bottom="1440" w:left="1797" w:header="720" w:footer="720" w:gutter="0"/>
          <w:cols w:space="425" w:num="1"/>
          <w:docGrid w:type="lines" w:linePitch="312" w:charSpace="0"/>
        </w:sectPr>
      </w:pPr>
    </w:p>
    <w:p w14:paraId="2FEAE4AB">
      <w:pPr>
        <w:widowControl w:val="0"/>
        <w:spacing w:line="600" w:lineRule="exact"/>
        <w:ind w:firstLine="640" w:firstLineChars="200"/>
        <w:jc w:val="both"/>
        <w:rPr>
          <w:rFonts w:hint="eastAsia" w:ascii="仿宋" w:hAnsi="仿宋" w:eastAsia="仿宋"/>
          <w:sz w:val="32"/>
        </w:rPr>
      </w:pPr>
    </w:p>
    <w:p w14:paraId="61533EAC">
      <w:pPr>
        <w:pStyle w:val="3"/>
        <w:widowControl w:val="0"/>
        <w:spacing w:before="340" w:beforeAutospacing="0" w:after="330" w:afterAutospacing="0" w:line="578" w:lineRule="auto"/>
        <w:jc w:val="center"/>
        <w:rPr>
          <w:rFonts w:ascii="黑体" w:hAnsi="黑体" w:eastAsia="黑体"/>
          <w:b w:val="0"/>
          <w:bCs/>
          <w:sz w:val="44"/>
          <w:szCs w:val="32"/>
        </w:rPr>
      </w:pPr>
      <w:bookmarkStart w:id="28" w:name="_Toc236170666"/>
      <w:r>
        <w:rPr>
          <w:rFonts w:ascii="黑体" w:hAnsi="黑体" w:eastAsia="黑体"/>
          <w:b w:val="0"/>
          <w:bCs/>
          <w:sz w:val="44"/>
          <w:szCs w:val="32"/>
        </w:rPr>
        <w:t>第二部分 2023年度部门决算情况说明</w:t>
      </w:r>
      <w:bookmarkEnd w:id="28"/>
    </w:p>
    <w:p w14:paraId="5198426C">
      <w:pPr>
        <w:widowControl w:val="0"/>
        <w:spacing w:line="600" w:lineRule="exact"/>
        <w:ind w:firstLine="640" w:firstLineChars="200"/>
        <w:jc w:val="both"/>
        <w:rPr>
          <w:rFonts w:hint="eastAsia" w:ascii="仿宋" w:hAnsi="仿宋" w:eastAsia="仿宋"/>
          <w:sz w:val="32"/>
        </w:rPr>
      </w:pPr>
    </w:p>
    <w:p w14:paraId="5938FF53">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29" w:name="_Toc22920"/>
      <w:bookmarkEnd w:id="29"/>
      <w:bookmarkStart w:id="30" w:name="_Toc236170667"/>
      <w:r>
        <w:rPr>
          <w:rFonts w:ascii="黑体" w:hAnsi="黑体" w:eastAsia="黑体"/>
          <w:b w:val="0"/>
          <w:bCs/>
          <w:sz w:val="32"/>
          <w:szCs w:val="32"/>
        </w:rPr>
        <w:t>一、</w:t>
      </w:r>
      <w:bookmarkStart w:id="31" w:name="_Toc15377205"/>
      <w:bookmarkEnd w:id="31"/>
      <w:bookmarkStart w:id="32" w:name="_Toc15396603"/>
      <w:r>
        <w:rPr>
          <w:rFonts w:ascii="黑体" w:hAnsi="黑体" w:eastAsia="黑体"/>
          <w:b w:val="0"/>
          <w:bCs/>
          <w:sz w:val="32"/>
          <w:szCs w:val="32"/>
        </w:rPr>
        <w:t>收</w:t>
      </w:r>
      <w:bookmarkEnd w:id="32"/>
      <w:r>
        <w:rPr>
          <w:rFonts w:ascii="黑体" w:hAnsi="黑体" w:eastAsia="黑体"/>
          <w:b w:val="0"/>
          <w:bCs/>
          <w:sz w:val="32"/>
          <w:szCs w:val="32"/>
        </w:rPr>
        <w:t>入支出决算总体情况说明</w:t>
      </w:r>
      <w:bookmarkEnd w:id="30"/>
    </w:p>
    <w:p w14:paraId="7AA8080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年度收入</w:t>
      </w:r>
      <w:r>
        <w:rPr>
          <w:rFonts w:hint="eastAsia" w:ascii="仿宋" w:hAnsi="仿宋" w:eastAsia="仿宋" w:cs="Times New Roman"/>
          <w:sz w:val="32"/>
          <w:szCs w:val="32"/>
          <w:lang w:bidi="ar"/>
        </w:rPr>
        <w:t>1387.73万元，与2022年相比，收入减少825.41万元，下降37.29%；</w:t>
      </w:r>
      <w:r>
        <w:rPr>
          <w:rFonts w:hint="eastAsia" w:ascii="仿宋" w:hAnsi="仿宋" w:eastAsia="仿宋" w:cs="仿宋"/>
          <w:sz w:val="32"/>
          <w:szCs w:val="32"/>
          <w:lang w:bidi="ar"/>
        </w:rPr>
        <w:t>支出总计</w:t>
      </w:r>
      <w:r>
        <w:rPr>
          <w:rFonts w:hint="eastAsia" w:ascii="仿宋" w:hAnsi="仿宋" w:eastAsia="仿宋" w:cs="Times New Roman"/>
          <w:sz w:val="32"/>
          <w:szCs w:val="32"/>
          <w:lang w:bidi="ar"/>
        </w:rPr>
        <w:t>1645.11</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2022</w:t>
      </w:r>
      <w:r>
        <w:rPr>
          <w:rFonts w:hint="eastAsia" w:ascii="仿宋" w:hAnsi="仿宋" w:eastAsia="仿宋" w:cs="仿宋"/>
          <w:sz w:val="32"/>
          <w:szCs w:val="32"/>
          <w:lang w:bidi="ar"/>
        </w:rPr>
        <w:t>年相比，支出总计减少</w:t>
      </w:r>
      <w:r>
        <w:rPr>
          <w:rFonts w:hint="eastAsia" w:ascii="仿宋" w:hAnsi="仿宋" w:eastAsia="仿宋" w:cs="Times New Roman"/>
          <w:sz w:val="32"/>
          <w:szCs w:val="32"/>
          <w:lang w:bidi="ar"/>
        </w:rPr>
        <w:t>1077.75</w:t>
      </w:r>
      <w:r>
        <w:rPr>
          <w:rFonts w:hint="eastAsia" w:ascii="仿宋" w:hAnsi="仿宋" w:eastAsia="仿宋" w:cs="仿宋"/>
          <w:sz w:val="32"/>
          <w:szCs w:val="32"/>
          <w:lang w:bidi="ar"/>
        </w:rPr>
        <w:t>万元，下降</w:t>
      </w:r>
      <w:r>
        <w:rPr>
          <w:rFonts w:hint="eastAsia" w:ascii="仿宋" w:hAnsi="仿宋" w:eastAsia="仿宋" w:cs="Times New Roman"/>
          <w:sz w:val="32"/>
          <w:szCs w:val="32"/>
          <w:lang w:bidi="ar"/>
        </w:rPr>
        <w:t>39.58%</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财政拨款收入减少。卫生健康支出减少</w:t>
      </w:r>
      <w:r>
        <w:rPr>
          <w:rFonts w:hint="eastAsia" w:ascii="仿宋" w:hAnsi="仿宋" w:eastAsia="仿宋" w:cs="Times New Roman"/>
          <w:sz w:val="32"/>
          <w:szCs w:val="32"/>
          <w:lang w:bidi="ar"/>
        </w:rPr>
        <w:t>444.39万元 ，其他相应支出也随之减少。</w:t>
      </w:r>
    </w:p>
    <w:p w14:paraId="509545A1">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4657725" cy="2828925"/>
            <wp:effectExtent l="0" t="0" r="9525" b="9525"/>
            <wp:docPr id="31"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6" descr="IMG_256"/>
                    <pic:cNvPicPr>
                      <a:picLocks noChangeAspect="1"/>
                    </pic:cNvPicPr>
                  </pic:nvPicPr>
                  <pic:blipFill>
                    <a:blip r:embed="rId9"/>
                    <a:stretch>
                      <a:fillRect/>
                    </a:stretch>
                  </pic:blipFill>
                  <pic:spPr>
                    <a:xfrm>
                      <a:off x="0" y="0"/>
                      <a:ext cx="4657725" cy="2828925"/>
                    </a:xfrm>
                    <a:prstGeom prst="rect">
                      <a:avLst/>
                    </a:prstGeom>
                    <a:noFill/>
                    <a:ln w="9525">
                      <a:noFill/>
                    </a:ln>
                  </pic:spPr>
                </pic:pic>
              </a:graphicData>
            </a:graphic>
          </wp:inline>
        </w:drawing>
      </w:r>
    </w:p>
    <w:p w14:paraId="099D1A2B">
      <w:pPr>
        <w:widowControl w:val="0"/>
        <w:spacing w:line="600" w:lineRule="exact"/>
        <w:ind w:firstLine="640" w:firstLineChars="200"/>
        <w:jc w:val="both"/>
        <w:rPr>
          <w:rFonts w:hint="eastAsia" w:ascii="仿宋" w:hAnsi="仿宋" w:eastAsia="仿宋"/>
          <w:sz w:val="32"/>
        </w:rPr>
      </w:pPr>
    </w:p>
    <w:p w14:paraId="6B018D94">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3" w:name="_Toc16333"/>
      <w:bookmarkEnd w:id="33"/>
      <w:bookmarkStart w:id="34" w:name="_Toc236170668"/>
      <w:r>
        <w:rPr>
          <w:rFonts w:ascii="黑体" w:hAnsi="黑体" w:eastAsia="黑体"/>
          <w:b w:val="0"/>
          <w:bCs/>
          <w:sz w:val="32"/>
          <w:szCs w:val="32"/>
        </w:rPr>
        <w:t>二、</w:t>
      </w:r>
      <w:bookmarkStart w:id="35" w:name="_Toc15377206"/>
      <w:bookmarkEnd w:id="35"/>
      <w:bookmarkStart w:id="36" w:name="_Toc15396604"/>
      <w:r>
        <w:rPr>
          <w:rFonts w:ascii="黑体" w:hAnsi="黑体" w:eastAsia="黑体"/>
          <w:b w:val="0"/>
          <w:bCs/>
          <w:sz w:val="32"/>
          <w:szCs w:val="32"/>
        </w:rPr>
        <w:t>收</w:t>
      </w:r>
      <w:bookmarkEnd w:id="36"/>
      <w:r>
        <w:rPr>
          <w:rFonts w:ascii="黑体" w:hAnsi="黑体" w:eastAsia="黑体"/>
          <w:b w:val="0"/>
          <w:bCs/>
          <w:sz w:val="32"/>
          <w:szCs w:val="32"/>
        </w:rPr>
        <w:t>入决算情况说明</w:t>
      </w:r>
      <w:bookmarkEnd w:id="34"/>
    </w:p>
    <w:p w14:paraId="35A15C2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年度本年收入合计1387.73万元，其中：一般公共预算财政拨款收入1387.73万元，占100%；政府性基金预算财政拨款收入0万元，占0%；国有资本经营预算财政拨款收入0万元，占0%；上级补助收入0万元，占0%；事业收入0万元，占0%；经营收入0万元，占0%；附属单位上缴收入0万元，占0%；其他收入0万元，占0%。</w:t>
      </w:r>
    </w:p>
    <w:p w14:paraId="0A5A1C78">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5276850" cy="2914650"/>
            <wp:effectExtent l="0" t="0" r="0" b="0"/>
            <wp:docPr id="30" name="图片 2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descr="IMG_257"/>
                    <pic:cNvPicPr>
                      <a:picLocks noChangeAspect="1"/>
                    </pic:cNvPicPr>
                  </pic:nvPicPr>
                  <pic:blipFill>
                    <a:blip r:embed="rId10"/>
                    <a:stretch>
                      <a:fillRect/>
                    </a:stretch>
                  </pic:blipFill>
                  <pic:spPr>
                    <a:xfrm>
                      <a:off x="0" y="0"/>
                      <a:ext cx="5276850" cy="2914650"/>
                    </a:xfrm>
                    <a:prstGeom prst="rect">
                      <a:avLst/>
                    </a:prstGeom>
                    <a:noFill/>
                    <a:ln w="9525">
                      <a:noFill/>
                    </a:ln>
                  </pic:spPr>
                </pic:pic>
              </a:graphicData>
            </a:graphic>
          </wp:inline>
        </w:drawing>
      </w:r>
    </w:p>
    <w:p w14:paraId="3E02CD35">
      <w:pPr>
        <w:widowControl w:val="0"/>
        <w:spacing w:line="600" w:lineRule="exact"/>
        <w:ind w:firstLine="640" w:firstLineChars="200"/>
        <w:jc w:val="both"/>
        <w:rPr>
          <w:rFonts w:hint="eastAsia" w:ascii="仿宋" w:hAnsi="仿宋" w:eastAsia="仿宋"/>
          <w:sz w:val="32"/>
        </w:rPr>
      </w:pPr>
    </w:p>
    <w:p w14:paraId="0C874B24">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37" w:name="_Toc15377207"/>
      <w:bookmarkEnd w:id="37"/>
      <w:bookmarkStart w:id="38" w:name="_Toc236170669"/>
      <w:r>
        <w:rPr>
          <w:rFonts w:ascii="黑体" w:hAnsi="黑体" w:eastAsia="黑体"/>
          <w:b w:val="0"/>
          <w:bCs/>
          <w:sz w:val="32"/>
          <w:szCs w:val="32"/>
        </w:rPr>
        <w:t>三、</w:t>
      </w:r>
      <w:bookmarkStart w:id="39" w:name="_Toc7267"/>
      <w:bookmarkEnd w:id="39"/>
      <w:bookmarkStart w:id="40" w:name="_Toc15396605"/>
      <w:r>
        <w:rPr>
          <w:rFonts w:ascii="黑体" w:hAnsi="黑体" w:eastAsia="黑体"/>
          <w:b w:val="0"/>
          <w:bCs/>
          <w:sz w:val="32"/>
          <w:szCs w:val="32"/>
        </w:rPr>
        <w:t>支</w:t>
      </w:r>
      <w:bookmarkEnd w:id="40"/>
      <w:r>
        <w:rPr>
          <w:rFonts w:ascii="黑体" w:hAnsi="黑体" w:eastAsia="黑体"/>
          <w:b w:val="0"/>
          <w:bCs/>
          <w:sz w:val="32"/>
          <w:szCs w:val="32"/>
        </w:rPr>
        <w:t>出决算情况说明</w:t>
      </w:r>
      <w:bookmarkEnd w:id="38"/>
    </w:p>
    <w:p w14:paraId="3D5A523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2023年度本年支出合计1645.11万元，其中：基本支出471.02万元，占28.63%；项目支出1174.08万元，占71.37%；上缴上级支出0万元，占0%；经营支出0万元，占0%；对附属单位补助支出0万元，占0%。</w:t>
      </w:r>
    </w:p>
    <w:p w14:paraId="4D119D70">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5133975" cy="3133725"/>
            <wp:effectExtent l="0" t="0" r="9525" b="9525"/>
            <wp:docPr id="29" name="图片 2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IMG_258"/>
                    <pic:cNvPicPr>
                      <a:picLocks noChangeAspect="1"/>
                    </pic:cNvPicPr>
                  </pic:nvPicPr>
                  <pic:blipFill>
                    <a:blip r:embed="rId11"/>
                    <a:stretch>
                      <a:fillRect/>
                    </a:stretch>
                  </pic:blipFill>
                  <pic:spPr>
                    <a:xfrm>
                      <a:off x="0" y="0"/>
                      <a:ext cx="5133975" cy="3133725"/>
                    </a:xfrm>
                    <a:prstGeom prst="rect">
                      <a:avLst/>
                    </a:prstGeom>
                    <a:noFill/>
                    <a:ln w="9525">
                      <a:noFill/>
                    </a:ln>
                  </pic:spPr>
                </pic:pic>
              </a:graphicData>
            </a:graphic>
          </wp:inline>
        </w:drawing>
      </w:r>
    </w:p>
    <w:p w14:paraId="0537A2FB">
      <w:pPr>
        <w:widowControl w:val="0"/>
        <w:spacing w:line="600" w:lineRule="exact"/>
        <w:ind w:firstLine="640" w:firstLineChars="200"/>
        <w:jc w:val="both"/>
        <w:rPr>
          <w:rFonts w:hint="eastAsia" w:ascii="仿宋" w:hAnsi="仿宋" w:eastAsia="仿宋"/>
          <w:sz w:val="32"/>
        </w:rPr>
      </w:pPr>
    </w:p>
    <w:p w14:paraId="4274306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1" w:name="_Toc15377208"/>
      <w:bookmarkEnd w:id="41"/>
      <w:bookmarkStart w:id="42" w:name="_Toc31457"/>
      <w:bookmarkEnd w:id="42"/>
      <w:bookmarkStart w:id="43" w:name="_Toc15396606"/>
      <w:bookmarkStart w:id="44" w:name="_Toc236170670"/>
      <w:r>
        <w:rPr>
          <w:rFonts w:ascii="黑体" w:hAnsi="黑体" w:eastAsia="黑体"/>
          <w:b w:val="0"/>
          <w:bCs/>
          <w:sz w:val="32"/>
          <w:szCs w:val="32"/>
        </w:rPr>
        <w:t>四、财</w:t>
      </w:r>
      <w:bookmarkEnd w:id="43"/>
      <w:r>
        <w:rPr>
          <w:rFonts w:ascii="黑体" w:hAnsi="黑体" w:eastAsia="黑体"/>
          <w:b w:val="0"/>
          <w:bCs/>
          <w:sz w:val="32"/>
          <w:szCs w:val="32"/>
        </w:rPr>
        <w:t>政拨款收入支出决算总体情况说明</w:t>
      </w:r>
      <w:bookmarkEnd w:id="44"/>
    </w:p>
    <w:p w14:paraId="7E72BD1B">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年度收入</w:t>
      </w:r>
      <w:r>
        <w:rPr>
          <w:rFonts w:hint="eastAsia" w:ascii="仿宋" w:hAnsi="仿宋" w:eastAsia="仿宋" w:cs="Times New Roman"/>
          <w:sz w:val="32"/>
          <w:szCs w:val="32"/>
          <w:lang w:bidi="ar"/>
        </w:rPr>
        <w:t>1387.73万元，与2022年相比，收入下降825.41万元，下降37.29%，主要变动</w:t>
      </w:r>
      <w:r>
        <w:rPr>
          <w:rFonts w:hint="eastAsia" w:ascii="仿宋" w:hAnsi="仿宋" w:eastAsia="仿宋" w:cs="Times New Roman"/>
          <w:sz w:val="32"/>
          <w:szCs w:val="32"/>
          <w:lang w:eastAsia="zh-CN" w:bidi="ar"/>
        </w:rPr>
        <w:t>原因</w:t>
      </w:r>
      <w:r>
        <w:rPr>
          <w:rFonts w:hint="eastAsia" w:ascii="仿宋" w:hAnsi="仿宋" w:eastAsia="仿宋" w:cs="Times New Roman"/>
          <w:sz w:val="32"/>
          <w:szCs w:val="32"/>
          <w:lang w:bidi="ar"/>
        </w:rPr>
        <w:t>2023年一般公共预算拨款减少；</w:t>
      </w:r>
      <w:r>
        <w:rPr>
          <w:rFonts w:hint="eastAsia" w:ascii="仿宋" w:hAnsi="仿宋" w:eastAsia="仿宋" w:cs="仿宋"/>
          <w:sz w:val="32"/>
          <w:szCs w:val="32"/>
          <w:lang w:bidi="ar"/>
        </w:rPr>
        <w:t>支出总计</w:t>
      </w:r>
      <w:r>
        <w:rPr>
          <w:rFonts w:hint="eastAsia" w:ascii="仿宋" w:hAnsi="仿宋" w:eastAsia="仿宋" w:cs="Times New Roman"/>
          <w:sz w:val="32"/>
          <w:szCs w:val="32"/>
          <w:lang w:bidi="ar"/>
        </w:rPr>
        <w:t>1645.11</w:t>
      </w:r>
      <w:r>
        <w:rPr>
          <w:rFonts w:hint="eastAsia" w:ascii="仿宋" w:hAnsi="仿宋" w:eastAsia="仿宋" w:cs="仿宋"/>
          <w:sz w:val="32"/>
          <w:szCs w:val="32"/>
          <w:lang w:bidi="ar"/>
        </w:rPr>
        <w:t>万元。与</w:t>
      </w:r>
      <w:r>
        <w:rPr>
          <w:rFonts w:hint="eastAsia" w:ascii="仿宋" w:hAnsi="仿宋" w:eastAsia="仿宋" w:cs="Times New Roman"/>
          <w:sz w:val="32"/>
          <w:szCs w:val="32"/>
          <w:lang w:bidi="ar"/>
        </w:rPr>
        <w:t>2022</w:t>
      </w:r>
      <w:r>
        <w:rPr>
          <w:rFonts w:hint="eastAsia" w:ascii="仿宋" w:hAnsi="仿宋" w:eastAsia="仿宋" w:cs="仿宋"/>
          <w:sz w:val="32"/>
          <w:szCs w:val="32"/>
          <w:lang w:bidi="ar"/>
        </w:rPr>
        <w:t>年相比，支出总计减少</w:t>
      </w:r>
      <w:r>
        <w:rPr>
          <w:rFonts w:hint="eastAsia" w:ascii="仿宋" w:hAnsi="仿宋" w:eastAsia="仿宋" w:cs="Times New Roman"/>
          <w:sz w:val="32"/>
          <w:szCs w:val="32"/>
          <w:lang w:bidi="ar"/>
        </w:rPr>
        <w:t>1077.75</w:t>
      </w:r>
      <w:r>
        <w:rPr>
          <w:rFonts w:hint="eastAsia" w:ascii="仿宋" w:hAnsi="仿宋" w:eastAsia="仿宋" w:cs="仿宋"/>
          <w:sz w:val="32"/>
          <w:szCs w:val="32"/>
          <w:lang w:bidi="ar"/>
        </w:rPr>
        <w:t>万元，下降</w:t>
      </w:r>
      <w:r>
        <w:rPr>
          <w:rFonts w:hint="eastAsia" w:ascii="仿宋" w:hAnsi="仿宋" w:eastAsia="仿宋" w:cs="Times New Roman"/>
          <w:sz w:val="32"/>
          <w:szCs w:val="32"/>
          <w:lang w:bidi="ar"/>
        </w:rPr>
        <w:t>39.58%</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项目支出减少。</w:t>
      </w:r>
    </w:p>
    <w:p w14:paraId="12CDAA26">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4924425" cy="2800350"/>
            <wp:effectExtent l="0" t="0" r="9525" b="0"/>
            <wp:docPr id="28" name="图片 2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9" descr="IMG_259"/>
                    <pic:cNvPicPr>
                      <a:picLocks noChangeAspect="1"/>
                    </pic:cNvPicPr>
                  </pic:nvPicPr>
                  <pic:blipFill>
                    <a:blip r:embed="rId12"/>
                    <a:stretch>
                      <a:fillRect/>
                    </a:stretch>
                  </pic:blipFill>
                  <pic:spPr>
                    <a:xfrm>
                      <a:off x="0" y="0"/>
                      <a:ext cx="4924425" cy="2800350"/>
                    </a:xfrm>
                    <a:prstGeom prst="rect">
                      <a:avLst/>
                    </a:prstGeom>
                    <a:noFill/>
                    <a:ln w="9525">
                      <a:noFill/>
                    </a:ln>
                  </pic:spPr>
                </pic:pic>
              </a:graphicData>
            </a:graphic>
          </wp:inline>
        </w:drawing>
      </w:r>
    </w:p>
    <w:p w14:paraId="770538A9">
      <w:pPr>
        <w:widowControl w:val="0"/>
        <w:spacing w:line="600" w:lineRule="exact"/>
        <w:ind w:firstLine="640" w:firstLineChars="200"/>
        <w:jc w:val="both"/>
        <w:rPr>
          <w:rFonts w:hint="eastAsia" w:ascii="仿宋" w:hAnsi="仿宋" w:eastAsia="仿宋"/>
          <w:sz w:val="32"/>
        </w:rPr>
      </w:pPr>
    </w:p>
    <w:p w14:paraId="1E5BA8D4">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45" w:name="_Toc15396607"/>
      <w:bookmarkEnd w:id="45"/>
      <w:bookmarkStart w:id="46" w:name="_Toc23386"/>
      <w:bookmarkEnd w:id="46"/>
      <w:bookmarkStart w:id="47" w:name="_Toc15377209"/>
      <w:bookmarkStart w:id="48" w:name="_Toc236170671"/>
      <w:r>
        <w:rPr>
          <w:rFonts w:ascii="黑体" w:hAnsi="黑体" w:eastAsia="黑体"/>
          <w:b w:val="0"/>
          <w:bCs/>
          <w:sz w:val="32"/>
          <w:szCs w:val="32"/>
        </w:rPr>
        <w:t>五、</w:t>
      </w:r>
      <w:bookmarkEnd w:id="47"/>
      <w:r>
        <w:rPr>
          <w:rFonts w:ascii="黑体" w:hAnsi="黑体" w:eastAsia="黑体"/>
          <w:b w:val="0"/>
          <w:bCs/>
          <w:sz w:val="32"/>
          <w:szCs w:val="32"/>
        </w:rPr>
        <w:t>一般公共预算财政拨款支出决算情况说明</w:t>
      </w:r>
      <w:bookmarkEnd w:id="48"/>
    </w:p>
    <w:p w14:paraId="3D688330">
      <w:pPr>
        <w:widowControl w:val="0"/>
        <w:spacing w:line="600" w:lineRule="exact"/>
        <w:ind w:firstLine="643" w:firstLineChars="200"/>
        <w:jc w:val="both"/>
        <w:outlineLvl w:val="2"/>
        <w:rPr>
          <w:rFonts w:hint="eastAsia" w:ascii="仿宋" w:hAnsi="仿宋" w:eastAsia="仿宋" w:cs="仿宋"/>
          <w:b/>
          <w:sz w:val="32"/>
          <w:szCs w:val="32"/>
          <w:lang w:bidi="ar"/>
        </w:rPr>
      </w:pPr>
      <w:bookmarkStart w:id="49" w:name="_Toc31745"/>
      <w:bookmarkEnd w:id="49"/>
      <w:bookmarkStart w:id="50" w:name="_Toc15377210"/>
      <w:r>
        <w:rPr>
          <w:rFonts w:hint="eastAsia" w:ascii="仿宋" w:hAnsi="仿宋" w:eastAsia="仿宋" w:cs="仿宋"/>
          <w:b/>
          <w:sz w:val="32"/>
          <w:szCs w:val="32"/>
          <w:lang w:bidi="ar"/>
        </w:rPr>
        <w:t>（一）一般公共预算财政拨款支出决算总体情况</w:t>
      </w:r>
      <w:bookmarkEnd w:id="50"/>
    </w:p>
    <w:p w14:paraId="6D7DAEC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年度一般公共预算财政拨款支出</w:t>
      </w:r>
      <w:r>
        <w:rPr>
          <w:rFonts w:hint="eastAsia" w:ascii="仿宋" w:hAnsi="仿宋" w:eastAsia="仿宋" w:cs="Times New Roman"/>
          <w:sz w:val="32"/>
          <w:szCs w:val="32"/>
          <w:lang w:bidi="ar"/>
        </w:rPr>
        <w:t>1645.11</w:t>
      </w:r>
      <w:r>
        <w:rPr>
          <w:rFonts w:hint="eastAsia" w:ascii="仿宋" w:hAnsi="仿宋" w:eastAsia="仿宋" w:cs="仿宋"/>
          <w:sz w:val="32"/>
          <w:szCs w:val="32"/>
          <w:lang w:bidi="ar"/>
        </w:rPr>
        <w:t>万元，占本年支出合计的</w:t>
      </w:r>
      <w:r>
        <w:rPr>
          <w:rFonts w:hint="eastAsia" w:ascii="仿宋" w:hAnsi="仿宋" w:eastAsia="仿宋" w:cs="Times New Roman"/>
          <w:sz w:val="32"/>
          <w:szCs w:val="32"/>
          <w:lang w:bidi="ar"/>
        </w:rPr>
        <w:t>100%</w:t>
      </w:r>
      <w:r>
        <w:rPr>
          <w:rFonts w:hint="eastAsia" w:ascii="仿宋" w:hAnsi="仿宋" w:eastAsia="仿宋" w:cs="仿宋"/>
          <w:sz w:val="32"/>
          <w:szCs w:val="32"/>
          <w:lang w:bidi="ar"/>
        </w:rPr>
        <w:t>。与</w:t>
      </w:r>
      <w:r>
        <w:rPr>
          <w:rFonts w:hint="eastAsia" w:ascii="仿宋" w:hAnsi="仿宋" w:eastAsia="仿宋" w:cs="Times New Roman"/>
          <w:sz w:val="32"/>
          <w:szCs w:val="32"/>
          <w:lang w:bidi="ar"/>
        </w:rPr>
        <w:t>2022</w:t>
      </w:r>
      <w:r>
        <w:rPr>
          <w:rFonts w:hint="eastAsia" w:ascii="仿宋" w:hAnsi="仿宋" w:eastAsia="仿宋" w:cs="仿宋"/>
          <w:sz w:val="32"/>
          <w:szCs w:val="32"/>
          <w:lang w:bidi="ar"/>
        </w:rPr>
        <w:t>年相比，一般公共预算财政拨款支出减少</w:t>
      </w:r>
      <w:r>
        <w:rPr>
          <w:rFonts w:hint="eastAsia" w:ascii="仿宋" w:hAnsi="仿宋" w:eastAsia="仿宋" w:cs="Times New Roman"/>
          <w:sz w:val="32"/>
          <w:szCs w:val="32"/>
          <w:lang w:bidi="ar"/>
        </w:rPr>
        <w:t>1077.57</w:t>
      </w:r>
      <w:r>
        <w:rPr>
          <w:rFonts w:hint="eastAsia" w:ascii="仿宋" w:hAnsi="仿宋" w:eastAsia="仿宋" w:cs="仿宋"/>
          <w:sz w:val="32"/>
          <w:szCs w:val="32"/>
          <w:lang w:bidi="ar"/>
        </w:rPr>
        <w:t>万元，下降</w:t>
      </w:r>
      <w:r>
        <w:rPr>
          <w:rFonts w:hint="eastAsia" w:ascii="仿宋" w:hAnsi="仿宋" w:eastAsia="仿宋" w:cs="Times New Roman"/>
          <w:sz w:val="32"/>
          <w:szCs w:val="32"/>
          <w:lang w:bidi="ar"/>
        </w:rPr>
        <w:t>39.57%</w:t>
      </w:r>
      <w:r>
        <w:rPr>
          <w:rFonts w:hint="eastAsia" w:ascii="仿宋" w:hAnsi="仿宋" w:eastAsia="仿宋" w:cs="仿宋"/>
          <w:sz w:val="32"/>
          <w:szCs w:val="32"/>
          <w:lang w:bidi="ar"/>
        </w:rPr>
        <w:t>。主要变动</w:t>
      </w:r>
      <w:r>
        <w:rPr>
          <w:rFonts w:hint="eastAsia" w:ascii="仿宋" w:hAnsi="仿宋" w:eastAsia="仿宋" w:cs="仿宋"/>
          <w:sz w:val="32"/>
          <w:szCs w:val="32"/>
          <w:lang w:eastAsia="zh-CN" w:bidi="ar"/>
        </w:rPr>
        <w:t>原因</w:t>
      </w:r>
      <w:r>
        <w:rPr>
          <w:rFonts w:hint="eastAsia" w:ascii="仿宋" w:hAnsi="仿宋" w:eastAsia="仿宋" w:cs="仿宋"/>
          <w:sz w:val="32"/>
          <w:szCs w:val="32"/>
          <w:lang w:bidi="ar"/>
        </w:rPr>
        <w:t>项目支出减少。</w:t>
      </w:r>
    </w:p>
    <w:p w14:paraId="09A759DF">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5219700" cy="3248025"/>
            <wp:effectExtent l="0" t="0" r="0" b="9525"/>
            <wp:docPr id="26" name="图片 3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0" descr="IMG_260"/>
                    <pic:cNvPicPr>
                      <a:picLocks noChangeAspect="1"/>
                    </pic:cNvPicPr>
                  </pic:nvPicPr>
                  <pic:blipFill>
                    <a:blip r:embed="rId13"/>
                    <a:stretch>
                      <a:fillRect/>
                    </a:stretch>
                  </pic:blipFill>
                  <pic:spPr>
                    <a:xfrm>
                      <a:off x="0" y="0"/>
                      <a:ext cx="5219700" cy="3248025"/>
                    </a:xfrm>
                    <a:prstGeom prst="rect">
                      <a:avLst/>
                    </a:prstGeom>
                    <a:noFill/>
                    <a:ln w="9525">
                      <a:noFill/>
                    </a:ln>
                  </pic:spPr>
                </pic:pic>
              </a:graphicData>
            </a:graphic>
          </wp:inline>
        </w:drawing>
      </w:r>
    </w:p>
    <w:p w14:paraId="742F756F">
      <w:pPr>
        <w:widowControl w:val="0"/>
        <w:spacing w:line="600" w:lineRule="exact"/>
        <w:ind w:firstLine="643" w:firstLineChars="200"/>
        <w:jc w:val="both"/>
        <w:outlineLvl w:val="2"/>
        <w:rPr>
          <w:rFonts w:hint="eastAsia" w:ascii="仿宋" w:hAnsi="仿宋" w:eastAsia="仿宋" w:cs="仿宋"/>
          <w:b/>
          <w:sz w:val="32"/>
          <w:szCs w:val="32"/>
          <w:lang w:bidi="ar"/>
        </w:rPr>
      </w:pPr>
      <w:bookmarkStart w:id="51" w:name="_Toc29190"/>
      <w:bookmarkEnd w:id="51"/>
      <w:bookmarkStart w:id="52" w:name="_Toc15377211"/>
      <w:r>
        <w:rPr>
          <w:rFonts w:hint="eastAsia" w:ascii="仿宋" w:hAnsi="仿宋" w:eastAsia="仿宋" w:cs="仿宋"/>
          <w:b/>
          <w:sz w:val="32"/>
          <w:szCs w:val="32"/>
          <w:lang w:bidi="ar"/>
        </w:rPr>
        <w:t>（二）一般公共预算财政拨款支出决算结构情况</w:t>
      </w:r>
      <w:bookmarkEnd w:id="52"/>
    </w:p>
    <w:p w14:paraId="5BB910B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年度一般公共预算财政拨款支出</w:t>
      </w:r>
      <w:r>
        <w:rPr>
          <w:rFonts w:hint="eastAsia" w:ascii="仿宋" w:hAnsi="仿宋" w:eastAsia="仿宋" w:cs="Times New Roman"/>
          <w:sz w:val="32"/>
          <w:szCs w:val="32"/>
          <w:lang w:bidi="ar"/>
        </w:rPr>
        <w:t>1645.11</w:t>
      </w:r>
      <w:r>
        <w:rPr>
          <w:rFonts w:hint="eastAsia" w:ascii="仿宋" w:hAnsi="仿宋" w:eastAsia="仿宋" w:cs="仿宋"/>
          <w:sz w:val="32"/>
          <w:szCs w:val="32"/>
          <w:lang w:bidi="ar"/>
        </w:rPr>
        <w:t>万元，主要用于以下方面</w:t>
      </w:r>
      <w:r>
        <w:rPr>
          <w:rFonts w:hint="eastAsia" w:ascii="仿宋" w:hAnsi="仿宋" w:eastAsia="仿宋" w:cs="Times New Roman"/>
          <w:sz w:val="32"/>
          <w:szCs w:val="32"/>
          <w:lang w:bidi="ar"/>
        </w:rPr>
        <w:t>:一般公共服务支出34.84</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2.11%；教育支出10.03</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0.6%；；社会保障和就业支出73.66</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4.4%；卫生健康支出1355.36</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82.38%</w:t>
      </w:r>
      <w:r>
        <w:rPr>
          <w:rFonts w:hint="eastAsia" w:ascii="仿宋" w:hAnsi="仿宋" w:eastAsia="仿宋" w:cs="仿宋"/>
          <w:sz w:val="32"/>
          <w:szCs w:val="32"/>
          <w:lang w:bidi="ar"/>
        </w:rPr>
        <w:t>；住房保障支出</w:t>
      </w:r>
      <w:r>
        <w:rPr>
          <w:rFonts w:hint="eastAsia" w:ascii="仿宋" w:hAnsi="仿宋" w:eastAsia="仿宋" w:cs="Times New Roman"/>
          <w:sz w:val="32"/>
          <w:szCs w:val="32"/>
          <w:lang w:bidi="ar"/>
        </w:rPr>
        <w:t>26.98</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1.6%；</w:t>
      </w:r>
      <w:r>
        <w:rPr>
          <w:rFonts w:hint="eastAsia" w:ascii="仿宋" w:hAnsi="仿宋" w:eastAsia="仿宋" w:cs="仿宋"/>
          <w:sz w:val="32"/>
          <w:szCs w:val="32"/>
          <w:lang w:bidi="ar"/>
        </w:rPr>
        <w:t>节能环保支出支出</w:t>
      </w:r>
      <w:r>
        <w:rPr>
          <w:rFonts w:hint="eastAsia" w:ascii="仿宋" w:hAnsi="仿宋" w:eastAsia="仿宋" w:cs="Times New Roman"/>
          <w:sz w:val="32"/>
          <w:szCs w:val="32"/>
          <w:lang w:bidi="ar"/>
        </w:rPr>
        <w:t>144.24</w:t>
      </w:r>
      <w:r>
        <w:rPr>
          <w:rFonts w:hint="eastAsia" w:ascii="仿宋" w:hAnsi="仿宋" w:eastAsia="仿宋" w:cs="仿宋"/>
          <w:sz w:val="32"/>
          <w:szCs w:val="32"/>
          <w:lang w:bidi="ar"/>
        </w:rPr>
        <w:t>万元，占</w:t>
      </w:r>
      <w:r>
        <w:rPr>
          <w:rFonts w:hint="eastAsia" w:ascii="仿宋" w:hAnsi="仿宋" w:eastAsia="仿宋" w:cs="Times New Roman"/>
          <w:sz w:val="32"/>
          <w:szCs w:val="32"/>
          <w:lang w:bidi="ar"/>
        </w:rPr>
        <w:t>8.9%；…。</w:t>
      </w:r>
    </w:p>
    <w:p w14:paraId="65C3442C">
      <w:pPr>
        <w:widowControl w:val="0"/>
        <w:jc w:val="center"/>
        <w:rPr>
          <w:rFonts w:hint="eastAsia" w:ascii="仿宋" w:hAnsi="仿宋" w:eastAsia="仿宋"/>
          <w:sz w:val="32"/>
        </w:rPr>
      </w:pPr>
      <w:r>
        <w:rPr>
          <w:rFonts w:hint="eastAsia" w:ascii="仿宋" w:hAnsi="仿宋" w:eastAsia="仿宋"/>
          <w:kern w:val="0"/>
          <w:sz w:val="32"/>
          <w:lang w:bidi="ar"/>
        </w:rPr>
        <w:drawing>
          <wp:inline distT="0" distB="0" distL="114300" distR="114300">
            <wp:extent cx="5000625" cy="2905125"/>
            <wp:effectExtent l="0" t="0" r="9525" b="9525"/>
            <wp:docPr id="27" name="图片 3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1" descr="IMG_261"/>
                    <pic:cNvPicPr>
                      <a:picLocks noChangeAspect="1"/>
                    </pic:cNvPicPr>
                  </pic:nvPicPr>
                  <pic:blipFill>
                    <a:blip r:embed="rId14"/>
                    <a:stretch>
                      <a:fillRect/>
                    </a:stretch>
                  </pic:blipFill>
                  <pic:spPr>
                    <a:xfrm>
                      <a:off x="0" y="0"/>
                      <a:ext cx="5000625" cy="2905125"/>
                    </a:xfrm>
                    <a:prstGeom prst="rect">
                      <a:avLst/>
                    </a:prstGeom>
                    <a:noFill/>
                    <a:ln w="9525">
                      <a:noFill/>
                    </a:ln>
                  </pic:spPr>
                </pic:pic>
              </a:graphicData>
            </a:graphic>
          </wp:inline>
        </w:drawing>
      </w:r>
    </w:p>
    <w:p w14:paraId="0F1B4A51">
      <w:pPr>
        <w:widowControl w:val="0"/>
        <w:spacing w:line="600" w:lineRule="exact"/>
        <w:ind w:firstLine="643" w:firstLineChars="200"/>
        <w:jc w:val="both"/>
        <w:outlineLvl w:val="2"/>
        <w:rPr>
          <w:rFonts w:hint="eastAsia" w:ascii="仿宋" w:hAnsi="仿宋" w:eastAsia="仿宋" w:cs="仿宋"/>
          <w:b/>
          <w:sz w:val="32"/>
          <w:szCs w:val="32"/>
          <w:lang w:bidi="ar"/>
        </w:rPr>
      </w:pPr>
      <w:bookmarkStart w:id="53" w:name="_Toc28023"/>
      <w:bookmarkEnd w:id="53"/>
      <w:bookmarkStart w:id="54" w:name="_Toc15377212"/>
      <w:r>
        <w:rPr>
          <w:rFonts w:hint="eastAsia" w:ascii="仿宋" w:hAnsi="仿宋" w:eastAsia="仿宋" w:cs="仿宋"/>
          <w:b/>
          <w:sz w:val="32"/>
          <w:szCs w:val="32"/>
          <w:lang w:bidi="ar"/>
        </w:rPr>
        <w:t>（三）一般公共预算财政拨款支出决算具体情况</w:t>
      </w:r>
      <w:bookmarkEnd w:id="54"/>
    </w:p>
    <w:p w14:paraId="24FEC258">
      <w:pPr>
        <w:widowControl w:val="0"/>
        <w:spacing w:line="600" w:lineRule="exact"/>
        <w:ind w:firstLine="640" w:firstLineChars="200"/>
        <w:jc w:val="both"/>
        <w:rPr>
          <w:rFonts w:hint="eastAsia" w:ascii="仿宋" w:hAnsi="仿宋" w:eastAsia="仿宋"/>
          <w:sz w:val="32"/>
        </w:rPr>
      </w:pPr>
      <w:bookmarkStart w:id="55" w:name="_Toc29268"/>
      <w:bookmarkEnd w:id="55"/>
      <w:r>
        <w:rPr>
          <w:rFonts w:hint="eastAsia" w:ascii="仿宋" w:hAnsi="仿宋" w:eastAsia="仿宋" w:cs="Times New Roman"/>
          <w:sz w:val="32"/>
          <w:szCs w:val="32"/>
          <w:lang w:bidi="ar"/>
        </w:rPr>
        <w:t>2023年度一般公共预算支出决算数为1645.11万元，完成预算100%。</w:t>
      </w:r>
      <w:r>
        <w:rPr>
          <w:rFonts w:hint="eastAsia" w:ascii="仿宋" w:hAnsi="仿宋" w:eastAsia="仿宋" w:cs="仿宋"/>
          <w:sz w:val="32"/>
          <w:szCs w:val="32"/>
          <w:lang w:bidi="ar"/>
        </w:rPr>
        <w:t>其中：</w:t>
      </w:r>
    </w:p>
    <w:p w14:paraId="5C72774B">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1.一般公共服务（201类）03（款）02（项）:</w:t>
      </w:r>
      <w:r>
        <w:rPr>
          <w:rFonts w:hint="eastAsia" w:ascii="仿宋" w:hAnsi="仿宋" w:eastAsia="仿宋" w:cs="仿宋"/>
          <w:kern w:val="0"/>
          <w:sz w:val="32"/>
          <w:szCs w:val="32"/>
          <w:lang w:bidi="ar"/>
        </w:rPr>
        <w:t>支出决算为34.84万元，完成预算100%。</w:t>
      </w:r>
    </w:p>
    <w:p w14:paraId="2E576378">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2.2.教育（205类）08（款）999（项）:</w:t>
      </w:r>
      <w:r>
        <w:rPr>
          <w:rFonts w:hint="eastAsia" w:ascii="仿宋" w:hAnsi="仿宋" w:eastAsia="仿宋" w:cs="仿宋"/>
          <w:b/>
          <w:sz w:val="32"/>
          <w:szCs w:val="32"/>
          <w:lang w:bidi="ar"/>
        </w:rPr>
        <w:t>支出</w:t>
      </w:r>
      <w:r>
        <w:rPr>
          <w:rFonts w:hint="eastAsia" w:ascii="仿宋" w:hAnsi="仿宋" w:eastAsia="仿宋" w:cs="Times New Roman"/>
          <w:sz w:val="32"/>
          <w:szCs w:val="32"/>
          <w:lang w:bidi="ar"/>
        </w:rPr>
        <w:t>10.03</w:t>
      </w:r>
      <w:r>
        <w:rPr>
          <w:rFonts w:hint="eastAsia" w:ascii="仿宋" w:hAnsi="仿宋" w:eastAsia="仿宋" w:cs="仿宋"/>
          <w:sz w:val="32"/>
          <w:szCs w:val="32"/>
          <w:lang w:bidi="ar"/>
        </w:rPr>
        <w:t>万元</w:t>
      </w:r>
      <w:r>
        <w:rPr>
          <w:rFonts w:hint="eastAsia" w:ascii="仿宋" w:hAnsi="仿宋" w:eastAsia="仿宋" w:cs="仿宋"/>
          <w:kern w:val="0"/>
          <w:sz w:val="32"/>
          <w:szCs w:val="32"/>
          <w:lang w:bidi="ar"/>
        </w:rPr>
        <w:t>，完成预算100%。</w:t>
      </w:r>
    </w:p>
    <w:p w14:paraId="698FC9A9">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3.</w:t>
      </w:r>
      <w:r>
        <w:rPr>
          <w:rFonts w:hint="eastAsia" w:ascii="仿宋" w:hAnsi="仿宋" w:eastAsia="仿宋" w:cs="仿宋"/>
          <w:b/>
          <w:sz w:val="32"/>
          <w:szCs w:val="32"/>
          <w:lang w:bidi="ar"/>
        </w:rPr>
        <w:t>社会保障和就业</w:t>
      </w:r>
      <w:r>
        <w:rPr>
          <w:rFonts w:hint="eastAsia" w:ascii="仿宋" w:hAnsi="仿宋" w:eastAsia="仿宋" w:cs="仿宋"/>
          <w:b/>
          <w:kern w:val="0"/>
          <w:sz w:val="32"/>
          <w:szCs w:val="32"/>
          <w:lang w:bidi="ar"/>
        </w:rPr>
        <w:t>（208类）08（款）05（项）:</w:t>
      </w:r>
      <w:r>
        <w:rPr>
          <w:rFonts w:hint="eastAsia" w:ascii="仿宋" w:hAnsi="仿宋" w:eastAsia="仿宋" w:cs="仿宋"/>
          <w:kern w:val="0"/>
          <w:sz w:val="32"/>
          <w:szCs w:val="32"/>
          <w:lang w:bidi="ar"/>
        </w:rPr>
        <w:t>支出</w:t>
      </w:r>
      <w:r>
        <w:rPr>
          <w:rFonts w:hint="eastAsia" w:ascii="仿宋" w:hAnsi="仿宋" w:eastAsia="仿宋" w:cs="Times New Roman"/>
          <w:sz w:val="32"/>
          <w:szCs w:val="32"/>
          <w:lang w:bidi="ar"/>
        </w:rPr>
        <w:t>73.66</w:t>
      </w:r>
      <w:r>
        <w:rPr>
          <w:rFonts w:hint="eastAsia" w:ascii="仿宋" w:hAnsi="仿宋" w:eastAsia="仿宋" w:cs="仿宋"/>
          <w:sz w:val="32"/>
          <w:szCs w:val="32"/>
          <w:lang w:bidi="ar"/>
        </w:rPr>
        <w:t>万元</w:t>
      </w:r>
      <w:r>
        <w:rPr>
          <w:rFonts w:hint="eastAsia" w:ascii="仿宋" w:hAnsi="仿宋" w:eastAsia="仿宋" w:cs="仿宋"/>
          <w:kern w:val="0"/>
          <w:sz w:val="32"/>
          <w:szCs w:val="32"/>
          <w:lang w:bidi="ar"/>
        </w:rPr>
        <w:t>，完成预算100%。</w:t>
      </w:r>
    </w:p>
    <w:p w14:paraId="4C3834C8">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4.</w:t>
      </w:r>
      <w:r>
        <w:rPr>
          <w:rFonts w:hint="eastAsia" w:ascii="仿宋" w:hAnsi="仿宋" w:eastAsia="仿宋" w:cs="仿宋"/>
          <w:b/>
          <w:sz w:val="32"/>
          <w:szCs w:val="32"/>
          <w:lang w:bidi="ar"/>
        </w:rPr>
        <w:t>住房保障</w:t>
      </w:r>
      <w:r>
        <w:rPr>
          <w:rFonts w:hint="eastAsia" w:ascii="仿宋" w:hAnsi="仿宋" w:eastAsia="仿宋" w:cs="仿宋"/>
          <w:b/>
          <w:kern w:val="0"/>
          <w:sz w:val="32"/>
          <w:szCs w:val="32"/>
          <w:lang w:bidi="ar"/>
        </w:rPr>
        <w:t>（221类）02（款）01（项）:</w:t>
      </w:r>
      <w:r>
        <w:rPr>
          <w:rFonts w:hint="eastAsia" w:ascii="仿宋" w:hAnsi="仿宋" w:eastAsia="仿宋" w:cs="仿宋"/>
          <w:b/>
          <w:sz w:val="32"/>
          <w:szCs w:val="32"/>
          <w:lang w:bidi="ar"/>
        </w:rPr>
        <w:t>支出</w:t>
      </w:r>
      <w:r>
        <w:rPr>
          <w:rFonts w:hint="eastAsia" w:ascii="仿宋" w:hAnsi="仿宋" w:eastAsia="仿宋" w:cs="Times New Roman"/>
          <w:sz w:val="32"/>
          <w:szCs w:val="32"/>
          <w:lang w:bidi="ar"/>
        </w:rPr>
        <w:t>26.98万元</w:t>
      </w:r>
      <w:r>
        <w:rPr>
          <w:rFonts w:hint="eastAsia" w:ascii="仿宋" w:hAnsi="仿宋" w:eastAsia="仿宋" w:cs="仿宋"/>
          <w:kern w:val="0"/>
          <w:sz w:val="32"/>
          <w:szCs w:val="32"/>
          <w:lang w:bidi="ar"/>
        </w:rPr>
        <w:t>，完成预算100%，</w:t>
      </w:r>
    </w:p>
    <w:p w14:paraId="234DB513">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kern w:val="0"/>
          <w:sz w:val="32"/>
          <w:szCs w:val="32"/>
          <w:lang w:bidi="ar"/>
        </w:rPr>
        <w:t>5.</w:t>
      </w:r>
      <w:r>
        <w:rPr>
          <w:rFonts w:hint="eastAsia" w:ascii="仿宋" w:hAnsi="仿宋" w:eastAsia="仿宋" w:cs="仿宋"/>
          <w:sz w:val="32"/>
          <w:szCs w:val="32"/>
          <w:lang w:bidi="ar"/>
        </w:rPr>
        <w:t>节能环保</w:t>
      </w:r>
      <w:r>
        <w:rPr>
          <w:rFonts w:hint="eastAsia" w:ascii="仿宋" w:hAnsi="仿宋" w:eastAsia="仿宋" w:cs="仿宋"/>
          <w:b/>
          <w:kern w:val="0"/>
          <w:sz w:val="32"/>
          <w:szCs w:val="32"/>
          <w:lang w:bidi="ar"/>
        </w:rPr>
        <w:t>（211类）03（款）04（项）:</w:t>
      </w:r>
      <w:r>
        <w:rPr>
          <w:rFonts w:hint="eastAsia" w:ascii="仿宋" w:hAnsi="仿宋" w:eastAsia="仿宋" w:cs="仿宋"/>
          <w:sz w:val="32"/>
          <w:szCs w:val="32"/>
          <w:lang w:bidi="ar"/>
        </w:rPr>
        <w:t>支出</w:t>
      </w:r>
      <w:r>
        <w:rPr>
          <w:rFonts w:hint="eastAsia" w:ascii="仿宋" w:hAnsi="仿宋" w:eastAsia="仿宋" w:cs="Times New Roman"/>
          <w:sz w:val="32"/>
          <w:szCs w:val="32"/>
          <w:lang w:bidi="ar"/>
        </w:rPr>
        <w:t>144.24万元</w:t>
      </w:r>
      <w:r>
        <w:rPr>
          <w:rFonts w:hint="eastAsia" w:ascii="仿宋" w:hAnsi="仿宋" w:eastAsia="仿宋" w:cs="仿宋"/>
          <w:kern w:val="0"/>
          <w:sz w:val="32"/>
          <w:szCs w:val="32"/>
          <w:lang w:bidi="ar"/>
        </w:rPr>
        <w:t>，完成预算100%。</w:t>
      </w:r>
    </w:p>
    <w:p w14:paraId="77285A43">
      <w:pPr>
        <w:widowControl w:val="0"/>
        <w:spacing w:line="600" w:lineRule="exact"/>
        <w:ind w:firstLine="640" w:firstLineChars="200"/>
        <w:jc w:val="both"/>
        <w:rPr>
          <w:rFonts w:hint="eastAsia" w:ascii="仿宋" w:hAnsi="仿宋" w:eastAsia="仿宋" w:cs="仿宋"/>
          <w:kern w:val="0"/>
          <w:sz w:val="32"/>
          <w:szCs w:val="32"/>
          <w:lang w:bidi="ar"/>
        </w:rPr>
      </w:pPr>
      <w:r>
        <w:rPr>
          <w:rFonts w:hint="eastAsia" w:ascii="仿宋" w:hAnsi="仿宋" w:eastAsia="仿宋" w:cs="仿宋"/>
          <w:kern w:val="0"/>
          <w:sz w:val="32"/>
          <w:szCs w:val="32"/>
          <w:lang w:bidi="ar"/>
        </w:rPr>
        <w:t>6.卫生健康</w:t>
      </w:r>
      <w:r>
        <w:rPr>
          <w:rFonts w:hint="eastAsia" w:ascii="仿宋" w:hAnsi="仿宋" w:eastAsia="仿宋" w:cs="仿宋"/>
          <w:b/>
          <w:kern w:val="0"/>
          <w:sz w:val="32"/>
          <w:szCs w:val="32"/>
          <w:lang w:bidi="ar"/>
        </w:rPr>
        <w:t>（210类）01（款）01（项）支出1355.36万元，</w:t>
      </w:r>
      <w:r>
        <w:rPr>
          <w:rFonts w:hint="eastAsia" w:ascii="仿宋" w:hAnsi="仿宋" w:eastAsia="仿宋" w:cs="仿宋"/>
          <w:kern w:val="0"/>
          <w:sz w:val="32"/>
          <w:szCs w:val="32"/>
          <w:lang w:bidi="ar"/>
        </w:rPr>
        <w:t>完成预算100%。</w:t>
      </w:r>
    </w:p>
    <w:p w14:paraId="4B01B121">
      <w:pPr>
        <w:widowControl w:val="0"/>
        <w:spacing w:line="600" w:lineRule="exact"/>
        <w:ind w:firstLine="640" w:firstLineChars="200"/>
        <w:jc w:val="both"/>
        <w:rPr>
          <w:rFonts w:hint="eastAsia" w:ascii="仿宋" w:hAnsi="仿宋" w:eastAsia="仿宋"/>
          <w:sz w:val="32"/>
        </w:rPr>
      </w:pPr>
    </w:p>
    <w:p w14:paraId="621BBDAA">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56" w:name="_Toc15396608"/>
      <w:bookmarkEnd w:id="56"/>
      <w:bookmarkStart w:id="57" w:name="_Toc15377214"/>
      <w:bookmarkEnd w:id="57"/>
      <w:bookmarkStart w:id="58" w:name="_Toc3870"/>
      <w:bookmarkStart w:id="59" w:name="_Toc236170672"/>
      <w:r>
        <w:rPr>
          <w:rFonts w:ascii="黑体" w:hAnsi="黑体" w:eastAsia="黑体"/>
          <w:b w:val="0"/>
          <w:bCs/>
          <w:sz w:val="32"/>
          <w:szCs w:val="32"/>
        </w:rPr>
        <w:t>六</w:t>
      </w:r>
      <w:bookmarkEnd w:id="58"/>
      <w:r>
        <w:rPr>
          <w:rFonts w:ascii="黑体" w:hAnsi="黑体" w:eastAsia="黑体"/>
          <w:b w:val="0"/>
          <w:bCs/>
          <w:sz w:val="32"/>
          <w:szCs w:val="32"/>
        </w:rPr>
        <w:t>、一般公共预算财政拨款基本支出决算情况说明</w:t>
      </w:r>
      <w:bookmarkEnd w:id="59"/>
    </w:p>
    <w:p w14:paraId="5D48106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年度一般公共预算财政拨款基本支出</w:t>
      </w:r>
      <w:r>
        <w:rPr>
          <w:rFonts w:hint="eastAsia" w:ascii="仿宋" w:hAnsi="仿宋" w:eastAsia="仿宋" w:cs="Times New Roman"/>
          <w:sz w:val="32"/>
          <w:szCs w:val="32"/>
          <w:lang w:bidi="ar"/>
        </w:rPr>
        <w:t>492.56</w:t>
      </w:r>
      <w:r>
        <w:rPr>
          <w:rFonts w:hint="eastAsia" w:ascii="仿宋" w:hAnsi="仿宋" w:eastAsia="仿宋" w:cs="仿宋"/>
          <w:sz w:val="32"/>
          <w:szCs w:val="32"/>
          <w:lang w:bidi="ar"/>
        </w:rPr>
        <w:t>万元，其中：</w:t>
      </w:r>
    </w:p>
    <w:p w14:paraId="30A9291D">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
          <w:sz w:val="32"/>
          <w:szCs w:val="32"/>
          <w:lang w:bidi="ar"/>
        </w:rPr>
        <w:t>人员经费</w:t>
      </w:r>
      <w:r>
        <w:rPr>
          <w:rFonts w:hint="eastAsia" w:ascii="仿宋" w:hAnsi="仿宋" w:eastAsia="仿宋" w:cs="Times New Roman"/>
          <w:sz w:val="32"/>
          <w:szCs w:val="32"/>
          <w:lang w:bidi="ar"/>
        </w:rPr>
        <w:t>381.81</w:t>
      </w:r>
      <w:r>
        <w:rPr>
          <w:rFonts w:hint="eastAsia" w:ascii="仿宋" w:hAnsi="仿宋" w:eastAsia="仿宋" w:cs="仿宋"/>
          <w:sz w:val="32"/>
          <w:szCs w:val="32"/>
          <w:lang w:bidi="ar"/>
        </w:rPr>
        <w:t>万元，主要包括：基本工资</w:t>
      </w:r>
      <w:r>
        <w:rPr>
          <w:rFonts w:hint="eastAsia" w:ascii="仿宋" w:hAnsi="仿宋" w:eastAsia="仿宋" w:cs="Times New Roman"/>
          <w:sz w:val="32"/>
          <w:szCs w:val="32"/>
          <w:lang w:bidi="ar"/>
        </w:rPr>
        <w:t>73.10万元</w:t>
      </w:r>
      <w:r>
        <w:rPr>
          <w:rFonts w:hint="eastAsia" w:ascii="仿宋" w:hAnsi="仿宋" w:eastAsia="仿宋" w:cs="仿宋"/>
          <w:sz w:val="32"/>
          <w:szCs w:val="32"/>
          <w:lang w:bidi="ar"/>
        </w:rPr>
        <w:t>、津贴补贴</w:t>
      </w:r>
      <w:r>
        <w:rPr>
          <w:rFonts w:hint="eastAsia" w:ascii="仿宋" w:hAnsi="仿宋" w:eastAsia="仿宋" w:cs="Times New Roman"/>
          <w:sz w:val="32"/>
          <w:szCs w:val="32"/>
          <w:lang w:bidi="ar"/>
        </w:rPr>
        <w:t>124.3万元</w:t>
      </w:r>
      <w:r>
        <w:rPr>
          <w:rFonts w:hint="eastAsia" w:ascii="仿宋" w:hAnsi="仿宋" w:eastAsia="仿宋" w:cs="仿宋"/>
          <w:sz w:val="32"/>
          <w:szCs w:val="32"/>
          <w:lang w:bidi="ar"/>
        </w:rPr>
        <w:t>、奖金</w:t>
      </w:r>
      <w:r>
        <w:rPr>
          <w:rFonts w:hint="eastAsia" w:ascii="仿宋" w:hAnsi="仿宋" w:eastAsia="仿宋" w:cs="Times New Roman"/>
          <w:sz w:val="32"/>
          <w:szCs w:val="32"/>
          <w:lang w:bidi="ar"/>
        </w:rPr>
        <w:t>79.69万元</w:t>
      </w:r>
      <w:r>
        <w:rPr>
          <w:rFonts w:hint="eastAsia" w:ascii="仿宋" w:hAnsi="仿宋" w:eastAsia="仿宋" w:cs="仿宋"/>
          <w:sz w:val="32"/>
          <w:szCs w:val="32"/>
          <w:lang w:bidi="ar"/>
        </w:rPr>
        <w:t>、职工基本医疗保险</w:t>
      </w:r>
      <w:r>
        <w:rPr>
          <w:rFonts w:hint="eastAsia" w:ascii="仿宋" w:hAnsi="仿宋" w:eastAsia="仿宋" w:cs="Times New Roman"/>
          <w:sz w:val="32"/>
          <w:szCs w:val="32"/>
          <w:lang w:bidi="ar"/>
        </w:rPr>
        <w:t>15.96万元</w:t>
      </w:r>
      <w:r>
        <w:rPr>
          <w:rFonts w:hint="eastAsia" w:ascii="仿宋" w:hAnsi="仿宋" w:eastAsia="仿宋" w:cs="仿宋"/>
          <w:sz w:val="32"/>
          <w:szCs w:val="32"/>
          <w:lang w:bidi="ar"/>
        </w:rPr>
        <w:t>、公务员医疗补助</w:t>
      </w:r>
      <w:r>
        <w:rPr>
          <w:rFonts w:hint="eastAsia" w:ascii="仿宋" w:hAnsi="仿宋" w:eastAsia="仿宋" w:cs="Times New Roman"/>
          <w:sz w:val="32"/>
          <w:szCs w:val="32"/>
          <w:lang w:bidi="ar"/>
        </w:rPr>
        <w:t>6.04</w:t>
      </w:r>
      <w:r>
        <w:rPr>
          <w:rFonts w:hint="eastAsia" w:ascii="仿宋" w:hAnsi="仿宋" w:eastAsia="仿宋" w:cs="仿宋"/>
          <w:sz w:val="32"/>
          <w:szCs w:val="32"/>
          <w:lang w:bidi="ar"/>
        </w:rPr>
        <w:t>、机关事业单位基本养老保险缴费</w:t>
      </w:r>
      <w:r>
        <w:rPr>
          <w:rFonts w:hint="eastAsia" w:ascii="仿宋" w:hAnsi="仿宋" w:eastAsia="仿宋" w:cs="Times New Roman"/>
          <w:sz w:val="32"/>
          <w:szCs w:val="32"/>
          <w:lang w:bidi="ar"/>
        </w:rPr>
        <w:t>36.64万元</w:t>
      </w:r>
      <w:r>
        <w:rPr>
          <w:rFonts w:hint="eastAsia" w:ascii="仿宋" w:hAnsi="仿宋" w:eastAsia="仿宋" w:cs="仿宋"/>
          <w:sz w:val="32"/>
          <w:szCs w:val="32"/>
          <w:lang w:bidi="ar"/>
        </w:rPr>
        <w:t>、职业年金缴费</w:t>
      </w:r>
      <w:r>
        <w:rPr>
          <w:rFonts w:hint="eastAsia" w:ascii="仿宋" w:hAnsi="仿宋" w:eastAsia="仿宋" w:cs="Times New Roman"/>
          <w:sz w:val="32"/>
          <w:szCs w:val="32"/>
          <w:lang w:bidi="ar"/>
        </w:rPr>
        <w:t>15.73万元</w:t>
      </w:r>
      <w:r>
        <w:rPr>
          <w:rFonts w:hint="eastAsia" w:ascii="仿宋" w:hAnsi="仿宋" w:eastAsia="仿宋" w:cs="仿宋"/>
          <w:sz w:val="32"/>
          <w:szCs w:val="32"/>
          <w:lang w:bidi="ar"/>
        </w:rPr>
        <w:t>、其他社会保障缴费</w:t>
      </w:r>
      <w:r>
        <w:rPr>
          <w:rFonts w:hint="eastAsia" w:ascii="仿宋" w:hAnsi="仿宋" w:eastAsia="仿宋" w:cs="Times New Roman"/>
          <w:sz w:val="32"/>
          <w:szCs w:val="32"/>
          <w:lang w:bidi="ar"/>
        </w:rPr>
        <w:t>5.11万元</w:t>
      </w:r>
      <w:r>
        <w:rPr>
          <w:rFonts w:hint="eastAsia" w:ascii="仿宋" w:hAnsi="仿宋" w:eastAsia="仿宋" w:cs="仿宋"/>
          <w:sz w:val="32"/>
          <w:szCs w:val="32"/>
          <w:lang w:bidi="ar"/>
        </w:rPr>
        <w:t>、住房公积金</w:t>
      </w:r>
      <w:r>
        <w:rPr>
          <w:rFonts w:hint="eastAsia" w:ascii="仿宋" w:hAnsi="仿宋" w:eastAsia="仿宋" w:cs="Times New Roman"/>
          <w:sz w:val="32"/>
          <w:szCs w:val="32"/>
          <w:lang w:bidi="ar"/>
        </w:rPr>
        <w:t>25.24万元</w:t>
      </w:r>
      <w:r>
        <w:rPr>
          <w:rFonts w:hint="eastAsia" w:ascii="仿宋" w:hAnsi="仿宋" w:eastAsia="仿宋" w:cs="仿宋"/>
          <w:sz w:val="32"/>
          <w:szCs w:val="32"/>
          <w:lang w:bidi="ar"/>
        </w:rPr>
        <w:t>、</w:t>
      </w:r>
    </w:p>
    <w:p w14:paraId="649B0923">
      <w:pPr>
        <w:widowControl w:val="0"/>
        <w:spacing w:line="600" w:lineRule="exact"/>
        <w:ind w:firstLine="640" w:firstLineChars="200"/>
        <w:jc w:val="both"/>
        <w:rPr>
          <w:rFonts w:hint="eastAsia" w:ascii="仿宋" w:hAnsi="仿宋" w:eastAsia="仿宋" w:cs="Times New Roman"/>
          <w:sz w:val="32"/>
          <w:szCs w:val="32"/>
          <w:lang w:eastAsia="zh-CN" w:bidi="ar"/>
        </w:rPr>
      </w:pPr>
      <w:r>
        <w:rPr>
          <w:rFonts w:hint="eastAsia" w:ascii="仿宋" w:hAnsi="仿宋" w:eastAsia="仿宋" w:cs="仿宋"/>
          <w:sz w:val="32"/>
          <w:szCs w:val="32"/>
          <w:lang w:bidi="ar"/>
        </w:rPr>
        <w:t>日常公用经费</w:t>
      </w:r>
      <w:r>
        <w:rPr>
          <w:rFonts w:hint="eastAsia" w:ascii="仿宋" w:hAnsi="仿宋" w:eastAsia="仿宋" w:cs="Times New Roman"/>
          <w:sz w:val="32"/>
          <w:szCs w:val="32"/>
          <w:lang w:bidi="ar"/>
        </w:rPr>
        <w:t>110.75</w:t>
      </w:r>
      <w:r>
        <w:rPr>
          <w:rFonts w:hint="eastAsia" w:ascii="仿宋" w:hAnsi="仿宋" w:eastAsia="仿宋" w:cs="仿宋"/>
          <w:sz w:val="32"/>
          <w:szCs w:val="32"/>
          <w:lang w:bidi="ar"/>
        </w:rPr>
        <w:t>万元，主要包括：办公费</w:t>
      </w:r>
      <w:r>
        <w:rPr>
          <w:rFonts w:hint="eastAsia" w:ascii="仿宋" w:hAnsi="仿宋" w:eastAsia="仿宋" w:cs="Times New Roman"/>
          <w:sz w:val="32"/>
          <w:szCs w:val="32"/>
          <w:lang w:bidi="ar"/>
        </w:rPr>
        <w:t>66.96</w:t>
      </w:r>
      <w:r>
        <w:rPr>
          <w:rFonts w:hint="eastAsia" w:ascii="仿宋" w:hAnsi="仿宋" w:eastAsia="仿宋" w:cs="Times New Roman"/>
          <w:sz w:val="32"/>
          <w:szCs w:val="32"/>
          <w:lang w:eastAsia="zh-CN" w:bidi="ar"/>
        </w:rPr>
        <w:t>万元</w:t>
      </w:r>
      <w:r>
        <w:rPr>
          <w:rFonts w:hint="eastAsia" w:ascii="仿宋" w:hAnsi="仿宋" w:eastAsia="仿宋" w:cs="仿宋"/>
          <w:sz w:val="32"/>
          <w:szCs w:val="32"/>
          <w:lang w:bidi="ar"/>
        </w:rPr>
        <w:t>、电费</w:t>
      </w:r>
      <w:r>
        <w:rPr>
          <w:rFonts w:hint="eastAsia" w:ascii="仿宋" w:hAnsi="仿宋" w:eastAsia="仿宋" w:cs="Times New Roman"/>
          <w:sz w:val="32"/>
          <w:szCs w:val="32"/>
          <w:lang w:bidi="ar"/>
        </w:rPr>
        <w:t>3.7</w:t>
      </w:r>
      <w:r>
        <w:rPr>
          <w:rFonts w:hint="eastAsia" w:ascii="仿宋" w:hAnsi="仿宋" w:eastAsia="仿宋" w:cs="Times New Roman"/>
          <w:sz w:val="32"/>
          <w:szCs w:val="32"/>
          <w:lang w:eastAsia="zh-CN" w:bidi="ar"/>
        </w:rPr>
        <w:t>万元</w:t>
      </w:r>
      <w:r>
        <w:rPr>
          <w:rFonts w:hint="eastAsia" w:ascii="仿宋" w:hAnsi="仿宋" w:eastAsia="仿宋" w:cs="仿宋"/>
          <w:sz w:val="32"/>
          <w:szCs w:val="32"/>
          <w:lang w:bidi="ar"/>
        </w:rPr>
        <w:t>、邮电费</w:t>
      </w:r>
      <w:r>
        <w:rPr>
          <w:rFonts w:hint="eastAsia" w:ascii="仿宋" w:hAnsi="仿宋" w:eastAsia="仿宋" w:cs="Times New Roman"/>
          <w:sz w:val="32"/>
          <w:szCs w:val="32"/>
          <w:lang w:bidi="ar"/>
        </w:rPr>
        <w:t>10.92</w:t>
      </w:r>
      <w:r>
        <w:rPr>
          <w:rFonts w:hint="eastAsia" w:ascii="仿宋" w:hAnsi="仿宋" w:eastAsia="仿宋" w:cs="Times New Roman"/>
          <w:sz w:val="32"/>
          <w:szCs w:val="32"/>
          <w:lang w:eastAsia="zh-CN" w:bidi="ar"/>
        </w:rPr>
        <w:t>万元、</w:t>
      </w:r>
      <w:r>
        <w:rPr>
          <w:rFonts w:hint="eastAsia" w:ascii="仿宋" w:hAnsi="仿宋" w:eastAsia="仿宋" w:cs="仿宋"/>
          <w:sz w:val="32"/>
          <w:szCs w:val="32"/>
          <w:lang w:bidi="ar"/>
        </w:rPr>
        <w:t>差旅费</w:t>
      </w:r>
      <w:r>
        <w:rPr>
          <w:rFonts w:hint="eastAsia" w:ascii="仿宋" w:hAnsi="仿宋" w:eastAsia="仿宋" w:cs="Times New Roman"/>
          <w:sz w:val="32"/>
          <w:szCs w:val="32"/>
          <w:lang w:bidi="ar"/>
        </w:rPr>
        <w:t>13.95</w:t>
      </w:r>
      <w:r>
        <w:rPr>
          <w:rFonts w:hint="eastAsia" w:ascii="仿宋" w:hAnsi="仿宋" w:eastAsia="仿宋" w:cs="Times New Roman"/>
          <w:sz w:val="32"/>
          <w:szCs w:val="32"/>
          <w:lang w:eastAsia="zh-CN" w:bidi="ar"/>
        </w:rPr>
        <w:t>万元</w:t>
      </w:r>
      <w:r>
        <w:rPr>
          <w:rFonts w:hint="eastAsia" w:ascii="仿宋" w:hAnsi="仿宋" w:eastAsia="仿宋" w:cs="仿宋"/>
          <w:sz w:val="32"/>
          <w:szCs w:val="32"/>
          <w:lang w:bidi="ar"/>
        </w:rPr>
        <w:t>、公务用车运行维护费</w:t>
      </w:r>
      <w:r>
        <w:rPr>
          <w:rFonts w:hint="eastAsia" w:ascii="仿宋" w:hAnsi="仿宋" w:eastAsia="仿宋" w:cs="Times New Roman"/>
          <w:sz w:val="32"/>
          <w:szCs w:val="32"/>
          <w:lang w:bidi="ar"/>
        </w:rPr>
        <w:t>12.54</w:t>
      </w:r>
      <w:r>
        <w:rPr>
          <w:rFonts w:hint="eastAsia" w:ascii="仿宋" w:hAnsi="仿宋" w:eastAsia="仿宋" w:cs="Times New Roman"/>
          <w:sz w:val="32"/>
          <w:szCs w:val="32"/>
          <w:lang w:eastAsia="zh-CN" w:bidi="ar"/>
        </w:rPr>
        <w:t>万元、</w:t>
      </w:r>
      <w:r>
        <w:rPr>
          <w:rFonts w:hint="eastAsia" w:ascii="仿宋" w:hAnsi="仿宋" w:eastAsia="仿宋" w:cs="仿宋"/>
          <w:sz w:val="32"/>
          <w:szCs w:val="32"/>
          <w:lang w:bidi="ar"/>
        </w:rPr>
        <w:t>劳务费</w:t>
      </w:r>
      <w:r>
        <w:rPr>
          <w:rFonts w:hint="eastAsia" w:ascii="仿宋" w:hAnsi="仿宋" w:eastAsia="仿宋" w:cs="Times New Roman"/>
          <w:sz w:val="32"/>
          <w:szCs w:val="32"/>
          <w:lang w:bidi="ar"/>
        </w:rPr>
        <w:t>2.68</w:t>
      </w:r>
      <w:r>
        <w:rPr>
          <w:rFonts w:hint="eastAsia" w:ascii="仿宋" w:hAnsi="仿宋" w:eastAsia="仿宋" w:cs="Times New Roman"/>
          <w:sz w:val="32"/>
          <w:szCs w:val="32"/>
          <w:lang w:eastAsia="zh-CN" w:bidi="ar"/>
        </w:rPr>
        <w:t>万元。</w:t>
      </w:r>
    </w:p>
    <w:p w14:paraId="203BA334">
      <w:pPr>
        <w:widowControl w:val="0"/>
        <w:spacing w:line="600" w:lineRule="exact"/>
        <w:ind w:firstLine="640" w:firstLineChars="200"/>
        <w:jc w:val="both"/>
        <w:rPr>
          <w:rFonts w:hint="eastAsia" w:ascii="仿宋" w:hAnsi="仿宋" w:eastAsia="仿宋"/>
          <w:sz w:val="32"/>
        </w:rPr>
      </w:pPr>
    </w:p>
    <w:p w14:paraId="2ABA681F">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60" w:name="_Toc15377215"/>
      <w:bookmarkEnd w:id="60"/>
      <w:bookmarkStart w:id="61" w:name="_Toc15396609"/>
      <w:bookmarkEnd w:id="61"/>
      <w:bookmarkStart w:id="62" w:name="_Toc17357"/>
      <w:bookmarkStart w:id="63" w:name="_Toc236170673"/>
      <w:r>
        <w:rPr>
          <w:rFonts w:ascii="黑体" w:hAnsi="黑体" w:eastAsia="黑体"/>
          <w:b w:val="0"/>
          <w:bCs/>
          <w:sz w:val="32"/>
          <w:szCs w:val="32"/>
        </w:rPr>
        <w:t>七、</w:t>
      </w:r>
      <w:bookmarkEnd w:id="62"/>
      <w:r>
        <w:rPr>
          <w:rFonts w:ascii="黑体" w:hAnsi="黑体" w:eastAsia="黑体"/>
          <w:b w:val="0"/>
          <w:bCs/>
          <w:sz w:val="32"/>
          <w:szCs w:val="32"/>
        </w:rPr>
        <w:t>财政拨款“三公”经费支出决算情况说明</w:t>
      </w:r>
      <w:bookmarkEnd w:id="63"/>
    </w:p>
    <w:p w14:paraId="4C393006">
      <w:pPr>
        <w:widowControl w:val="0"/>
        <w:spacing w:line="600" w:lineRule="exact"/>
        <w:ind w:firstLine="643" w:firstLineChars="200"/>
        <w:jc w:val="both"/>
        <w:outlineLvl w:val="2"/>
        <w:rPr>
          <w:rFonts w:hint="eastAsia" w:ascii="仿宋" w:hAnsi="仿宋" w:eastAsia="仿宋"/>
          <w:sz w:val="32"/>
        </w:rPr>
      </w:pPr>
      <w:bookmarkStart w:id="64" w:name="_Toc7436"/>
      <w:bookmarkEnd w:id="64"/>
      <w:bookmarkStart w:id="65" w:name="_Toc15377216"/>
      <w:r>
        <w:rPr>
          <w:rFonts w:hint="eastAsia" w:ascii="仿宋" w:hAnsi="仿宋" w:eastAsia="仿宋" w:cs="仿宋"/>
          <w:b/>
          <w:sz w:val="32"/>
          <w:szCs w:val="32"/>
          <w:lang w:bidi="ar"/>
        </w:rPr>
        <w:t>（一）</w:t>
      </w:r>
      <w:r>
        <w:rPr>
          <w:rFonts w:hint="eastAsia" w:ascii="仿宋" w:hAnsi="仿宋" w:eastAsia="仿宋" w:cs="Times New Roman"/>
          <w:b/>
          <w:sz w:val="32"/>
          <w:szCs w:val="32"/>
          <w:lang w:bidi="ar"/>
        </w:rPr>
        <w:t>“三公”经费财政拨款支出决算总体情况说明</w:t>
      </w:r>
      <w:bookmarkEnd w:id="65"/>
    </w:p>
    <w:p w14:paraId="48F429F3">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w:t>
      </w:r>
      <w:r>
        <w:rPr>
          <w:rFonts w:hint="eastAsia" w:ascii="仿宋" w:hAnsi="仿宋" w:eastAsia="仿宋" w:cs="Times New Roman"/>
          <w:sz w:val="32"/>
          <w:szCs w:val="32"/>
          <w:lang w:bidi="ar"/>
        </w:rPr>
        <w:t>“三公”经费财政拨款支出决算为12.54</w:t>
      </w:r>
      <w:r>
        <w:rPr>
          <w:rFonts w:hint="eastAsia" w:ascii="仿宋" w:hAnsi="仿宋" w:eastAsia="仿宋" w:cs="仿宋"/>
          <w:sz w:val="32"/>
          <w:szCs w:val="32"/>
          <w:lang w:bidi="ar"/>
        </w:rPr>
        <w:t>万元，完成预算</w:t>
      </w:r>
      <w:r>
        <w:rPr>
          <w:rFonts w:hint="eastAsia" w:ascii="仿宋" w:hAnsi="仿宋" w:eastAsia="仿宋" w:cs="Times New Roman"/>
          <w:sz w:val="32"/>
          <w:szCs w:val="32"/>
          <w:lang w:bidi="ar"/>
        </w:rPr>
        <w:t>100%</w:t>
      </w:r>
      <w:r>
        <w:rPr>
          <w:rFonts w:hint="eastAsia" w:ascii="仿宋" w:hAnsi="仿宋" w:eastAsia="仿宋" w:cs="仿宋"/>
          <w:sz w:val="32"/>
          <w:szCs w:val="32"/>
          <w:lang w:bidi="ar"/>
        </w:rPr>
        <w:t>，较上年度增加</w:t>
      </w:r>
      <w:r>
        <w:rPr>
          <w:rFonts w:hint="eastAsia" w:ascii="仿宋" w:hAnsi="仿宋" w:eastAsia="仿宋" w:cs="Times New Roman"/>
          <w:sz w:val="32"/>
          <w:szCs w:val="32"/>
          <w:lang w:bidi="ar"/>
        </w:rPr>
        <w:t>4.62万元，增长58.33%。</w:t>
      </w:r>
      <w:r>
        <w:rPr>
          <w:rFonts w:hint="eastAsia" w:ascii="仿宋" w:hAnsi="仿宋" w:eastAsia="仿宋" w:cs="仿宋"/>
          <w:sz w:val="32"/>
          <w:szCs w:val="32"/>
          <w:lang w:bidi="ar"/>
        </w:rPr>
        <w:t>主要原因公务用车维护费增加。。</w:t>
      </w:r>
    </w:p>
    <w:p w14:paraId="59FA2BF6">
      <w:pPr>
        <w:widowControl w:val="0"/>
        <w:spacing w:line="600" w:lineRule="exact"/>
        <w:ind w:firstLine="643" w:firstLineChars="200"/>
        <w:jc w:val="both"/>
        <w:outlineLvl w:val="2"/>
        <w:rPr>
          <w:rFonts w:hint="eastAsia" w:ascii="仿宋" w:hAnsi="仿宋" w:eastAsia="仿宋"/>
          <w:sz w:val="32"/>
        </w:rPr>
      </w:pPr>
      <w:bookmarkStart w:id="66" w:name="_Toc8726"/>
      <w:bookmarkEnd w:id="66"/>
      <w:bookmarkStart w:id="67" w:name="_Toc15377217"/>
      <w:r>
        <w:rPr>
          <w:rFonts w:hint="eastAsia" w:ascii="仿宋" w:hAnsi="仿宋" w:eastAsia="仿宋" w:cs="仿宋"/>
          <w:b/>
          <w:sz w:val="32"/>
          <w:szCs w:val="32"/>
          <w:lang w:bidi="ar"/>
        </w:rPr>
        <w:t>（二）</w:t>
      </w:r>
      <w:r>
        <w:rPr>
          <w:rFonts w:hint="eastAsia" w:ascii="仿宋" w:hAnsi="仿宋" w:eastAsia="仿宋" w:cs="Times New Roman"/>
          <w:b/>
          <w:sz w:val="32"/>
          <w:szCs w:val="32"/>
          <w:lang w:bidi="ar"/>
        </w:rPr>
        <w:t>“三公”经费财政拨款支出决算具体情况说明</w:t>
      </w:r>
      <w:bookmarkEnd w:id="67"/>
    </w:p>
    <w:p w14:paraId="6D7570A7">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
          <w:kern w:val="0"/>
          <w:sz w:val="32"/>
          <w:szCs w:val="32"/>
          <w:lang w:bidi="ar"/>
        </w:rPr>
        <w:t>2023年度“三公”经费财政拨款支出决算中，因公出国（境）费支出决算0万元，占0%；公务用车购置及运行维护费支出决算12.54万元，占100%；公务接待费支出决算0万元，占0%。具体情况如下：</w:t>
      </w:r>
    </w:p>
    <w:p w14:paraId="4D6FB346">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1.</w:t>
      </w:r>
      <w:r>
        <w:rPr>
          <w:rFonts w:hint="eastAsia" w:ascii="仿宋" w:hAnsi="仿宋" w:eastAsia="仿宋" w:cs="仿宋_GB2312"/>
          <w:b/>
          <w:sz w:val="32"/>
          <w:szCs w:val="32"/>
          <w:lang w:bidi="ar"/>
        </w:rPr>
        <w:t>因公出国（境）经费支出</w:t>
      </w:r>
      <w:r>
        <w:rPr>
          <w:rFonts w:hint="eastAsia" w:ascii="仿宋" w:hAnsi="仿宋" w:eastAsia="仿宋" w:cs="Times New Roman"/>
          <w:b/>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r>
        <w:rPr>
          <w:rFonts w:hint="eastAsia" w:ascii="仿宋" w:hAnsi="仿宋" w:eastAsia="仿宋" w:cs="仿宋_GB2312"/>
          <w:sz w:val="32"/>
          <w:szCs w:val="32"/>
          <w:lang w:bidi="ar"/>
        </w:rPr>
        <w:t>全年安排因公出国（境）团组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次，出国（境）</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人。下降</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w:t>
      </w:r>
    </w:p>
    <w:p w14:paraId="513D60F7">
      <w:pPr>
        <w:widowControl w:val="0"/>
        <w:spacing w:line="600" w:lineRule="exact"/>
        <w:ind w:firstLine="643" w:firstLineChars="200"/>
        <w:jc w:val="both"/>
        <w:rPr>
          <w:rFonts w:hint="eastAsia" w:ascii="仿宋" w:hAnsi="仿宋" w:eastAsia="仿宋"/>
          <w:sz w:val="32"/>
        </w:rPr>
      </w:pPr>
      <w:r>
        <w:rPr>
          <w:rFonts w:hint="eastAsia" w:ascii="仿宋" w:hAnsi="仿宋" w:eastAsia="仿宋" w:cs="Times New Roman"/>
          <w:b/>
          <w:sz w:val="32"/>
          <w:szCs w:val="32"/>
          <w:lang w:bidi="ar"/>
        </w:rPr>
        <w:t>2.</w:t>
      </w:r>
      <w:r>
        <w:rPr>
          <w:rFonts w:hint="eastAsia" w:ascii="仿宋" w:hAnsi="仿宋" w:eastAsia="仿宋" w:cs="仿宋_GB2312"/>
          <w:b/>
          <w:sz w:val="32"/>
          <w:szCs w:val="32"/>
          <w:lang w:bidi="ar"/>
        </w:rPr>
        <w:t>公务用车购置及运行维护费支出</w:t>
      </w:r>
      <w:r>
        <w:rPr>
          <w:rFonts w:hint="eastAsia" w:ascii="仿宋" w:hAnsi="仿宋" w:eastAsia="仿宋" w:cs="Times New Roman"/>
          <w:sz w:val="32"/>
          <w:szCs w:val="32"/>
          <w:lang w:bidi="ar"/>
        </w:rPr>
        <w:t>2023</w:t>
      </w:r>
      <w:r>
        <w:rPr>
          <w:rFonts w:hint="eastAsia" w:ascii="仿宋" w:hAnsi="仿宋" w:eastAsia="仿宋" w:cs="仿宋"/>
          <w:sz w:val="32"/>
          <w:szCs w:val="32"/>
          <w:lang w:bidi="ar"/>
        </w:rPr>
        <w:t>年度</w:t>
      </w:r>
      <w:r>
        <w:rPr>
          <w:rFonts w:hint="eastAsia" w:ascii="仿宋" w:hAnsi="仿宋" w:eastAsia="仿宋" w:cs="Times New Roman"/>
          <w:sz w:val="32"/>
          <w:szCs w:val="32"/>
          <w:lang w:bidi="ar"/>
        </w:rPr>
        <w:t>“三公”经费财政拨款支出决算为12.54</w:t>
      </w:r>
      <w:r>
        <w:rPr>
          <w:rFonts w:hint="eastAsia" w:ascii="仿宋" w:hAnsi="仿宋" w:eastAsia="仿宋" w:cs="仿宋"/>
          <w:sz w:val="32"/>
          <w:szCs w:val="32"/>
          <w:lang w:bidi="ar"/>
        </w:rPr>
        <w:t>万元，完成预算</w:t>
      </w:r>
      <w:r>
        <w:rPr>
          <w:rFonts w:hint="eastAsia" w:ascii="仿宋" w:hAnsi="仿宋" w:eastAsia="仿宋" w:cs="Times New Roman"/>
          <w:sz w:val="32"/>
          <w:szCs w:val="32"/>
          <w:lang w:bidi="ar"/>
        </w:rPr>
        <w:t>100%</w:t>
      </w:r>
      <w:r>
        <w:rPr>
          <w:rFonts w:hint="eastAsia" w:ascii="仿宋" w:hAnsi="仿宋" w:eastAsia="仿宋" w:cs="仿宋"/>
          <w:sz w:val="32"/>
          <w:szCs w:val="32"/>
          <w:lang w:bidi="ar"/>
        </w:rPr>
        <w:t>，较上年度增加</w:t>
      </w:r>
      <w:r>
        <w:rPr>
          <w:rFonts w:hint="eastAsia" w:ascii="仿宋" w:hAnsi="仿宋" w:eastAsia="仿宋" w:cs="Times New Roman"/>
          <w:sz w:val="32"/>
          <w:szCs w:val="32"/>
          <w:lang w:bidi="ar"/>
        </w:rPr>
        <w:t>4.62万元，增长58.33%。</w:t>
      </w:r>
      <w:r>
        <w:rPr>
          <w:rFonts w:hint="eastAsia" w:ascii="仿宋" w:hAnsi="仿宋" w:eastAsia="仿宋" w:cs="仿宋"/>
          <w:sz w:val="32"/>
          <w:szCs w:val="32"/>
          <w:lang w:bidi="ar"/>
        </w:rPr>
        <w:t>主要原因公务用车维护费增加。。</w:t>
      </w:r>
    </w:p>
    <w:p w14:paraId="1DFE661E">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lang w:bidi="ar"/>
        </w:rPr>
        <w:t>其中：</w:t>
      </w:r>
      <w:r>
        <w:rPr>
          <w:rFonts w:hint="eastAsia" w:ascii="仿宋" w:hAnsi="仿宋" w:eastAsia="仿宋" w:cs="仿宋_GB2312"/>
          <w:b/>
          <w:sz w:val="32"/>
          <w:szCs w:val="32"/>
          <w:lang w:bidi="ar"/>
        </w:rPr>
        <w:t>公务用车购置支出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万元。全年按规定更新购置公务用车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万元，越野车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Times New Roman"/>
          <w:sz w:val="32"/>
          <w:szCs w:val="32"/>
          <w:lang w:bidi="ar"/>
        </w:rPr>
        <w:t>202</w:t>
      </w:r>
      <w:r>
        <w:rPr>
          <w:rFonts w:hint="eastAsia" w:ascii="仿宋" w:hAnsi="仿宋" w:eastAsia="仿宋" w:cs="仿宋_GB2312"/>
          <w:sz w:val="32"/>
          <w:szCs w:val="32"/>
          <w:lang w:bidi="ar"/>
        </w:rPr>
        <w:t>年</w:t>
      </w:r>
      <w:r>
        <w:rPr>
          <w:rFonts w:hint="eastAsia" w:ascii="仿宋" w:hAnsi="仿宋" w:eastAsia="仿宋" w:cs="Times New Roman"/>
          <w:sz w:val="32"/>
          <w:szCs w:val="32"/>
          <w:lang w:bidi="ar"/>
        </w:rPr>
        <w:t>12</w:t>
      </w:r>
      <w:r>
        <w:rPr>
          <w:rFonts w:hint="eastAsia" w:ascii="仿宋" w:hAnsi="仿宋" w:eastAsia="仿宋" w:cs="仿宋_GB2312"/>
          <w:sz w:val="32"/>
          <w:szCs w:val="32"/>
          <w:lang w:bidi="ar"/>
        </w:rPr>
        <w:t>月底，单位共有公务用车</w:t>
      </w:r>
      <w:r>
        <w:rPr>
          <w:rFonts w:hint="eastAsia" w:ascii="仿宋" w:hAnsi="仿宋" w:eastAsia="仿宋" w:cs="Times New Roman"/>
          <w:sz w:val="32"/>
          <w:szCs w:val="32"/>
          <w:lang w:bidi="ar"/>
        </w:rPr>
        <w:t>2</w:t>
      </w:r>
      <w:r>
        <w:rPr>
          <w:rFonts w:hint="eastAsia" w:ascii="仿宋" w:hAnsi="仿宋" w:eastAsia="仿宋" w:cs="仿宋_GB2312"/>
          <w:sz w:val="32"/>
          <w:szCs w:val="32"/>
          <w:lang w:bidi="ar"/>
        </w:rPr>
        <w:t>辆，其中：轿车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辆、越野车辆、载客汽车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辆，其他车辆</w:t>
      </w:r>
      <w:r>
        <w:rPr>
          <w:rFonts w:hint="eastAsia" w:ascii="仿宋" w:hAnsi="仿宋" w:eastAsia="仿宋" w:cs="Times New Roman"/>
          <w:sz w:val="32"/>
          <w:szCs w:val="32"/>
          <w:lang w:bidi="ar"/>
        </w:rPr>
        <w:t>2辆</w:t>
      </w:r>
      <w:r>
        <w:rPr>
          <w:rFonts w:hint="eastAsia" w:ascii="仿宋" w:hAnsi="仿宋" w:eastAsia="仿宋" w:cs="仿宋_GB2312"/>
          <w:sz w:val="32"/>
          <w:szCs w:val="32"/>
          <w:lang w:bidi="ar"/>
        </w:rPr>
        <w:t>。</w:t>
      </w:r>
    </w:p>
    <w:p w14:paraId="43A0423F">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_GB2312"/>
          <w:b/>
          <w:sz w:val="32"/>
          <w:szCs w:val="32"/>
          <w:lang w:bidi="ar"/>
        </w:rPr>
        <w:t>公务用车运行维护费支出</w:t>
      </w:r>
      <w:r>
        <w:rPr>
          <w:rFonts w:hint="eastAsia" w:ascii="仿宋" w:hAnsi="仿宋" w:eastAsia="仿宋" w:cs="Times New Roman"/>
          <w:sz w:val="32"/>
          <w:szCs w:val="32"/>
          <w:lang w:bidi="ar"/>
        </w:rPr>
        <w:t>7.92</w:t>
      </w:r>
      <w:r>
        <w:rPr>
          <w:rFonts w:hint="eastAsia" w:ascii="仿宋" w:hAnsi="仿宋" w:eastAsia="仿宋" w:cs="仿宋_GB2312"/>
          <w:sz w:val="32"/>
          <w:szCs w:val="32"/>
          <w:lang w:bidi="ar"/>
        </w:rPr>
        <w:t>万元。主要用于下乡和出差等所需的公务用车燃料费、维修费、过路过桥费、保险费等支出。</w:t>
      </w:r>
    </w:p>
    <w:p w14:paraId="6AAE4F83">
      <w:pPr>
        <w:widowControl w:val="0"/>
        <w:spacing w:line="600" w:lineRule="exact"/>
        <w:ind w:firstLine="643" w:firstLineChars="200"/>
        <w:jc w:val="both"/>
        <w:rPr>
          <w:rFonts w:hint="eastAsia" w:ascii="仿宋" w:hAnsi="仿宋" w:eastAsia="仿宋"/>
          <w:sz w:val="32"/>
        </w:rPr>
      </w:pPr>
      <w:bookmarkStart w:id="68" w:name="_Toc15377218"/>
      <w:bookmarkEnd w:id="68"/>
      <w:bookmarkStart w:id="69" w:name="_Toc15396610"/>
      <w:r>
        <w:rPr>
          <w:rFonts w:hint="eastAsia" w:ascii="仿宋" w:hAnsi="仿宋" w:eastAsia="仿宋" w:cs="Times New Roman"/>
          <w:b/>
          <w:sz w:val="32"/>
          <w:szCs w:val="32"/>
          <w:lang w:bidi="ar"/>
        </w:rPr>
        <w:t>3.</w:t>
      </w:r>
      <w:bookmarkEnd w:id="69"/>
      <w:r>
        <w:rPr>
          <w:rFonts w:hint="eastAsia" w:ascii="仿宋" w:hAnsi="仿宋" w:eastAsia="仿宋" w:cs="仿宋_GB2312"/>
          <w:b/>
          <w:sz w:val="32"/>
          <w:szCs w:val="32"/>
          <w:lang w:bidi="ar"/>
        </w:rPr>
        <w:t>公务接待费支出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r>
        <w:rPr>
          <w:rFonts w:hint="eastAsia" w:ascii="仿宋" w:hAnsi="仿宋" w:eastAsia="仿宋" w:cs="仿宋"/>
          <w:kern w:val="0"/>
          <w:sz w:val="32"/>
          <w:szCs w:val="32"/>
          <w:lang w:bidi="ar"/>
        </w:rPr>
        <w:t>完成预算0%。</w:t>
      </w:r>
    </w:p>
    <w:p w14:paraId="3C2D52B2">
      <w:pPr>
        <w:widowControl w:val="0"/>
        <w:spacing w:line="600" w:lineRule="exact"/>
        <w:ind w:firstLine="643" w:firstLineChars="200"/>
        <w:jc w:val="both"/>
        <w:rPr>
          <w:rFonts w:hint="eastAsia" w:ascii="仿宋" w:hAnsi="仿宋" w:eastAsia="仿宋"/>
          <w:sz w:val="32"/>
        </w:rPr>
      </w:pPr>
      <w:r>
        <w:rPr>
          <w:rFonts w:hint="eastAsia" w:ascii="仿宋" w:hAnsi="仿宋" w:eastAsia="仿宋" w:cs="仿宋"/>
          <w:b/>
          <w:sz w:val="32"/>
          <w:szCs w:val="32"/>
          <w:lang w:bidi="ar"/>
        </w:rPr>
        <w:t>国内公务接待支出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万元。国内公务接待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人次（不包括陪同人员），共计支出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31CA450A">
      <w:pPr>
        <w:widowControl w:val="0"/>
        <w:spacing w:line="600" w:lineRule="exact"/>
        <w:ind w:firstLine="643" w:firstLineChars="200"/>
        <w:jc w:val="both"/>
        <w:rPr>
          <w:rFonts w:hint="eastAsia" w:ascii="仿宋" w:hAnsi="仿宋" w:eastAsia="仿宋"/>
          <w:sz w:val="32"/>
        </w:rPr>
      </w:pPr>
      <w:bookmarkStart w:id="70" w:name="_Toc20958"/>
      <w:bookmarkEnd w:id="70"/>
      <w:bookmarkStart w:id="71" w:name="_Toc141"/>
      <w:r>
        <w:rPr>
          <w:rFonts w:hint="eastAsia" w:ascii="仿宋" w:hAnsi="仿宋" w:eastAsia="仿宋" w:cs="仿宋_GB2312"/>
          <w:b/>
          <w:sz w:val="32"/>
          <w:szCs w:val="32"/>
          <w:lang w:bidi="ar"/>
        </w:rPr>
        <w:t>外事接待支出</w:t>
      </w:r>
      <w:bookmarkEnd w:id="71"/>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万元，外事接待</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批次，</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人，共计支出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37C76A53">
      <w:pPr>
        <w:widowControl w:val="0"/>
        <w:spacing w:line="600" w:lineRule="exact"/>
        <w:ind w:firstLine="640" w:firstLineChars="200"/>
        <w:jc w:val="both"/>
        <w:rPr>
          <w:rFonts w:hint="eastAsia" w:ascii="仿宋" w:hAnsi="仿宋" w:eastAsia="仿宋"/>
          <w:sz w:val="32"/>
        </w:rPr>
      </w:pPr>
    </w:p>
    <w:p w14:paraId="7846B5E2">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2" w:name="_Toc15509"/>
      <w:bookmarkEnd w:id="72"/>
      <w:bookmarkStart w:id="73" w:name="_Toc236170674"/>
      <w:r>
        <w:rPr>
          <w:rFonts w:ascii="黑体" w:hAnsi="黑体" w:eastAsia="黑体"/>
          <w:b w:val="0"/>
          <w:bCs/>
          <w:sz w:val="32"/>
          <w:szCs w:val="32"/>
        </w:rPr>
        <w:t>八、政府性基金预算支出决算情况说明</w:t>
      </w:r>
      <w:bookmarkEnd w:id="73"/>
    </w:p>
    <w:p w14:paraId="4BBCA71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年度政府性基金预算财政拨款支出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1F6337A3">
      <w:pPr>
        <w:widowControl w:val="0"/>
        <w:spacing w:line="600" w:lineRule="exact"/>
        <w:ind w:firstLine="640" w:firstLineChars="200"/>
        <w:jc w:val="both"/>
        <w:rPr>
          <w:rFonts w:hint="eastAsia" w:ascii="仿宋" w:hAnsi="仿宋" w:eastAsia="仿宋"/>
          <w:sz w:val="32"/>
        </w:rPr>
      </w:pPr>
    </w:p>
    <w:p w14:paraId="3C5A1B9E">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4" w:name="_Toc7282"/>
      <w:bookmarkEnd w:id="74"/>
      <w:bookmarkStart w:id="75" w:name="_Toc236170675"/>
      <w:r>
        <w:rPr>
          <w:rFonts w:ascii="黑体" w:hAnsi="黑体" w:eastAsia="黑体"/>
          <w:b w:val="0"/>
          <w:bCs/>
          <w:sz w:val="32"/>
          <w:szCs w:val="32"/>
        </w:rPr>
        <w:t>九、</w:t>
      </w:r>
      <w:bookmarkStart w:id="76" w:name="_Toc15396611"/>
      <w:bookmarkEnd w:id="76"/>
      <w:bookmarkStart w:id="77" w:name="_Toc15377219"/>
      <w:r>
        <w:rPr>
          <w:rFonts w:ascii="黑体" w:hAnsi="黑体" w:eastAsia="黑体"/>
          <w:b w:val="0"/>
          <w:bCs/>
          <w:sz w:val="32"/>
          <w:szCs w:val="32"/>
        </w:rPr>
        <w:t>国有资本经营预算支出决算情况说明</w:t>
      </w:r>
      <w:bookmarkEnd w:id="75"/>
      <w:bookmarkEnd w:id="77"/>
    </w:p>
    <w:p w14:paraId="67E2471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年度国有资本经营预算财政拨款支出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w:t>
      </w:r>
    </w:p>
    <w:p w14:paraId="6ECE8DF4">
      <w:pPr>
        <w:widowControl w:val="0"/>
        <w:spacing w:line="600" w:lineRule="exact"/>
        <w:ind w:firstLine="640" w:firstLineChars="200"/>
        <w:jc w:val="both"/>
        <w:rPr>
          <w:rFonts w:hint="eastAsia" w:ascii="仿宋" w:hAnsi="仿宋" w:eastAsia="仿宋"/>
          <w:sz w:val="32"/>
        </w:rPr>
      </w:pPr>
    </w:p>
    <w:p w14:paraId="0528BDDC">
      <w:pPr>
        <w:pStyle w:val="4"/>
        <w:widowControl w:val="0"/>
        <w:spacing w:beforeAutospacing="0" w:afterAutospacing="0" w:line="600" w:lineRule="exact"/>
        <w:ind w:firstLine="640" w:firstLineChars="200"/>
        <w:jc w:val="both"/>
        <w:rPr>
          <w:rFonts w:ascii="黑体" w:hAnsi="黑体" w:eastAsia="黑体"/>
          <w:b w:val="0"/>
          <w:bCs/>
          <w:sz w:val="32"/>
          <w:szCs w:val="32"/>
        </w:rPr>
      </w:pPr>
      <w:bookmarkStart w:id="78" w:name="_Toc10818"/>
      <w:bookmarkEnd w:id="78"/>
      <w:bookmarkStart w:id="79" w:name="_Toc236170676"/>
      <w:r>
        <w:rPr>
          <w:rFonts w:ascii="黑体" w:hAnsi="黑体" w:eastAsia="黑体"/>
          <w:b w:val="0"/>
          <w:bCs/>
          <w:sz w:val="32"/>
          <w:szCs w:val="32"/>
        </w:rPr>
        <w:t>十、</w:t>
      </w:r>
      <w:bookmarkStart w:id="80" w:name="_Toc15377221"/>
      <w:bookmarkEnd w:id="80"/>
      <w:bookmarkStart w:id="81" w:name="_Toc15396612"/>
      <w:r>
        <w:rPr>
          <w:rFonts w:ascii="黑体" w:hAnsi="黑体" w:eastAsia="黑体"/>
          <w:b w:val="0"/>
          <w:bCs/>
          <w:sz w:val="32"/>
          <w:szCs w:val="32"/>
        </w:rPr>
        <w:t>其他重要事项的情况说明</w:t>
      </w:r>
      <w:bookmarkEnd w:id="79"/>
      <w:bookmarkEnd w:id="81"/>
    </w:p>
    <w:p w14:paraId="070849E9">
      <w:pPr>
        <w:widowControl w:val="0"/>
        <w:spacing w:line="600" w:lineRule="exact"/>
        <w:ind w:firstLine="643" w:firstLineChars="200"/>
        <w:jc w:val="both"/>
        <w:outlineLvl w:val="2"/>
        <w:rPr>
          <w:rFonts w:hint="eastAsia" w:ascii="仿宋" w:hAnsi="仿宋" w:eastAsia="仿宋"/>
          <w:sz w:val="32"/>
        </w:rPr>
      </w:pPr>
      <w:bookmarkStart w:id="82" w:name="_Toc1609"/>
      <w:bookmarkEnd w:id="82"/>
      <w:bookmarkStart w:id="83" w:name="_Toc15377222"/>
      <w:r>
        <w:rPr>
          <w:rFonts w:hint="eastAsia" w:ascii="仿宋" w:hAnsi="仿宋" w:eastAsia="仿宋" w:cs="仿宋"/>
          <w:b/>
          <w:sz w:val="32"/>
          <w:szCs w:val="32"/>
          <w:lang w:bidi="ar"/>
        </w:rPr>
        <w:t>（一）机关运行经费支出情况</w:t>
      </w:r>
      <w:bookmarkEnd w:id="83"/>
    </w:p>
    <w:p w14:paraId="640830D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年，壤塘县卫生健康局机关运行经费支出</w:t>
      </w:r>
      <w:r>
        <w:rPr>
          <w:rFonts w:hint="eastAsia" w:ascii="仿宋" w:hAnsi="仿宋" w:eastAsia="仿宋" w:cs="Times New Roman"/>
          <w:sz w:val="32"/>
          <w:szCs w:val="32"/>
          <w:lang w:bidi="ar"/>
        </w:rPr>
        <w:t>34.84</w:t>
      </w:r>
      <w:r>
        <w:rPr>
          <w:rFonts w:hint="eastAsia" w:ascii="仿宋" w:hAnsi="仿宋" w:eastAsia="仿宋" w:cs="仿宋_GB2312"/>
          <w:sz w:val="32"/>
          <w:szCs w:val="32"/>
          <w:lang w:bidi="ar"/>
        </w:rPr>
        <w:t>万元，比</w:t>
      </w:r>
      <w:r>
        <w:rPr>
          <w:rFonts w:hint="eastAsia" w:ascii="仿宋" w:hAnsi="仿宋" w:eastAsia="仿宋" w:cs="Times New Roman"/>
          <w:sz w:val="32"/>
          <w:szCs w:val="32"/>
          <w:lang w:bidi="ar"/>
        </w:rPr>
        <w:t>2022</w:t>
      </w:r>
      <w:r>
        <w:rPr>
          <w:rFonts w:hint="eastAsia" w:ascii="仿宋" w:hAnsi="仿宋" w:eastAsia="仿宋" w:cs="仿宋_GB2312"/>
          <w:sz w:val="32"/>
          <w:szCs w:val="32"/>
          <w:lang w:bidi="ar"/>
        </w:rPr>
        <w:t>年增加</w:t>
      </w:r>
      <w:r>
        <w:rPr>
          <w:rFonts w:hint="eastAsia" w:ascii="仿宋" w:hAnsi="仿宋" w:eastAsia="仿宋" w:cs="Times New Roman"/>
          <w:sz w:val="32"/>
          <w:szCs w:val="32"/>
          <w:lang w:bidi="ar"/>
        </w:rPr>
        <w:t>9.06</w:t>
      </w:r>
      <w:r>
        <w:rPr>
          <w:rFonts w:hint="eastAsia" w:ascii="仿宋" w:hAnsi="仿宋" w:eastAsia="仿宋" w:cs="仿宋_GB2312"/>
          <w:sz w:val="32"/>
          <w:szCs w:val="32"/>
          <w:lang w:bidi="ar"/>
        </w:rPr>
        <w:t>万元，上升</w:t>
      </w:r>
      <w:r>
        <w:rPr>
          <w:rFonts w:hint="eastAsia" w:ascii="仿宋" w:hAnsi="仿宋" w:eastAsia="仿宋" w:cs="Times New Roman"/>
          <w:sz w:val="32"/>
          <w:szCs w:val="32"/>
          <w:lang w:bidi="ar"/>
        </w:rPr>
        <w:t>35.14%</w:t>
      </w:r>
      <w:r>
        <w:rPr>
          <w:rFonts w:hint="eastAsia" w:ascii="仿宋" w:hAnsi="仿宋" w:eastAsia="仿宋" w:cs="仿宋_GB2312"/>
          <w:sz w:val="32"/>
          <w:szCs w:val="32"/>
          <w:lang w:bidi="ar"/>
        </w:rPr>
        <w:t>。主要</w:t>
      </w:r>
      <w:r>
        <w:rPr>
          <w:rFonts w:hint="eastAsia" w:ascii="仿宋" w:hAnsi="仿宋" w:eastAsia="仿宋" w:cs="仿宋_GB2312"/>
          <w:sz w:val="32"/>
          <w:szCs w:val="32"/>
          <w:lang w:eastAsia="zh-CN" w:bidi="ar"/>
        </w:rPr>
        <w:t>原因</w:t>
      </w:r>
      <w:r>
        <w:rPr>
          <w:rFonts w:hint="eastAsia" w:ascii="仿宋" w:hAnsi="仿宋" w:eastAsia="仿宋" w:cs="仿宋_GB2312"/>
          <w:sz w:val="32"/>
          <w:szCs w:val="32"/>
          <w:lang w:bidi="ar"/>
        </w:rPr>
        <w:t>一般行政管理事务增加。</w:t>
      </w:r>
    </w:p>
    <w:p w14:paraId="29463645">
      <w:pPr>
        <w:widowControl w:val="0"/>
        <w:adjustRightInd w:val="0"/>
        <w:spacing w:line="600" w:lineRule="exact"/>
        <w:ind w:firstLine="643" w:firstLineChars="200"/>
        <w:jc w:val="both"/>
        <w:outlineLvl w:val="2"/>
        <w:rPr>
          <w:rFonts w:hint="eastAsia" w:ascii="仿宋" w:hAnsi="仿宋" w:eastAsia="仿宋"/>
          <w:sz w:val="32"/>
        </w:rPr>
      </w:pPr>
      <w:bookmarkStart w:id="84" w:name="_Toc30906"/>
      <w:bookmarkEnd w:id="84"/>
      <w:bookmarkStart w:id="85" w:name="_Toc15377223"/>
      <w:r>
        <w:rPr>
          <w:rFonts w:hint="eastAsia" w:ascii="仿宋" w:hAnsi="仿宋" w:eastAsia="仿宋" w:cs="仿宋"/>
          <w:b/>
          <w:sz w:val="32"/>
          <w:szCs w:val="32"/>
          <w:lang w:bidi="ar"/>
        </w:rPr>
        <w:t>（二）政府采购支出情况</w:t>
      </w:r>
      <w:bookmarkEnd w:id="85"/>
    </w:p>
    <w:p w14:paraId="059CB53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年，壤塘县卫生健康局政府采购支出总额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万元，其中：政府采购货物支出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万元、政府采购工程支出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万元、政府采购服务支出</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万元授予中小企业合同金额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，其中：授予小微企业合同金额</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万元，占政府采购支出总额的</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w:t>
      </w:r>
    </w:p>
    <w:p w14:paraId="67E0784F">
      <w:pPr>
        <w:widowControl w:val="0"/>
        <w:adjustRightInd w:val="0"/>
        <w:spacing w:line="600" w:lineRule="exact"/>
        <w:ind w:firstLine="643" w:firstLineChars="200"/>
        <w:jc w:val="both"/>
        <w:outlineLvl w:val="2"/>
        <w:rPr>
          <w:rFonts w:hint="eastAsia" w:ascii="仿宋" w:hAnsi="仿宋" w:eastAsia="仿宋"/>
          <w:sz w:val="32"/>
        </w:rPr>
      </w:pPr>
      <w:bookmarkStart w:id="86" w:name="_Toc2313"/>
      <w:bookmarkEnd w:id="86"/>
      <w:bookmarkStart w:id="87" w:name="_Toc15377224"/>
      <w:r>
        <w:rPr>
          <w:rFonts w:hint="eastAsia" w:ascii="仿宋" w:hAnsi="仿宋" w:eastAsia="仿宋" w:cs="仿宋"/>
          <w:b/>
          <w:sz w:val="32"/>
          <w:szCs w:val="32"/>
          <w:lang w:bidi="ar"/>
        </w:rPr>
        <w:t>（三）国有资产占有使用情况</w:t>
      </w:r>
      <w:bookmarkEnd w:id="87"/>
    </w:p>
    <w:p w14:paraId="29746889">
      <w:pPr>
        <w:widowControl w:val="0"/>
        <w:adjustRightInd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2023</w:t>
      </w:r>
      <w:r>
        <w:rPr>
          <w:rFonts w:hint="eastAsia" w:ascii="仿宋" w:hAnsi="仿宋" w:eastAsia="仿宋" w:cs="仿宋_GB2312"/>
          <w:sz w:val="32"/>
          <w:szCs w:val="32"/>
          <w:lang w:bidi="ar"/>
        </w:rPr>
        <w:t>年</w:t>
      </w:r>
      <w:r>
        <w:rPr>
          <w:rFonts w:hint="eastAsia" w:ascii="仿宋" w:hAnsi="仿宋" w:eastAsia="仿宋" w:cs="Times New Roman"/>
          <w:sz w:val="32"/>
          <w:szCs w:val="32"/>
          <w:lang w:bidi="ar"/>
        </w:rPr>
        <w:t>12</w:t>
      </w:r>
      <w:r>
        <w:rPr>
          <w:rFonts w:hint="eastAsia" w:ascii="仿宋" w:hAnsi="仿宋" w:eastAsia="仿宋" w:cs="仿宋_GB2312"/>
          <w:sz w:val="32"/>
          <w:szCs w:val="32"/>
          <w:lang w:bidi="ar"/>
        </w:rPr>
        <w:t>月</w:t>
      </w:r>
      <w:r>
        <w:rPr>
          <w:rFonts w:hint="eastAsia" w:ascii="仿宋" w:hAnsi="仿宋" w:eastAsia="仿宋" w:cs="Times New Roman"/>
          <w:sz w:val="32"/>
          <w:szCs w:val="32"/>
          <w:lang w:bidi="ar"/>
        </w:rPr>
        <w:t>31</w:t>
      </w:r>
      <w:r>
        <w:rPr>
          <w:rFonts w:hint="eastAsia" w:ascii="仿宋" w:hAnsi="仿宋" w:eastAsia="仿宋" w:cs="仿宋_GB2312"/>
          <w:sz w:val="32"/>
          <w:szCs w:val="32"/>
          <w:lang w:bidi="ar"/>
        </w:rPr>
        <w:t>日，壤塘县卫生健康局共有车辆</w:t>
      </w:r>
      <w:r>
        <w:rPr>
          <w:rFonts w:hint="eastAsia" w:ascii="仿宋" w:hAnsi="仿宋" w:eastAsia="仿宋" w:cs="Times New Roman"/>
          <w:sz w:val="32"/>
          <w:szCs w:val="32"/>
          <w:lang w:bidi="ar"/>
        </w:rPr>
        <w:t>2</w:t>
      </w:r>
      <w:r>
        <w:rPr>
          <w:rFonts w:hint="eastAsia" w:ascii="仿宋" w:hAnsi="仿宋" w:eastAsia="仿宋" w:cs="仿宋_GB2312"/>
          <w:sz w:val="32"/>
          <w:szCs w:val="32"/>
          <w:lang w:bidi="ar"/>
        </w:rPr>
        <w:t>辆，其中：主要领导干部用车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辆、机要通信用车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辆、应急保障用车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辆、其他用车</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辆。单价</w:t>
      </w:r>
      <w:r>
        <w:rPr>
          <w:rFonts w:hint="eastAsia" w:ascii="仿宋" w:hAnsi="仿宋" w:eastAsia="仿宋" w:cs="Times New Roman"/>
          <w:sz w:val="32"/>
          <w:szCs w:val="32"/>
          <w:lang w:bidi="ar"/>
        </w:rPr>
        <w:t>100</w:t>
      </w:r>
      <w:r>
        <w:rPr>
          <w:rFonts w:hint="eastAsia" w:ascii="仿宋" w:hAnsi="仿宋" w:eastAsia="仿宋" w:cs="仿宋_GB2312"/>
          <w:sz w:val="32"/>
          <w:szCs w:val="32"/>
          <w:lang w:bidi="ar"/>
        </w:rPr>
        <w:t>万元以上专用设备</w:t>
      </w:r>
      <w:r>
        <w:rPr>
          <w:rFonts w:hint="eastAsia" w:ascii="仿宋" w:hAnsi="仿宋" w:eastAsia="仿宋" w:cs="Times New Roman"/>
          <w:sz w:val="32"/>
          <w:szCs w:val="32"/>
          <w:lang w:bidi="ar"/>
        </w:rPr>
        <w:t>0</w:t>
      </w:r>
      <w:r>
        <w:rPr>
          <w:rFonts w:hint="eastAsia" w:ascii="仿宋" w:hAnsi="仿宋" w:eastAsia="仿宋" w:cs="仿宋_GB2312"/>
          <w:sz w:val="32"/>
          <w:szCs w:val="32"/>
          <w:lang w:bidi="ar"/>
        </w:rPr>
        <w:t>台（套）。</w:t>
      </w:r>
    </w:p>
    <w:p w14:paraId="71DB1094">
      <w:pPr>
        <w:widowControl w:val="0"/>
        <w:adjustRightInd w:val="0"/>
        <w:spacing w:line="600" w:lineRule="exact"/>
        <w:ind w:firstLine="643" w:firstLineChars="200"/>
        <w:jc w:val="both"/>
        <w:outlineLvl w:val="2"/>
        <w:rPr>
          <w:rFonts w:hint="eastAsia" w:ascii="仿宋" w:hAnsi="仿宋" w:eastAsia="仿宋"/>
          <w:sz w:val="32"/>
        </w:rPr>
      </w:pPr>
      <w:bookmarkStart w:id="88" w:name="_Toc28583"/>
      <w:bookmarkEnd w:id="88"/>
      <w:r>
        <w:rPr>
          <w:rFonts w:hint="eastAsia" w:ascii="仿宋" w:hAnsi="仿宋" w:eastAsia="仿宋" w:cs="仿宋"/>
          <w:b/>
          <w:sz w:val="32"/>
          <w:szCs w:val="32"/>
          <w:lang w:bidi="ar"/>
        </w:rPr>
        <w:t>（四）预算绩效管理情况</w:t>
      </w:r>
    </w:p>
    <w:p w14:paraId="7C180289">
      <w:pPr>
        <w:widowControl w:val="0"/>
        <w:spacing w:line="600" w:lineRule="exact"/>
        <w:ind w:firstLine="640" w:firstLineChars="200"/>
        <w:jc w:val="both"/>
        <w:rPr>
          <w:rFonts w:hint="eastAsia" w:ascii="仿宋" w:hAnsi="仿宋" w:eastAsia="仿宋"/>
          <w:sz w:val="32"/>
        </w:rPr>
      </w:pPr>
      <w:r>
        <w:rPr>
          <w:rFonts w:hint="eastAsia" w:ascii="仿宋" w:hAnsi="仿宋" w:eastAsia="仿宋" w:cs="仿宋_GB2312"/>
          <w:sz w:val="32"/>
          <w:szCs w:val="32"/>
          <w:lang w:bidi="ar"/>
        </w:rPr>
        <w:t>根据预算绩效管理要求，本部门在2023年度预算编制阶段，组织对1个个项目开展了预算事前绩效评估，对1个项目编制了绩效目标，预算执行过程中，选取1个项目开展绩效监控。</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29"/>
        <w:gridCol w:w="741"/>
        <w:gridCol w:w="1633"/>
        <w:gridCol w:w="302"/>
        <w:gridCol w:w="646"/>
        <w:gridCol w:w="849"/>
        <w:gridCol w:w="751"/>
        <w:gridCol w:w="588"/>
        <w:gridCol w:w="953"/>
        <w:gridCol w:w="793"/>
      </w:tblGrid>
      <w:tr w14:paraId="384E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shd w:val="clear" w:color="auto" w:fill="auto"/>
            <w:vAlign w:val="center"/>
          </w:tcPr>
          <w:p w14:paraId="40263CE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项目名称</w:t>
            </w:r>
          </w:p>
        </w:tc>
        <w:tc>
          <w:tcPr>
            <w:tcW w:w="2211" w:type="dxa"/>
            <w:gridSpan w:val="3"/>
            <w:shd w:val="clear" w:color="auto" w:fill="auto"/>
            <w:vAlign w:val="center"/>
          </w:tcPr>
          <w:p w14:paraId="15FA480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壤塘县乡镇卫生院灾后维修加固项目</w:t>
            </w:r>
          </w:p>
        </w:tc>
        <w:tc>
          <w:tcPr>
            <w:tcW w:w="727" w:type="dxa"/>
            <w:shd w:val="clear" w:color="auto" w:fill="auto"/>
            <w:vAlign w:val="center"/>
          </w:tcPr>
          <w:p w14:paraId="3DA8EDA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项目负责人及电话</w:t>
            </w:r>
          </w:p>
        </w:tc>
        <w:tc>
          <w:tcPr>
            <w:tcW w:w="2642" w:type="dxa"/>
            <w:gridSpan w:val="4"/>
            <w:shd w:val="clear" w:color="auto" w:fill="auto"/>
            <w:vAlign w:val="center"/>
          </w:tcPr>
          <w:p w14:paraId="14B32992">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陈勇 08372378223</w:t>
            </w:r>
          </w:p>
        </w:tc>
      </w:tr>
      <w:tr w14:paraId="0B65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shd w:val="clear" w:color="auto" w:fill="auto"/>
            <w:vAlign w:val="center"/>
          </w:tcPr>
          <w:p w14:paraId="34EEF642">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主管部门</w:t>
            </w:r>
          </w:p>
        </w:tc>
        <w:tc>
          <w:tcPr>
            <w:tcW w:w="2211" w:type="dxa"/>
            <w:gridSpan w:val="3"/>
            <w:shd w:val="clear" w:color="auto" w:fill="auto"/>
            <w:vAlign w:val="center"/>
          </w:tcPr>
          <w:p w14:paraId="4E6A01F7">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壤塘县卫生健康局</w:t>
            </w:r>
          </w:p>
        </w:tc>
        <w:tc>
          <w:tcPr>
            <w:tcW w:w="727" w:type="dxa"/>
            <w:shd w:val="clear" w:color="auto" w:fill="auto"/>
            <w:vAlign w:val="center"/>
          </w:tcPr>
          <w:p w14:paraId="53DA3F3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实施单位</w:t>
            </w:r>
          </w:p>
        </w:tc>
        <w:tc>
          <w:tcPr>
            <w:tcW w:w="2642" w:type="dxa"/>
            <w:gridSpan w:val="4"/>
            <w:shd w:val="clear" w:color="auto" w:fill="auto"/>
            <w:vAlign w:val="center"/>
          </w:tcPr>
          <w:p w14:paraId="76B7FCB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壤塘县卫生健康局</w:t>
            </w:r>
          </w:p>
        </w:tc>
      </w:tr>
      <w:tr w14:paraId="54F2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vMerge w:val="restart"/>
            <w:shd w:val="clear" w:color="auto" w:fill="auto"/>
            <w:vAlign w:val="center"/>
          </w:tcPr>
          <w:p w14:paraId="6203DD1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资金情况</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（万元）</w:t>
            </w:r>
          </w:p>
        </w:tc>
        <w:tc>
          <w:tcPr>
            <w:tcW w:w="1399" w:type="dxa"/>
            <w:shd w:val="clear" w:color="auto" w:fill="auto"/>
            <w:vAlign w:val="center"/>
          </w:tcPr>
          <w:p w14:paraId="4945E6A4">
            <w:pPr>
              <w:widowControl w:val="0"/>
              <w:snapToGrid w:val="0"/>
              <w:jc w:val="both"/>
              <w:rPr>
                <w:rFonts w:hint="eastAsia" w:ascii="仿宋" w:hAnsi="仿宋" w:eastAsia="仿宋"/>
                <w:sz w:val="18"/>
                <w:szCs w:val="16"/>
              </w:rPr>
            </w:pPr>
          </w:p>
        </w:tc>
        <w:tc>
          <w:tcPr>
            <w:tcW w:w="812" w:type="dxa"/>
            <w:gridSpan w:val="2"/>
            <w:shd w:val="clear" w:color="auto" w:fill="auto"/>
            <w:vAlign w:val="center"/>
          </w:tcPr>
          <w:p w14:paraId="19AE0443">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全年预算数（A）</w:t>
            </w:r>
          </w:p>
        </w:tc>
        <w:tc>
          <w:tcPr>
            <w:tcW w:w="1370" w:type="dxa"/>
            <w:gridSpan w:val="2"/>
            <w:shd w:val="clear" w:color="auto" w:fill="auto"/>
            <w:vAlign w:val="center"/>
          </w:tcPr>
          <w:p w14:paraId="43E63A4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全年执行数（B）</w:t>
            </w:r>
          </w:p>
        </w:tc>
        <w:tc>
          <w:tcPr>
            <w:tcW w:w="504" w:type="dxa"/>
            <w:shd w:val="clear" w:color="auto" w:fill="auto"/>
            <w:vAlign w:val="center"/>
          </w:tcPr>
          <w:p w14:paraId="7256C1FB">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分值</w:t>
            </w:r>
          </w:p>
        </w:tc>
        <w:tc>
          <w:tcPr>
            <w:tcW w:w="816" w:type="dxa"/>
            <w:shd w:val="clear" w:color="auto" w:fill="auto"/>
            <w:vAlign w:val="center"/>
          </w:tcPr>
          <w:p w14:paraId="055CB49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执行率（B/A)</w:t>
            </w:r>
          </w:p>
        </w:tc>
        <w:tc>
          <w:tcPr>
            <w:tcW w:w="679" w:type="dxa"/>
            <w:shd w:val="clear" w:color="auto" w:fill="auto"/>
            <w:vAlign w:val="center"/>
          </w:tcPr>
          <w:p w14:paraId="5089E3B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得分</w:t>
            </w:r>
          </w:p>
        </w:tc>
      </w:tr>
      <w:tr w14:paraId="01A5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vMerge w:val="continue"/>
            <w:shd w:val="clear" w:color="auto" w:fill="auto"/>
            <w:vAlign w:val="center"/>
          </w:tcPr>
          <w:p w14:paraId="04CBEBB5">
            <w:pPr>
              <w:widowControl w:val="0"/>
              <w:snapToGrid w:val="0"/>
              <w:jc w:val="both"/>
              <w:rPr>
                <w:rFonts w:hint="eastAsia" w:ascii="仿宋" w:hAnsi="仿宋" w:eastAsia="仿宋"/>
                <w:sz w:val="18"/>
                <w:szCs w:val="16"/>
              </w:rPr>
            </w:pPr>
          </w:p>
        </w:tc>
        <w:tc>
          <w:tcPr>
            <w:tcW w:w="1399" w:type="dxa"/>
            <w:shd w:val="clear" w:color="auto" w:fill="auto"/>
            <w:vAlign w:val="center"/>
          </w:tcPr>
          <w:p w14:paraId="1E1E2784">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年度资金总额：</w:t>
            </w:r>
          </w:p>
        </w:tc>
        <w:tc>
          <w:tcPr>
            <w:tcW w:w="812" w:type="dxa"/>
            <w:gridSpan w:val="2"/>
            <w:shd w:val="clear" w:color="auto" w:fill="auto"/>
            <w:vAlign w:val="center"/>
          </w:tcPr>
          <w:p w14:paraId="05DEC59A">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380</w:t>
            </w:r>
          </w:p>
        </w:tc>
        <w:tc>
          <w:tcPr>
            <w:tcW w:w="1370" w:type="dxa"/>
            <w:gridSpan w:val="2"/>
            <w:shd w:val="clear" w:color="auto" w:fill="auto"/>
            <w:vAlign w:val="center"/>
          </w:tcPr>
          <w:p w14:paraId="4E4F65D5">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220.145</w:t>
            </w:r>
          </w:p>
        </w:tc>
        <w:tc>
          <w:tcPr>
            <w:tcW w:w="504" w:type="dxa"/>
            <w:shd w:val="clear" w:color="auto" w:fill="auto"/>
            <w:vAlign w:val="center"/>
          </w:tcPr>
          <w:p w14:paraId="570281C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816" w:type="dxa"/>
            <w:shd w:val="clear" w:color="auto" w:fill="auto"/>
            <w:vAlign w:val="center"/>
          </w:tcPr>
          <w:p w14:paraId="1638C01A">
            <w:pPr>
              <w:widowControl w:val="0"/>
              <w:snapToGrid w:val="0"/>
              <w:jc w:val="both"/>
              <w:rPr>
                <w:rFonts w:hint="eastAsia" w:ascii="仿宋" w:hAnsi="仿宋" w:eastAsia="仿宋"/>
                <w:sz w:val="18"/>
                <w:szCs w:val="16"/>
              </w:rPr>
            </w:pPr>
          </w:p>
        </w:tc>
        <w:tc>
          <w:tcPr>
            <w:tcW w:w="679" w:type="dxa"/>
            <w:shd w:val="clear" w:color="auto" w:fill="auto"/>
            <w:vAlign w:val="center"/>
          </w:tcPr>
          <w:p w14:paraId="1A2E6A02">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r>
      <w:tr w14:paraId="1C1C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vMerge w:val="continue"/>
            <w:shd w:val="clear" w:color="auto" w:fill="auto"/>
            <w:vAlign w:val="center"/>
          </w:tcPr>
          <w:p w14:paraId="46A8E93E">
            <w:pPr>
              <w:widowControl w:val="0"/>
              <w:snapToGrid w:val="0"/>
              <w:jc w:val="both"/>
              <w:rPr>
                <w:rFonts w:hint="eastAsia" w:ascii="仿宋" w:hAnsi="仿宋" w:eastAsia="仿宋"/>
                <w:sz w:val="18"/>
                <w:szCs w:val="16"/>
              </w:rPr>
            </w:pPr>
          </w:p>
        </w:tc>
        <w:tc>
          <w:tcPr>
            <w:tcW w:w="1399" w:type="dxa"/>
            <w:shd w:val="clear" w:color="auto" w:fill="auto"/>
            <w:vAlign w:val="center"/>
          </w:tcPr>
          <w:p w14:paraId="5908C671">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其中：本年财政拨款</w:t>
            </w:r>
          </w:p>
        </w:tc>
        <w:tc>
          <w:tcPr>
            <w:tcW w:w="812" w:type="dxa"/>
            <w:gridSpan w:val="2"/>
            <w:shd w:val="clear" w:color="auto" w:fill="auto"/>
            <w:vAlign w:val="center"/>
          </w:tcPr>
          <w:p w14:paraId="40B1B6F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380</w:t>
            </w:r>
          </w:p>
        </w:tc>
        <w:tc>
          <w:tcPr>
            <w:tcW w:w="1370" w:type="dxa"/>
            <w:gridSpan w:val="2"/>
            <w:shd w:val="clear" w:color="auto" w:fill="auto"/>
            <w:vAlign w:val="center"/>
          </w:tcPr>
          <w:p w14:paraId="7CC4FA5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220.145</w:t>
            </w:r>
          </w:p>
        </w:tc>
        <w:tc>
          <w:tcPr>
            <w:tcW w:w="504" w:type="dxa"/>
            <w:shd w:val="clear" w:color="auto" w:fill="auto"/>
            <w:vAlign w:val="center"/>
          </w:tcPr>
          <w:p w14:paraId="2BC5E3C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816" w:type="dxa"/>
            <w:shd w:val="clear" w:color="auto" w:fill="auto"/>
            <w:vAlign w:val="center"/>
          </w:tcPr>
          <w:p w14:paraId="61C03E67">
            <w:pPr>
              <w:widowControl w:val="0"/>
              <w:snapToGrid w:val="0"/>
              <w:jc w:val="both"/>
              <w:rPr>
                <w:rFonts w:hint="eastAsia" w:ascii="仿宋" w:hAnsi="仿宋" w:eastAsia="仿宋"/>
                <w:sz w:val="18"/>
                <w:szCs w:val="16"/>
              </w:rPr>
            </w:pPr>
          </w:p>
        </w:tc>
        <w:tc>
          <w:tcPr>
            <w:tcW w:w="679" w:type="dxa"/>
            <w:shd w:val="clear" w:color="auto" w:fill="auto"/>
            <w:vAlign w:val="center"/>
          </w:tcPr>
          <w:p w14:paraId="2726F1F3">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r>
      <w:tr w14:paraId="3CFD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5" w:type="dxa"/>
            <w:gridSpan w:val="3"/>
            <w:vMerge w:val="continue"/>
            <w:shd w:val="clear" w:color="auto" w:fill="auto"/>
            <w:vAlign w:val="center"/>
          </w:tcPr>
          <w:p w14:paraId="17E88513">
            <w:pPr>
              <w:widowControl w:val="0"/>
              <w:snapToGrid w:val="0"/>
              <w:jc w:val="both"/>
              <w:rPr>
                <w:rFonts w:hint="eastAsia" w:ascii="仿宋" w:hAnsi="仿宋" w:eastAsia="仿宋"/>
                <w:sz w:val="18"/>
                <w:szCs w:val="16"/>
              </w:rPr>
            </w:pPr>
          </w:p>
        </w:tc>
        <w:tc>
          <w:tcPr>
            <w:tcW w:w="1399" w:type="dxa"/>
            <w:shd w:val="clear" w:color="auto" w:fill="auto"/>
            <w:vAlign w:val="center"/>
          </w:tcPr>
          <w:p w14:paraId="4E45E5C5">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其他资金</w:t>
            </w:r>
          </w:p>
        </w:tc>
        <w:tc>
          <w:tcPr>
            <w:tcW w:w="812" w:type="dxa"/>
            <w:gridSpan w:val="2"/>
            <w:shd w:val="clear" w:color="auto" w:fill="auto"/>
            <w:vAlign w:val="center"/>
          </w:tcPr>
          <w:p w14:paraId="6A8C956C">
            <w:pPr>
              <w:widowControl w:val="0"/>
              <w:snapToGrid w:val="0"/>
              <w:jc w:val="center"/>
              <w:rPr>
                <w:rFonts w:hint="eastAsia" w:ascii="仿宋" w:hAnsi="仿宋" w:eastAsia="仿宋"/>
                <w:sz w:val="18"/>
                <w:szCs w:val="16"/>
              </w:rPr>
            </w:pPr>
          </w:p>
        </w:tc>
        <w:tc>
          <w:tcPr>
            <w:tcW w:w="1370" w:type="dxa"/>
            <w:gridSpan w:val="2"/>
            <w:shd w:val="clear" w:color="auto" w:fill="auto"/>
            <w:vAlign w:val="center"/>
          </w:tcPr>
          <w:p w14:paraId="2E4D4ECA">
            <w:pPr>
              <w:widowControl w:val="0"/>
              <w:snapToGrid w:val="0"/>
              <w:jc w:val="center"/>
              <w:rPr>
                <w:rFonts w:hint="eastAsia" w:ascii="仿宋" w:hAnsi="仿宋" w:eastAsia="仿宋"/>
                <w:sz w:val="18"/>
                <w:szCs w:val="16"/>
              </w:rPr>
            </w:pPr>
          </w:p>
        </w:tc>
        <w:tc>
          <w:tcPr>
            <w:tcW w:w="504" w:type="dxa"/>
            <w:shd w:val="clear" w:color="auto" w:fill="auto"/>
            <w:vAlign w:val="center"/>
          </w:tcPr>
          <w:p w14:paraId="66D46D34">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w:t>
            </w:r>
          </w:p>
        </w:tc>
        <w:tc>
          <w:tcPr>
            <w:tcW w:w="816" w:type="dxa"/>
            <w:shd w:val="clear" w:color="auto" w:fill="auto"/>
            <w:vAlign w:val="center"/>
          </w:tcPr>
          <w:p w14:paraId="7E6E4B37">
            <w:pPr>
              <w:widowControl w:val="0"/>
              <w:snapToGrid w:val="0"/>
              <w:jc w:val="both"/>
              <w:rPr>
                <w:rFonts w:hint="eastAsia" w:ascii="仿宋" w:hAnsi="仿宋" w:eastAsia="仿宋"/>
                <w:sz w:val="18"/>
                <w:szCs w:val="16"/>
              </w:rPr>
            </w:pPr>
          </w:p>
        </w:tc>
        <w:tc>
          <w:tcPr>
            <w:tcW w:w="679" w:type="dxa"/>
            <w:shd w:val="clear" w:color="auto" w:fill="auto"/>
            <w:vAlign w:val="center"/>
          </w:tcPr>
          <w:p w14:paraId="68486953">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w:t>
            </w:r>
          </w:p>
        </w:tc>
      </w:tr>
      <w:tr w14:paraId="44BE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restart"/>
            <w:shd w:val="clear" w:color="auto" w:fill="auto"/>
            <w:vAlign w:val="center"/>
          </w:tcPr>
          <w:p w14:paraId="655DAC7D">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年度总体目标</w:t>
            </w:r>
          </w:p>
        </w:tc>
        <w:tc>
          <w:tcPr>
            <w:tcW w:w="3385" w:type="dxa"/>
            <w:gridSpan w:val="5"/>
            <w:shd w:val="clear" w:color="auto" w:fill="auto"/>
            <w:vAlign w:val="center"/>
          </w:tcPr>
          <w:p w14:paraId="55AF339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年初设定目标</w:t>
            </w:r>
          </w:p>
        </w:tc>
        <w:tc>
          <w:tcPr>
            <w:tcW w:w="3369" w:type="dxa"/>
            <w:gridSpan w:val="5"/>
            <w:shd w:val="clear" w:color="auto" w:fill="auto"/>
            <w:vAlign w:val="center"/>
          </w:tcPr>
          <w:p w14:paraId="3D5A1AB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年度总体目标完成情况综述</w:t>
            </w:r>
          </w:p>
        </w:tc>
      </w:tr>
      <w:tr w14:paraId="714F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665A0EB7">
            <w:pPr>
              <w:widowControl w:val="0"/>
              <w:snapToGrid w:val="0"/>
              <w:jc w:val="both"/>
              <w:rPr>
                <w:rFonts w:hint="eastAsia" w:ascii="仿宋" w:hAnsi="仿宋" w:eastAsia="仿宋"/>
                <w:sz w:val="18"/>
                <w:szCs w:val="16"/>
              </w:rPr>
            </w:pPr>
          </w:p>
        </w:tc>
        <w:tc>
          <w:tcPr>
            <w:tcW w:w="3385" w:type="dxa"/>
            <w:gridSpan w:val="5"/>
            <w:shd w:val="clear" w:color="auto" w:fill="auto"/>
            <w:vAlign w:val="center"/>
          </w:tcPr>
          <w:p w14:paraId="27F372F3">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壤塘县乡镇卫生院灾后维修加固</w:t>
            </w:r>
          </w:p>
        </w:tc>
        <w:tc>
          <w:tcPr>
            <w:tcW w:w="3369" w:type="dxa"/>
            <w:gridSpan w:val="5"/>
            <w:shd w:val="clear" w:color="auto" w:fill="auto"/>
            <w:vAlign w:val="center"/>
          </w:tcPr>
          <w:p w14:paraId="418DA06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完成</w:t>
            </w:r>
          </w:p>
        </w:tc>
      </w:tr>
      <w:tr w14:paraId="7532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restart"/>
            <w:shd w:val="clear" w:color="auto" w:fill="auto"/>
            <w:vAlign w:val="center"/>
          </w:tcPr>
          <w:p w14:paraId="11AAB67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绩效指标</w:t>
            </w:r>
          </w:p>
        </w:tc>
        <w:tc>
          <w:tcPr>
            <w:tcW w:w="539" w:type="dxa"/>
            <w:shd w:val="clear" w:color="auto" w:fill="auto"/>
            <w:vAlign w:val="center"/>
          </w:tcPr>
          <w:p w14:paraId="5D25BD3A">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一级</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指标</w:t>
            </w:r>
          </w:p>
        </w:tc>
        <w:tc>
          <w:tcPr>
            <w:tcW w:w="635" w:type="dxa"/>
            <w:shd w:val="clear" w:color="auto" w:fill="auto"/>
            <w:vAlign w:val="center"/>
          </w:tcPr>
          <w:p w14:paraId="0BD9526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二级指标</w:t>
            </w:r>
          </w:p>
        </w:tc>
        <w:tc>
          <w:tcPr>
            <w:tcW w:w="1658" w:type="dxa"/>
            <w:gridSpan w:val="2"/>
            <w:shd w:val="clear" w:color="auto" w:fill="auto"/>
            <w:vAlign w:val="center"/>
          </w:tcPr>
          <w:p w14:paraId="2B3B2EA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三级指标</w:t>
            </w:r>
          </w:p>
        </w:tc>
        <w:tc>
          <w:tcPr>
            <w:tcW w:w="553" w:type="dxa"/>
            <w:shd w:val="clear" w:color="auto" w:fill="auto"/>
            <w:vAlign w:val="center"/>
          </w:tcPr>
          <w:p w14:paraId="187AAD5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分值</w:t>
            </w:r>
          </w:p>
        </w:tc>
        <w:tc>
          <w:tcPr>
            <w:tcW w:w="727" w:type="dxa"/>
            <w:shd w:val="clear" w:color="auto" w:fill="auto"/>
            <w:vAlign w:val="center"/>
          </w:tcPr>
          <w:p w14:paraId="3557C9A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年度指标值</w:t>
            </w:r>
          </w:p>
        </w:tc>
        <w:tc>
          <w:tcPr>
            <w:tcW w:w="643" w:type="dxa"/>
            <w:shd w:val="clear" w:color="auto" w:fill="auto"/>
            <w:vAlign w:val="center"/>
          </w:tcPr>
          <w:p w14:paraId="03E0D61B">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全年实际值</w:t>
            </w:r>
          </w:p>
        </w:tc>
        <w:tc>
          <w:tcPr>
            <w:tcW w:w="504" w:type="dxa"/>
            <w:shd w:val="clear" w:color="auto" w:fill="auto"/>
            <w:vAlign w:val="center"/>
          </w:tcPr>
          <w:p w14:paraId="63827EA2">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得分</w:t>
            </w:r>
          </w:p>
        </w:tc>
        <w:tc>
          <w:tcPr>
            <w:tcW w:w="1495" w:type="dxa"/>
            <w:gridSpan w:val="2"/>
            <w:shd w:val="clear" w:color="auto" w:fill="auto"/>
            <w:vAlign w:val="center"/>
          </w:tcPr>
          <w:p w14:paraId="2040E8D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未完成原因及拟采取的改进措施</w:t>
            </w:r>
          </w:p>
        </w:tc>
      </w:tr>
      <w:tr w14:paraId="07EB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42359AE">
            <w:pPr>
              <w:widowControl w:val="0"/>
              <w:snapToGrid w:val="0"/>
              <w:jc w:val="both"/>
              <w:rPr>
                <w:rFonts w:hint="eastAsia" w:ascii="仿宋" w:hAnsi="仿宋" w:eastAsia="仿宋"/>
                <w:sz w:val="18"/>
                <w:szCs w:val="16"/>
              </w:rPr>
            </w:pPr>
          </w:p>
        </w:tc>
        <w:tc>
          <w:tcPr>
            <w:tcW w:w="539" w:type="dxa"/>
            <w:vMerge w:val="restart"/>
            <w:shd w:val="clear" w:color="auto" w:fill="auto"/>
            <w:vAlign w:val="center"/>
          </w:tcPr>
          <w:p w14:paraId="7B341B15">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产</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出</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标</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(50分)</w:t>
            </w:r>
          </w:p>
        </w:tc>
        <w:tc>
          <w:tcPr>
            <w:tcW w:w="635" w:type="dxa"/>
            <w:vMerge w:val="restart"/>
            <w:shd w:val="clear" w:color="auto" w:fill="auto"/>
            <w:vAlign w:val="center"/>
          </w:tcPr>
          <w:p w14:paraId="190001A6">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数量指标</w:t>
            </w:r>
          </w:p>
        </w:tc>
        <w:tc>
          <w:tcPr>
            <w:tcW w:w="1658" w:type="dxa"/>
            <w:gridSpan w:val="2"/>
            <w:shd w:val="clear" w:color="auto" w:fill="auto"/>
            <w:vAlign w:val="center"/>
          </w:tcPr>
          <w:p w14:paraId="304BEB16">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壤塘县乡镇卫生院灾后维修加固项目</w:t>
            </w:r>
          </w:p>
        </w:tc>
        <w:tc>
          <w:tcPr>
            <w:tcW w:w="553" w:type="dxa"/>
            <w:shd w:val="clear" w:color="auto" w:fill="auto"/>
            <w:vAlign w:val="center"/>
          </w:tcPr>
          <w:p w14:paraId="6B86842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20</w:t>
            </w:r>
          </w:p>
        </w:tc>
        <w:tc>
          <w:tcPr>
            <w:tcW w:w="727" w:type="dxa"/>
            <w:shd w:val="clear" w:color="auto" w:fill="auto"/>
            <w:vAlign w:val="center"/>
          </w:tcPr>
          <w:p w14:paraId="2288D23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75F5602B">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617749CE">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20</w:t>
            </w:r>
          </w:p>
        </w:tc>
        <w:tc>
          <w:tcPr>
            <w:tcW w:w="1495" w:type="dxa"/>
            <w:gridSpan w:val="2"/>
            <w:shd w:val="clear" w:color="auto" w:fill="auto"/>
            <w:vAlign w:val="center"/>
          </w:tcPr>
          <w:p w14:paraId="38574B2A">
            <w:pPr>
              <w:widowControl w:val="0"/>
              <w:snapToGrid w:val="0"/>
              <w:jc w:val="center"/>
              <w:rPr>
                <w:rFonts w:hint="eastAsia" w:ascii="仿宋" w:hAnsi="仿宋" w:eastAsia="仿宋"/>
                <w:sz w:val="18"/>
                <w:szCs w:val="16"/>
              </w:rPr>
            </w:pPr>
          </w:p>
        </w:tc>
      </w:tr>
      <w:tr w14:paraId="45E9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69722706">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5B4FFC7A">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2695B25B">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57E82553">
            <w:pPr>
              <w:widowControl w:val="0"/>
              <w:snapToGrid w:val="0"/>
              <w:jc w:val="center"/>
              <w:rPr>
                <w:rFonts w:hint="eastAsia" w:ascii="仿宋" w:hAnsi="仿宋" w:eastAsia="仿宋"/>
                <w:sz w:val="18"/>
                <w:szCs w:val="16"/>
              </w:rPr>
            </w:pPr>
          </w:p>
        </w:tc>
        <w:tc>
          <w:tcPr>
            <w:tcW w:w="553" w:type="dxa"/>
            <w:shd w:val="clear" w:color="auto" w:fill="auto"/>
            <w:vAlign w:val="center"/>
          </w:tcPr>
          <w:p w14:paraId="7FECB9F0">
            <w:pPr>
              <w:widowControl w:val="0"/>
              <w:snapToGrid w:val="0"/>
              <w:jc w:val="center"/>
              <w:rPr>
                <w:rFonts w:hint="eastAsia" w:ascii="仿宋" w:hAnsi="仿宋" w:eastAsia="仿宋"/>
                <w:sz w:val="18"/>
                <w:szCs w:val="16"/>
              </w:rPr>
            </w:pPr>
          </w:p>
        </w:tc>
        <w:tc>
          <w:tcPr>
            <w:tcW w:w="727" w:type="dxa"/>
            <w:shd w:val="clear" w:color="auto" w:fill="auto"/>
            <w:vAlign w:val="center"/>
          </w:tcPr>
          <w:p w14:paraId="37A635C2">
            <w:pPr>
              <w:widowControl w:val="0"/>
              <w:snapToGrid w:val="0"/>
              <w:jc w:val="center"/>
              <w:rPr>
                <w:rFonts w:hint="eastAsia" w:ascii="仿宋" w:hAnsi="仿宋" w:eastAsia="仿宋"/>
                <w:sz w:val="18"/>
                <w:szCs w:val="16"/>
              </w:rPr>
            </w:pPr>
          </w:p>
        </w:tc>
        <w:tc>
          <w:tcPr>
            <w:tcW w:w="643" w:type="dxa"/>
            <w:shd w:val="clear" w:color="auto" w:fill="auto"/>
            <w:vAlign w:val="center"/>
          </w:tcPr>
          <w:p w14:paraId="7E6919D5">
            <w:pPr>
              <w:widowControl w:val="0"/>
              <w:snapToGrid w:val="0"/>
              <w:jc w:val="both"/>
              <w:rPr>
                <w:rFonts w:hint="eastAsia" w:ascii="仿宋" w:hAnsi="仿宋" w:eastAsia="仿宋"/>
                <w:sz w:val="18"/>
                <w:szCs w:val="16"/>
              </w:rPr>
            </w:pPr>
          </w:p>
        </w:tc>
        <w:tc>
          <w:tcPr>
            <w:tcW w:w="504" w:type="dxa"/>
            <w:shd w:val="clear" w:color="auto" w:fill="auto"/>
            <w:vAlign w:val="center"/>
          </w:tcPr>
          <w:p w14:paraId="2110EFB9">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21C9630D">
            <w:pPr>
              <w:widowControl w:val="0"/>
              <w:snapToGrid w:val="0"/>
              <w:jc w:val="center"/>
              <w:rPr>
                <w:rFonts w:hint="eastAsia" w:ascii="仿宋" w:hAnsi="仿宋" w:eastAsia="仿宋"/>
                <w:sz w:val="18"/>
                <w:szCs w:val="16"/>
              </w:rPr>
            </w:pPr>
          </w:p>
        </w:tc>
      </w:tr>
      <w:tr w14:paraId="6429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313FFCAC">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7ECD11B8">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1C2DCBBD">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23EDC9EF">
            <w:pPr>
              <w:widowControl w:val="0"/>
              <w:snapToGrid w:val="0"/>
              <w:jc w:val="center"/>
              <w:rPr>
                <w:rFonts w:hint="eastAsia" w:ascii="仿宋" w:hAnsi="仿宋" w:eastAsia="仿宋"/>
                <w:sz w:val="18"/>
                <w:szCs w:val="16"/>
              </w:rPr>
            </w:pPr>
          </w:p>
        </w:tc>
        <w:tc>
          <w:tcPr>
            <w:tcW w:w="553" w:type="dxa"/>
            <w:shd w:val="clear" w:color="auto" w:fill="auto"/>
            <w:vAlign w:val="center"/>
          </w:tcPr>
          <w:p w14:paraId="7468991B">
            <w:pPr>
              <w:widowControl w:val="0"/>
              <w:snapToGrid w:val="0"/>
              <w:jc w:val="center"/>
              <w:rPr>
                <w:rFonts w:hint="eastAsia" w:ascii="仿宋" w:hAnsi="仿宋" w:eastAsia="仿宋"/>
                <w:sz w:val="18"/>
                <w:szCs w:val="16"/>
              </w:rPr>
            </w:pPr>
          </w:p>
        </w:tc>
        <w:tc>
          <w:tcPr>
            <w:tcW w:w="727" w:type="dxa"/>
            <w:shd w:val="clear" w:color="auto" w:fill="auto"/>
            <w:vAlign w:val="center"/>
          </w:tcPr>
          <w:p w14:paraId="6BC6A55B">
            <w:pPr>
              <w:widowControl w:val="0"/>
              <w:snapToGrid w:val="0"/>
              <w:jc w:val="center"/>
              <w:rPr>
                <w:rFonts w:hint="eastAsia" w:ascii="仿宋" w:hAnsi="仿宋" w:eastAsia="仿宋"/>
                <w:sz w:val="18"/>
                <w:szCs w:val="16"/>
              </w:rPr>
            </w:pPr>
          </w:p>
        </w:tc>
        <w:tc>
          <w:tcPr>
            <w:tcW w:w="643" w:type="dxa"/>
            <w:shd w:val="clear" w:color="auto" w:fill="auto"/>
            <w:vAlign w:val="center"/>
          </w:tcPr>
          <w:p w14:paraId="3EC27A56">
            <w:pPr>
              <w:widowControl w:val="0"/>
              <w:snapToGrid w:val="0"/>
              <w:jc w:val="both"/>
              <w:rPr>
                <w:rFonts w:hint="eastAsia" w:ascii="仿宋" w:hAnsi="仿宋" w:eastAsia="仿宋"/>
                <w:sz w:val="18"/>
                <w:szCs w:val="16"/>
              </w:rPr>
            </w:pPr>
          </w:p>
        </w:tc>
        <w:tc>
          <w:tcPr>
            <w:tcW w:w="504" w:type="dxa"/>
            <w:shd w:val="clear" w:color="auto" w:fill="auto"/>
            <w:vAlign w:val="center"/>
          </w:tcPr>
          <w:p w14:paraId="45DC0CD5">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25E52E2F">
            <w:pPr>
              <w:widowControl w:val="0"/>
              <w:snapToGrid w:val="0"/>
              <w:jc w:val="center"/>
              <w:rPr>
                <w:rFonts w:hint="eastAsia" w:ascii="仿宋" w:hAnsi="仿宋" w:eastAsia="仿宋"/>
                <w:sz w:val="18"/>
                <w:szCs w:val="16"/>
              </w:rPr>
            </w:pPr>
          </w:p>
        </w:tc>
      </w:tr>
      <w:tr w14:paraId="3D75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69F88EE">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5154D4C6">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3E73804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质量指标</w:t>
            </w:r>
          </w:p>
        </w:tc>
        <w:tc>
          <w:tcPr>
            <w:tcW w:w="1658" w:type="dxa"/>
            <w:gridSpan w:val="2"/>
            <w:shd w:val="clear" w:color="auto" w:fill="auto"/>
            <w:vAlign w:val="center"/>
          </w:tcPr>
          <w:p w14:paraId="700C0CA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设施设备安装质量合格率</w:t>
            </w:r>
          </w:p>
        </w:tc>
        <w:tc>
          <w:tcPr>
            <w:tcW w:w="553" w:type="dxa"/>
            <w:shd w:val="clear" w:color="auto" w:fill="auto"/>
            <w:vAlign w:val="center"/>
          </w:tcPr>
          <w:p w14:paraId="194EA17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727" w:type="dxa"/>
            <w:shd w:val="clear" w:color="auto" w:fill="auto"/>
            <w:vAlign w:val="center"/>
          </w:tcPr>
          <w:p w14:paraId="78940AD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6270F368">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2236CF33">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1495" w:type="dxa"/>
            <w:gridSpan w:val="2"/>
            <w:shd w:val="clear" w:color="auto" w:fill="auto"/>
            <w:vAlign w:val="center"/>
          </w:tcPr>
          <w:p w14:paraId="2BB79904">
            <w:pPr>
              <w:widowControl w:val="0"/>
              <w:snapToGrid w:val="0"/>
              <w:jc w:val="center"/>
              <w:rPr>
                <w:rFonts w:hint="eastAsia" w:ascii="仿宋" w:hAnsi="仿宋" w:eastAsia="仿宋"/>
                <w:sz w:val="18"/>
                <w:szCs w:val="16"/>
              </w:rPr>
            </w:pPr>
          </w:p>
        </w:tc>
      </w:tr>
      <w:tr w14:paraId="3CA8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72BEC736">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BED508A">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7A378397">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3EC0204E">
            <w:pPr>
              <w:widowControl w:val="0"/>
              <w:snapToGrid w:val="0"/>
              <w:jc w:val="center"/>
              <w:rPr>
                <w:rFonts w:hint="eastAsia" w:ascii="仿宋" w:hAnsi="仿宋" w:eastAsia="仿宋"/>
                <w:sz w:val="18"/>
                <w:szCs w:val="16"/>
              </w:rPr>
            </w:pPr>
          </w:p>
        </w:tc>
        <w:tc>
          <w:tcPr>
            <w:tcW w:w="553" w:type="dxa"/>
            <w:shd w:val="clear" w:color="auto" w:fill="auto"/>
            <w:vAlign w:val="center"/>
          </w:tcPr>
          <w:p w14:paraId="6BA43244">
            <w:pPr>
              <w:widowControl w:val="0"/>
              <w:snapToGrid w:val="0"/>
              <w:jc w:val="center"/>
              <w:rPr>
                <w:rFonts w:hint="eastAsia" w:ascii="仿宋" w:hAnsi="仿宋" w:eastAsia="仿宋"/>
                <w:sz w:val="18"/>
                <w:szCs w:val="16"/>
              </w:rPr>
            </w:pPr>
          </w:p>
        </w:tc>
        <w:tc>
          <w:tcPr>
            <w:tcW w:w="727" w:type="dxa"/>
            <w:shd w:val="clear" w:color="auto" w:fill="auto"/>
            <w:vAlign w:val="center"/>
          </w:tcPr>
          <w:p w14:paraId="1529440E">
            <w:pPr>
              <w:widowControl w:val="0"/>
              <w:snapToGrid w:val="0"/>
              <w:jc w:val="center"/>
              <w:rPr>
                <w:rFonts w:hint="eastAsia" w:ascii="仿宋" w:hAnsi="仿宋" w:eastAsia="仿宋"/>
                <w:sz w:val="18"/>
                <w:szCs w:val="16"/>
              </w:rPr>
            </w:pPr>
          </w:p>
        </w:tc>
        <w:tc>
          <w:tcPr>
            <w:tcW w:w="643" w:type="dxa"/>
            <w:shd w:val="clear" w:color="auto" w:fill="auto"/>
            <w:vAlign w:val="center"/>
          </w:tcPr>
          <w:p w14:paraId="6B248F8C">
            <w:pPr>
              <w:widowControl w:val="0"/>
              <w:snapToGrid w:val="0"/>
              <w:jc w:val="both"/>
              <w:rPr>
                <w:rFonts w:hint="eastAsia" w:ascii="仿宋" w:hAnsi="仿宋" w:eastAsia="仿宋"/>
                <w:sz w:val="18"/>
                <w:szCs w:val="16"/>
              </w:rPr>
            </w:pPr>
          </w:p>
        </w:tc>
        <w:tc>
          <w:tcPr>
            <w:tcW w:w="504" w:type="dxa"/>
            <w:shd w:val="clear" w:color="auto" w:fill="auto"/>
            <w:vAlign w:val="center"/>
          </w:tcPr>
          <w:p w14:paraId="74A3CC1E">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4ADA8838">
            <w:pPr>
              <w:widowControl w:val="0"/>
              <w:snapToGrid w:val="0"/>
              <w:jc w:val="center"/>
              <w:rPr>
                <w:rFonts w:hint="eastAsia" w:ascii="仿宋" w:hAnsi="仿宋" w:eastAsia="仿宋"/>
                <w:sz w:val="18"/>
                <w:szCs w:val="16"/>
              </w:rPr>
            </w:pPr>
          </w:p>
        </w:tc>
      </w:tr>
      <w:tr w14:paraId="5F52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D1329B7">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533409E7">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0E6CB425">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7B479F05">
            <w:pPr>
              <w:widowControl w:val="0"/>
              <w:snapToGrid w:val="0"/>
              <w:jc w:val="center"/>
              <w:rPr>
                <w:rFonts w:hint="eastAsia" w:ascii="仿宋" w:hAnsi="仿宋" w:eastAsia="仿宋"/>
                <w:sz w:val="18"/>
                <w:szCs w:val="16"/>
              </w:rPr>
            </w:pPr>
          </w:p>
        </w:tc>
        <w:tc>
          <w:tcPr>
            <w:tcW w:w="553" w:type="dxa"/>
            <w:shd w:val="clear" w:color="auto" w:fill="auto"/>
            <w:vAlign w:val="center"/>
          </w:tcPr>
          <w:p w14:paraId="05AC69C6">
            <w:pPr>
              <w:widowControl w:val="0"/>
              <w:snapToGrid w:val="0"/>
              <w:jc w:val="center"/>
              <w:rPr>
                <w:rFonts w:hint="eastAsia" w:ascii="仿宋" w:hAnsi="仿宋" w:eastAsia="仿宋"/>
                <w:sz w:val="18"/>
                <w:szCs w:val="16"/>
              </w:rPr>
            </w:pPr>
          </w:p>
        </w:tc>
        <w:tc>
          <w:tcPr>
            <w:tcW w:w="727" w:type="dxa"/>
            <w:shd w:val="clear" w:color="auto" w:fill="auto"/>
            <w:vAlign w:val="center"/>
          </w:tcPr>
          <w:p w14:paraId="42627439">
            <w:pPr>
              <w:widowControl w:val="0"/>
              <w:snapToGrid w:val="0"/>
              <w:jc w:val="center"/>
              <w:rPr>
                <w:rFonts w:hint="eastAsia" w:ascii="仿宋" w:hAnsi="仿宋" w:eastAsia="仿宋"/>
                <w:sz w:val="18"/>
                <w:szCs w:val="16"/>
              </w:rPr>
            </w:pPr>
          </w:p>
        </w:tc>
        <w:tc>
          <w:tcPr>
            <w:tcW w:w="643" w:type="dxa"/>
            <w:shd w:val="clear" w:color="auto" w:fill="auto"/>
            <w:vAlign w:val="center"/>
          </w:tcPr>
          <w:p w14:paraId="56117763">
            <w:pPr>
              <w:widowControl w:val="0"/>
              <w:snapToGrid w:val="0"/>
              <w:jc w:val="both"/>
              <w:rPr>
                <w:rFonts w:hint="eastAsia" w:ascii="仿宋" w:hAnsi="仿宋" w:eastAsia="仿宋"/>
                <w:sz w:val="18"/>
                <w:szCs w:val="16"/>
              </w:rPr>
            </w:pPr>
          </w:p>
        </w:tc>
        <w:tc>
          <w:tcPr>
            <w:tcW w:w="504" w:type="dxa"/>
            <w:shd w:val="clear" w:color="auto" w:fill="auto"/>
            <w:vAlign w:val="center"/>
          </w:tcPr>
          <w:p w14:paraId="771DF225">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52DF65D5">
            <w:pPr>
              <w:widowControl w:val="0"/>
              <w:snapToGrid w:val="0"/>
              <w:jc w:val="center"/>
              <w:rPr>
                <w:rFonts w:hint="eastAsia" w:ascii="仿宋" w:hAnsi="仿宋" w:eastAsia="仿宋"/>
                <w:sz w:val="18"/>
                <w:szCs w:val="16"/>
              </w:rPr>
            </w:pPr>
          </w:p>
        </w:tc>
      </w:tr>
      <w:tr w14:paraId="650D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7C34757E">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038C550B">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39A73A9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时效指标</w:t>
            </w:r>
          </w:p>
        </w:tc>
        <w:tc>
          <w:tcPr>
            <w:tcW w:w="1658" w:type="dxa"/>
            <w:gridSpan w:val="2"/>
            <w:shd w:val="clear" w:color="auto" w:fill="auto"/>
            <w:vAlign w:val="center"/>
          </w:tcPr>
          <w:p w14:paraId="5F80C55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工程完成率</w:t>
            </w:r>
          </w:p>
        </w:tc>
        <w:tc>
          <w:tcPr>
            <w:tcW w:w="553" w:type="dxa"/>
            <w:shd w:val="clear" w:color="auto" w:fill="auto"/>
            <w:vAlign w:val="center"/>
          </w:tcPr>
          <w:p w14:paraId="6A209EA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727" w:type="dxa"/>
            <w:shd w:val="clear" w:color="auto" w:fill="auto"/>
            <w:vAlign w:val="center"/>
          </w:tcPr>
          <w:p w14:paraId="0073886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6B436938">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142878D7">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1495" w:type="dxa"/>
            <w:gridSpan w:val="2"/>
            <w:shd w:val="clear" w:color="auto" w:fill="auto"/>
            <w:vAlign w:val="center"/>
          </w:tcPr>
          <w:p w14:paraId="6FB099E8">
            <w:pPr>
              <w:widowControl w:val="0"/>
              <w:snapToGrid w:val="0"/>
              <w:jc w:val="center"/>
              <w:rPr>
                <w:rFonts w:hint="eastAsia" w:ascii="仿宋" w:hAnsi="仿宋" w:eastAsia="仿宋"/>
                <w:sz w:val="18"/>
                <w:szCs w:val="16"/>
              </w:rPr>
            </w:pPr>
          </w:p>
        </w:tc>
      </w:tr>
      <w:tr w14:paraId="31AE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4BB32148">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321091F0">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40BB624E">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6FB71410">
            <w:pPr>
              <w:widowControl w:val="0"/>
              <w:snapToGrid w:val="0"/>
              <w:jc w:val="center"/>
              <w:rPr>
                <w:rFonts w:hint="eastAsia" w:ascii="仿宋" w:hAnsi="仿宋" w:eastAsia="仿宋"/>
                <w:sz w:val="18"/>
                <w:szCs w:val="16"/>
              </w:rPr>
            </w:pPr>
          </w:p>
        </w:tc>
        <w:tc>
          <w:tcPr>
            <w:tcW w:w="553" w:type="dxa"/>
            <w:shd w:val="clear" w:color="auto" w:fill="auto"/>
            <w:vAlign w:val="center"/>
          </w:tcPr>
          <w:p w14:paraId="5D899FD3">
            <w:pPr>
              <w:widowControl w:val="0"/>
              <w:snapToGrid w:val="0"/>
              <w:jc w:val="center"/>
              <w:rPr>
                <w:rFonts w:hint="eastAsia" w:ascii="仿宋" w:hAnsi="仿宋" w:eastAsia="仿宋"/>
                <w:sz w:val="18"/>
                <w:szCs w:val="16"/>
              </w:rPr>
            </w:pPr>
          </w:p>
        </w:tc>
        <w:tc>
          <w:tcPr>
            <w:tcW w:w="727" w:type="dxa"/>
            <w:shd w:val="clear" w:color="auto" w:fill="auto"/>
            <w:vAlign w:val="center"/>
          </w:tcPr>
          <w:p w14:paraId="03C53ECB">
            <w:pPr>
              <w:widowControl w:val="0"/>
              <w:snapToGrid w:val="0"/>
              <w:jc w:val="center"/>
              <w:rPr>
                <w:rFonts w:hint="eastAsia" w:ascii="仿宋" w:hAnsi="仿宋" w:eastAsia="仿宋"/>
                <w:sz w:val="18"/>
                <w:szCs w:val="16"/>
              </w:rPr>
            </w:pPr>
          </w:p>
        </w:tc>
        <w:tc>
          <w:tcPr>
            <w:tcW w:w="643" w:type="dxa"/>
            <w:shd w:val="clear" w:color="auto" w:fill="auto"/>
            <w:vAlign w:val="center"/>
          </w:tcPr>
          <w:p w14:paraId="41069CC1">
            <w:pPr>
              <w:widowControl w:val="0"/>
              <w:snapToGrid w:val="0"/>
              <w:jc w:val="both"/>
              <w:rPr>
                <w:rFonts w:hint="eastAsia" w:ascii="仿宋" w:hAnsi="仿宋" w:eastAsia="仿宋"/>
                <w:sz w:val="18"/>
                <w:szCs w:val="16"/>
              </w:rPr>
            </w:pPr>
          </w:p>
        </w:tc>
        <w:tc>
          <w:tcPr>
            <w:tcW w:w="504" w:type="dxa"/>
            <w:shd w:val="clear" w:color="auto" w:fill="auto"/>
            <w:vAlign w:val="center"/>
          </w:tcPr>
          <w:p w14:paraId="35B87BFE">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01799DFD">
            <w:pPr>
              <w:widowControl w:val="0"/>
              <w:snapToGrid w:val="0"/>
              <w:jc w:val="center"/>
              <w:rPr>
                <w:rFonts w:hint="eastAsia" w:ascii="仿宋" w:hAnsi="仿宋" w:eastAsia="仿宋"/>
                <w:sz w:val="18"/>
                <w:szCs w:val="16"/>
              </w:rPr>
            </w:pPr>
          </w:p>
        </w:tc>
      </w:tr>
      <w:tr w14:paraId="200F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11DC108A">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427349D9">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5BE4E581">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77457BF2">
            <w:pPr>
              <w:widowControl w:val="0"/>
              <w:snapToGrid w:val="0"/>
              <w:jc w:val="center"/>
              <w:rPr>
                <w:rFonts w:hint="eastAsia" w:ascii="仿宋" w:hAnsi="仿宋" w:eastAsia="仿宋"/>
                <w:sz w:val="18"/>
                <w:szCs w:val="16"/>
              </w:rPr>
            </w:pPr>
          </w:p>
        </w:tc>
        <w:tc>
          <w:tcPr>
            <w:tcW w:w="553" w:type="dxa"/>
            <w:shd w:val="clear" w:color="auto" w:fill="auto"/>
            <w:vAlign w:val="center"/>
          </w:tcPr>
          <w:p w14:paraId="3FB0FD4F">
            <w:pPr>
              <w:widowControl w:val="0"/>
              <w:snapToGrid w:val="0"/>
              <w:jc w:val="center"/>
              <w:rPr>
                <w:rFonts w:hint="eastAsia" w:ascii="仿宋" w:hAnsi="仿宋" w:eastAsia="仿宋"/>
                <w:sz w:val="18"/>
                <w:szCs w:val="16"/>
              </w:rPr>
            </w:pPr>
          </w:p>
        </w:tc>
        <w:tc>
          <w:tcPr>
            <w:tcW w:w="727" w:type="dxa"/>
            <w:shd w:val="clear" w:color="auto" w:fill="auto"/>
            <w:vAlign w:val="center"/>
          </w:tcPr>
          <w:p w14:paraId="03F28610">
            <w:pPr>
              <w:widowControl w:val="0"/>
              <w:snapToGrid w:val="0"/>
              <w:jc w:val="center"/>
              <w:rPr>
                <w:rFonts w:hint="eastAsia" w:ascii="仿宋" w:hAnsi="仿宋" w:eastAsia="仿宋"/>
                <w:sz w:val="18"/>
                <w:szCs w:val="16"/>
              </w:rPr>
            </w:pPr>
          </w:p>
        </w:tc>
        <w:tc>
          <w:tcPr>
            <w:tcW w:w="643" w:type="dxa"/>
            <w:shd w:val="clear" w:color="auto" w:fill="auto"/>
            <w:vAlign w:val="center"/>
          </w:tcPr>
          <w:p w14:paraId="0A0DB66F">
            <w:pPr>
              <w:widowControl w:val="0"/>
              <w:snapToGrid w:val="0"/>
              <w:jc w:val="both"/>
              <w:rPr>
                <w:rFonts w:hint="eastAsia" w:ascii="仿宋" w:hAnsi="仿宋" w:eastAsia="仿宋"/>
                <w:sz w:val="18"/>
                <w:szCs w:val="16"/>
              </w:rPr>
            </w:pPr>
          </w:p>
        </w:tc>
        <w:tc>
          <w:tcPr>
            <w:tcW w:w="504" w:type="dxa"/>
            <w:shd w:val="clear" w:color="auto" w:fill="auto"/>
            <w:vAlign w:val="center"/>
          </w:tcPr>
          <w:p w14:paraId="4B1C70A7">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1D1A9694">
            <w:pPr>
              <w:widowControl w:val="0"/>
              <w:snapToGrid w:val="0"/>
              <w:jc w:val="center"/>
              <w:rPr>
                <w:rFonts w:hint="eastAsia" w:ascii="仿宋" w:hAnsi="仿宋" w:eastAsia="仿宋"/>
                <w:sz w:val="18"/>
                <w:szCs w:val="16"/>
              </w:rPr>
            </w:pPr>
          </w:p>
        </w:tc>
      </w:tr>
      <w:tr w14:paraId="39C3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0BA57E17">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66E2FE90">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2D4CBBB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成本指标</w:t>
            </w:r>
          </w:p>
        </w:tc>
        <w:tc>
          <w:tcPr>
            <w:tcW w:w="1658" w:type="dxa"/>
            <w:gridSpan w:val="2"/>
            <w:shd w:val="clear" w:color="auto" w:fill="auto"/>
            <w:vAlign w:val="center"/>
          </w:tcPr>
          <w:p w14:paraId="73CA60C6">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工程成本控制率</w:t>
            </w:r>
          </w:p>
        </w:tc>
        <w:tc>
          <w:tcPr>
            <w:tcW w:w="553" w:type="dxa"/>
            <w:shd w:val="clear" w:color="auto" w:fill="auto"/>
            <w:vAlign w:val="center"/>
          </w:tcPr>
          <w:p w14:paraId="35EF9174">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727" w:type="dxa"/>
            <w:shd w:val="clear" w:color="auto" w:fill="auto"/>
            <w:vAlign w:val="center"/>
          </w:tcPr>
          <w:p w14:paraId="42ABDCFE">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5649CB8C">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68129A71">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w:t>
            </w:r>
          </w:p>
        </w:tc>
        <w:tc>
          <w:tcPr>
            <w:tcW w:w="1495" w:type="dxa"/>
            <w:gridSpan w:val="2"/>
            <w:shd w:val="clear" w:color="auto" w:fill="auto"/>
            <w:vAlign w:val="center"/>
          </w:tcPr>
          <w:p w14:paraId="2CBBC010">
            <w:pPr>
              <w:widowControl w:val="0"/>
              <w:snapToGrid w:val="0"/>
              <w:jc w:val="center"/>
              <w:rPr>
                <w:rFonts w:hint="eastAsia" w:ascii="仿宋" w:hAnsi="仿宋" w:eastAsia="仿宋"/>
                <w:sz w:val="18"/>
                <w:szCs w:val="16"/>
              </w:rPr>
            </w:pPr>
          </w:p>
        </w:tc>
      </w:tr>
      <w:tr w14:paraId="7C0D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B4B2859">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7D57A00A">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25A3AB4D">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12EF72A1">
            <w:pPr>
              <w:widowControl w:val="0"/>
              <w:snapToGrid w:val="0"/>
              <w:jc w:val="center"/>
              <w:rPr>
                <w:rFonts w:hint="eastAsia" w:ascii="仿宋" w:hAnsi="仿宋" w:eastAsia="仿宋"/>
                <w:sz w:val="18"/>
                <w:szCs w:val="16"/>
              </w:rPr>
            </w:pPr>
          </w:p>
        </w:tc>
        <w:tc>
          <w:tcPr>
            <w:tcW w:w="553" w:type="dxa"/>
            <w:shd w:val="clear" w:color="auto" w:fill="auto"/>
            <w:vAlign w:val="center"/>
          </w:tcPr>
          <w:p w14:paraId="070D532C">
            <w:pPr>
              <w:widowControl w:val="0"/>
              <w:snapToGrid w:val="0"/>
              <w:jc w:val="center"/>
              <w:rPr>
                <w:rFonts w:hint="eastAsia" w:ascii="仿宋" w:hAnsi="仿宋" w:eastAsia="仿宋"/>
                <w:sz w:val="18"/>
                <w:szCs w:val="16"/>
              </w:rPr>
            </w:pPr>
          </w:p>
        </w:tc>
        <w:tc>
          <w:tcPr>
            <w:tcW w:w="727" w:type="dxa"/>
            <w:shd w:val="clear" w:color="auto" w:fill="auto"/>
            <w:vAlign w:val="center"/>
          </w:tcPr>
          <w:p w14:paraId="253C79CE">
            <w:pPr>
              <w:widowControl w:val="0"/>
              <w:snapToGrid w:val="0"/>
              <w:jc w:val="center"/>
              <w:rPr>
                <w:rFonts w:hint="eastAsia" w:ascii="仿宋" w:hAnsi="仿宋" w:eastAsia="仿宋"/>
                <w:sz w:val="18"/>
                <w:szCs w:val="16"/>
              </w:rPr>
            </w:pPr>
          </w:p>
        </w:tc>
        <w:tc>
          <w:tcPr>
            <w:tcW w:w="643" w:type="dxa"/>
            <w:shd w:val="clear" w:color="auto" w:fill="auto"/>
            <w:vAlign w:val="center"/>
          </w:tcPr>
          <w:p w14:paraId="1C199DDE">
            <w:pPr>
              <w:widowControl w:val="0"/>
              <w:snapToGrid w:val="0"/>
              <w:jc w:val="both"/>
              <w:rPr>
                <w:rFonts w:hint="eastAsia" w:ascii="仿宋" w:hAnsi="仿宋" w:eastAsia="仿宋"/>
                <w:sz w:val="18"/>
                <w:szCs w:val="16"/>
              </w:rPr>
            </w:pPr>
          </w:p>
        </w:tc>
        <w:tc>
          <w:tcPr>
            <w:tcW w:w="504" w:type="dxa"/>
            <w:shd w:val="clear" w:color="auto" w:fill="auto"/>
            <w:vAlign w:val="center"/>
          </w:tcPr>
          <w:p w14:paraId="1DCA12CF">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6C405BC6">
            <w:pPr>
              <w:widowControl w:val="0"/>
              <w:snapToGrid w:val="0"/>
              <w:jc w:val="center"/>
              <w:rPr>
                <w:rFonts w:hint="eastAsia" w:ascii="仿宋" w:hAnsi="仿宋" w:eastAsia="仿宋"/>
                <w:sz w:val="18"/>
                <w:szCs w:val="16"/>
              </w:rPr>
            </w:pPr>
          </w:p>
        </w:tc>
      </w:tr>
      <w:tr w14:paraId="7200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33BA3127">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08FC84DB">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5A81774F">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33CB02EB">
            <w:pPr>
              <w:widowControl w:val="0"/>
              <w:snapToGrid w:val="0"/>
              <w:jc w:val="center"/>
              <w:rPr>
                <w:rFonts w:hint="eastAsia" w:ascii="仿宋" w:hAnsi="仿宋" w:eastAsia="仿宋"/>
                <w:sz w:val="18"/>
                <w:szCs w:val="16"/>
              </w:rPr>
            </w:pPr>
          </w:p>
        </w:tc>
        <w:tc>
          <w:tcPr>
            <w:tcW w:w="553" w:type="dxa"/>
            <w:shd w:val="clear" w:color="auto" w:fill="auto"/>
            <w:vAlign w:val="center"/>
          </w:tcPr>
          <w:p w14:paraId="0E3BB675">
            <w:pPr>
              <w:widowControl w:val="0"/>
              <w:snapToGrid w:val="0"/>
              <w:jc w:val="center"/>
              <w:rPr>
                <w:rFonts w:hint="eastAsia" w:ascii="仿宋" w:hAnsi="仿宋" w:eastAsia="仿宋"/>
                <w:sz w:val="18"/>
                <w:szCs w:val="16"/>
              </w:rPr>
            </w:pPr>
          </w:p>
        </w:tc>
        <w:tc>
          <w:tcPr>
            <w:tcW w:w="727" w:type="dxa"/>
            <w:shd w:val="clear" w:color="auto" w:fill="auto"/>
            <w:vAlign w:val="center"/>
          </w:tcPr>
          <w:p w14:paraId="23D36C1D">
            <w:pPr>
              <w:widowControl w:val="0"/>
              <w:snapToGrid w:val="0"/>
              <w:jc w:val="center"/>
              <w:rPr>
                <w:rFonts w:hint="eastAsia" w:ascii="仿宋" w:hAnsi="仿宋" w:eastAsia="仿宋"/>
                <w:sz w:val="18"/>
                <w:szCs w:val="16"/>
              </w:rPr>
            </w:pPr>
          </w:p>
        </w:tc>
        <w:tc>
          <w:tcPr>
            <w:tcW w:w="643" w:type="dxa"/>
            <w:shd w:val="clear" w:color="auto" w:fill="auto"/>
            <w:vAlign w:val="center"/>
          </w:tcPr>
          <w:p w14:paraId="00E76490">
            <w:pPr>
              <w:widowControl w:val="0"/>
              <w:snapToGrid w:val="0"/>
              <w:jc w:val="both"/>
              <w:rPr>
                <w:rFonts w:hint="eastAsia" w:ascii="仿宋" w:hAnsi="仿宋" w:eastAsia="仿宋"/>
                <w:sz w:val="18"/>
                <w:szCs w:val="16"/>
              </w:rPr>
            </w:pPr>
          </w:p>
        </w:tc>
        <w:tc>
          <w:tcPr>
            <w:tcW w:w="504" w:type="dxa"/>
            <w:shd w:val="clear" w:color="auto" w:fill="auto"/>
            <w:vAlign w:val="center"/>
          </w:tcPr>
          <w:p w14:paraId="48099B7D">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339EE693">
            <w:pPr>
              <w:widowControl w:val="0"/>
              <w:snapToGrid w:val="0"/>
              <w:jc w:val="center"/>
              <w:rPr>
                <w:rFonts w:hint="eastAsia" w:ascii="仿宋" w:hAnsi="仿宋" w:eastAsia="仿宋"/>
                <w:sz w:val="18"/>
                <w:szCs w:val="16"/>
              </w:rPr>
            </w:pPr>
          </w:p>
        </w:tc>
      </w:tr>
      <w:tr w14:paraId="4B80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1417A1F3">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69ACB07B">
            <w:pPr>
              <w:widowControl w:val="0"/>
              <w:snapToGrid w:val="0"/>
              <w:jc w:val="both"/>
              <w:rPr>
                <w:rFonts w:hint="eastAsia" w:ascii="仿宋" w:hAnsi="仿宋" w:eastAsia="仿宋"/>
                <w:sz w:val="18"/>
                <w:szCs w:val="16"/>
              </w:rPr>
            </w:pPr>
          </w:p>
        </w:tc>
        <w:tc>
          <w:tcPr>
            <w:tcW w:w="635" w:type="dxa"/>
            <w:shd w:val="clear" w:color="auto" w:fill="auto"/>
            <w:vAlign w:val="center"/>
          </w:tcPr>
          <w:p w14:paraId="20FB4A4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w:t>
            </w:r>
          </w:p>
        </w:tc>
        <w:tc>
          <w:tcPr>
            <w:tcW w:w="1658" w:type="dxa"/>
            <w:gridSpan w:val="2"/>
            <w:shd w:val="clear" w:color="auto" w:fill="auto"/>
            <w:vAlign w:val="center"/>
          </w:tcPr>
          <w:p w14:paraId="635D7FB3">
            <w:pPr>
              <w:widowControl w:val="0"/>
              <w:snapToGrid w:val="0"/>
              <w:jc w:val="center"/>
              <w:rPr>
                <w:rFonts w:hint="eastAsia" w:ascii="仿宋" w:hAnsi="仿宋" w:eastAsia="仿宋"/>
                <w:sz w:val="18"/>
                <w:szCs w:val="16"/>
              </w:rPr>
            </w:pPr>
          </w:p>
        </w:tc>
        <w:tc>
          <w:tcPr>
            <w:tcW w:w="553" w:type="dxa"/>
            <w:shd w:val="clear" w:color="auto" w:fill="auto"/>
            <w:vAlign w:val="center"/>
          </w:tcPr>
          <w:p w14:paraId="14F8E42D">
            <w:pPr>
              <w:widowControl w:val="0"/>
              <w:snapToGrid w:val="0"/>
              <w:jc w:val="center"/>
              <w:rPr>
                <w:rFonts w:hint="eastAsia" w:ascii="仿宋" w:hAnsi="仿宋" w:eastAsia="仿宋"/>
                <w:sz w:val="18"/>
                <w:szCs w:val="16"/>
              </w:rPr>
            </w:pPr>
          </w:p>
        </w:tc>
        <w:tc>
          <w:tcPr>
            <w:tcW w:w="727" w:type="dxa"/>
            <w:shd w:val="clear" w:color="auto" w:fill="auto"/>
            <w:vAlign w:val="center"/>
          </w:tcPr>
          <w:p w14:paraId="2B564646">
            <w:pPr>
              <w:widowControl w:val="0"/>
              <w:snapToGrid w:val="0"/>
              <w:jc w:val="center"/>
              <w:rPr>
                <w:rFonts w:hint="eastAsia" w:ascii="仿宋" w:hAnsi="仿宋" w:eastAsia="仿宋"/>
                <w:sz w:val="18"/>
                <w:szCs w:val="16"/>
              </w:rPr>
            </w:pPr>
          </w:p>
        </w:tc>
        <w:tc>
          <w:tcPr>
            <w:tcW w:w="643" w:type="dxa"/>
            <w:shd w:val="clear" w:color="auto" w:fill="auto"/>
            <w:vAlign w:val="center"/>
          </w:tcPr>
          <w:p w14:paraId="27D2C08D">
            <w:pPr>
              <w:widowControl w:val="0"/>
              <w:snapToGrid w:val="0"/>
              <w:jc w:val="both"/>
              <w:rPr>
                <w:rFonts w:hint="eastAsia" w:ascii="仿宋" w:hAnsi="仿宋" w:eastAsia="仿宋"/>
                <w:sz w:val="18"/>
                <w:szCs w:val="16"/>
              </w:rPr>
            </w:pPr>
          </w:p>
        </w:tc>
        <w:tc>
          <w:tcPr>
            <w:tcW w:w="504" w:type="dxa"/>
            <w:shd w:val="clear" w:color="auto" w:fill="auto"/>
            <w:vAlign w:val="center"/>
          </w:tcPr>
          <w:p w14:paraId="5B31A1E2">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1A1C51F1">
            <w:pPr>
              <w:widowControl w:val="0"/>
              <w:snapToGrid w:val="0"/>
              <w:jc w:val="center"/>
              <w:rPr>
                <w:rFonts w:hint="eastAsia" w:ascii="仿宋" w:hAnsi="仿宋" w:eastAsia="仿宋"/>
                <w:sz w:val="18"/>
                <w:szCs w:val="16"/>
              </w:rPr>
            </w:pPr>
          </w:p>
        </w:tc>
      </w:tr>
      <w:tr w14:paraId="1B1D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12511EC9">
            <w:pPr>
              <w:widowControl w:val="0"/>
              <w:snapToGrid w:val="0"/>
              <w:jc w:val="both"/>
              <w:rPr>
                <w:rFonts w:hint="eastAsia" w:ascii="仿宋" w:hAnsi="仿宋" w:eastAsia="仿宋"/>
                <w:sz w:val="18"/>
                <w:szCs w:val="16"/>
              </w:rPr>
            </w:pPr>
          </w:p>
        </w:tc>
        <w:tc>
          <w:tcPr>
            <w:tcW w:w="539" w:type="dxa"/>
            <w:vMerge w:val="restart"/>
            <w:shd w:val="clear" w:color="auto" w:fill="auto"/>
            <w:vAlign w:val="center"/>
          </w:tcPr>
          <w:p w14:paraId="4D16CAC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效</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益</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标</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(30分)</w:t>
            </w:r>
          </w:p>
        </w:tc>
        <w:tc>
          <w:tcPr>
            <w:tcW w:w="635" w:type="dxa"/>
            <w:vMerge w:val="restart"/>
            <w:shd w:val="clear" w:color="auto" w:fill="auto"/>
            <w:vAlign w:val="center"/>
          </w:tcPr>
          <w:p w14:paraId="7E6E124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经济效益</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指标</w:t>
            </w:r>
          </w:p>
        </w:tc>
        <w:tc>
          <w:tcPr>
            <w:tcW w:w="1658" w:type="dxa"/>
            <w:gridSpan w:val="2"/>
            <w:shd w:val="clear" w:color="auto" w:fill="auto"/>
            <w:vAlign w:val="center"/>
          </w:tcPr>
          <w:p w14:paraId="5FBF18E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县域医疗卫生机构收入</w:t>
            </w:r>
          </w:p>
        </w:tc>
        <w:tc>
          <w:tcPr>
            <w:tcW w:w="553" w:type="dxa"/>
            <w:shd w:val="clear" w:color="auto" w:fill="auto"/>
            <w:vAlign w:val="center"/>
          </w:tcPr>
          <w:p w14:paraId="412B7FA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8</w:t>
            </w:r>
          </w:p>
        </w:tc>
        <w:tc>
          <w:tcPr>
            <w:tcW w:w="727" w:type="dxa"/>
            <w:shd w:val="clear" w:color="auto" w:fill="auto"/>
            <w:vAlign w:val="center"/>
          </w:tcPr>
          <w:p w14:paraId="3CCC2D4A">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7FF235A3">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0A00B28B">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6</w:t>
            </w:r>
          </w:p>
        </w:tc>
        <w:tc>
          <w:tcPr>
            <w:tcW w:w="1495" w:type="dxa"/>
            <w:gridSpan w:val="2"/>
            <w:shd w:val="clear" w:color="auto" w:fill="auto"/>
            <w:vAlign w:val="center"/>
          </w:tcPr>
          <w:p w14:paraId="57CE2994">
            <w:pPr>
              <w:widowControl w:val="0"/>
              <w:snapToGrid w:val="0"/>
              <w:jc w:val="center"/>
              <w:rPr>
                <w:rFonts w:hint="eastAsia" w:ascii="仿宋" w:hAnsi="仿宋" w:eastAsia="仿宋"/>
                <w:sz w:val="18"/>
                <w:szCs w:val="16"/>
              </w:rPr>
            </w:pPr>
          </w:p>
        </w:tc>
      </w:tr>
      <w:tr w14:paraId="7FDC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68974A9F">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0F16A6C2">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730810A7">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1773CF01">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促进我县医疗水平提升</w:t>
            </w:r>
          </w:p>
        </w:tc>
        <w:tc>
          <w:tcPr>
            <w:tcW w:w="553" w:type="dxa"/>
            <w:shd w:val="clear" w:color="auto" w:fill="auto"/>
            <w:vAlign w:val="center"/>
          </w:tcPr>
          <w:p w14:paraId="50D9286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6</w:t>
            </w:r>
          </w:p>
        </w:tc>
        <w:tc>
          <w:tcPr>
            <w:tcW w:w="727" w:type="dxa"/>
            <w:shd w:val="clear" w:color="auto" w:fill="auto"/>
            <w:vAlign w:val="center"/>
          </w:tcPr>
          <w:p w14:paraId="35F0363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5B5B9472">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635ABE6A">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6</w:t>
            </w:r>
          </w:p>
        </w:tc>
        <w:tc>
          <w:tcPr>
            <w:tcW w:w="1495" w:type="dxa"/>
            <w:gridSpan w:val="2"/>
            <w:shd w:val="clear" w:color="auto" w:fill="auto"/>
            <w:vAlign w:val="center"/>
          </w:tcPr>
          <w:p w14:paraId="2B47E304">
            <w:pPr>
              <w:widowControl w:val="0"/>
              <w:snapToGrid w:val="0"/>
              <w:jc w:val="center"/>
              <w:rPr>
                <w:rFonts w:hint="eastAsia" w:ascii="仿宋" w:hAnsi="仿宋" w:eastAsia="仿宋"/>
                <w:sz w:val="18"/>
                <w:szCs w:val="16"/>
              </w:rPr>
            </w:pPr>
          </w:p>
        </w:tc>
      </w:tr>
      <w:tr w14:paraId="3A21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58FB3215">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37BD27D2">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6EAD751C">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0F729A80">
            <w:pPr>
              <w:widowControl w:val="0"/>
              <w:snapToGrid w:val="0"/>
              <w:jc w:val="center"/>
              <w:rPr>
                <w:rFonts w:hint="eastAsia" w:ascii="仿宋" w:hAnsi="仿宋" w:eastAsia="仿宋"/>
                <w:sz w:val="18"/>
                <w:szCs w:val="16"/>
              </w:rPr>
            </w:pPr>
          </w:p>
        </w:tc>
        <w:tc>
          <w:tcPr>
            <w:tcW w:w="553" w:type="dxa"/>
            <w:shd w:val="clear" w:color="auto" w:fill="auto"/>
            <w:vAlign w:val="center"/>
          </w:tcPr>
          <w:p w14:paraId="3A9DE68F">
            <w:pPr>
              <w:widowControl w:val="0"/>
              <w:snapToGrid w:val="0"/>
              <w:jc w:val="center"/>
              <w:rPr>
                <w:rFonts w:hint="eastAsia" w:ascii="仿宋" w:hAnsi="仿宋" w:eastAsia="仿宋"/>
                <w:sz w:val="18"/>
                <w:szCs w:val="16"/>
              </w:rPr>
            </w:pPr>
          </w:p>
        </w:tc>
        <w:tc>
          <w:tcPr>
            <w:tcW w:w="727" w:type="dxa"/>
            <w:shd w:val="clear" w:color="auto" w:fill="auto"/>
            <w:vAlign w:val="center"/>
          </w:tcPr>
          <w:p w14:paraId="56A2CF6B">
            <w:pPr>
              <w:widowControl w:val="0"/>
              <w:snapToGrid w:val="0"/>
              <w:jc w:val="center"/>
              <w:rPr>
                <w:rFonts w:hint="eastAsia" w:ascii="仿宋" w:hAnsi="仿宋" w:eastAsia="仿宋"/>
                <w:sz w:val="18"/>
                <w:szCs w:val="16"/>
              </w:rPr>
            </w:pPr>
          </w:p>
        </w:tc>
        <w:tc>
          <w:tcPr>
            <w:tcW w:w="643" w:type="dxa"/>
            <w:shd w:val="clear" w:color="auto" w:fill="auto"/>
            <w:vAlign w:val="center"/>
          </w:tcPr>
          <w:p w14:paraId="3EFC230C">
            <w:pPr>
              <w:widowControl w:val="0"/>
              <w:snapToGrid w:val="0"/>
              <w:jc w:val="both"/>
              <w:rPr>
                <w:rFonts w:hint="eastAsia" w:ascii="仿宋" w:hAnsi="仿宋" w:eastAsia="仿宋"/>
                <w:sz w:val="18"/>
                <w:szCs w:val="16"/>
              </w:rPr>
            </w:pPr>
          </w:p>
        </w:tc>
        <w:tc>
          <w:tcPr>
            <w:tcW w:w="504" w:type="dxa"/>
            <w:shd w:val="clear" w:color="auto" w:fill="auto"/>
            <w:vAlign w:val="center"/>
          </w:tcPr>
          <w:p w14:paraId="69D961C4">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5388974F">
            <w:pPr>
              <w:widowControl w:val="0"/>
              <w:snapToGrid w:val="0"/>
              <w:jc w:val="center"/>
              <w:rPr>
                <w:rFonts w:hint="eastAsia" w:ascii="仿宋" w:hAnsi="仿宋" w:eastAsia="仿宋"/>
                <w:sz w:val="18"/>
                <w:szCs w:val="16"/>
              </w:rPr>
            </w:pPr>
          </w:p>
        </w:tc>
      </w:tr>
      <w:tr w14:paraId="2A1F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367401F7">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B7C3BD9">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0810A284">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社会效益</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指标</w:t>
            </w:r>
          </w:p>
        </w:tc>
        <w:tc>
          <w:tcPr>
            <w:tcW w:w="1658" w:type="dxa"/>
            <w:gridSpan w:val="2"/>
            <w:shd w:val="clear" w:color="auto" w:fill="auto"/>
            <w:vAlign w:val="center"/>
          </w:tcPr>
          <w:p w14:paraId="01375BA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带动县域医疗卫生机构基础能力提升</w:t>
            </w:r>
          </w:p>
        </w:tc>
        <w:tc>
          <w:tcPr>
            <w:tcW w:w="553" w:type="dxa"/>
            <w:shd w:val="clear" w:color="auto" w:fill="auto"/>
            <w:vAlign w:val="center"/>
          </w:tcPr>
          <w:p w14:paraId="43C3C3E6">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8</w:t>
            </w:r>
          </w:p>
        </w:tc>
        <w:tc>
          <w:tcPr>
            <w:tcW w:w="727" w:type="dxa"/>
            <w:shd w:val="clear" w:color="auto" w:fill="auto"/>
            <w:vAlign w:val="center"/>
          </w:tcPr>
          <w:p w14:paraId="483F2B2B">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3A67E30B">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3E7DEF58">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6</w:t>
            </w:r>
          </w:p>
        </w:tc>
        <w:tc>
          <w:tcPr>
            <w:tcW w:w="1495" w:type="dxa"/>
            <w:gridSpan w:val="2"/>
            <w:shd w:val="clear" w:color="auto" w:fill="auto"/>
            <w:vAlign w:val="center"/>
          </w:tcPr>
          <w:p w14:paraId="0053CE5A">
            <w:pPr>
              <w:widowControl w:val="0"/>
              <w:snapToGrid w:val="0"/>
              <w:jc w:val="center"/>
              <w:rPr>
                <w:rFonts w:hint="eastAsia" w:ascii="仿宋" w:hAnsi="仿宋" w:eastAsia="仿宋"/>
                <w:sz w:val="18"/>
                <w:szCs w:val="16"/>
              </w:rPr>
            </w:pPr>
          </w:p>
        </w:tc>
      </w:tr>
      <w:tr w14:paraId="4BBF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80CE982">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266DAE6">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0EE865A7">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04905EB6">
            <w:pPr>
              <w:widowControl w:val="0"/>
              <w:snapToGrid w:val="0"/>
              <w:jc w:val="center"/>
              <w:rPr>
                <w:rFonts w:hint="eastAsia" w:ascii="仿宋" w:hAnsi="仿宋" w:eastAsia="仿宋"/>
                <w:sz w:val="18"/>
                <w:szCs w:val="16"/>
              </w:rPr>
            </w:pPr>
          </w:p>
        </w:tc>
        <w:tc>
          <w:tcPr>
            <w:tcW w:w="553" w:type="dxa"/>
            <w:shd w:val="clear" w:color="auto" w:fill="auto"/>
            <w:vAlign w:val="center"/>
          </w:tcPr>
          <w:p w14:paraId="318E1195">
            <w:pPr>
              <w:widowControl w:val="0"/>
              <w:snapToGrid w:val="0"/>
              <w:jc w:val="center"/>
              <w:rPr>
                <w:rFonts w:hint="eastAsia" w:ascii="仿宋" w:hAnsi="仿宋" w:eastAsia="仿宋"/>
                <w:sz w:val="18"/>
                <w:szCs w:val="16"/>
              </w:rPr>
            </w:pPr>
          </w:p>
        </w:tc>
        <w:tc>
          <w:tcPr>
            <w:tcW w:w="727" w:type="dxa"/>
            <w:shd w:val="clear" w:color="auto" w:fill="auto"/>
            <w:vAlign w:val="center"/>
          </w:tcPr>
          <w:p w14:paraId="32455413">
            <w:pPr>
              <w:widowControl w:val="0"/>
              <w:snapToGrid w:val="0"/>
              <w:jc w:val="center"/>
              <w:rPr>
                <w:rFonts w:hint="eastAsia" w:ascii="仿宋" w:hAnsi="仿宋" w:eastAsia="仿宋"/>
                <w:sz w:val="18"/>
                <w:szCs w:val="16"/>
              </w:rPr>
            </w:pPr>
          </w:p>
        </w:tc>
        <w:tc>
          <w:tcPr>
            <w:tcW w:w="643" w:type="dxa"/>
            <w:shd w:val="clear" w:color="auto" w:fill="auto"/>
            <w:vAlign w:val="center"/>
          </w:tcPr>
          <w:p w14:paraId="28B739AA">
            <w:pPr>
              <w:widowControl w:val="0"/>
              <w:snapToGrid w:val="0"/>
              <w:jc w:val="both"/>
              <w:rPr>
                <w:rFonts w:hint="eastAsia" w:ascii="仿宋" w:hAnsi="仿宋" w:eastAsia="仿宋"/>
                <w:sz w:val="18"/>
                <w:szCs w:val="16"/>
              </w:rPr>
            </w:pPr>
          </w:p>
        </w:tc>
        <w:tc>
          <w:tcPr>
            <w:tcW w:w="504" w:type="dxa"/>
            <w:shd w:val="clear" w:color="auto" w:fill="auto"/>
            <w:vAlign w:val="center"/>
          </w:tcPr>
          <w:p w14:paraId="182C03A8">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6B94EFC9">
            <w:pPr>
              <w:widowControl w:val="0"/>
              <w:snapToGrid w:val="0"/>
              <w:jc w:val="center"/>
              <w:rPr>
                <w:rFonts w:hint="eastAsia" w:ascii="仿宋" w:hAnsi="仿宋" w:eastAsia="仿宋"/>
                <w:sz w:val="18"/>
                <w:szCs w:val="16"/>
              </w:rPr>
            </w:pPr>
          </w:p>
        </w:tc>
      </w:tr>
      <w:tr w14:paraId="7CA4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1E2F4148">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5E83C21">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095770B8">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7A8BF531">
            <w:pPr>
              <w:widowControl w:val="0"/>
              <w:snapToGrid w:val="0"/>
              <w:jc w:val="center"/>
              <w:rPr>
                <w:rFonts w:hint="eastAsia" w:ascii="仿宋" w:hAnsi="仿宋" w:eastAsia="仿宋"/>
                <w:sz w:val="18"/>
                <w:szCs w:val="16"/>
              </w:rPr>
            </w:pPr>
          </w:p>
        </w:tc>
        <w:tc>
          <w:tcPr>
            <w:tcW w:w="553" w:type="dxa"/>
            <w:shd w:val="clear" w:color="auto" w:fill="auto"/>
            <w:vAlign w:val="center"/>
          </w:tcPr>
          <w:p w14:paraId="664A5B66">
            <w:pPr>
              <w:widowControl w:val="0"/>
              <w:snapToGrid w:val="0"/>
              <w:jc w:val="center"/>
              <w:rPr>
                <w:rFonts w:hint="eastAsia" w:ascii="仿宋" w:hAnsi="仿宋" w:eastAsia="仿宋"/>
                <w:sz w:val="18"/>
                <w:szCs w:val="16"/>
              </w:rPr>
            </w:pPr>
          </w:p>
        </w:tc>
        <w:tc>
          <w:tcPr>
            <w:tcW w:w="727" w:type="dxa"/>
            <w:shd w:val="clear" w:color="auto" w:fill="auto"/>
            <w:vAlign w:val="center"/>
          </w:tcPr>
          <w:p w14:paraId="4DA148F9">
            <w:pPr>
              <w:widowControl w:val="0"/>
              <w:snapToGrid w:val="0"/>
              <w:jc w:val="both"/>
              <w:rPr>
                <w:rFonts w:hint="eastAsia" w:ascii="仿宋" w:hAnsi="仿宋" w:eastAsia="仿宋"/>
                <w:sz w:val="18"/>
                <w:szCs w:val="16"/>
              </w:rPr>
            </w:pPr>
          </w:p>
        </w:tc>
        <w:tc>
          <w:tcPr>
            <w:tcW w:w="643" w:type="dxa"/>
            <w:shd w:val="clear" w:color="auto" w:fill="auto"/>
            <w:vAlign w:val="center"/>
          </w:tcPr>
          <w:p w14:paraId="3F794808">
            <w:pPr>
              <w:widowControl w:val="0"/>
              <w:snapToGrid w:val="0"/>
              <w:jc w:val="both"/>
              <w:rPr>
                <w:rFonts w:hint="eastAsia" w:ascii="仿宋" w:hAnsi="仿宋" w:eastAsia="仿宋"/>
                <w:sz w:val="18"/>
                <w:szCs w:val="16"/>
              </w:rPr>
            </w:pPr>
          </w:p>
        </w:tc>
        <w:tc>
          <w:tcPr>
            <w:tcW w:w="504" w:type="dxa"/>
            <w:shd w:val="clear" w:color="auto" w:fill="auto"/>
            <w:vAlign w:val="center"/>
          </w:tcPr>
          <w:p w14:paraId="2ACD3100">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1CDD9B87">
            <w:pPr>
              <w:widowControl w:val="0"/>
              <w:snapToGrid w:val="0"/>
              <w:jc w:val="center"/>
              <w:rPr>
                <w:rFonts w:hint="eastAsia" w:ascii="仿宋" w:hAnsi="仿宋" w:eastAsia="仿宋"/>
                <w:sz w:val="18"/>
                <w:szCs w:val="16"/>
              </w:rPr>
            </w:pPr>
          </w:p>
        </w:tc>
      </w:tr>
      <w:tr w14:paraId="54B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45E9D131">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360B2755">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64F0BC3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生态效益</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指标</w:t>
            </w:r>
          </w:p>
        </w:tc>
        <w:tc>
          <w:tcPr>
            <w:tcW w:w="1658" w:type="dxa"/>
            <w:gridSpan w:val="2"/>
            <w:shd w:val="clear" w:color="auto" w:fill="auto"/>
            <w:vAlign w:val="center"/>
          </w:tcPr>
          <w:p w14:paraId="0272AAF6">
            <w:pPr>
              <w:widowControl w:val="0"/>
              <w:snapToGrid w:val="0"/>
              <w:jc w:val="center"/>
              <w:rPr>
                <w:rFonts w:hint="eastAsia" w:ascii="仿宋" w:hAnsi="仿宋" w:eastAsia="仿宋"/>
                <w:sz w:val="18"/>
                <w:szCs w:val="16"/>
              </w:rPr>
            </w:pPr>
          </w:p>
        </w:tc>
        <w:tc>
          <w:tcPr>
            <w:tcW w:w="553" w:type="dxa"/>
            <w:shd w:val="clear" w:color="auto" w:fill="auto"/>
            <w:vAlign w:val="center"/>
          </w:tcPr>
          <w:p w14:paraId="04154C54">
            <w:pPr>
              <w:widowControl w:val="0"/>
              <w:snapToGrid w:val="0"/>
              <w:jc w:val="center"/>
              <w:rPr>
                <w:rFonts w:hint="eastAsia" w:ascii="仿宋" w:hAnsi="仿宋" w:eastAsia="仿宋"/>
                <w:sz w:val="18"/>
                <w:szCs w:val="16"/>
              </w:rPr>
            </w:pPr>
          </w:p>
        </w:tc>
        <w:tc>
          <w:tcPr>
            <w:tcW w:w="727" w:type="dxa"/>
            <w:shd w:val="clear" w:color="auto" w:fill="auto"/>
            <w:vAlign w:val="center"/>
          </w:tcPr>
          <w:p w14:paraId="401DE565">
            <w:pPr>
              <w:widowControl w:val="0"/>
              <w:snapToGrid w:val="0"/>
              <w:jc w:val="center"/>
              <w:rPr>
                <w:rFonts w:hint="eastAsia" w:ascii="仿宋" w:hAnsi="仿宋" w:eastAsia="仿宋"/>
                <w:sz w:val="18"/>
                <w:szCs w:val="16"/>
              </w:rPr>
            </w:pPr>
          </w:p>
        </w:tc>
        <w:tc>
          <w:tcPr>
            <w:tcW w:w="643" w:type="dxa"/>
            <w:shd w:val="clear" w:color="auto" w:fill="auto"/>
            <w:vAlign w:val="center"/>
          </w:tcPr>
          <w:p w14:paraId="55F62AF9">
            <w:pPr>
              <w:widowControl w:val="0"/>
              <w:snapToGrid w:val="0"/>
              <w:jc w:val="both"/>
              <w:rPr>
                <w:rFonts w:hint="eastAsia" w:ascii="仿宋" w:hAnsi="仿宋" w:eastAsia="仿宋"/>
                <w:sz w:val="18"/>
                <w:szCs w:val="16"/>
              </w:rPr>
            </w:pPr>
          </w:p>
        </w:tc>
        <w:tc>
          <w:tcPr>
            <w:tcW w:w="504" w:type="dxa"/>
            <w:shd w:val="clear" w:color="auto" w:fill="auto"/>
            <w:vAlign w:val="center"/>
          </w:tcPr>
          <w:p w14:paraId="5FDB7476">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010FC330">
            <w:pPr>
              <w:widowControl w:val="0"/>
              <w:snapToGrid w:val="0"/>
              <w:jc w:val="center"/>
              <w:rPr>
                <w:rFonts w:hint="eastAsia" w:ascii="仿宋" w:hAnsi="仿宋" w:eastAsia="仿宋"/>
                <w:sz w:val="18"/>
                <w:szCs w:val="16"/>
              </w:rPr>
            </w:pPr>
          </w:p>
        </w:tc>
      </w:tr>
      <w:tr w14:paraId="3BD1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5C33DF30">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4D060B6E">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7BF15060">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73A575C6">
            <w:pPr>
              <w:widowControl w:val="0"/>
              <w:snapToGrid w:val="0"/>
              <w:jc w:val="center"/>
              <w:rPr>
                <w:rFonts w:hint="eastAsia" w:ascii="仿宋" w:hAnsi="仿宋" w:eastAsia="仿宋"/>
                <w:sz w:val="18"/>
                <w:szCs w:val="16"/>
              </w:rPr>
            </w:pPr>
          </w:p>
        </w:tc>
        <w:tc>
          <w:tcPr>
            <w:tcW w:w="553" w:type="dxa"/>
            <w:shd w:val="clear" w:color="auto" w:fill="auto"/>
            <w:vAlign w:val="center"/>
          </w:tcPr>
          <w:p w14:paraId="2DA4135C">
            <w:pPr>
              <w:widowControl w:val="0"/>
              <w:snapToGrid w:val="0"/>
              <w:jc w:val="center"/>
              <w:rPr>
                <w:rFonts w:hint="eastAsia" w:ascii="仿宋" w:hAnsi="仿宋" w:eastAsia="仿宋"/>
                <w:sz w:val="18"/>
                <w:szCs w:val="16"/>
              </w:rPr>
            </w:pPr>
          </w:p>
        </w:tc>
        <w:tc>
          <w:tcPr>
            <w:tcW w:w="727" w:type="dxa"/>
            <w:shd w:val="clear" w:color="auto" w:fill="auto"/>
            <w:vAlign w:val="center"/>
          </w:tcPr>
          <w:p w14:paraId="0A876F97">
            <w:pPr>
              <w:widowControl w:val="0"/>
              <w:snapToGrid w:val="0"/>
              <w:jc w:val="both"/>
              <w:rPr>
                <w:rFonts w:hint="eastAsia" w:ascii="仿宋" w:hAnsi="仿宋" w:eastAsia="仿宋"/>
                <w:sz w:val="18"/>
                <w:szCs w:val="16"/>
              </w:rPr>
            </w:pPr>
          </w:p>
        </w:tc>
        <w:tc>
          <w:tcPr>
            <w:tcW w:w="643" w:type="dxa"/>
            <w:shd w:val="clear" w:color="auto" w:fill="auto"/>
            <w:vAlign w:val="center"/>
          </w:tcPr>
          <w:p w14:paraId="08D0AC0E">
            <w:pPr>
              <w:widowControl w:val="0"/>
              <w:snapToGrid w:val="0"/>
              <w:jc w:val="both"/>
              <w:rPr>
                <w:rFonts w:hint="eastAsia" w:ascii="仿宋" w:hAnsi="仿宋" w:eastAsia="仿宋"/>
                <w:sz w:val="18"/>
                <w:szCs w:val="16"/>
              </w:rPr>
            </w:pPr>
          </w:p>
        </w:tc>
        <w:tc>
          <w:tcPr>
            <w:tcW w:w="504" w:type="dxa"/>
            <w:shd w:val="clear" w:color="auto" w:fill="auto"/>
            <w:vAlign w:val="center"/>
          </w:tcPr>
          <w:p w14:paraId="48655167">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71F0BEB9">
            <w:pPr>
              <w:widowControl w:val="0"/>
              <w:snapToGrid w:val="0"/>
              <w:jc w:val="center"/>
              <w:rPr>
                <w:rFonts w:hint="eastAsia" w:ascii="仿宋" w:hAnsi="仿宋" w:eastAsia="仿宋"/>
                <w:sz w:val="18"/>
                <w:szCs w:val="16"/>
              </w:rPr>
            </w:pPr>
          </w:p>
        </w:tc>
      </w:tr>
      <w:tr w14:paraId="17E0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74B51E69">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635CA1AC">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73B32351">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3A5EC07B">
            <w:pPr>
              <w:widowControl w:val="0"/>
              <w:snapToGrid w:val="0"/>
              <w:jc w:val="center"/>
              <w:rPr>
                <w:rFonts w:hint="eastAsia" w:ascii="仿宋" w:hAnsi="仿宋" w:eastAsia="仿宋"/>
                <w:sz w:val="18"/>
                <w:szCs w:val="16"/>
              </w:rPr>
            </w:pPr>
          </w:p>
        </w:tc>
        <w:tc>
          <w:tcPr>
            <w:tcW w:w="553" w:type="dxa"/>
            <w:shd w:val="clear" w:color="auto" w:fill="auto"/>
            <w:vAlign w:val="center"/>
          </w:tcPr>
          <w:p w14:paraId="600AF171">
            <w:pPr>
              <w:widowControl w:val="0"/>
              <w:snapToGrid w:val="0"/>
              <w:jc w:val="center"/>
              <w:rPr>
                <w:rFonts w:hint="eastAsia" w:ascii="仿宋" w:hAnsi="仿宋" w:eastAsia="仿宋"/>
                <w:sz w:val="18"/>
                <w:szCs w:val="16"/>
              </w:rPr>
            </w:pPr>
          </w:p>
        </w:tc>
        <w:tc>
          <w:tcPr>
            <w:tcW w:w="727" w:type="dxa"/>
            <w:shd w:val="clear" w:color="auto" w:fill="auto"/>
            <w:vAlign w:val="center"/>
          </w:tcPr>
          <w:p w14:paraId="1EDD7630">
            <w:pPr>
              <w:widowControl w:val="0"/>
              <w:snapToGrid w:val="0"/>
              <w:jc w:val="both"/>
              <w:rPr>
                <w:rFonts w:hint="eastAsia" w:ascii="仿宋" w:hAnsi="仿宋" w:eastAsia="仿宋"/>
                <w:sz w:val="18"/>
                <w:szCs w:val="16"/>
              </w:rPr>
            </w:pPr>
          </w:p>
        </w:tc>
        <w:tc>
          <w:tcPr>
            <w:tcW w:w="643" w:type="dxa"/>
            <w:shd w:val="clear" w:color="auto" w:fill="auto"/>
            <w:vAlign w:val="center"/>
          </w:tcPr>
          <w:p w14:paraId="310BC5C3">
            <w:pPr>
              <w:widowControl w:val="0"/>
              <w:snapToGrid w:val="0"/>
              <w:jc w:val="both"/>
              <w:rPr>
                <w:rFonts w:hint="eastAsia" w:ascii="仿宋" w:hAnsi="仿宋" w:eastAsia="仿宋"/>
                <w:sz w:val="18"/>
                <w:szCs w:val="16"/>
              </w:rPr>
            </w:pPr>
          </w:p>
        </w:tc>
        <w:tc>
          <w:tcPr>
            <w:tcW w:w="504" w:type="dxa"/>
            <w:shd w:val="clear" w:color="auto" w:fill="auto"/>
            <w:vAlign w:val="center"/>
          </w:tcPr>
          <w:p w14:paraId="2BAE97C4">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64011072">
            <w:pPr>
              <w:widowControl w:val="0"/>
              <w:snapToGrid w:val="0"/>
              <w:jc w:val="center"/>
              <w:rPr>
                <w:rFonts w:hint="eastAsia" w:ascii="仿宋" w:hAnsi="仿宋" w:eastAsia="仿宋"/>
                <w:sz w:val="18"/>
                <w:szCs w:val="16"/>
              </w:rPr>
            </w:pPr>
          </w:p>
        </w:tc>
      </w:tr>
      <w:tr w14:paraId="5EFF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247A8DC3">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0C9D2E16">
            <w:pPr>
              <w:widowControl w:val="0"/>
              <w:snapToGrid w:val="0"/>
              <w:jc w:val="both"/>
              <w:rPr>
                <w:rFonts w:hint="eastAsia" w:ascii="仿宋" w:hAnsi="仿宋" w:eastAsia="仿宋"/>
                <w:sz w:val="18"/>
                <w:szCs w:val="16"/>
              </w:rPr>
            </w:pPr>
          </w:p>
        </w:tc>
        <w:tc>
          <w:tcPr>
            <w:tcW w:w="635" w:type="dxa"/>
            <w:vMerge w:val="restart"/>
            <w:shd w:val="clear" w:color="auto" w:fill="auto"/>
            <w:vAlign w:val="center"/>
          </w:tcPr>
          <w:p w14:paraId="04FDB6F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可持续影响指标</w:t>
            </w:r>
          </w:p>
        </w:tc>
        <w:tc>
          <w:tcPr>
            <w:tcW w:w="1658" w:type="dxa"/>
            <w:gridSpan w:val="2"/>
            <w:shd w:val="clear" w:color="auto" w:fill="auto"/>
            <w:vAlign w:val="center"/>
          </w:tcPr>
          <w:p w14:paraId="14610BAF">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项目使医疗卫生机构能力稳步提升</w:t>
            </w:r>
          </w:p>
        </w:tc>
        <w:tc>
          <w:tcPr>
            <w:tcW w:w="553" w:type="dxa"/>
            <w:shd w:val="clear" w:color="auto" w:fill="auto"/>
            <w:vAlign w:val="center"/>
          </w:tcPr>
          <w:p w14:paraId="6A09E5E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8</w:t>
            </w:r>
          </w:p>
        </w:tc>
        <w:tc>
          <w:tcPr>
            <w:tcW w:w="727" w:type="dxa"/>
            <w:shd w:val="clear" w:color="auto" w:fill="auto"/>
            <w:vAlign w:val="center"/>
          </w:tcPr>
          <w:p w14:paraId="18C5CB0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7709910B">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450E4F3A">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6</w:t>
            </w:r>
          </w:p>
        </w:tc>
        <w:tc>
          <w:tcPr>
            <w:tcW w:w="1495" w:type="dxa"/>
            <w:gridSpan w:val="2"/>
            <w:shd w:val="clear" w:color="auto" w:fill="auto"/>
            <w:vAlign w:val="center"/>
          </w:tcPr>
          <w:p w14:paraId="51024434">
            <w:pPr>
              <w:widowControl w:val="0"/>
              <w:snapToGrid w:val="0"/>
              <w:jc w:val="center"/>
              <w:rPr>
                <w:rFonts w:hint="eastAsia" w:ascii="仿宋" w:hAnsi="仿宋" w:eastAsia="仿宋"/>
                <w:sz w:val="18"/>
                <w:szCs w:val="16"/>
              </w:rPr>
            </w:pPr>
          </w:p>
        </w:tc>
      </w:tr>
      <w:tr w14:paraId="507F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053DECA3">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33ABCA2F">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607843EA">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00D255DB">
            <w:pPr>
              <w:widowControl w:val="0"/>
              <w:snapToGrid w:val="0"/>
              <w:jc w:val="center"/>
              <w:rPr>
                <w:rFonts w:hint="eastAsia" w:ascii="仿宋" w:hAnsi="仿宋" w:eastAsia="仿宋"/>
                <w:sz w:val="18"/>
                <w:szCs w:val="16"/>
              </w:rPr>
            </w:pPr>
          </w:p>
        </w:tc>
        <w:tc>
          <w:tcPr>
            <w:tcW w:w="553" w:type="dxa"/>
            <w:shd w:val="clear" w:color="auto" w:fill="auto"/>
            <w:vAlign w:val="center"/>
          </w:tcPr>
          <w:p w14:paraId="203470FA">
            <w:pPr>
              <w:widowControl w:val="0"/>
              <w:snapToGrid w:val="0"/>
              <w:jc w:val="center"/>
              <w:rPr>
                <w:rFonts w:hint="eastAsia" w:ascii="仿宋" w:hAnsi="仿宋" w:eastAsia="仿宋"/>
                <w:sz w:val="18"/>
                <w:szCs w:val="16"/>
              </w:rPr>
            </w:pPr>
          </w:p>
        </w:tc>
        <w:tc>
          <w:tcPr>
            <w:tcW w:w="727" w:type="dxa"/>
            <w:shd w:val="clear" w:color="auto" w:fill="auto"/>
            <w:vAlign w:val="center"/>
          </w:tcPr>
          <w:p w14:paraId="16DEE610">
            <w:pPr>
              <w:widowControl w:val="0"/>
              <w:snapToGrid w:val="0"/>
              <w:jc w:val="both"/>
              <w:rPr>
                <w:rFonts w:hint="eastAsia" w:ascii="仿宋" w:hAnsi="仿宋" w:eastAsia="仿宋"/>
                <w:sz w:val="18"/>
                <w:szCs w:val="16"/>
              </w:rPr>
            </w:pPr>
          </w:p>
        </w:tc>
        <w:tc>
          <w:tcPr>
            <w:tcW w:w="643" w:type="dxa"/>
            <w:shd w:val="clear" w:color="auto" w:fill="auto"/>
            <w:vAlign w:val="center"/>
          </w:tcPr>
          <w:p w14:paraId="002CBE7C">
            <w:pPr>
              <w:widowControl w:val="0"/>
              <w:snapToGrid w:val="0"/>
              <w:jc w:val="both"/>
              <w:rPr>
                <w:rFonts w:hint="eastAsia" w:ascii="仿宋" w:hAnsi="仿宋" w:eastAsia="仿宋"/>
                <w:sz w:val="18"/>
                <w:szCs w:val="16"/>
              </w:rPr>
            </w:pPr>
          </w:p>
        </w:tc>
        <w:tc>
          <w:tcPr>
            <w:tcW w:w="504" w:type="dxa"/>
            <w:shd w:val="clear" w:color="auto" w:fill="auto"/>
            <w:vAlign w:val="center"/>
          </w:tcPr>
          <w:p w14:paraId="4F943B87">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04BC8D24">
            <w:pPr>
              <w:widowControl w:val="0"/>
              <w:snapToGrid w:val="0"/>
              <w:jc w:val="center"/>
              <w:rPr>
                <w:rFonts w:hint="eastAsia" w:ascii="仿宋" w:hAnsi="仿宋" w:eastAsia="仿宋"/>
                <w:sz w:val="18"/>
                <w:szCs w:val="16"/>
              </w:rPr>
            </w:pPr>
          </w:p>
        </w:tc>
      </w:tr>
      <w:tr w14:paraId="0682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3FF2800D">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5527461E">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5EB9CD1B">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18FE6758">
            <w:pPr>
              <w:widowControl w:val="0"/>
              <w:snapToGrid w:val="0"/>
              <w:jc w:val="center"/>
              <w:rPr>
                <w:rFonts w:hint="eastAsia" w:ascii="仿宋" w:hAnsi="仿宋" w:eastAsia="仿宋"/>
                <w:sz w:val="18"/>
                <w:szCs w:val="16"/>
              </w:rPr>
            </w:pPr>
          </w:p>
        </w:tc>
        <w:tc>
          <w:tcPr>
            <w:tcW w:w="553" w:type="dxa"/>
            <w:shd w:val="clear" w:color="auto" w:fill="auto"/>
            <w:vAlign w:val="center"/>
          </w:tcPr>
          <w:p w14:paraId="72CF48F9">
            <w:pPr>
              <w:widowControl w:val="0"/>
              <w:snapToGrid w:val="0"/>
              <w:jc w:val="center"/>
              <w:rPr>
                <w:rFonts w:hint="eastAsia" w:ascii="仿宋" w:hAnsi="仿宋" w:eastAsia="仿宋"/>
                <w:sz w:val="18"/>
                <w:szCs w:val="16"/>
              </w:rPr>
            </w:pPr>
          </w:p>
        </w:tc>
        <w:tc>
          <w:tcPr>
            <w:tcW w:w="727" w:type="dxa"/>
            <w:shd w:val="clear" w:color="auto" w:fill="auto"/>
            <w:vAlign w:val="center"/>
          </w:tcPr>
          <w:p w14:paraId="152F6688">
            <w:pPr>
              <w:widowControl w:val="0"/>
              <w:snapToGrid w:val="0"/>
              <w:jc w:val="both"/>
              <w:rPr>
                <w:rFonts w:hint="eastAsia" w:ascii="仿宋" w:hAnsi="仿宋" w:eastAsia="仿宋"/>
                <w:sz w:val="18"/>
                <w:szCs w:val="16"/>
              </w:rPr>
            </w:pPr>
          </w:p>
        </w:tc>
        <w:tc>
          <w:tcPr>
            <w:tcW w:w="643" w:type="dxa"/>
            <w:shd w:val="clear" w:color="auto" w:fill="auto"/>
            <w:vAlign w:val="center"/>
          </w:tcPr>
          <w:p w14:paraId="567D1C70">
            <w:pPr>
              <w:widowControl w:val="0"/>
              <w:snapToGrid w:val="0"/>
              <w:jc w:val="both"/>
              <w:rPr>
                <w:rFonts w:hint="eastAsia" w:ascii="仿宋" w:hAnsi="仿宋" w:eastAsia="仿宋"/>
                <w:sz w:val="18"/>
                <w:szCs w:val="16"/>
              </w:rPr>
            </w:pPr>
          </w:p>
        </w:tc>
        <w:tc>
          <w:tcPr>
            <w:tcW w:w="504" w:type="dxa"/>
            <w:shd w:val="clear" w:color="auto" w:fill="auto"/>
            <w:vAlign w:val="center"/>
          </w:tcPr>
          <w:p w14:paraId="18B8D4E6">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05CC37BA">
            <w:pPr>
              <w:widowControl w:val="0"/>
              <w:snapToGrid w:val="0"/>
              <w:jc w:val="center"/>
              <w:rPr>
                <w:rFonts w:hint="eastAsia" w:ascii="仿宋" w:hAnsi="仿宋" w:eastAsia="仿宋"/>
                <w:sz w:val="18"/>
                <w:szCs w:val="16"/>
              </w:rPr>
            </w:pPr>
          </w:p>
        </w:tc>
      </w:tr>
      <w:tr w14:paraId="3921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58BE5D79">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A14BE48">
            <w:pPr>
              <w:widowControl w:val="0"/>
              <w:snapToGrid w:val="0"/>
              <w:jc w:val="both"/>
              <w:rPr>
                <w:rFonts w:hint="eastAsia" w:ascii="仿宋" w:hAnsi="仿宋" w:eastAsia="仿宋"/>
                <w:sz w:val="18"/>
                <w:szCs w:val="16"/>
              </w:rPr>
            </w:pPr>
          </w:p>
        </w:tc>
        <w:tc>
          <w:tcPr>
            <w:tcW w:w="635" w:type="dxa"/>
            <w:shd w:val="clear" w:color="auto" w:fill="auto"/>
            <w:vAlign w:val="center"/>
          </w:tcPr>
          <w:p w14:paraId="28D4830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w:t>
            </w:r>
          </w:p>
        </w:tc>
        <w:tc>
          <w:tcPr>
            <w:tcW w:w="1658" w:type="dxa"/>
            <w:gridSpan w:val="2"/>
            <w:shd w:val="clear" w:color="auto" w:fill="auto"/>
            <w:vAlign w:val="center"/>
          </w:tcPr>
          <w:p w14:paraId="7BB3B08E">
            <w:pPr>
              <w:widowControl w:val="0"/>
              <w:snapToGrid w:val="0"/>
              <w:jc w:val="center"/>
              <w:rPr>
                <w:rFonts w:hint="eastAsia" w:ascii="仿宋" w:hAnsi="仿宋" w:eastAsia="仿宋"/>
                <w:sz w:val="18"/>
                <w:szCs w:val="16"/>
              </w:rPr>
            </w:pPr>
          </w:p>
        </w:tc>
        <w:tc>
          <w:tcPr>
            <w:tcW w:w="553" w:type="dxa"/>
            <w:shd w:val="clear" w:color="auto" w:fill="auto"/>
            <w:vAlign w:val="center"/>
          </w:tcPr>
          <w:p w14:paraId="378931F2">
            <w:pPr>
              <w:widowControl w:val="0"/>
              <w:snapToGrid w:val="0"/>
              <w:jc w:val="center"/>
              <w:rPr>
                <w:rFonts w:hint="eastAsia" w:ascii="仿宋" w:hAnsi="仿宋" w:eastAsia="仿宋"/>
                <w:sz w:val="18"/>
                <w:szCs w:val="16"/>
              </w:rPr>
            </w:pPr>
          </w:p>
        </w:tc>
        <w:tc>
          <w:tcPr>
            <w:tcW w:w="727" w:type="dxa"/>
            <w:shd w:val="clear" w:color="auto" w:fill="auto"/>
            <w:vAlign w:val="center"/>
          </w:tcPr>
          <w:p w14:paraId="254DDC38">
            <w:pPr>
              <w:widowControl w:val="0"/>
              <w:snapToGrid w:val="0"/>
              <w:jc w:val="both"/>
              <w:rPr>
                <w:rFonts w:hint="eastAsia" w:ascii="仿宋" w:hAnsi="仿宋" w:eastAsia="仿宋"/>
                <w:sz w:val="18"/>
                <w:szCs w:val="16"/>
              </w:rPr>
            </w:pPr>
          </w:p>
        </w:tc>
        <w:tc>
          <w:tcPr>
            <w:tcW w:w="643" w:type="dxa"/>
            <w:shd w:val="clear" w:color="auto" w:fill="auto"/>
            <w:vAlign w:val="center"/>
          </w:tcPr>
          <w:p w14:paraId="370618E0">
            <w:pPr>
              <w:widowControl w:val="0"/>
              <w:snapToGrid w:val="0"/>
              <w:jc w:val="both"/>
              <w:rPr>
                <w:rFonts w:hint="eastAsia" w:ascii="仿宋" w:hAnsi="仿宋" w:eastAsia="仿宋"/>
                <w:sz w:val="18"/>
                <w:szCs w:val="16"/>
              </w:rPr>
            </w:pPr>
          </w:p>
        </w:tc>
        <w:tc>
          <w:tcPr>
            <w:tcW w:w="504" w:type="dxa"/>
            <w:shd w:val="clear" w:color="auto" w:fill="auto"/>
            <w:vAlign w:val="center"/>
          </w:tcPr>
          <w:p w14:paraId="7FF51C9E">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7957D208">
            <w:pPr>
              <w:widowControl w:val="0"/>
              <w:snapToGrid w:val="0"/>
              <w:jc w:val="center"/>
              <w:rPr>
                <w:rFonts w:hint="eastAsia" w:ascii="仿宋" w:hAnsi="仿宋" w:eastAsia="仿宋"/>
                <w:sz w:val="18"/>
                <w:szCs w:val="16"/>
              </w:rPr>
            </w:pPr>
          </w:p>
        </w:tc>
      </w:tr>
      <w:tr w14:paraId="6047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519911A5">
            <w:pPr>
              <w:widowControl w:val="0"/>
              <w:snapToGrid w:val="0"/>
              <w:jc w:val="both"/>
              <w:rPr>
                <w:rFonts w:hint="eastAsia" w:ascii="仿宋" w:hAnsi="仿宋" w:eastAsia="仿宋"/>
                <w:sz w:val="18"/>
                <w:szCs w:val="16"/>
              </w:rPr>
            </w:pPr>
          </w:p>
        </w:tc>
        <w:tc>
          <w:tcPr>
            <w:tcW w:w="539" w:type="dxa"/>
            <w:vMerge w:val="restart"/>
            <w:shd w:val="clear" w:color="auto" w:fill="auto"/>
            <w:vAlign w:val="center"/>
          </w:tcPr>
          <w:p w14:paraId="7846DAC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满意度指标</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(10分)</w:t>
            </w:r>
          </w:p>
        </w:tc>
        <w:tc>
          <w:tcPr>
            <w:tcW w:w="635" w:type="dxa"/>
            <w:vMerge w:val="restart"/>
            <w:shd w:val="clear" w:color="auto" w:fill="auto"/>
            <w:vAlign w:val="center"/>
          </w:tcPr>
          <w:p w14:paraId="5143FD74">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服务对象</w:t>
            </w:r>
            <w:r>
              <w:rPr>
                <w:rFonts w:hint="eastAsia" w:ascii="仿宋" w:hAnsi="仿宋" w:eastAsia="仿宋" w:cs="宋体"/>
                <w:kern w:val="0"/>
                <w:sz w:val="18"/>
                <w:szCs w:val="16"/>
                <w:lang w:bidi="ar"/>
              </w:rPr>
              <w:br w:type="textWrapping"/>
            </w:r>
            <w:r>
              <w:rPr>
                <w:rFonts w:hint="eastAsia" w:ascii="仿宋" w:hAnsi="仿宋" w:eastAsia="仿宋" w:cs="宋体"/>
                <w:kern w:val="0"/>
                <w:sz w:val="18"/>
                <w:szCs w:val="16"/>
                <w:lang w:bidi="ar"/>
              </w:rPr>
              <w:t>满意度指标</w:t>
            </w:r>
          </w:p>
        </w:tc>
        <w:tc>
          <w:tcPr>
            <w:tcW w:w="1658" w:type="dxa"/>
            <w:gridSpan w:val="2"/>
            <w:shd w:val="clear" w:color="auto" w:fill="auto"/>
            <w:vAlign w:val="center"/>
          </w:tcPr>
          <w:p w14:paraId="385F1A0A">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县域内受益群众</w:t>
            </w:r>
          </w:p>
        </w:tc>
        <w:tc>
          <w:tcPr>
            <w:tcW w:w="553" w:type="dxa"/>
            <w:shd w:val="clear" w:color="auto" w:fill="auto"/>
            <w:vAlign w:val="center"/>
          </w:tcPr>
          <w:p w14:paraId="3376D5BD">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5</w:t>
            </w:r>
          </w:p>
        </w:tc>
        <w:tc>
          <w:tcPr>
            <w:tcW w:w="727" w:type="dxa"/>
            <w:shd w:val="clear" w:color="auto" w:fill="auto"/>
            <w:vAlign w:val="center"/>
          </w:tcPr>
          <w:p w14:paraId="70F280E9">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22484EE7">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4B07A8E4">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5</w:t>
            </w:r>
          </w:p>
        </w:tc>
        <w:tc>
          <w:tcPr>
            <w:tcW w:w="1495" w:type="dxa"/>
            <w:gridSpan w:val="2"/>
            <w:shd w:val="clear" w:color="auto" w:fill="auto"/>
            <w:vAlign w:val="center"/>
          </w:tcPr>
          <w:p w14:paraId="7FE71CC6">
            <w:pPr>
              <w:widowControl w:val="0"/>
              <w:snapToGrid w:val="0"/>
              <w:jc w:val="center"/>
              <w:rPr>
                <w:rFonts w:hint="eastAsia" w:ascii="仿宋" w:hAnsi="仿宋" w:eastAsia="仿宋"/>
                <w:sz w:val="18"/>
                <w:szCs w:val="16"/>
              </w:rPr>
            </w:pPr>
          </w:p>
        </w:tc>
      </w:tr>
      <w:tr w14:paraId="54A9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3E4FACB4">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11A14E69">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7449BD86">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4BF8C466">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县域医疗卫生机构</w:t>
            </w:r>
          </w:p>
        </w:tc>
        <w:tc>
          <w:tcPr>
            <w:tcW w:w="553" w:type="dxa"/>
            <w:shd w:val="clear" w:color="auto" w:fill="auto"/>
            <w:vAlign w:val="center"/>
          </w:tcPr>
          <w:p w14:paraId="21936DAD">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5</w:t>
            </w:r>
          </w:p>
        </w:tc>
        <w:tc>
          <w:tcPr>
            <w:tcW w:w="727" w:type="dxa"/>
            <w:shd w:val="clear" w:color="auto" w:fill="auto"/>
            <w:vAlign w:val="center"/>
          </w:tcPr>
          <w:p w14:paraId="2FE3398D">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643" w:type="dxa"/>
            <w:shd w:val="clear" w:color="auto" w:fill="auto"/>
            <w:vAlign w:val="center"/>
          </w:tcPr>
          <w:p w14:paraId="3B239670">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100%</w:t>
            </w:r>
          </w:p>
        </w:tc>
        <w:tc>
          <w:tcPr>
            <w:tcW w:w="504" w:type="dxa"/>
            <w:shd w:val="clear" w:color="auto" w:fill="auto"/>
            <w:vAlign w:val="center"/>
          </w:tcPr>
          <w:p w14:paraId="5F4F13B6">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5</w:t>
            </w:r>
          </w:p>
        </w:tc>
        <w:tc>
          <w:tcPr>
            <w:tcW w:w="1495" w:type="dxa"/>
            <w:gridSpan w:val="2"/>
            <w:shd w:val="clear" w:color="auto" w:fill="auto"/>
            <w:vAlign w:val="center"/>
          </w:tcPr>
          <w:p w14:paraId="77B422D4">
            <w:pPr>
              <w:widowControl w:val="0"/>
              <w:snapToGrid w:val="0"/>
              <w:jc w:val="center"/>
              <w:rPr>
                <w:rFonts w:hint="eastAsia" w:ascii="仿宋" w:hAnsi="仿宋" w:eastAsia="仿宋"/>
                <w:sz w:val="18"/>
                <w:szCs w:val="16"/>
              </w:rPr>
            </w:pPr>
          </w:p>
        </w:tc>
      </w:tr>
      <w:tr w14:paraId="2CBC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736DC3B6">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54FA118E">
            <w:pPr>
              <w:widowControl w:val="0"/>
              <w:snapToGrid w:val="0"/>
              <w:jc w:val="both"/>
              <w:rPr>
                <w:rFonts w:hint="eastAsia" w:ascii="仿宋" w:hAnsi="仿宋" w:eastAsia="仿宋"/>
                <w:sz w:val="18"/>
                <w:szCs w:val="16"/>
              </w:rPr>
            </w:pPr>
          </w:p>
        </w:tc>
        <w:tc>
          <w:tcPr>
            <w:tcW w:w="635" w:type="dxa"/>
            <w:vMerge w:val="continue"/>
            <w:shd w:val="clear" w:color="auto" w:fill="auto"/>
            <w:vAlign w:val="center"/>
          </w:tcPr>
          <w:p w14:paraId="188058EB">
            <w:pPr>
              <w:widowControl w:val="0"/>
              <w:snapToGrid w:val="0"/>
              <w:jc w:val="both"/>
              <w:rPr>
                <w:rFonts w:hint="eastAsia" w:ascii="仿宋" w:hAnsi="仿宋" w:eastAsia="仿宋"/>
                <w:sz w:val="18"/>
                <w:szCs w:val="16"/>
              </w:rPr>
            </w:pPr>
          </w:p>
        </w:tc>
        <w:tc>
          <w:tcPr>
            <w:tcW w:w="1658" w:type="dxa"/>
            <w:gridSpan w:val="2"/>
            <w:shd w:val="clear" w:color="auto" w:fill="auto"/>
            <w:vAlign w:val="center"/>
          </w:tcPr>
          <w:p w14:paraId="0EDFEB2B">
            <w:pPr>
              <w:widowControl w:val="0"/>
              <w:snapToGrid w:val="0"/>
              <w:jc w:val="center"/>
              <w:rPr>
                <w:rFonts w:hint="eastAsia" w:ascii="仿宋" w:hAnsi="仿宋" w:eastAsia="仿宋"/>
                <w:sz w:val="18"/>
                <w:szCs w:val="16"/>
              </w:rPr>
            </w:pPr>
          </w:p>
        </w:tc>
        <w:tc>
          <w:tcPr>
            <w:tcW w:w="553" w:type="dxa"/>
            <w:shd w:val="clear" w:color="auto" w:fill="auto"/>
            <w:vAlign w:val="center"/>
          </w:tcPr>
          <w:p w14:paraId="3F4D8226">
            <w:pPr>
              <w:widowControl w:val="0"/>
              <w:snapToGrid w:val="0"/>
              <w:jc w:val="center"/>
              <w:rPr>
                <w:rFonts w:hint="eastAsia" w:ascii="仿宋" w:hAnsi="仿宋" w:eastAsia="仿宋"/>
                <w:sz w:val="18"/>
                <w:szCs w:val="16"/>
              </w:rPr>
            </w:pPr>
          </w:p>
        </w:tc>
        <w:tc>
          <w:tcPr>
            <w:tcW w:w="727" w:type="dxa"/>
            <w:shd w:val="clear" w:color="auto" w:fill="auto"/>
            <w:vAlign w:val="center"/>
          </w:tcPr>
          <w:p w14:paraId="1B86C81E">
            <w:pPr>
              <w:widowControl w:val="0"/>
              <w:snapToGrid w:val="0"/>
              <w:jc w:val="both"/>
              <w:rPr>
                <w:rFonts w:hint="eastAsia" w:ascii="仿宋" w:hAnsi="仿宋" w:eastAsia="仿宋"/>
                <w:sz w:val="18"/>
                <w:szCs w:val="16"/>
              </w:rPr>
            </w:pPr>
          </w:p>
        </w:tc>
        <w:tc>
          <w:tcPr>
            <w:tcW w:w="643" w:type="dxa"/>
            <w:shd w:val="clear" w:color="auto" w:fill="auto"/>
            <w:vAlign w:val="center"/>
          </w:tcPr>
          <w:p w14:paraId="1CB7F859">
            <w:pPr>
              <w:widowControl w:val="0"/>
              <w:snapToGrid w:val="0"/>
              <w:jc w:val="both"/>
              <w:rPr>
                <w:rFonts w:hint="eastAsia" w:ascii="仿宋" w:hAnsi="仿宋" w:eastAsia="仿宋"/>
                <w:sz w:val="18"/>
                <w:szCs w:val="16"/>
              </w:rPr>
            </w:pPr>
          </w:p>
        </w:tc>
        <w:tc>
          <w:tcPr>
            <w:tcW w:w="504" w:type="dxa"/>
            <w:shd w:val="clear" w:color="auto" w:fill="auto"/>
            <w:vAlign w:val="center"/>
          </w:tcPr>
          <w:p w14:paraId="58BF32D1">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3A0D5684">
            <w:pPr>
              <w:widowControl w:val="0"/>
              <w:snapToGrid w:val="0"/>
              <w:jc w:val="center"/>
              <w:rPr>
                <w:rFonts w:hint="eastAsia" w:ascii="仿宋" w:hAnsi="仿宋" w:eastAsia="仿宋"/>
                <w:sz w:val="18"/>
                <w:szCs w:val="16"/>
              </w:rPr>
            </w:pPr>
          </w:p>
        </w:tc>
      </w:tr>
      <w:tr w14:paraId="549F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 w:type="dxa"/>
            <w:vMerge w:val="continue"/>
            <w:shd w:val="clear" w:color="auto" w:fill="auto"/>
            <w:vAlign w:val="center"/>
          </w:tcPr>
          <w:p w14:paraId="629ABAAB">
            <w:pPr>
              <w:widowControl w:val="0"/>
              <w:snapToGrid w:val="0"/>
              <w:jc w:val="both"/>
              <w:rPr>
                <w:rFonts w:hint="eastAsia" w:ascii="仿宋" w:hAnsi="仿宋" w:eastAsia="仿宋"/>
                <w:sz w:val="18"/>
                <w:szCs w:val="16"/>
              </w:rPr>
            </w:pPr>
          </w:p>
        </w:tc>
        <w:tc>
          <w:tcPr>
            <w:tcW w:w="539" w:type="dxa"/>
            <w:vMerge w:val="continue"/>
            <w:shd w:val="clear" w:color="auto" w:fill="auto"/>
            <w:vAlign w:val="center"/>
          </w:tcPr>
          <w:p w14:paraId="64F82A74">
            <w:pPr>
              <w:widowControl w:val="0"/>
              <w:snapToGrid w:val="0"/>
              <w:jc w:val="both"/>
              <w:rPr>
                <w:rFonts w:hint="eastAsia" w:ascii="仿宋" w:hAnsi="仿宋" w:eastAsia="仿宋"/>
                <w:sz w:val="18"/>
                <w:szCs w:val="16"/>
              </w:rPr>
            </w:pPr>
          </w:p>
        </w:tc>
        <w:tc>
          <w:tcPr>
            <w:tcW w:w="635" w:type="dxa"/>
            <w:shd w:val="clear" w:color="auto" w:fill="auto"/>
            <w:vAlign w:val="center"/>
          </w:tcPr>
          <w:p w14:paraId="1F819968">
            <w:pPr>
              <w:widowControl w:val="0"/>
              <w:snapToGrid w:val="0"/>
              <w:jc w:val="center"/>
              <w:textAlignment w:val="center"/>
              <w:rPr>
                <w:rFonts w:hint="eastAsia" w:ascii="仿宋" w:hAnsi="仿宋" w:eastAsia="仿宋"/>
                <w:sz w:val="18"/>
                <w:szCs w:val="16"/>
              </w:rPr>
            </w:pPr>
            <w:r>
              <w:rPr>
                <w:rFonts w:hint="eastAsia" w:ascii="仿宋" w:hAnsi="仿宋" w:eastAsia="仿宋" w:cs="宋体"/>
                <w:kern w:val="0"/>
                <w:sz w:val="18"/>
                <w:szCs w:val="16"/>
                <w:lang w:bidi="ar"/>
              </w:rPr>
              <w:t>……</w:t>
            </w:r>
          </w:p>
        </w:tc>
        <w:tc>
          <w:tcPr>
            <w:tcW w:w="1658" w:type="dxa"/>
            <w:gridSpan w:val="2"/>
            <w:shd w:val="clear" w:color="auto" w:fill="auto"/>
            <w:vAlign w:val="center"/>
          </w:tcPr>
          <w:p w14:paraId="49E6E886">
            <w:pPr>
              <w:widowControl w:val="0"/>
              <w:snapToGrid w:val="0"/>
              <w:jc w:val="center"/>
              <w:rPr>
                <w:rFonts w:hint="eastAsia" w:ascii="仿宋" w:hAnsi="仿宋" w:eastAsia="仿宋"/>
                <w:sz w:val="18"/>
                <w:szCs w:val="16"/>
              </w:rPr>
            </w:pPr>
          </w:p>
        </w:tc>
        <w:tc>
          <w:tcPr>
            <w:tcW w:w="553" w:type="dxa"/>
            <w:shd w:val="clear" w:color="auto" w:fill="auto"/>
            <w:vAlign w:val="center"/>
          </w:tcPr>
          <w:p w14:paraId="3A7329EE">
            <w:pPr>
              <w:widowControl w:val="0"/>
              <w:snapToGrid w:val="0"/>
              <w:jc w:val="center"/>
              <w:rPr>
                <w:rFonts w:hint="eastAsia" w:ascii="仿宋" w:hAnsi="仿宋" w:eastAsia="仿宋"/>
                <w:sz w:val="18"/>
                <w:szCs w:val="16"/>
              </w:rPr>
            </w:pPr>
          </w:p>
        </w:tc>
        <w:tc>
          <w:tcPr>
            <w:tcW w:w="727" w:type="dxa"/>
            <w:shd w:val="clear" w:color="auto" w:fill="auto"/>
            <w:vAlign w:val="center"/>
          </w:tcPr>
          <w:p w14:paraId="6F1C73B6">
            <w:pPr>
              <w:widowControl w:val="0"/>
              <w:snapToGrid w:val="0"/>
              <w:jc w:val="both"/>
              <w:rPr>
                <w:rFonts w:hint="eastAsia" w:ascii="仿宋" w:hAnsi="仿宋" w:eastAsia="仿宋"/>
                <w:sz w:val="18"/>
                <w:szCs w:val="16"/>
              </w:rPr>
            </w:pPr>
          </w:p>
        </w:tc>
        <w:tc>
          <w:tcPr>
            <w:tcW w:w="643" w:type="dxa"/>
            <w:shd w:val="clear" w:color="auto" w:fill="auto"/>
            <w:vAlign w:val="center"/>
          </w:tcPr>
          <w:p w14:paraId="31900EAB">
            <w:pPr>
              <w:widowControl w:val="0"/>
              <w:snapToGrid w:val="0"/>
              <w:jc w:val="both"/>
              <w:rPr>
                <w:rFonts w:hint="eastAsia" w:ascii="仿宋" w:hAnsi="仿宋" w:eastAsia="仿宋"/>
                <w:sz w:val="18"/>
                <w:szCs w:val="16"/>
              </w:rPr>
            </w:pPr>
          </w:p>
        </w:tc>
        <w:tc>
          <w:tcPr>
            <w:tcW w:w="504" w:type="dxa"/>
            <w:shd w:val="clear" w:color="auto" w:fill="auto"/>
            <w:vAlign w:val="center"/>
          </w:tcPr>
          <w:p w14:paraId="7E8F9234">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64E8DE28">
            <w:pPr>
              <w:widowControl w:val="0"/>
              <w:snapToGrid w:val="0"/>
              <w:jc w:val="center"/>
              <w:rPr>
                <w:rFonts w:hint="eastAsia" w:ascii="仿宋" w:hAnsi="仿宋" w:eastAsia="仿宋"/>
                <w:sz w:val="18"/>
                <w:szCs w:val="16"/>
              </w:rPr>
            </w:pPr>
          </w:p>
        </w:tc>
      </w:tr>
      <w:tr w14:paraId="5934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3" w:type="dxa"/>
            <w:gridSpan w:val="5"/>
            <w:shd w:val="clear" w:color="auto" w:fill="auto"/>
            <w:vAlign w:val="center"/>
          </w:tcPr>
          <w:p w14:paraId="0A26A17E">
            <w:pPr>
              <w:widowControl w:val="0"/>
              <w:snapToGrid w:val="0"/>
              <w:jc w:val="center"/>
              <w:textAlignment w:val="center"/>
              <w:rPr>
                <w:rFonts w:hint="eastAsia" w:ascii="仿宋" w:hAnsi="仿宋" w:eastAsia="仿宋"/>
                <w:sz w:val="18"/>
                <w:szCs w:val="16"/>
              </w:rPr>
            </w:pPr>
            <w:r>
              <w:rPr>
                <w:rFonts w:hint="eastAsia" w:ascii="仿宋" w:hAnsi="仿宋" w:eastAsia="仿宋" w:cs="宋体"/>
                <w:b/>
                <w:kern w:val="0"/>
                <w:sz w:val="18"/>
                <w:szCs w:val="16"/>
                <w:lang w:bidi="ar"/>
              </w:rPr>
              <w:t>总分</w:t>
            </w:r>
          </w:p>
        </w:tc>
        <w:tc>
          <w:tcPr>
            <w:tcW w:w="553" w:type="dxa"/>
            <w:shd w:val="clear" w:color="auto" w:fill="auto"/>
            <w:vAlign w:val="center"/>
          </w:tcPr>
          <w:p w14:paraId="070E0D9C">
            <w:pPr>
              <w:widowControl w:val="0"/>
              <w:snapToGrid w:val="0"/>
              <w:jc w:val="center"/>
              <w:textAlignment w:val="center"/>
              <w:rPr>
                <w:rFonts w:hint="eastAsia" w:ascii="仿宋" w:hAnsi="仿宋" w:eastAsia="仿宋"/>
                <w:sz w:val="18"/>
                <w:szCs w:val="16"/>
              </w:rPr>
            </w:pPr>
            <w:r>
              <w:rPr>
                <w:rFonts w:hint="eastAsia" w:ascii="仿宋" w:hAnsi="仿宋" w:eastAsia="仿宋" w:cs="宋体"/>
                <w:b/>
                <w:kern w:val="0"/>
                <w:sz w:val="18"/>
                <w:szCs w:val="16"/>
                <w:lang w:bidi="ar"/>
              </w:rPr>
              <w:t>100</w:t>
            </w:r>
          </w:p>
        </w:tc>
        <w:tc>
          <w:tcPr>
            <w:tcW w:w="1370" w:type="dxa"/>
            <w:gridSpan w:val="2"/>
            <w:shd w:val="clear" w:color="auto" w:fill="auto"/>
            <w:vAlign w:val="center"/>
          </w:tcPr>
          <w:p w14:paraId="412CBAF1">
            <w:pPr>
              <w:widowControl w:val="0"/>
              <w:snapToGrid w:val="0"/>
              <w:jc w:val="center"/>
              <w:rPr>
                <w:rFonts w:hint="eastAsia" w:ascii="仿宋" w:hAnsi="仿宋" w:eastAsia="仿宋"/>
                <w:sz w:val="18"/>
                <w:szCs w:val="16"/>
              </w:rPr>
            </w:pPr>
          </w:p>
        </w:tc>
        <w:tc>
          <w:tcPr>
            <w:tcW w:w="504" w:type="dxa"/>
            <w:shd w:val="clear" w:color="auto" w:fill="auto"/>
            <w:vAlign w:val="center"/>
          </w:tcPr>
          <w:p w14:paraId="6C0C7BE6">
            <w:pPr>
              <w:widowControl w:val="0"/>
              <w:snapToGrid w:val="0"/>
              <w:jc w:val="both"/>
              <w:rPr>
                <w:rFonts w:hint="eastAsia" w:ascii="仿宋" w:hAnsi="仿宋" w:eastAsia="仿宋"/>
                <w:sz w:val="18"/>
                <w:szCs w:val="16"/>
              </w:rPr>
            </w:pPr>
          </w:p>
        </w:tc>
        <w:tc>
          <w:tcPr>
            <w:tcW w:w="1495" w:type="dxa"/>
            <w:gridSpan w:val="2"/>
            <w:shd w:val="clear" w:color="auto" w:fill="auto"/>
            <w:vAlign w:val="center"/>
          </w:tcPr>
          <w:p w14:paraId="35FA2A48">
            <w:pPr>
              <w:widowControl w:val="0"/>
              <w:snapToGrid w:val="0"/>
              <w:jc w:val="center"/>
              <w:rPr>
                <w:rFonts w:hint="eastAsia" w:ascii="仿宋" w:hAnsi="仿宋" w:eastAsia="仿宋"/>
                <w:sz w:val="18"/>
                <w:szCs w:val="16"/>
              </w:rPr>
            </w:pPr>
          </w:p>
        </w:tc>
      </w:tr>
      <w:tr w14:paraId="53CD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5" w:type="dxa"/>
            <w:gridSpan w:val="11"/>
            <w:shd w:val="clear" w:color="auto" w:fill="auto"/>
            <w:vAlign w:val="center"/>
          </w:tcPr>
          <w:p w14:paraId="598B65CC">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注：1.一级指标分值统一设置为：产出指标50分、效益指标30分、满意度指标10分、预算资金执行率10分。如有特殊情况，上述权重可做适当调整，但加总后应等于100分。各部门根据各项指标重要程度确定三级指标的分值。得分最高不能超过该指标分值上限。</w:t>
            </w:r>
          </w:p>
        </w:tc>
      </w:tr>
      <w:tr w14:paraId="7C4C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5" w:type="dxa"/>
            <w:gridSpan w:val="11"/>
            <w:shd w:val="clear" w:color="auto" w:fill="auto"/>
            <w:vAlign w:val="center"/>
          </w:tcPr>
          <w:p w14:paraId="7E862BD3">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2.定性指标根据指标完成情况分为：达成预期指标、部分达成预期指标并具有一定效果、未达成预期指标且效果较差三档，分别按照该指标对应分值区间100-80%(含80%)、80-60%(含60%)、60-0%合理确定得分。</w:t>
            </w:r>
          </w:p>
        </w:tc>
      </w:tr>
      <w:tr w14:paraId="2A78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5" w:type="dxa"/>
            <w:gridSpan w:val="11"/>
            <w:shd w:val="clear" w:color="auto" w:fill="auto"/>
            <w:vAlign w:val="center"/>
          </w:tcPr>
          <w:p w14:paraId="15243E57">
            <w:pPr>
              <w:widowControl w:val="0"/>
              <w:snapToGrid w:val="0"/>
              <w:jc w:val="both"/>
              <w:textAlignment w:val="center"/>
              <w:rPr>
                <w:rFonts w:hint="eastAsia" w:ascii="仿宋" w:hAnsi="仿宋" w:eastAsia="仿宋"/>
                <w:sz w:val="18"/>
                <w:szCs w:val="16"/>
              </w:rPr>
            </w:pPr>
            <w:r>
              <w:rPr>
                <w:rFonts w:hint="eastAsia" w:ascii="仿宋" w:hAnsi="仿宋" w:eastAsia="仿宋" w:cs="宋体"/>
                <w:kern w:val="0"/>
                <w:sz w:val="18"/>
                <w:szCs w:val="16"/>
                <w:lang w:bidi="ar"/>
              </w:rPr>
              <w:t>3.定量指标若为正向指标（即指标值为≥*），则得分计算方法应用全年实际值/年度指标值╳该指标分值；若定量指标为反向指标（即指标值为≤*），则得分计算方法应用年度指标值/全年实际值╳该指标分值；定量指标得分最高不得超过该指标分值上限。</w:t>
            </w:r>
          </w:p>
        </w:tc>
      </w:tr>
    </w:tbl>
    <w:p w14:paraId="65F9A889">
      <w:pPr>
        <w:widowControl w:val="0"/>
        <w:spacing w:line="600" w:lineRule="exact"/>
        <w:ind w:firstLine="640" w:firstLineChars="200"/>
        <w:jc w:val="both"/>
        <w:rPr>
          <w:rFonts w:hint="eastAsia" w:ascii="仿宋" w:hAnsi="仿宋" w:eastAsia="仿宋"/>
          <w:sz w:val="32"/>
        </w:rPr>
      </w:pPr>
    </w:p>
    <w:p w14:paraId="35C38170">
      <w:pPr>
        <w:widowControl w:val="0"/>
        <w:spacing w:line="600" w:lineRule="exact"/>
        <w:ind w:firstLine="640" w:firstLineChars="200"/>
        <w:jc w:val="both"/>
        <w:rPr>
          <w:rFonts w:hint="eastAsia" w:ascii="仿宋" w:hAnsi="仿宋" w:eastAsia="仿宋" w:cs="Times New Roman"/>
          <w:sz w:val="32"/>
          <w:szCs w:val="21"/>
          <w:lang w:bidi="ar"/>
        </w:rPr>
      </w:pPr>
    </w:p>
    <w:p w14:paraId="2C3717DA">
      <w:pPr>
        <w:widowControl w:val="0"/>
        <w:spacing w:line="600" w:lineRule="exact"/>
        <w:ind w:firstLine="640" w:firstLineChars="200"/>
        <w:jc w:val="both"/>
        <w:rPr>
          <w:rFonts w:hint="eastAsia" w:ascii="仿宋" w:hAnsi="仿宋" w:eastAsia="仿宋" w:cs="Times New Roman"/>
          <w:sz w:val="32"/>
          <w:szCs w:val="21"/>
          <w:lang w:bidi="ar"/>
        </w:rPr>
      </w:pPr>
    </w:p>
    <w:p w14:paraId="46192765">
      <w:pPr>
        <w:widowControl w:val="0"/>
        <w:spacing w:line="600" w:lineRule="exact"/>
        <w:ind w:firstLine="640" w:firstLineChars="200"/>
        <w:jc w:val="both"/>
        <w:rPr>
          <w:rFonts w:hint="eastAsia" w:ascii="仿宋" w:hAnsi="仿宋" w:eastAsia="仿宋" w:cs="Times New Roman"/>
          <w:sz w:val="32"/>
          <w:szCs w:val="21"/>
          <w:lang w:bidi="ar"/>
        </w:rPr>
      </w:pPr>
    </w:p>
    <w:p w14:paraId="4E10B72B">
      <w:pPr>
        <w:widowControl w:val="0"/>
        <w:spacing w:line="600" w:lineRule="exact"/>
        <w:ind w:firstLine="640" w:firstLineChars="200"/>
        <w:jc w:val="both"/>
        <w:rPr>
          <w:rFonts w:hint="eastAsia" w:ascii="仿宋" w:hAnsi="仿宋" w:eastAsia="仿宋" w:cs="Times New Roman"/>
          <w:sz w:val="32"/>
          <w:szCs w:val="21"/>
          <w:lang w:bidi="ar"/>
        </w:rPr>
      </w:pPr>
    </w:p>
    <w:p w14:paraId="788079EB">
      <w:pPr>
        <w:widowControl w:val="0"/>
        <w:spacing w:line="600" w:lineRule="exact"/>
        <w:ind w:firstLine="640" w:firstLineChars="200"/>
        <w:jc w:val="both"/>
        <w:rPr>
          <w:rFonts w:hint="eastAsia" w:ascii="仿宋" w:hAnsi="仿宋" w:eastAsia="仿宋" w:cs="Times New Roman"/>
          <w:sz w:val="32"/>
          <w:szCs w:val="21"/>
          <w:lang w:bidi="ar"/>
        </w:rPr>
      </w:pPr>
    </w:p>
    <w:p w14:paraId="5DD479E0">
      <w:pPr>
        <w:widowControl w:val="0"/>
        <w:spacing w:line="600" w:lineRule="exact"/>
        <w:ind w:firstLine="640" w:firstLineChars="200"/>
        <w:jc w:val="both"/>
        <w:rPr>
          <w:rFonts w:hint="eastAsia" w:ascii="仿宋" w:hAnsi="仿宋" w:eastAsia="仿宋" w:cs="Times New Roman"/>
          <w:sz w:val="32"/>
          <w:szCs w:val="21"/>
          <w:lang w:bidi="ar"/>
        </w:rPr>
      </w:pPr>
    </w:p>
    <w:p w14:paraId="79DDA501">
      <w:pPr>
        <w:widowControl w:val="0"/>
        <w:spacing w:line="600" w:lineRule="exact"/>
        <w:ind w:firstLine="640" w:firstLineChars="200"/>
        <w:jc w:val="both"/>
        <w:rPr>
          <w:rFonts w:hint="eastAsia" w:ascii="仿宋" w:hAnsi="仿宋" w:eastAsia="仿宋"/>
          <w:sz w:val="32"/>
        </w:rPr>
        <w:sectPr>
          <w:pgSz w:w="11906" w:h="16838"/>
          <w:pgMar w:top="1440" w:right="1797" w:bottom="1440" w:left="1797" w:header="720" w:footer="720" w:gutter="0"/>
          <w:cols w:space="425" w:num="1"/>
          <w:docGrid w:type="lines" w:linePitch="312" w:charSpace="0"/>
        </w:sectPr>
      </w:pPr>
    </w:p>
    <w:p w14:paraId="01A6D267">
      <w:pPr>
        <w:pStyle w:val="81"/>
        <w:widowControl w:val="0"/>
        <w:spacing w:beforeAutospacing="0" w:afterAutospacing="0" w:line="600" w:lineRule="exact"/>
        <w:ind w:firstLine="640" w:firstLineChars="200"/>
        <w:jc w:val="both"/>
        <w:rPr>
          <w:rFonts w:hint="eastAsia" w:ascii="仿宋" w:hAnsi="仿宋" w:eastAsia="仿宋"/>
          <w:sz w:val="32"/>
        </w:rPr>
      </w:pPr>
    </w:p>
    <w:p w14:paraId="77E266AD">
      <w:pPr>
        <w:pStyle w:val="3"/>
        <w:widowControl w:val="0"/>
        <w:spacing w:before="340" w:beforeAutospacing="0" w:after="330" w:afterAutospacing="0" w:line="578" w:lineRule="auto"/>
        <w:jc w:val="center"/>
        <w:rPr>
          <w:rFonts w:ascii="黑体" w:hAnsi="黑体" w:eastAsia="黑体"/>
          <w:b w:val="0"/>
          <w:bCs/>
          <w:sz w:val="44"/>
          <w:szCs w:val="32"/>
        </w:rPr>
      </w:pPr>
      <w:bookmarkStart w:id="89" w:name="_Toc15396613"/>
      <w:bookmarkEnd w:id="89"/>
      <w:bookmarkStart w:id="90" w:name="_Toc236170677"/>
      <w:r>
        <w:rPr>
          <w:rFonts w:ascii="黑体" w:hAnsi="黑体" w:eastAsia="黑体"/>
          <w:b w:val="0"/>
          <w:bCs/>
          <w:sz w:val="44"/>
          <w:szCs w:val="32"/>
        </w:rPr>
        <w:t>第三部分</w:t>
      </w:r>
      <w:bookmarkStart w:id="91" w:name="_Toc15377225"/>
      <w:bookmarkEnd w:id="91"/>
      <w:bookmarkStart w:id="92" w:name="_Toc18901"/>
      <w:r>
        <w:rPr>
          <w:rFonts w:ascii="黑体" w:hAnsi="黑体" w:eastAsia="黑体"/>
          <w:b w:val="0"/>
          <w:bCs/>
          <w:sz w:val="44"/>
          <w:szCs w:val="32"/>
        </w:rPr>
        <w:t xml:space="preserve"> 名</w:t>
      </w:r>
      <w:bookmarkEnd w:id="92"/>
      <w:r>
        <w:rPr>
          <w:rFonts w:ascii="黑体" w:hAnsi="黑体" w:eastAsia="黑体"/>
          <w:b w:val="0"/>
          <w:bCs/>
          <w:sz w:val="44"/>
          <w:szCs w:val="32"/>
        </w:rPr>
        <w:t>词解释</w:t>
      </w:r>
      <w:bookmarkEnd w:id="90"/>
    </w:p>
    <w:p w14:paraId="4389E098">
      <w:pPr>
        <w:widowControl w:val="0"/>
        <w:spacing w:line="600" w:lineRule="exact"/>
        <w:ind w:firstLine="640" w:firstLineChars="200"/>
        <w:jc w:val="both"/>
        <w:rPr>
          <w:rFonts w:hint="eastAsia" w:ascii="仿宋" w:hAnsi="仿宋" w:eastAsia="仿宋"/>
          <w:sz w:val="32"/>
        </w:rPr>
      </w:pPr>
    </w:p>
    <w:p w14:paraId="1B7A07A7">
      <w:pPr>
        <w:pStyle w:val="81"/>
        <w:widowControl w:val="0"/>
        <w:spacing w:beforeAutospacing="0" w:afterAutospacing="0" w:line="600" w:lineRule="exact"/>
        <w:ind w:firstLine="640" w:firstLineChars="200"/>
        <w:jc w:val="both"/>
        <w:rPr>
          <w:rFonts w:hint="eastAsia" w:ascii="仿宋" w:hAnsi="仿宋" w:eastAsia="仿宋"/>
          <w:sz w:val="32"/>
        </w:rPr>
      </w:pPr>
      <w:bookmarkStart w:id="93" w:name="_Toc21285"/>
      <w:bookmarkEnd w:id="93"/>
      <w:r>
        <w:rPr>
          <w:rFonts w:hint="eastAsia" w:ascii="仿宋" w:hAnsi="仿宋" w:eastAsia="仿宋" w:cs="仿宋"/>
          <w:sz w:val="32"/>
          <w:szCs w:val="32"/>
        </w:rPr>
        <w:t>1.财政拨款收入：指单位从同级财政部门取得的财政预算资金。</w:t>
      </w:r>
    </w:p>
    <w:p w14:paraId="338462B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2.</w:t>
      </w:r>
      <w:r>
        <w:rPr>
          <w:rFonts w:hint="eastAsia" w:ascii="仿宋" w:hAnsi="仿宋" w:eastAsia="仿宋" w:cs="仿宋_GB2312"/>
          <w:sz w:val="32"/>
          <w:szCs w:val="32"/>
        </w:rPr>
        <w:t>事业收入：指事业单位开展专业业务活动及辅助活动取得的收入。如</w:t>
      </w:r>
      <w:r>
        <w:rPr>
          <w:rFonts w:hint="eastAsia" w:ascii="仿宋" w:hAnsi="仿宋" w:eastAsia="仿宋" w:cs="仿宋"/>
          <w:sz w:val="32"/>
          <w:szCs w:val="32"/>
        </w:rPr>
        <w:t>…（二级预算单位事业收入情况）等。</w:t>
      </w:r>
    </w:p>
    <w:p w14:paraId="78CCDB07">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w:t>
      </w:r>
      <w:r>
        <w:rPr>
          <w:rFonts w:hint="eastAsia" w:ascii="仿宋" w:hAnsi="仿宋" w:eastAsia="仿宋" w:cs="仿宋_GB2312"/>
          <w:sz w:val="32"/>
          <w:szCs w:val="32"/>
        </w:rPr>
        <w:t>经营收入：指事业单位在专业业务活动及其辅助活动之外开展非独立核算经营活动取得的收入。如</w:t>
      </w:r>
      <w:r>
        <w:rPr>
          <w:rFonts w:hint="eastAsia" w:ascii="仿宋" w:hAnsi="仿宋" w:eastAsia="仿宋" w:cs="仿宋"/>
          <w:sz w:val="32"/>
          <w:szCs w:val="32"/>
        </w:rPr>
        <w:t>…（二级预算单位经营收入情况）等。</w:t>
      </w:r>
    </w:p>
    <w:p w14:paraId="65FB8ABC">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4.其他收入：指单位取得的除上述收入以外的各项收</w:t>
      </w:r>
      <w:bookmarkStart w:id="94" w:name="_Toc29247"/>
      <w:bookmarkEnd w:id="94"/>
      <w:bookmarkStart w:id="95" w:name="_Toc8775"/>
      <w:r>
        <w:rPr>
          <w:rFonts w:hint="eastAsia" w:ascii="仿宋" w:hAnsi="仿宋" w:eastAsia="仿宋" w:cs="仿宋"/>
          <w:sz w:val="32"/>
          <w:szCs w:val="32"/>
        </w:rPr>
        <w:t>1.财政拨款收入：指单位从同级财政部门取得的财政预算资金。</w:t>
      </w:r>
      <w:bookmarkEnd w:id="95"/>
    </w:p>
    <w:p w14:paraId="7E063D69">
      <w:pPr>
        <w:pStyle w:val="81"/>
        <w:widowControl w:val="0"/>
        <w:spacing w:beforeAutospacing="0" w:afterAutospacing="0" w:line="600" w:lineRule="exact"/>
        <w:ind w:firstLine="640" w:firstLineChars="200"/>
        <w:jc w:val="both"/>
        <w:rPr>
          <w:rFonts w:hint="eastAsia" w:ascii="仿宋" w:hAnsi="仿宋" w:eastAsia="仿宋"/>
          <w:sz w:val="32"/>
        </w:rPr>
      </w:pPr>
    </w:p>
    <w:p w14:paraId="506EF3A8">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5.</w:t>
      </w:r>
      <w:r>
        <w:rPr>
          <w:rFonts w:hint="eastAsia" w:ascii="仿宋" w:hAnsi="仿宋" w:eastAsia="仿宋" w:cs="仿宋_GB2312"/>
          <w:sz w:val="32"/>
          <w:szCs w:val="32"/>
        </w:rPr>
        <w:t>使用非财政拨款结余：指事业单位使用以前年度积累的非财政拨款结余弥补当年收支差额的金额。</w:t>
      </w:r>
    </w:p>
    <w:p w14:paraId="4B86607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6.</w:t>
      </w:r>
      <w:r>
        <w:rPr>
          <w:rFonts w:hint="eastAsia" w:ascii="仿宋" w:hAnsi="仿宋" w:eastAsia="仿宋" w:cs="仿宋_GB2312"/>
          <w:sz w:val="32"/>
          <w:szCs w:val="32"/>
        </w:rPr>
        <w:t>年初结转和结余：指以前年度尚未完成、结转到本年按有关规定继续使用的资金。</w:t>
      </w:r>
    </w:p>
    <w:p w14:paraId="7D2F159B">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7.</w:t>
      </w:r>
      <w:r>
        <w:rPr>
          <w:rFonts w:hint="eastAsia" w:ascii="仿宋" w:hAnsi="仿宋" w:eastAsia="仿宋" w:cs="仿宋_GB2312"/>
          <w:sz w:val="32"/>
          <w:szCs w:val="32"/>
        </w:rPr>
        <w:t>结余分配：指事业单位按照会计制度规定缴纳的所得税、提取的专用结余以及转入非财政拨款结余的金额等。</w:t>
      </w:r>
    </w:p>
    <w:p w14:paraId="125CE8DA">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8.</w:t>
      </w:r>
      <w:r>
        <w:rPr>
          <w:rFonts w:hint="eastAsia" w:ascii="仿宋" w:hAnsi="仿宋" w:eastAsia="仿宋" w:cs="仿宋_GB2312"/>
          <w:sz w:val="32"/>
          <w:szCs w:val="32"/>
        </w:rPr>
        <w:t>年末结转和结余：指单位按有关规定结转到下年或以后年度继续使用的资金。</w:t>
      </w:r>
    </w:p>
    <w:p w14:paraId="115DAB52">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9.</w:t>
      </w:r>
      <w:r>
        <w:rPr>
          <w:rFonts w:hint="eastAsia" w:ascii="仿宋" w:hAnsi="仿宋" w:eastAsia="仿宋" w:cs="仿宋_GB2312"/>
          <w:sz w:val="32"/>
          <w:szCs w:val="32"/>
          <w:lang w:bidi="ar"/>
        </w:rPr>
        <w:t>机关事业单位基本养老保险支出</w:t>
      </w:r>
      <w:r>
        <w:rPr>
          <w:rFonts w:hint="eastAsia" w:ascii="仿宋" w:hAnsi="仿宋" w:eastAsia="仿宋" w:cs="Times New Roman"/>
          <w:sz w:val="32"/>
          <w:szCs w:val="32"/>
          <w:lang w:bidi="ar"/>
        </w:rPr>
        <w:t>208（类）05（款）05（项）：指反应机关事业单位实施养老保险制度由单位缴纳的基本养老保险费支出。</w:t>
      </w:r>
    </w:p>
    <w:p w14:paraId="51821E23">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10.机关单位职业年金缴费支出208（类）05（款）06（项）：指反应机关事业单位实施养老保险制度由单位缴纳的职业年金支出。</w:t>
      </w:r>
    </w:p>
    <w:p w14:paraId="07CB0B2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 xml:space="preserve">11. </w:t>
      </w:r>
      <w:r>
        <w:rPr>
          <w:rFonts w:hint="eastAsia" w:ascii="仿宋" w:hAnsi="仿宋" w:eastAsia="仿宋" w:cs="仿宋_GB2312"/>
          <w:sz w:val="32"/>
          <w:szCs w:val="32"/>
          <w:lang w:bidi="ar"/>
        </w:rPr>
        <w:t>社会保障和就业</w:t>
      </w:r>
      <w:r>
        <w:rPr>
          <w:rFonts w:hint="eastAsia" w:ascii="仿宋" w:hAnsi="仿宋" w:eastAsia="仿宋" w:cs="Times New Roman"/>
          <w:sz w:val="32"/>
          <w:szCs w:val="32"/>
          <w:lang w:bidi="ar"/>
        </w:rPr>
        <w:t>208（类）08（款）05（项）：指反映机关事业单位基本养老保险缴费支出和机关事业单位职业年金缴费支出。</w:t>
      </w:r>
    </w:p>
    <w:p w14:paraId="13774989">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12.行政运行210（类）01（款）01（项）：指反应行政单位（包括实行公务员管理的事业单位）的基本支出。</w:t>
      </w:r>
    </w:p>
    <w:p w14:paraId="624CBDFF">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13.一般行政管理事务210（类）01（款）02（项）：指反映行政单位工作制服经费。</w:t>
      </w:r>
    </w:p>
    <w:p w14:paraId="3521C67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14. 其他卫生健康管理事务支出210（类）01（款）99（项）：指反映事业的工资支出。</w:t>
      </w:r>
    </w:p>
    <w:p w14:paraId="6BC6989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15.</w:t>
      </w:r>
      <w:r>
        <w:rPr>
          <w:rFonts w:hint="eastAsia" w:ascii="仿宋" w:hAnsi="仿宋" w:eastAsia="仿宋" w:cs="仿宋_GB2312"/>
          <w:sz w:val="32"/>
          <w:szCs w:val="32"/>
          <w:lang w:bidi="ar"/>
        </w:rPr>
        <w:t>综合医院</w:t>
      </w:r>
      <w:r>
        <w:rPr>
          <w:rFonts w:hint="eastAsia" w:ascii="仿宋" w:hAnsi="仿宋" w:eastAsia="仿宋" w:cs="Times New Roman"/>
          <w:sz w:val="32"/>
          <w:szCs w:val="32"/>
          <w:lang w:bidi="ar"/>
        </w:rPr>
        <w:t>210（类）02（款）01（项）：指反映卫健局2020年中央财政卫生健康专项补助资金公立医院综合改革补助人口因素、绩效考核、行政区划因素支出。</w:t>
      </w:r>
    </w:p>
    <w:p w14:paraId="3CD9CEC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16.</w:t>
      </w:r>
      <w:r>
        <w:rPr>
          <w:rFonts w:hint="eastAsia" w:ascii="仿宋" w:hAnsi="仿宋" w:eastAsia="仿宋" w:cs="仿宋_GB2312"/>
          <w:sz w:val="32"/>
          <w:szCs w:val="32"/>
          <w:lang w:bidi="ar"/>
        </w:rPr>
        <w:t>其他基层医疗卫生机构支出</w:t>
      </w:r>
      <w:r>
        <w:rPr>
          <w:rFonts w:hint="eastAsia" w:ascii="仿宋" w:hAnsi="仿宋" w:eastAsia="仿宋" w:cs="Times New Roman"/>
          <w:sz w:val="32"/>
          <w:szCs w:val="32"/>
          <w:lang w:bidi="ar"/>
        </w:rPr>
        <w:t>210（类）03（款）99（项）：指反映其他基层医疗卫生机构方面的支出。</w:t>
      </w:r>
    </w:p>
    <w:p w14:paraId="0ADD5E37">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17.</w:t>
      </w:r>
      <w:r>
        <w:rPr>
          <w:rFonts w:hint="eastAsia" w:ascii="仿宋" w:hAnsi="仿宋" w:eastAsia="仿宋" w:cs="仿宋_GB2312"/>
          <w:sz w:val="32"/>
          <w:szCs w:val="32"/>
          <w:lang w:bidi="ar"/>
        </w:rPr>
        <w:t>基本公共卫生服务</w:t>
      </w:r>
      <w:r>
        <w:rPr>
          <w:rFonts w:hint="eastAsia" w:ascii="仿宋" w:hAnsi="仿宋" w:eastAsia="仿宋" w:cs="Times New Roman"/>
          <w:sz w:val="32"/>
          <w:szCs w:val="32"/>
          <w:lang w:bidi="ar"/>
        </w:rPr>
        <w:t>210（类）04（款）08（项）：指反映基本公共卫生服务支出。</w:t>
      </w:r>
    </w:p>
    <w:p w14:paraId="69741BE0">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18.重大公共卫生专项210（类）04（款）09（项）：指反映重大疾病预防控制等重大公共卫生服务项目支出。</w:t>
      </w:r>
    </w:p>
    <w:p w14:paraId="265E4D8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19. 计划生育服务210（类）07（款）17（项）：指反映计划生育服务支出。</w:t>
      </w:r>
    </w:p>
    <w:p w14:paraId="0AD1C04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20.其他计划生育事务支出210（类）07（款）99（项）：指反映其他用于计划生育管理事务方面的支出。</w:t>
      </w:r>
    </w:p>
    <w:p w14:paraId="2BCA94D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21. 行政单位医疗210（类）11（款）01（项）：指反映部门集中安排的行政单位基本医疗缴费经费，未参加医疗保险的行政单位的公费医疗经费，按国家规定享受离休人员、红军老战士待遇人员的医疗经费。</w:t>
      </w:r>
    </w:p>
    <w:p w14:paraId="15BD2AF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22.其他医疗保障管理事务支出210（类）15（款）99（项）：指反映用于其他医疗保障管理事务方面的支出。</w:t>
      </w:r>
    </w:p>
    <w:p w14:paraId="152703CE">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其他卫生健康支出</w:t>
      </w:r>
      <w:r>
        <w:rPr>
          <w:rFonts w:hint="eastAsia" w:ascii="仿宋" w:hAnsi="仿宋" w:eastAsia="仿宋" w:cs="Times New Roman"/>
          <w:sz w:val="32"/>
          <w:szCs w:val="32"/>
          <w:lang w:bidi="ar"/>
        </w:rPr>
        <w:t>210（类）99（款）01（项）：指反映其他卫生健康方面的支出。</w:t>
      </w:r>
    </w:p>
    <w:p w14:paraId="14C9ABC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23.</w:t>
      </w:r>
      <w:r>
        <w:rPr>
          <w:rFonts w:hint="eastAsia" w:ascii="仿宋" w:hAnsi="仿宋" w:eastAsia="仿宋" w:cs="仿宋_GB2312"/>
          <w:sz w:val="32"/>
          <w:szCs w:val="32"/>
          <w:lang w:bidi="ar"/>
        </w:rPr>
        <w:t>其他扶贫支出</w:t>
      </w:r>
      <w:r>
        <w:rPr>
          <w:rFonts w:hint="eastAsia" w:ascii="仿宋" w:hAnsi="仿宋" w:eastAsia="仿宋" w:cs="Times New Roman"/>
          <w:sz w:val="32"/>
          <w:szCs w:val="32"/>
          <w:lang w:bidi="ar"/>
        </w:rPr>
        <w:t>213（类）05（款）99（项）：指其他用于扶贫方面的支出。</w:t>
      </w:r>
    </w:p>
    <w:p w14:paraId="17D00F7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24.住房公积金221（类）02（款）01（项）：指反映行政事业单位按照人力资源和社会保障部、财政部规定的基本工资和津贴补贴及规定比例为职工缴纳的住房公积金。</w:t>
      </w:r>
    </w:p>
    <w:p w14:paraId="23EE3315">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25.</w:t>
      </w:r>
      <w:r>
        <w:rPr>
          <w:rFonts w:hint="eastAsia" w:ascii="仿宋" w:hAnsi="仿宋" w:eastAsia="仿宋" w:cs="仿宋_GB2312"/>
          <w:sz w:val="32"/>
          <w:szCs w:val="32"/>
          <w:lang w:bidi="ar"/>
        </w:rPr>
        <w:t>公共卫生体系建设</w:t>
      </w:r>
      <w:r>
        <w:rPr>
          <w:rFonts w:hint="eastAsia" w:ascii="仿宋" w:hAnsi="仿宋" w:eastAsia="仿宋" w:cs="Times New Roman"/>
          <w:sz w:val="32"/>
          <w:szCs w:val="32"/>
          <w:lang w:bidi="ar"/>
        </w:rPr>
        <w:t>234（类）01（款）01（项）：指用于基金的支出。</w:t>
      </w:r>
    </w:p>
    <w:p w14:paraId="042A60DC">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26.</w:t>
      </w:r>
      <w:r>
        <w:rPr>
          <w:rFonts w:hint="eastAsia" w:ascii="仿宋" w:hAnsi="仿宋" w:eastAsia="仿宋" w:cs="仿宋_GB2312"/>
          <w:sz w:val="32"/>
          <w:szCs w:val="32"/>
          <w:lang w:bidi="ar"/>
        </w:rPr>
        <w:t>其他抗疫相关支出</w:t>
      </w:r>
      <w:r>
        <w:rPr>
          <w:rFonts w:hint="eastAsia" w:ascii="仿宋" w:hAnsi="仿宋" w:eastAsia="仿宋" w:cs="Times New Roman"/>
          <w:sz w:val="32"/>
          <w:szCs w:val="32"/>
          <w:lang w:bidi="ar"/>
        </w:rPr>
        <w:t>234（类）02（款）99（项）：指用于其他抗疫方面相关支出。</w:t>
      </w:r>
    </w:p>
    <w:p w14:paraId="68D27C2F">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27.</w:t>
      </w:r>
      <w:r>
        <w:rPr>
          <w:rFonts w:hint="eastAsia" w:ascii="仿宋" w:hAnsi="仿宋" w:eastAsia="仿宋" w:cs="仿宋_GB2312"/>
          <w:sz w:val="32"/>
          <w:szCs w:val="32"/>
          <w:lang w:bidi="ar"/>
        </w:rPr>
        <w:t>基本支出：指为保障机构正常运转、完成日常工作任务而发生的人员支出和公用支出。</w:t>
      </w:r>
    </w:p>
    <w:p w14:paraId="6DF313FA">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28.</w:t>
      </w:r>
      <w:r>
        <w:rPr>
          <w:rFonts w:hint="eastAsia" w:ascii="仿宋" w:hAnsi="仿宋" w:eastAsia="仿宋" w:cs="仿宋_GB2312"/>
          <w:sz w:val="32"/>
          <w:szCs w:val="32"/>
          <w:lang w:bidi="ar"/>
        </w:rPr>
        <w:t>项目支出：指在基本支出之外为完成特定行政任务和事业发展目标所发生的支出。</w:t>
      </w:r>
    </w:p>
    <w:p w14:paraId="21525628">
      <w:pPr>
        <w:widowControl w:val="0"/>
        <w:spacing w:line="600" w:lineRule="exact"/>
        <w:ind w:firstLine="640" w:firstLineChars="200"/>
        <w:jc w:val="both"/>
        <w:rPr>
          <w:rFonts w:hint="eastAsia" w:ascii="仿宋" w:hAnsi="仿宋" w:eastAsia="仿宋"/>
          <w:sz w:val="32"/>
        </w:rPr>
      </w:pPr>
      <w:r>
        <w:rPr>
          <w:rFonts w:hint="eastAsia" w:ascii="仿宋" w:hAnsi="仿宋" w:eastAsia="仿宋" w:cs="Times New Roman"/>
          <w:sz w:val="32"/>
          <w:szCs w:val="32"/>
          <w:lang w:bidi="ar"/>
        </w:rPr>
        <w:t>29.</w:t>
      </w:r>
      <w:r>
        <w:rPr>
          <w:rFonts w:hint="eastAsia" w:ascii="仿宋" w:hAnsi="仿宋" w:eastAsia="仿宋" w:cs="仿宋_GB2312"/>
          <w:sz w:val="32"/>
          <w:szCs w:val="32"/>
          <w:lang w:bidi="ar"/>
        </w:rPr>
        <w:t>经营支出：指事业单位在专业业务活动及其辅助活动之外开展非独立核算经营活动发生的支出。</w:t>
      </w:r>
    </w:p>
    <w:p w14:paraId="6EC00B94">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8891ECE">
      <w:pPr>
        <w:pStyle w:val="81"/>
        <w:widowControl w:val="0"/>
        <w:spacing w:beforeAutospacing="0" w:afterAutospacing="0" w:line="600" w:lineRule="exact"/>
        <w:ind w:firstLine="640" w:firstLineChars="200"/>
        <w:jc w:val="both"/>
        <w:rPr>
          <w:rFonts w:hint="eastAsia" w:ascii="仿宋" w:hAnsi="仿宋" w:eastAsia="仿宋"/>
          <w:sz w:val="32"/>
        </w:rPr>
      </w:pPr>
      <w:r>
        <w:rPr>
          <w:rFonts w:hint="eastAsia" w:ascii="仿宋" w:hAnsi="仿宋" w:eastAsia="仿宋" w:cs="仿宋"/>
          <w:sz w:val="32"/>
          <w:szCs w:val="32"/>
        </w:rPr>
        <w:t>31.</w:t>
      </w:r>
      <w:r>
        <w:rPr>
          <w:rFonts w:hint="eastAsia" w:ascii="仿宋" w:hAnsi="仿宋" w:eastAsia="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6FB05C">
      <w:pPr>
        <w:pStyle w:val="81"/>
        <w:widowControl w:val="0"/>
        <w:spacing w:beforeAutospacing="0" w:afterAutospacing="0" w:line="600" w:lineRule="exact"/>
        <w:ind w:firstLine="640" w:firstLineChars="200"/>
        <w:jc w:val="both"/>
        <w:rPr>
          <w:rFonts w:hint="eastAsia" w:ascii="仿宋" w:hAnsi="仿宋" w:eastAsia="仿宋"/>
          <w:sz w:val="32"/>
        </w:rPr>
      </w:pPr>
    </w:p>
    <w:p w14:paraId="06B509B9">
      <w:pPr>
        <w:pStyle w:val="81"/>
        <w:widowControl w:val="0"/>
        <w:spacing w:beforeAutospacing="0" w:afterAutospacing="0" w:line="600" w:lineRule="exact"/>
        <w:ind w:firstLine="640" w:firstLineChars="200"/>
        <w:jc w:val="both"/>
        <w:rPr>
          <w:rFonts w:hint="eastAsia" w:ascii="仿宋" w:hAnsi="仿宋" w:eastAsia="仿宋" w:cs="黑体"/>
          <w:sz w:val="32"/>
          <w:szCs w:val="32"/>
          <w:lang w:eastAsia="zh-CN"/>
        </w:rPr>
      </w:pPr>
      <w:bookmarkStart w:id="96" w:name="_GoBack"/>
      <w:bookmarkEnd w:id="96"/>
    </w:p>
    <w:sectPr>
      <w:footerReference r:id="rId7" w:type="default"/>
      <w:pgSz w:w="11906" w:h="16838"/>
      <w:pgMar w:top="1440" w:right="1797" w:bottom="1440" w:left="1797"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Angsana New">
    <w:panose1 w:val="02020603050405020304"/>
    <w:charset w:val="DE"/>
    <w:family w:val="roman"/>
    <w:pitch w:val="default"/>
    <w:sig w:usb0="81000003" w:usb1="00000000" w:usb2="00000000" w:usb3="00000000" w:csb0="0001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77DD">
    <w:pPr>
      <w:pStyle w:val="55"/>
      <w:jc w:val="center"/>
      <w:rPr>
        <w:rFonts w:ascii="Times New Roman" w:hAnsi="Times New Roman" w:eastAsia="宋体"/>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4462">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24266">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2A72D">
    <w:pPr>
      <w:pStyle w:val="55"/>
      <w:jc w:val="center"/>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PAGE  \* MERGEFORMAT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FBA76">
    <w:pPr>
      <w:pStyle w:val="55"/>
      <w:rPr>
        <w:rFonts w:ascii="Times New Roman" w:hAnsi="Times New Roman" w:eastAsia="宋体"/>
        <w:sz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B5C41"/>
    <w:rsid w:val="000423FD"/>
    <w:rsid w:val="00046E46"/>
    <w:rsid w:val="00362148"/>
    <w:rsid w:val="00411522"/>
    <w:rsid w:val="00476693"/>
    <w:rsid w:val="0075308E"/>
    <w:rsid w:val="00820BF1"/>
    <w:rsid w:val="00915903"/>
    <w:rsid w:val="009C6BC7"/>
    <w:rsid w:val="009F69E2"/>
    <w:rsid w:val="00AD15E3"/>
    <w:rsid w:val="00D2518A"/>
    <w:rsid w:val="00F47F97"/>
    <w:rsid w:val="00FB382D"/>
    <w:rsid w:val="017212AE"/>
    <w:rsid w:val="031C0BD3"/>
    <w:rsid w:val="043D1924"/>
    <w:rsid w:val="04A0634C"/>
    <w:rsid w:val="04B12B41"/>
    <w:rsid w:val="05640EFD"/>
    <w:rsid w:val="0D1240BD"/>
    <w:rsid w:val="0E3F0A80"/>
    <w:rsid w:val="12F27075"/>
    <w:rsid w:val="144E3A38"/>
    <w:rsid w:val="14F4550C"/>
    <w:rsid w:val="15EC6516"/>
    <w:rsid w:val="16F3247F"/>
    <w:rsid w:val="1BDF04E1"/>
    <w:rsid w:val="1ED75321"/>
    <w:rsid w:val="21DD5905"/>
    <w:rsid w:val="223B0A68"/>
    <w:rsid w:val="23ED0ED5"/>
    <w:rsid w:val="2E55770E"/>
    <w:rsid w:val="312167A8"/>
    <w:rsid w:val="36AD21DA"/>
    <w:rsid w:val="3BC211E4"/>
    <w:rsid w:val="3D7628DF"/>
    <w:rsid w:val="3E541399"/>
    <w:rsid w:val="415B3276"/>
    <w:rsid w:val="489F578E"/>
    <w:rsid w:val="4BFB5200"/>
    <w:rsid w:val="509F5EDC"/>
    <w:rsid w:val="50EB5C41"/>
    <w:rsid w:val="51924993"/>
    <w:rsid w:val="54051103"/>
    <w:rsid w:val="5719248B"/>
    <w:rsid w:val="58877149"/>
    <w:rsid w:val="5928604C"/>
    <w:rsid w:val="5F300B97"/>
    <w:rsid w:val="601A14A7"/>
    <w:rsid w:val="60973B6E"/>
    <w:rsid w:val="6120408F"/>
    <w:rsid w:val="69A53CA3"/>
    <w:rsid w:val="6D775E67"/>
    <w:rsid w:val="700722DF"/>
    <w:rsid w:val="70327C53"/>
    <w:rsid w:val="78E5678D"/>
    <w:rsid w:val="795C2C66"/>
    <w:rsid w:val="79F663D3"/>
    <w:rsid w:val="7A854638"/>
    <w:rsid w:val="7B9621AF"/>
    <w:rsid w:val="7FD932A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qFormat="1"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qFormat="1" w:uiPriority="0" w:name="Table 3D effects 2"/>
    <w:lsdException w:uiPriority="0" w:name="Table 3D effects 3"/>
    <w:lsdException w:uiPriority="0" w:name="Table Contemporary"/>
    <w:lsdException w:uiPriority="0" w:name="Table Elegant"/>
    <w:lsdException w:qFormat="1"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iPriority="99" w:name="Placeholder Text"/>
    <w:lsdException w:uiPriority="99"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99" w:name="List Paragraph"/>
    <w:lsdException w:uiPriority="99" w:name="Quote"/>
    <w:lsdException w:uiPriority="99"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qFormat="1"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qFormat="1"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outlineLvl w:val="0"/>
    </w:pPr>
    <w:rPr>
      <w:rFonts w:hint="eastAsia" w:ascii="宋体" w:hAnsi="宋体" w:eastAsia="宋体" w:cs="Angsana New"/>
      <w:b/>
      <w:kern w:val="44"/>
      <w:sz w:val="48"/>
      <w:szCs w:val="48"/>
      <w:lang w:bidi="th-TH"/>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Angsana New"/>
      <w:b/>
      <w:kern w:val="0"/>
      <w:sz w:val="36"/>
      <w:szCs w:val="36"/>
      <w:lang w:bidi="th-TH"/>
    </w:rPr>
  </w:style>
  <w:style w:type="paragraph" w:styleId="5">
    <w:name w:val="heading 3"/>
    <w:basedOn w:val="1"/>
    <w:next w:val="1"/>
    <w:link w:val="258"/>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259"/>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60"/>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61"/>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262"/>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263"/>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264"/>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31">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271"/>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uiPriority w:val="0"/>
    <w:pPr>
      <w:ind w:left="100" w:leftChars="400" w:hanging="200" w:hangingChars="200"/>
      <w:contextualSpacing/>
    </w:pPr>
  </w:style>
  <w:style w:type="paragraph" w:styleId="13">
    <w:name w:val="toc 7"/>
    <w:basedOn w:val="1"/>
    <w:next w:val="1"/>
    <w:uiPriority w:val="0"/>
    <w:pPr>
      <w:ind w:left="2520" w:leftChars="1200"/>
    </w:pPr>
  </w:style>
  <w:style w:type="paragraph" w:styleId="14">
    <w:name w:val="List Number 2"/>
    <w:basedOn w:val="1"/>
    <w:uiPriority w:val="0"/>
    <w:pPr>
      <w:numPr>
        <w:ilvl w:val="0"/>
        <w:numId w:val="1"/>
      </w:numPr>
      <w:contextualSpacing/>
    </w:pPr>
  </w:style>
  <w:style w:type="paragraph" w:styleId="15">
    <w:name w:val="table of authorities"/>
    <w:basedOn w:val="1"/>
    <w:next w:val="1"/>
    <w:uiPriority w:val="0"/>
    <w:pPr>
      <w:ind w:left="420" w:leftChars="200"/>
    </w:pPr>
  </w:style>
  <w:style w:type="paragraph" w:styleId="16">
    <w:name w:val="Note Heading"/>
    <w:basedOn w:val="1"/>
    <w:next w:val="1"/>
    <w:link w:val="409"/>
    <w:uiPriority w:val="0"/>
    <w:pPr>
      <w:jc w:val="center"/>
    </w:pPr>
  </w:style>
  <w:style w:type="paragraph" w:styleId="17">
    <w:name w:val="List Bullet 4"/>
    <w:basedOn w:val="1"/>
    <w:uiPriority w:val="0"/>
    <w:pPr>
      <w:numPr>
        <w:ilvl w:val="0"/>
        <w:numId w:val="2"/>
      </w:numPr>
      <w:contextualSpacing/>
    </w:pPr>
  </w:style>
  <w:style w:type="paragraph" w:styleId="18">
    <w:name w:val="index 8"/>
    <w:basedOn w:val="1"/>
    <w:next w:val="1"/>
    <w:uiPriority w:val="0"/>
    <w:pPr>
      <w:ind w:left="1400" w:leftChars="1400"/>
    </w:pPr>
  </w:style>
  <w:style w:type="paragraph" w:styleId="19">
    <w:name w:val="E-mail Signature"/>
    <w:basedOn w:val="1"/>
    <w:link w:val="269"/>
    <w:uiPriority w:val="0"/>
  </w:style>
  <w:style w:type="paragraph" w:styleId="20">
    <w:name w:val="List Number"/>
    <w:basedOn w:val="1"/>
    <w:uiPriority w:val="0"/>
    <w:pPr>
      <w:numPr>
        <w:ilvl w:val="0"/>
        <w:numId w:val="3"/>
      </w:numPr>
      <w:contextualSpacing/>
    </w:pPr>
  </w:style>
  <w:style w:type="paragraph" w:styleId="21">
    <w:name w:val="Normal Indent"/>
    <w:basedOn w:val="1"/>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uiPriority w:val="0"/>
    <w:pPr>
      <w:ind w:left="800" w:leftChars="800"/>
    </w:pPr>
  </w:style>
  <w:style w:type="paragraph" w:styleId="24">
    <w:name w:val="List Bullet"/>
    <w:basedOn w:val="1"/>
    <w:uiPriority w:val="0"/>
    <w:pPr>
      <w:numPr>
        <w:ilvl w:val="0"/>
        <w:numId w:val="4"/>
      </w:numPr>
      <w:contextualSpacing/>
    </w:pPr>
  </w:style>
  <w:style w:type="paragraph" w:styleId="25">
    <w:name w:val="envelope address"/>
    <w:basedOn w:val="1"/>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26">
    <w:name w:val="Document Map"/>
    <w:basedOn w:val="1"/>
    <w:link w:val="388"/>
    <w:uiPriority w:val="0"/>
    <w:rPr>
      <w:rFonts w:ascii="Microsoft YaHei UI" w:eastAsia="Microsoft YaHei UI"/>
      <w:sz w:val="18"/>
      <w:szCs w:val="18"/>
    </w:rPr>
  </w:style>
  <w:style w:type="paragraph" w:styleId="27">
    <w:name w:val="toa heading"/>
    <w:basedOn w:val="1"/>
    <w:next w:val="1"/>
    <w:uiPriority w:val="0"/>
    <w:pPr>
      <w:spacing w:before="120"/>
    </w:pPr>
    <w:rPr>
      <w:rFonts w:asciiTheme="majorHAnsi" w:hAnsiTheme="majorHAnsi" w:eastAsiaTheme="majorEastAsia" w:cstheme="majorBidi"/>
      <w:sz w:val="24"/>
    </w:rPr>
  </w:style>
  <w:style w:type="paragraph" w:styleId="28">
    <w:name w:val="annotation text"/>
    <w:basedOn w:val="1"/>
    <w:link w:val="281"/>
    <w:uiPriority w:val="0"/>
  </w:style>
  <w:style w:type="paragraph" w:styleId="29">
    <w:name w:val="index 6"/>
    <w:basedOn w:val="1"/>
    <w:next w:val="1"/>
    <w:uiPriority w:val="0"/>
    <w:pPr>
      <w:ind w:left="1000" w:leftChars="1000"/>
    </w:pPr>
  </w:style>
  <w:style w:type="paragraph" w:styleId="30">
    <w:name w:val="Salutation"/>
    <w:basedOn w:val="1"/>
    <w:next w:val="1"/>
    <w:link w:val="267"/>
    <w:qFormat/>
    <w:uiPriority w:val="0"/>
  </w:style>
  <w:style w:type="paragraph" w:styleId="31">
    <w:name w:val="Body Text 3"/>
    <w:basedOn w:val="1"/>
    <w:link w:val="401"/>
    <w:uiPriority w:val="0"/>
    <w:pPr>
      <w:spacing w:after="120"/>
    </w:pPr>
    <w:rPr>
      <w:sz w:val="16"/>
      <w:szCs w:val="16"/>
    </w:rPr>
  </w:style>
  <w:style w:type="paragraph" w:styleId="32">
    <w:name w:val="Closing"/>
    <w:basedOn w:val="1"/>
    <w:link w:val="273"/>
    <w:uiPriority w:val="0"/>
    <w:pPr>
      <w:ind w:left="100" w:leftChars="2100"/>
    </w:pPr>
  </w:style>
  <w:style w:type="paragraph" w:styleId="33">
    <w:name w:val="List Bullet 3"/>
    <w:basedOn w:val="1"/>
    <w:uiPriority w:val="0"/>
    <w:pPr>
      <w:numPr>
        <w:ilvl w:val="0"/>
        <w:numId w:val="5"/>
      </w:numPr>
      <w:contextualSpacing/>
    </w:pPr>
  </w:style>
  <w:style w:type="paragraph" w:styleId="34">
    <w:name w:val="Body Text"/>
    <w:basedOn w:val="1"/>
    <w:link w:val="399"/>
    <w:uiPriority w:val="0"/>
    <w:pPr>
      <w:spacing w:after="120"/>
    </w:pPr>
  </w:style>
  <w:style w:type="paragraph" w:styleId="35">
    <w:name w:val="Body Text Indent"/>
    <w:basedOn w:val="1"/>
    <w:link w:val="403"/>
    <w:uiPriority w:val="0"/>
    <w:pPr>
      <w:spacing w:after="120"/>
      <w:ind w:left="420" w:leftChars="200"/>
    </w:pPr>
  </w:style>
  <w:style w:type="paragraph" w:styleId="36">
    <w:name w:val="List Number 3"/>
    <w:basedOn w:val="1"/>
    <w:uiPriority w:val="0"/>
    <w:pPr>
      <w:numPr>
        <w:ilvl w:val="0"/>
        <w:numId w:val="6"/>
      </w:numPr>
      <w:contextualSpacing/>
    </w:pPr>
  </w:style>
  <w:style w:type="paragraph" w:styleId="37">
    <w:name w:val="List 2"/>
    <w:basedOn w:val="1"/>
    <w:uiPriority w:val="0"/>
    <w:pPr>
      <w:ind w:left="100" w:leftChars="200" w:hanging="200" w:hangingChars="200"/>
      <w:contextualSpacing/>
    </w:pPr>
  </w:style>
  <w:style w:type="paragraph" w:styleId="38">
    <w:name w:val="List Continue"/>
    <w:basedOn w:val="1"/>
    <w:uiPriority w:val="0"/>
    <w:pPr>
      <w:spacing w:after="120"/>
      <w:ind w:left="420" w:leftChars="200"/>
      <w:contextualSpacing/>
    </w:pPr>
  </w:style>
  <w:style w:type="paragraph" w:styleId="39">
    <w:name w:val="Block Text"/>
    <w:basedOn w:val="1"/>
    <w:uiPriority w:val="0"/>
    <w:pPr>
      <w:spacing w:after="120"/>
      <w:ind w:left="1440" w:leftChars="700" w:right="1440" w:rightChars="700"/>
    </w:pPr>
  </w:style>
  <w:style w:type="paragraph" w:styleId="40">
    <w:name w:val="List Bullet 2"/>
    <w:basedOn w:val="1"/>
    <w:uiPriority w:val="0"/>
    <w:pPr>
      <w:numPr>
        <w:ilvl w:val="0"/>
        <w:numId w:val="7"/>
      </w:numPr>
      <w:contextualSpacing/>
    </w:pPr>
  </w:style>
  <w:style w:type="paragraph" w:styleId="41">
    <w:name w:val="HTML Address"/>
    <w:basedOn w:val="1"/>
    <w:link w:val="254"/>
    <w:uiPriority w:val="0"/>
    <w:rPr>
      <w:i/>
      <w:iCs/>
    </w:rPr>
  </w:style>
  <w:style w:type="paragraph" w:styleId="42">
    <w:name w:val="index 4"/>
    <w:basedOn w:val="1"/>
    <w:next w:val="1"/>
    <w:uiPriority w:val="0"/>
    <w:pPr>
      <w:ind w:left="600" w:leftChars="600"/>
    </w:pPr>
  </w:style>
  <w:style w:type="paragraph" w:styleId="43">
    <w:name w:val="toc 5"/>
    <w:basedOn w:val="1"/>
    <w:next w:val="1"/>
    <w:uiPriority w:val="0"/>
    <w:pPr>
      <w:ind w:left="1680" w:leftChars="800"/>
    </w:pPr>
  </w:style>
  <w:style w:type="paragraph" w:styleId="44">
    <w:name w:val="toc 3"/>
    <w:basedOn w:val="1"/>
    <w:next w:val="1"/>
    <w:uiPriority w:val="0"/>
    <w:pPr>
      <w:ind w:left="840" w:leftChars="400"/>
    </w:pPr>
  </w:style>
  <w:style w:type="paragraph" w:styleId="45">
    <w:name w:val="Plain Text"/>
    <w:basedOn w:val="1"/>
    <w:link w:val="268"/>
    <w:uiPriority w:val="0"/>
    <w:rPr>
      <w:rFonts w:hAnsi="Courier New" w:cs="Courier New" w:asciiTheme="minorEastAsia"/>
    </w:rPr>
  </w:style>
  <w:style w:type="paragraph" w:styleId="46">
    <w:name w:val="List Bullet 5"/>
    <w:basedOn w:val="1"/>
    <w:uiPriority w:val="0"/>
    <w:pPr>
      <w:numPr>
        <w:ilvl w:val="0"/>
        <w:numId w:val="8"/>
      </w:numPr>
      <w:contextualSpacing/>
    </w:pPr>
  </w:style>
  <w:style w:type="paragraph" w:styleId="47">
    <w:name w:val="List Number 4"/>
    <w:basedOn w:val="1"/>
    <w:uiPriority w:val="0"/>
    <w:pPr>
      <w:numPr>
        <w:ilvl w:val="0"/>
        <w:numId w:val="9"/>
      </w:numPr>
      <w:contextualSpacing/>
    </w:pPr>
  </w:style>
  <w:style w:type="paragraph" w:styleId="48">
    <w:name w:val="toc 8"/>
    <w:basedOn w:val="1"/>
    <w:next w:val="1"/>
    <w:uiPriority w:val="0"/>
    <w:pPr>
      <w:ind w:left="2940" w:leftChars="1400"/>
    </w:pPr>
  </w:style>
  <w:style w:type="paragraph" w:styleId="49">
    <w:name w:val="index 3"/>
    <w:basedOn w:val="1"/>
    <w:next w:val="1"/>
    <w:uiPriority w:val="0"/>
    <w:pPr>
      <w:ind w:left="400" w:leftChars="400"/>
    </w:pPr>
  </w:style>
  <w:style w:type="paragraph" w:styleId="50">
    <w:name w:val="Date"/>
    <w:basedOn w:val="1"/>
    <w:next w:val="1"/>
    <w:link w:val="333"/>
    <w:uiPriority w:val="0"/>
    <w:pPr>
      <w:ind w:left="100" w:leftChars="2500"/>
    </w:pPr>
  </w:style>
  <w:style w:type="paragraph" w:styleId="51">
    <w:name w:val="Body Text Indent 2"/>
    <w:basedOn w:val="1"/>
    <w:link w:val="405"/>
    <w:uiPriority w:val="0"/>
    <w:pPr>
      <w:spacing w:after="120" w:line="480" w:lineRule="auto"/>
      <w:ind w:left="420" w:leftChars="200"/>
    </w:pPr>
  </w:style>
  <w:style w:type="paragraph" w:styleId="52">
    <w:name w:val="endnote text"/>
    <w:basedOn w:val="1"/>
    <w:link w:val="386"/>
    <w:uiPriority w:val="0"/>
    <w:pPr>
      <w:snapToGrid w:val="0"/>
    </w:pPr>
  </w:style>
  <w:style w:type="paragraph" w:styleId="53">
    <w:name w:val="List Continue 5"/>
    <w:basedOn w:val="1"/>
    <w:uiPriority w:val="0"/>
    <w:pPr>
      <w:spacing w:after="120"/>
      <w:ind w:left="2100" w:leftChars="1000"/>
      <w:contextualSpacing/>
    </w:pPr>
  </w:style>
  <w:style w:type="paragraph" w:styleId="54">
    <w:name w:val="Balloon Text"/>
    <w:basedOn w:val="1"/>
    <w:link w:val="280"/>
    <w:uiPriority w:val="0"/>
    <w:rPr>
      <w:sz w:val="18"/>
      <w:szCs w:val="18"/>
    </w:rPr>
  </w:style>
  <w:style w:type="paragraph" w:styleId="55">
    <w:name w:val="footer"/>
    <w:basedOn w:val="1"/>
    <w:link w:val="252"/>
    <w:uiPriority w:val="0"/>
    <w:pPr>
      <w:tabs>
        <w:tab w:val="center" w:pos="4153"/>
        <w:tab w:val="right" w:pos="8306"/>
      </w:tabs>
      <w:snapToGrid w:val="0"/>
    </w:pPr>
    <w:rPr>
      <w:sz w:val="18"/>
      <w:szCs w:val="18"/>
    </w:rPr>
  </w:style>
  <w:style w:type="paragraph" w:styleId="56">
    <w:name w:val="envelope return"/>
    <w:basedOn w:val="1"/>
    <w:uiPriority w:val="0"/>
    <w:pPr>
      <w:snapToGrid w:val="0"/>
    </w:pPr>
    <w:rPr>
      <w:rFonts w:asciiTheme="majorHAnsi" w:hAnsiTheme="majorHAnsi" w:eastAsiaTheme="majorEastAsia" w:cstheme="majorBidi"/>
    </w:rPr>
  </w:style>
  <w:style w:type="paragraph" w:styleId="57">
    <w:name w:val="header"/>
    <w:basedOn w:val="1"/>
    <w:link w:val="251"/>
    <w:uiPriority w:val="0"/>
    <w:pPr>
      <w:tabs>
        <w:tab w:val="center" w:pos="4153"/>
        <w:tab w:val="right" w:pos="8306"/>
      </w:tabs>
      <w:snapToGrid w:val="0"/>
      <w:jc w:val="center"/>
    </w:pPr>
    <w:rPr>
      <w:sz w:val="18"/>
      <w:szCs w:val="18"/>
    </w:rPr>
  </w:style>
  <w:style w:type="paragraph" w:styleId="58">
    <w:name w:val="Signature"/>
    <w:basedOn w:val="1"/>
    <w:link w:val="283"/>
    <w:uiPriority w:val="0"/>
    <w:pPr>
      <w:ind w:left="100" w:leftChars="2100"/>
    </w:pPr>
  </w:style>
  <w:style w:type="paragraph" w:styleId="59">
    <w:name w:val="toc 1"/>
    <w:basedOn w:val="1"/>
    <w:next w:val="1"/>
    <w:uiPriority w:val="39"/>
  </w:style>
  <w:style w:type="paragraph" w:styleId="60">
    <w:name w:val="List Continue 4"/>
    <w:basedOn w:val="1"/>
    <w:uiPriority w:val="0"/>
    <w:pPr>
      <w:spacing w:after="120"/>
      <w:ind w:left="1680" w:leftChars="800"/>
      <w:contextualSpacing/>
    </w:pPr>
  </w:style>
  <w:style w:type="paragraph" w:styleId="61">
    <w:name w:val="toc 4"/>
    <w:basedOn w:val="1"/>
    <w:next w:val="1"/>
    <w:uiPriority w:val="0"/>
    <w:pPr>
      <w:ind w:left="1260" w:leftChars="600"/>
    </w:pPr>
  </w:style>
  <w:style w:type="paragraph" w:styleId="62">
    <w:name w:val="index heading"/>
    <w:basedOn w:val="1"/>
    <w:next w:val="63"/>
    <w:uiPriority w:val="0"/>
    <w:rPr>
      <w:rFonts w:asciiTheme="majorHAnsi" w:hAnsiTheme="majorHAnsi" w:eastAsiaTheme="majorEastAsia" w:cstheme="majorBidi"/>
      <w:b/>
      <w:bCs/>
    </w:rPr>
  </w:style>
  <w:style w:type="paragraph" w:styleId="63">
    <w:name w:val="index 1"/>
    <w:basedOn w:val="1"/>
    <w:next w:val="1"/>
    <w:uiPriority w:val="0"/>
  </w:style>
  <w:style w:type="paragraph" w:styleId="64">
    <w:name w:val="Subtitle"/>
    <w:basedOn w:val="1"/>
    <w:next w:val="1"/>
    <w:link w:val="270"/>
    <w:qFormat/>
    <w:uiPriority w:val="0"/>
    <w:pPr>
      <w:spacing w:before="240" w:after="60" w:line="312" w:lineRule="auto"/>
      <w:jc w:val="center"/>
      <w:outlineLvl w:val="1"/>
    </w:pPr>
    <w:rPr>
      <w:b/>
      <w:bCs/>
      <w:kern w:val="28"/>
      <w:sz w:val="32"/>
      <w:szCs w:val="32"/>
    </w:rPr>
  </w:style>
  <w:style w:type="paragraph" w:styleId="65">
    <w:name w:val="List Number 5"/>
    <w:basedOn w:val="1"/>
    <w:uiPriority w:val="0"/>
    <w:pPr>
      <w:numPr>
        <w:ilvl w:val="0"/>
        <w:numId w:val="10"/>
      </w:numPr>
      <w:contextualSpacing/>
    </w:pPr>
  </w:style>
  <w:style w:type="paragraph" w:styleId="66">
    <w:name w:val="List"/>
    <w:basedOn w:val="1"/>
    <w:uiPriority w:val="0"/>
    <w:pPr>
      <w:ind w:left="200" w:hanging="200" w:hangingChars="200"/>
      <w:contextualSpacing/>
    </w:pPr>
  </w:style>
  <w:style w:type="paragraph" w:styleId="67">
    <w:name w:val="footnote text"/>
    <w:basedOn w:val="1"/>
    <w:link w:val="272"/>
    <w:qFormat/>
    <w:uiPriority w:val="0"/>
    <w:pPr>
      <w:snapToGrid w:val="0"/>
    </w:pPr>
    <w:rPr>
      <w:sz w:val="18"/>
      <w:szCs w:val="18"/>
    </w:rPr>
  </w:style>
  <w:style w:type="paragraph" w:styleId="68">
    <w:name w:val="toc 6"/>
    <w:basedOn w:val="1"/>
    <w:next w:val="1"/>
    <w:uiPriority w:val="0"/>
    <w:pPr>
      <w:ind w:left="2100" w:leftChars="1000"/>
    </w:pPr>
  </w:style>
  <w:style w:type="paragraph" w:styleId="69">
    <w:name w:val="List 5"/>
    <w:basedOn w:val="1"/>
    <w:uiPriority w:val="0"/>
    <w:pPr>
      <w:ind w:left="100" w:leftChars="800" w:hanging="200" w:hangingChars="200"/>
      <w:contextualSpacing/>
    </w:pPr>
  </w:style>
  <w:style w:type="paragraph" w:styleId="70">
    <w:name w:val="Body Text Indent 3"/>
    <w:basedOn w:val="1"/>
    <w:link w:val="406"/>
    <w:uiPriority w:val="0"/>
    <w:pPr>
      <w:spacing w:after="120"/>
      <w:ind w:left="420" w:leftChars="200"/>
    </w:pPr>
    <w:rPr>
      <w:sz w:val="16"/>
      <w:szCs w:val="16"/>
    </w:rPr>
  </w:style>
  <w:style w:type="paragraph" w:styleId="71">
    <w:name w:val="index 7"/>
    <w:basedOn w:val="1"/>
    <w:next w:val="1"/>
    <w:uiPriority w:val="0"/>
    <w:pPr>
      <w:ind w:left="1200" w:leftChars="1200"/>
    </w:pPr>
  </w:style>
  <w:style w:type="paragraph" w:styleId="72">
    <w:name w:val="index 9"/>
    <w:basedOn w:val="1"/>
    <w:next w:val="1"/>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uiPriority w:val="39"/>
    <w:pPr>
      <w:ind w:left="420" w:leftChars="200"/>
    </w:pPr>
  </w:style>
  <w:style w:type="paragraph" w:styleId="75">
    <w:name w:val="toc 9"/>
    <w:basedOn w:val="1"/>
    <w:next w:val="1"/>
    <w:uiPriority w:val="0"/>
    <w:pPr>
      <w:ind w:left="3360" w:leftChars="1600"/>
    </w:pPr>
  </w:style>
  <w:style w:type="paragraph" w:styleId="76">
    <w:name w:val="Body Text 2"/>
    <w:basedOn w:val="1"/>
    <w:link w:val="400"/>
    <w:uiPriority w:val="0"/>
    <w:pPr>
      <w:spacing w:after="120" w:line="480" w:lineRule="auto"/>
    </w:pPr>
  </w:style>
  <w:style w:type="paragraph" w:styleId="77">
    <w:name w:val="List 4"/>
    <w:basedOn w:val="1"/>
    <w:uiPriority w:val="0"/>
    <w:pPr>
      <w:ind w:left="100" w:leftChars="600" w:hanging="200" w:hangingChars="200"/>
      <w:contextualSpacing/>
    </w:pPr>
  </w:style>
  <w:style w:type="paragraph" w:styleId="78">
    <w:name w:val="List Continue 2"/>
    <w:basedOn w:val="1"/>
    <w:uiPriority w:val="0"/>
    <w:pPr>
      <w:spacing w:after="120"/>
      <w:ind w:left="840" w:leftChars="400"/>
      <w:contextualSpacing/>
    </w:pPr>
  </w:style>
  <w:style w:type="paragraph" w:styleId="79">
    <w:name w:val="Message Header"/>
    <w:basedOn w:val="1"/>
    <w:link w:val="395"/>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link w:val="255"/>
    <w:qFormat/>
    <w:uiPriority w:val="0"/>
    <w:rPr>
      <w:rFonts w:ascii="Courier New" w:hAnsi="Courier New" w:cs="Courier New"/>
      <w:sz w:val="20"/>
      <w:szCs w:val="20"/>
    </w:rPr>
  </w:style>
  <w:style w:type="paragraph" w:styleId="81">
    <w:name w:val="Normal (Web)"/>
    <w:basedOn w:val="1"/>
    <w:uiPriority w:val="0"/>
    <w:pPr>
      <w:spacing w:beforeAutospacing="1" w:afterAutospacing="1"/>
    </w:pPr>
    <w:rPr>
      <w:rFonts w:cs="Angsana New"/>
      <w:kern w:val="0"/>
      <w:sz w:val="24"/>
      <w:lang w:bidi="th-TH"/>
    </w:rPr>
  </w:style>
  <w:style w:type="paragraph" w:styleId="82">
    <w:name w:val="List Continue 3"/>
    <w:basedOn w:val="1"/>
    <w:uiPriority w:val="0"/>
    <w:pPr>
      <w:spacing w:after="120"/>
      <w:ind w:left="1260" w:leftChars="600"/>
      <w:contextualSpacing/>
    </w:pPr>
  </w:style>
  <w:style w:type="paragraph" w:styleId="83">
    <w:name w:val="index 2"/>
    <w:basedOn w:val="1"/>
    <w:next w:val="1"/>
    <w:uiPriority w:val="0"/>
    <w:pPr>
      <w:ind w:left="200" w:leftChars="200"/>
    </w:pPr>
  </w:style>
  <w:style w:type="paragraph" w:styleId="84">
    <w:name w:val="Title"/>
    <w:basedOn w:val="1"/>
    <w:next w:val="1"/>
    <w:link w:val="257"/>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282"/>
    <w:uiPriority w:val="0"/>
    <w:rPr>
      <w:b/>
      <w:bCs/>
    </w:rPr>
  </w:style>
  <w:style w:type="paragraph" w:styleId="86">
    <w:name w:val="Body Text First Indent"/>
    <w:basedOn w:val="34"/>
    <w:link w:val="402"/>
    <w:uiPriority w:val="0"/>
    <w:pPr>
      <w:ind w:firstLine="420" w:firstLineChars="100"/>
    </w:pPr>
  </w:style>
  <w:style w:type="paragraph" w:styleId="87">
    <w:name w:val="Body Text First Indent 2"/>
    <w:basedOn w:val="35"/>
    <w:link w:val="404"/>
    <w:uiPriority w:val="0"/>
    <w:pPr>
      <w:ind w:firstLine="420" w:firstLineChars="200"/>
    </w:pPr>
  </w:style>
  <w:style w:type="table" w:styleId="89">
    <w:name w:val="Table Grid"/>
    <w:basedOn w:val="8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uiPriority w:val="0"/>
    <w:pPr>
      <w:widowControl w:val="0"/>
      <w:jc w:val="both"/>
    </w:pPr>
    <w:rPr>
      <w:rFonts w:cs="Angsana New"/>
      <w:szCs w:val="25"/>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uiPriority w:val="0"/>
    <w:pPr>
      <w:widowControl w:val="0"/>
      <w:jc w:val="both"/>
    </w:pPr>
    <w:rPr>
      <w:rFonts w:cs="Angsana New"/>
      <w:color w:val="FFFFFF"/>
      <w:szCs w:val="25"/>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uiPriority w:val="0"/>
    <w:pPr>
      <w:widowControl w:val="0"/>
      <w:jc w:val="both"/>
    </w:pPr>
    <w:rPr>
      <w:rFonts w:cs="Angsana New"/>
      <w:szCs w:val="25"/>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uiPriority w:val="0"/>
    <w:pPr>
      <w:widowControl w:val="0"/>
      <w:jc w:val="both"/>
    </w:pPr>
    <w:rPr>
      <w:rFonts w:cs="Angsana New"/>
      <w:szCs w:val="25"/>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uiPriority w:val="0"/>
    <w:pPr>
      <w:widowControl w:val="0"/>
      <w:jc w:val="both"/>
    </w:pPr>
    <w:rPr>
      <w:rFonts w:cs="Angsana New"/>
      <w:szCs w:val="25"/>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uiPriority w:val="0"/>
    <w:pPr>
      <w:widowControl w:val="0"/>
      <w:jc w:val="both"/>
    </w:pPr>
    <w:rPr>
      <w:rFonts w:cs="Angsana New"/>
      <w:szCs w:val="25"/>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uiPriority w:val="0"/>
    <w:pPr>
      <w:widowControl w:val="0"/>
      <w:jc w:val="both"/>
    </w:pPr>
    <w:rPr>
      <w:rFonts w:cs="Angsana New"/>
      <w:color w:val="000080"/>
      <w:szCs w:val="25"/>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uiPriority w:val="0"/>
    <w:pPr>
      <w:widowControl w:val="0"/>
      <w:jc w:val="both"/>
    </w:pPr>
    <w:rPr>
      <w:rFonts w:cs="Angsana New"/>
      <w:szCs w:val="25"/>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uiPriority w:val="0"/>
    <w:pPr>
      <w:widowControl w:val="0"/>
      <w:jc w:val="both"/>
    </w:pPr>
    <w:rPr>
      <w:rFonts w:cs="Angsana New"/>
      <w:szCs w:val="25"/>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uiPriority w:val="0"/>
    <w:pPr>
      <w:widowControl w:val="0"/>
      <w:jc w:val="both"/>
    </w:pPr>
    <w:rPr>
      <w:rFonts w:cs="Angsana New"/>
      <w:szCs w:val="25"/>
    </w:r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uiPriority w:val="0"/>
    <w:pPr>
      <w:widowControl w:val="0"/>
      <w:jc w:val="both"/>
    </w:pPr>
    <w:rPr>
      <w:rFonts w:cs="Angsana New"/>
      <w:szCs w:val="25"/>
    </w:r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uiPriority w:val="0"/>
    <w:pPr>
      <w:widowControl w:val="0"/>
      <w:jc w:val="both"/>
    </w:pPr>
    <w:rPr>
      <w:rFonts w:cs="Angsana New"/>
      <w:szCs w:val="25"/>
    </w:r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uiPriority w:val="0"/>
    <w:pPr>
      <w:widowControl w:val="0"/>
      <w:jc w:val="both"/>
    </w:pPr>
    <w:rPr>
      <w:rFonts w:cs="Angsana New"/>
      <w:szCs w:val="25"/>
    </w:r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0"/>
    <w:pPr>
      <w:widowControl w:val="0"/>
      <w:jc w:val="both"/>
    </w:pPr>
    <w:rPr>
      <w:rFonts w:cs="Angsana New"/>
      <w:szCs w:val="25"/>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uiPriority w:val="0"/>
    <w:pPr>
      <w:widowControl w:val="0"/>
      <w:jc w:val="both"/>
    </w:pPr>
    <w:rPr>
      <w:rFonts w:cs="Angsana New"/>
      <w:szCs w:val="25"/>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uiPriority w:val="0"/>
    <w:pPr>
      <w:widowControl w:val="0"/>
      <w:jc w:val="both"/>
    </w:pPr>
    <w:rPr>
      <w:rFonts w:cs="Angsana New"/>
      <w:szCs w:val="25"/>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0"/>
    <w:pPr>
      <w:widowControl w:val="0"/>
      <w:jc w:val="both"/>
    </w:pPr>
    <w:rPr>
      <w:rFonts w:cs="Angsana New"/>
      <w:szCs w:val="25"/>
    </w:r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uiPriority w:val="0"/>
    <w:pPr>
      <w:widowControl w:val="0"/>
      <w:jc w:val="both"/>
    </w:pPr>
    <w:rPr>
      <w:rFonts w:cs="Angsana New"/>
      <w:szCs w:val="25"/>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uiPriority w:val="0"/>
    <w:pPr>
      <w:widowControl w:val="0"/>
      <w:jc w:val="both"/>
    </w:pPr>
    <w:rPr>
      <w:rFonts w:cs="Angsana New"/>
      <w:szCs w:val="25"/>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uiPriority w:val="0"/>
    <w:pPr>
      <w:widowControl w:val="0"/>
      <w:jc w:val="both"/>
    </w:pPr>
    <w:rPr>
      <w:rFonts w:cs="Angsana New"/>
      <w:szCs w:val="25"/>
    </w:r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uiPriority w:val="0"/>
    <w:pPr>
      <w:widowControl w:val="0"/>
      <w:jc w:val="both"/>
    </w:pPr>
    <w:rPr>
      <w:rFonts w:cs="Angsana New"/>
      <w:b/>
      <w:bCs/>
      <w:szCs w:val="25"/>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uiPriority w:val="0"/>
    <w:pPr>
      <w:widowControl w:val="0"/>
      <w:jc w:val="both"/>
    </w:pPr>
    <w:rPr>
      <w:rFonts w:cs="Angsana New"/>
      <w:b/>
      <w:bCs/>
      <w:szCs w:val="25"/>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uiPriority w:val="0"/>
    <w:pPr>
      <w:widowControl w:val="0"/>
      <w:jc w:val="both"/>
    </w:pPr>
    <w:rPr>
      <w:rFonts w:cs="Angsana New"/>
      <w:szCs w:val="25"/>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uiPriority w:val="0"/>
    <w:pPr>
      <w:widowControl w:val="0"/>
      <w:jc w:val="both"/>
    </w:pPr>
    <w:rPr>
      <w:rFonts w:cs="Angsana New"/>
      <w:szCs w:val="25"/>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uiPriority w:val="0"/>
    <w:pPr>
      <w:widowControl w:val="0"/>
      <w:jc w:val="both"/>
    </w:pPr>
    <w:rPr>
      <w:rFonts w:cs="Angsana New"/>
      <w:szCs w:val="25"/>
    </w:r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uiPriority w:val="0"/>
    <w:pPr>
      <w:widowControl w:val="0"/>
      <w:jc w:val="both"/>
    </w:pPr>
    <w:rPr>
      <w:rFonts w:cs="Angsana New"/>
      <w:szCs w:val="25"/>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uiPriority w:val="0"/>
    <w:pPr>
      <w:widowControl w:val="0"/>
      <w:jc w:val="both"/>
    </w:pPr>
    <w:rPr>
      <w:rFonts w:cs="Angsana New"/>
      <w:szCs w:val="25"/>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uiPriority w:val="0"/>
    <w:pPr>
      <w:widowControl w:val="0"/>
      <w:jc w:val="both"/>
    </w:pPr>
    <w:rPr>
      <w:rFonts w:cs="Angsana New"/>
      <w:szCs w:val="25"/>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uiPriority w:val="0"/>
    <w:pPr>
      <w:widowControl w:val="0"/>
      <w:jc w:val="both"/>
    </w:pPr>
    <w:rPr>
      <w:rFonts w:cs="Angsana New"/>
      <w:b/>
      <w:bCs/>
      <w:szCs w:val="25"/>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uiPriority w:val="0"/>
    <w:pPr>
      <w:widowControl w:val="0"/>
      <w:jc w:val="both"/>
    </w:pPr>
    <w:rPr>
      <w:rFonts w:cs="Angsana New"/>
      <w:szCs w:val="25"/>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uiPriority w:val="0"/>
    <w:pPr>
      <w:widowControl w:val="0"/>
      <w:jc w:val="both"/>
    </w:pPr>
    <w:rPr>
      <w:rFonts w:cs="Angsana New"/>
      <w:szCs w:val="25"/>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uiPriority w:val="0"/>
    <w:pPr>
      <w:widowControl w:val="0"/>
      <w:jc w:val="both"/>
    </w:pPr>
    <w:rPr>
      <w:rFonts w:cs="Angsana New"/>
      <w:szCs w:val="25"/>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uiPriority w:val="0"/>
    <w:pPr>
      <w:widowControl w:val="0"/>
      <w:jc w:val="both"/>
    </w:pPr>
    <w:rPr>
      <w:rFonts w:cs="Angsana New"/>
      <w:szCs w:val="25"/>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0"/>
    <w:pPr>
      <w:widowControl w:val="0"/>
      <w:jc w:val="both"/>
    </w:pPr>
    <w:rPr>
      <w:rFonts w:cs="Angsana New"/>
      <w:szCs w:val="25"/>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CBE9C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uiPriority w:val="64"/>
    <w:tblPr>
      <w:tblBorders>
        <w:top w:val="single" w:color="auto" w:sz="18" w:space="0"/>
        <w:bottom w:val="single" w:color="auto" w:sz="18" w:space="0"/>
      </w:tblBorders>
    </w:tblPr>
    <w:tblStylePr w:type="firstRow">
      <w:pPr>
        <w:spacing w:before="0" w:after="0" w:line="240" w:lineRule="auto"/>
      </w:pPr>
      <w:rPr>
        <w:b/>
        <w:bCs/>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CBE9CF" w:themeFill="background1"/>
      </w:tcPr>
    </w:tblStylePr>
    <w:tblStylePr w:type="firstCol">
      <w:rPr>
        <w:b/>
        <w:bCs/>
        <w:color w:val="CBE9C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CBE9C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9CD5A3" w:themeFill="background1" w:themeFillShade="D8"/>
      </w:tcPr>
    </w:tblStylePr>
    <w:tblStylePr w:type="band1Horz">
      <w:tblPr/>
      <w:tcPr>
        <w:shd w:val="clear" w:color="auto" w:fill="9CD5A3"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CBE9C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CBE9CF" w:themeFill="background1"/>
      </w:tcPr>
    </w:tblStylePr>
    <w:tblStylePr w:type="lastRow">
      <w:tblPr/>
      <w:tcPr>
        <w:tcBorders>
          <w:top w:val="single" w:color="000000" w:themeColor="tex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000000" w:themeColor="text1" w:sz="8" w:space="0"/>
          <w:insideH w:val="nil"/>
          <w:insideV w:val="nil"/>
        </w:tcBorders>
        <w:shd w:val="clear" w:color="auto" w:fill="CBE9CF" w:themeFill="background1"/>
      </w:tcPr>
    </w:tblStylePr>
    <w:tblStylePr w:type="lastCol">
      <w:tblPr/>
      <w:tcPr>
        <w:tcBorders>
          <w:top w:val="nil"/>
          <w:left w:val="single" w:color="000000" w:themeColor="tex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CBE9CF" w:themeFill="background1"/>
      </w:tcPr>
    </w:tblStylePr>
    <w:tblStylePr w:type="swCell">
      <w:tblPr/>
      <w:tcPr>
        <w:tcBorders>
          <w:top w:val="nil"/>
        </w:tcBorders>
      </w:tcPr>
    </w:tblStylePr>
  </w:style>
  <w:style w:type="table" w:styleId="176">
    <w:name w:val="Medium List 2 Accent 1"/>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CBE9CF" w:themeFill="background1"/>
      </w:tcPr>
    </w:tblStylePr>
    <w:tblStylePr w:type="lastRow">
      <w:tblPr/>
      <w:tcPr>
        <w:tcBorders>
          <w:top w:val="single" w:color="5B9BD5" w:themeColor="accent1"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5B9BD5" w:themeColor="accent1" w:sz="8" w:space="0"/>
          <w:insideH w:val="nil"/>
          <w:insideV w:val="nil"/>
        </w:tcBorders>
        <w:shd w:val="clear" w:color="auto" w:fill="CBE9CF" w:themeFill="background1"/>
      </w:tcPr>
    </w:tblStylePr>
    <w:tblStylePr w:type="lastCol">
      <w:tblPr/>
      <w:tcPr>
        <w:tcBorders>
          <w:top w:val="nil"/>
          <w:left w:val="single" w:color="5B9BD5" w:themeColor="accent1"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CBE9CF" w:themeFill="background1"/>
      </w:tcPr>
    </w:tblStylePr>
    <w:tblStylePr w:type="swCell">
      <w:tblPr/>
      <w:tcPr>
        <w:tcBorders>
          <w:top w:val="nil"/>
        </w:tcBorders>
      </w:tcPr>
    </w:tblStylePr>
  </w:style>
  <w:style w:type="table" w:styleId="177">
    <w:name w:val="Medium List 2 Accent 2"/>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tblPr/>
      <w:tcPr>
        <w:tcBorders>
          <w:top w:val="single" w:color="ED7D31" w:themeColor="accent2" w:sz="8" w:space="0"/>
          <w:left w:val="nil"/>
          <w:right w:val="nil"/>
          <w:insideH w:val="nil"/>
          <w:insideV w:val="nil"/>
        </w:tcBorders>
        <w:shd w:val="clear" w:color="auto" w:fill="CBE9CF" w:themeFill="background1"/>
      </w:tcPr>
    </w:tblStylePr>
    <w:tblStylePr w:type="firstCol">
      <w:tblPr/>
      <w:tcPr>
        <w:tcBorders>
          <w:top w:val="nil"/>
          <w:left w:val="nil"/>
          <w:bottom w:val="nil"/>
          <w:right w:val="single" w:color="ED7D31" w:themeColor="accent2" w:sz="8" w:space="0"/>
          <w:insideH w:val="nil"/>
          <w:insideV w:val="nil"/>
        </w:tcBorders>
        <w:shd w:val="clear" w:color="auto" w:fill="CBE9CF" w:themeFill="background1"/>
      </w:tcPr>
    </w:tblStylePr>
    <w:tblStylePr w:type="lastCol">
      <w:tblPr/>
      <w:tcPr>
        <w:tcBorders>
          <w:top w:val="nil"/>
          <w:left w:val="single" w:color="ED7D31" w:themeColor="accent2"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CBE9CF" w:themeFill="background1"/>
      </w:tcPr>
    </w:tblStylePr>
    <w:tblStylePr w:type="swCell">
      <w:tblPr/>
      <w:tcPr>
        <w:tcBorders>
          <w:top w:val="nil"/>
        </w:tcBorders>
      </w:tcPr>
    </w:tblStylePr>
  </w:style>
  <w:style w:type="table" w:styleId="178">
    <w:name w:val="Medium List 2 Accent 3"/>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tblPr/>
      <w:tcPr>
        <w:tcBorders>
          <w:top w:val="single" w:color="A5A5A5" w:themeColor="accent3"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A5A5A5" w:themeColor="accent3" w:sz="8" w:space="0"/>
          <w:insideH w:val="nil"/>
          <w:insideV w:val="nil"/>
        </w:tcBorders>
        <w:shd w:val="clear" w:color="auto" w:fill="CBE9CF" w:themeFill="background1"/>
      </w:tcPr>
    </w:tblStylePr>
    <w:tblStylePr w:type="lastCol">
      <w:tblPr/>
      <w:tcPr>
        <w:tcBorders>
          <w:top w:val="nil"/>
          <w:left w:val="single" w:color="A5A5A5" w:themeColor="accent3"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CBE9CF" w:themeFill="background1"/>
      </w:tcPr>
    </w:tblStylePr>
    <w:tblStylePr w:type="swCell">
      <w:tblPr/>
      <w:tcPr>
        <w:tcBorders>
          <w:top w:val="nil"/>
        </w:tcBorders>
      </w:tcPr>
    </w:tblStylePr>
  </w:style>
  <w:style w:type="table" w:styleId="179">
    <w:name w:val="Medium List 2 Accent 4"/>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tblPr/>
      <w:tcPr>
        <w:tcBorders>
          <w:top w:val="single" w:color="FFC000" w:themeColor="accent4"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FFC000" w:themeColor="accent4" w:sz="8" w:space="0"/>
          <w:insideH w:val="nil"/>
          <w:insideV w:val="nil"/>
        </w:tcBorders>
        <w:shd w:val="clear" w:color="auto" w:fill="CBE9CF" w:themeFill="background1"/>
      </w:tcPr>
    </w:tblStylePr>
    <w:tblStylePr w:type="lastCol">
      <w:tblPr/>
      <w:tcPr>
        <w:tcBorders>
          <w:top w:val="nil"/>
          <w:left w:val="single" w:color="FFC000" w:themeColor="accent4"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CBE9CF" w:themeFill="background1"/>
      </w:tcPr>
    </w:tblStylePr>
    <w:tblStylePr w:type="swCell">
      <w:tblPr/>
      <w:tcPr>
        <w:tcBorders>
          <w:top w:val="nil"/>
        </w:tcBorders>
      </w:tcPr>
    </w:tblStylePr>
  </w:style>
  <w:style w:type="table" w:styleId="180">
    <w:name w:val="Medium List 2 Accent 5"/>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tblPr/>
      <w:tcPr>
        <w:tcBorders>
          <w:top w:val="single" w:color="4472C4" w:themeColor="accent5"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4472C4" w:themeColor="accent5" w:sz="8" w:space="0"/>
          <w:insideH w:val="nil"/>
          <w:insideV w:val="nil"/>
        </w:tcBorders>
        <w:shd w:val="clear" w:color="auto" w:fill="CBE9CF" w:themeFill="background1"/>
      </w:tcPr>
    </w:tblStylePr>
    <w:tblStylePr w:type="lastCol">
      <w:tblPr/>
      <w:tcPr>
        <w:tcBorders>
          <w:top w:val="nil"/>
          <w:left w:val="single" w:color="4472C4" w:themeColor="accent5"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CBE9CF" w:themeFill="background1"/>
      </w:tcPr>
    </w:tblStylePr>
    <w:tblStylePr w:type="swCell">
      <w:tblPr/>
      <w:tcPr>
        <w:tcBorders>
          <w:top w:val="nil"/>
        </w:tcBorders>
      </w:tcPr>
    </w:tblStylePr>
  </w:style>
  <w:style w:type="table" w:styleId="181">
    <w:name w:val="Medium List 2 Accent 6"/>
    <w:basedOn w:val="88"/>
    <w:semiHidden/>
    <w:unhideWhenUsed/>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tblPr/>
      <w:tcPr>
        <w:tcBorders>
          <w:top w:val="single" w:color="70AD47" w:themeColor="accent6" w:sz="8" w:space="0"/>
          <w:left w:val="nil"/>
          <w:bottom w:val="nil"/>
          <w:right w:val="nil"/>
          <w:insideH w:val="nil"/>
          <w:insideV w:val="nil"/>
        </w:tcBorders>
        <w:shd w:val="clear" w:color="auto" w:fill="CBE9CF" w:themeFill="background1"/>
      </w:tcPr>
    </w:tblStylePr>
    <w:tblStylePr w:type="firstCol">
      <w:tblPr/>
      <w:tcPr>
        <w:tcBorders>
          <w:top w:val="nil"/>
          <w:left w:val="nil"/>
          <w:bottom w:val="nil"/>
          <w:right w:val="single" w:color="70AD47" w:themeColor="accent6" w:sz="8" w:space="0"/>
          <w:insideH w:val="nil"/>
          <w:insideV w:val="nil"/>
        </w:tcBorders>
        <w:shd w:val="clear" w:color="auto" w:fill="CBE9CF" w:themeFill="background1"/>
      </w:tcPr>
    </w:tblStylePr>
    <w:tblStylePr w:type="lastCol">
      <w:tblPr/>
      <w:tcPr>
        <w:tcBorders>
          <w:top w:val="nil"/>
          <w:left w:val="single" w:color="70AD47" w:themeColor="accent6" w:sz="8" w:space="0"/>
          <w:bottom w:val="nil"/>
          <w:right w:val="nil"/>
          <w:insideH w:val="nil"/>
          <w:insideV w:val="nil"/>
        </w:tcBorders>
        <w:shd w:val="clear" w:color="auto" w:fill="CBE9C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CBE9CF" w:themeFill="background1"/>
      </w:tcPr>
    </w:tblStylePr>
    <w:tblStylePr w:type="swCell">
      <w:tblPr/>
      <w:tcPr>
        <w:tcBorders>
          <w:top w:val="nil"/>
        </w:tcBorders>
      </w:tcPr>
    </w:tblStylePr>
  </w:style>
  <w:style w:type="table" w:styleId="182">
    <w:name w:val="Medium Grid 1"/>
    <w:basedOn w:val="88"/>
    <w:semiHidden/>
    <w:unhideWhenUsed/>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CBE9CF" w:themeFill="background1"/>
      </w:tcPr>
    </w:tblStylePr>
  </w:style>
  <w:style w:type="table" w:styleId="190">
    <w:name w:val="Medium Grid 2 Accent 1"/>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CBE9CF" w:themeFill="background1"/>
      </w:tcPr>
    </w:tblStylePr>
  </w:style>
  <w:style w:type="table" w:styleId="191">
    <w:name w:val="Medium Grid 2 Accent 2"/>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CBE9CF" w:themeFill="background1"/>
      </w:tcPr>
    </w:tblStylePr>
  </w:style>
  <w:style w:type="table" w:styleId="192">
    <w:name w:val="Medium Grid 2 Accent 3"/>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CBE9CF" w:themeFill="background1"/>
      </w:tcPr>
    </w:tblStylePr>
  </w:style>
  <w:style w:type="table" w:styleId="193">
    <w:name w:val="Medium Grid 2 Accent 4"/>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CBE9CF" w:themeFill="background1"/>
      </w:tcPr>
    </w:tblStylePr>
  </w:style>
  <w:style w:type="table" w:styleId="194">
    <w:name w:val="Medium Grid 2 Accent 5"/>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CBE9CF" w:themeFill="background1"/>
      </w:tcPr>
    </w:tblStylePr>
  </w:style>
  <w:style w:type="table" w:styleId="195">
    <w:name w:val="Medium Grid 2 Accent 6"/>
    <w:basedOn w:val="88"/>
    <w:semiHidden/>
    <w:unhideWhenUsed/>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CBE9C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CBE9C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CBE9CF" w:themeFill="background1"/>
      </w:tcPr>
    </w:tblStylePr>
  </w:style>
  <w:style w:type="table" w:styleId="196">
    <w:name w:val="Medium Grid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BFBFBF" w:themeFill="tex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000000" w:themeFill="tex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000000" w:themeFill="tex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000000" w:themeFill="tex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000000" w:themeFill="tex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7F7F7F" w:themeFill="tex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6E6F4" w:themeFill="accent1"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5B9BD5" w:themeFill="accent1"/>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5B9BD5" w:themeFill="accent1"/>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5B9BD5" w:themeFill="accent1"/>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5B9BD5" w:themeFill="accent1"/>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DCDEA" w:themeFill="accent1"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ADECC" w:themeFill="accent2"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ED7D31" w:themeFill="accent2"/>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ED7D31" w:themeFill="accent2"/>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ED7D31" w:themeFill="accent2"/>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ED7D31" w:themeFill="accent2"/>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6BE98" w:themeFill="accent2"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E8E8E8" w:themeFill="accent3"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A5A5A5" w:themeFill="accent3"/>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A5A5A5" w:themeFill="accent3"/>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A5A5A5" w:themeFill="accent3"/>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A5A5A5" w:themeFill="accent3"/>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D2D2D2" w:themeFill="accent3"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FFEFBF" w:themeFill="accent4"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FFC000" w:themeFill="accent4"/>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FFC000" w:themeFill="accent4"/>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FFC000" w:themeFill="accent4"/>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FFC000" w:themeFill="accent4"/>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FFDF7F" w:themeFill="accent4"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0DCF0" w:themeFill="accent5"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4472C4" w:themeFill="accent5"/>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4472C4" w:themeFill="accent5"/>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4472C4" w:themeFill="accent5"/>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4472C4" w:themeFill="accent5"/>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A1B8E1" w:themeFill="accent5"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uiPriority w:val="69"/>
    <w:tblPr>
      <w:tbl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color="CBE9CF" w:themeColor="background1" w:sz="6" w:space="0"/>
        <w:insideV w:val="single" w:color="CBE9CF" w:themeColor="background1" w:sz="6" w:space="0"/>
      </w:tblBorders>
    </w:tblPr>
    <w:tcPr>
      <w:shd w:val="clear" w:color="auto" w:fill="DBEBD0" w:themeFill="accent6" w:themeFillTint="3F"/>
    </w:tcPr>
    <w:tblStylePr w:type="firstRow">
      <w:rPr>
        <w:b/>
        <w:bCs/>
        <w:i w:val="0"/>
        <w:iCs w:val="0"/>
        <w:color w:val="CBE9CF" w:themeColor="background1"/>
        <w14:textFill>
          <w14:solidFill>
            <w14:schemeClr w14:val="bg1"/>
          </w14:solidFill>
        </w14:textFill>
      </w:rPr>
      <w:tblPr/>
      <w:tcPr>
        <w:tcBorders>
          <w:top w:val="single" w:color="CBE9CF" w:themeColor="background1" w:sz="8" w:space="0"/>
          <w:left w:val="single" w:color="CBE9CF" w:themeColor="background1" w:sz="8" w:space="0"/>
          <w:bottom w:val="single" w:color="CBE9CF" w:themeColor="background1" w:sz="24" w:space="0"/>
          <w:right w:val="single" w:color="CBE9CF" w:themeColor="background1" w:sz="8" w:space="0"/>
          <w:insideH w:val="nil"/>
          <w:insideV w:val="single" w:sz="8" w:space="0"/>
        </w:tcBorders>
        <w:shd w:val="clear" w:color="auto" w:fill="70AD47" w:themeFill="accent6"/>
      </w:tcPr>
    </w:tblStylePr>
    <w:tblStylePr w:type="lastRow">
      <w:rPr>
        <w:b/>
        <w:bCs/>
        <w:i w:val="0"/>
        <w:iCs w:val="0"/>
        <w:color w:val="CBE9CF" w:themeColor="background1"/>
        <w14:textFill>
          <w14:solidFill>
            <w14:schemeClr w14:val="bg1"/>
          </w14:solidFill>
        </w14:textFill>
      </w:rPr>
      <w:tblPr/>
      <w:tcPr>
        <w:tcBorders>
          <w:top w:val="single" w:color="CBE9CF" w:themeColor="background1" w:sz="24" w:space="0"/>
          <w:left w:val="single" w:color="CBE9CF" w:themeColor="background1" w:sz="8" w:space="0"/>
          <w:bottom w:val="single" w:color="CBE9CF" w:themeColor="background1" w:sz="8" w:space="0"/>
          <w:right w:val="single" w:color="CBE9CF" w:themeColor="background1" w:sz="8" w:space="0"/>
          <w:insideH w:val="nil"/>
          <w:insideV w:val="single" w:sz="8" w:space="0"/>
        </w:tcBorders>
        <w:shd w:val="clear" w:color="auto" w:fill="70AD47" w:themeFill="accent6"/>
      </w:tcPr>
    </w:tblStylePr>
    <w:tblStylePr w:type="firstCol">
      <w:rPr>
        <w:b/>
        <w:bCs/>
        <w:i w:val="0"/>
        <w:iCs w:val="0"/>
        <w:color w:val="CBE9CF" w:themeColor="background1"/>
        <w14:textFill>
          <w14:solidFill>
            <w14:schemeClr w14:val="bg1"/>
          </w14:solidFill>
        </w14:textFill>
      </w:rPr>
      <w:tblPr/>
      <w:tcPr>
        <w:tcBorders>
          <w:left w:val="single" w:color="CBE9CF" w:themeColor="background1" w:sz="8" w:space="0"/>
          <w:right w:val="single" w:color="CBE9CF" w:themeColor="background1" w:sz="24" w:space="0"/>
          <w:insideH w:val="nil"/>
          <w:insideV w:val="nil"/>
        </w:tcBorders>
        <w:shd w:val="clear" w:color="auto" w:fill="70AD47" w:themeFill="accent6"/>
      </w:tcPr>
    </w:tblStylePr>
    <w:tblStylePr w:type="lastCol">
      <w:rPr>
        <w:b/>
        <w:bCs/>
        <w:i w:val="0"/>
        <w:iCs w:val="0"/>
        <w:color w:val="CBE9CF" w:themeColor="background1"/>
        <w14:textFill>
          <w14:solidFill>
            <w14:schemeClr w14:val="bg1"/>
          </w14:solidFill>
        </w14:textFill>
      </w:rPr>
      <w:tblPr/>
      <w:tcPr>
        <w:tcBorders>
          <w:top w:val="nil"/>
          <w:left w:val="single" w:color="CBE9CF" w:themeColor="background1" w:sz="24" w:space="0"/>
          <w:bottom w:val="nil"/>
          <w:right w:val="nil"/>
          <w:insideH w:val="nil"/>
          <w:insideV w:val="nil"/>
        </w:tcBorders>
        <w:shd w:val="clear" w:color="auto" w:fill="70AD47" w:themeFill="accent6"/>
      </w:tcPr>
    </w:tblStylePr>
    <w:tblStylePr w:type="band1Vert">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nil"/>
          <w:insideV w:val="nil"/>
        </w:tcBorders>
        <w:shd w:val="clear" w:color="auto" w:fill="B7D8A1" w:themeFill="accent6" w:themeFillTint="7F"/>
      </w:tcPr>
    </w:tblStylePr>
    <w:tblStylePr w:type="band1Horz">
      <w:tblPr/>
      <w:tcPr>
        <w:tcBorders>
          <w:top w:val="single" w:color="CBE9CF" w:themeColor="background1" w:sz="8" w:space="0"/>
          <w:left w:val="single" w:color="CBE9CF" w:themeColor="background1" w:sz="8" w:space="0"/>
          <w:bottom w:val="single" w:color="CBE9CF" w:themeColor="background1" w:sz="8" w:space="0"/>
          <w:right w:val="single" w:color="CBE9C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CBE9CF" w:themeColor="background1" w:sz="18" w:space="0"/>
          <w:insideH w:val="nil"/>
          <w:insideV w:val="nil"/>
        </w:tcBorders>
        <w:shd w:val="clear" w:color="auto" w:fill="000000" w:themeFill="text1" w:themeFillShade="BF"/>
      </w:tcPr>
    </w:tblStylePr>
    <w:tblStylePr w:type="lastCol">
      <w:tblPr/>
      <w:tcPr>
        <w:tcBorders>
          <w:top w:val="nil"/>
          <w:left w:val="single" w:color="CBE9C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CBE9CF" w:themeColor="background1" w:sz="18" w:space="0"/>
          <w:insideH w:val="nil"/>
          <w:insideV w:val="nil"/>
        </w:tcBorders>
        <w:shd w:val="clear" w:color="auto" w:fill="2E75B5" w:themeFill="accent1" w:themeFillShade="BF"/>
      </w:tcPr>
    </w:tblStylePr>
    <w:tblStylePr w:type="lastCol">
      <w:tblPr/>
      <w:tcPr>
        <w:tcBorders>
          <w:top w:val="nil"/>
          <w:left w:val="single" w:color="CBE9C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CBE9CF" w:themeColor="background1" w:sz="18" w:space="0"/>
          <w:insideH w:val="nil"/>
          <w:insideV w:val="nil"/>
        </w:tcBorders>
        <w:shd w:val="clear" w:color="auto" w:fill="C55911" w:themeFill="accent2" w:themeFillShade="BF"/>
      </w:tcPr>
    </w:tblStylePr>
    <w:tblStylePr w:type="lastCol">
      <w:tblPr/>
      <w:tcPr>
        <w:tcBorders>
          <w:top w:val="nil"/>
          <w:left w:val="single" w:color="CBE9C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CBE9CF" w:themeColor="background1" w:sz="18" w:space="0"/>
          <w:insideH w:val="nil"/>
          <w:insideV w:val="nil"/>
        </w:tcBorders>
        <w:shd w:val="clear" w:color="auto" w:fill="7B7B7B" w:themeFill="accent3" w:themeFillShade="BF"/>
      </w:tcPr>
    </w:tblStylePr>
    <w:tblStylePr w:type="lastCol">
      <w:tblPr/>
      <w:tcPr>
        <w:tcBorders>
          <w:top w:val="nil"/>
          <w:left w:val="single" w:color="CBE9C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CBE9CF" w:themeColor="background1" w:sz="18" w:space="0"/>
          <w:insideH w:val="nil"/>
          <w:insideV w:val="nil"/>
        </w:tcBorders>
        <w:shd w:val="clear" w:color="auto" w:fill="BE8F00" w:themeFill="accent4" w:themeFillShade="BF"/>
      </w:tcPr>
    </w:tblStylePr>
    <w:tblStylePr w:type="lastCol">
      <w:tblPr/>
      <w:tcPr>
        <w:tcBorders>
          <w:top w:val="nil"/>
          <w:left w:val="single" w:color="CBE9C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CBE9CF" w:themeColor="background1" w:sz="18" w:space="0"/>
          <w:insideH w:val="nil"/>
          <w:insideV w:val="nil"/>
        </w:tcBorders>
        <w:shd w:val="clear" w:color="auto" w:fill="2F5496" w:themeFill="accent5" w:themeFillShade="BF"/>
      </w:tcPr>
    </w:tblStylePr>
    <w:tblStylePr w:type="lastCol">
      <w:tblPr/>
      <w:tcPr>
        <w:tcBorders>
          <w:top w:val="nil"/>
          <w:left w:val="single" w:color="CBE9C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uiPriority w:val="70"/>
    <w:rPr>
      <w:color w:val="CBE9C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CBE9CF" w:themeColor="background1" w:sz="18" w:space="0"/>
          <w:right w:val="nil"/>
          <w:insideH w:val="nil"/>
          <w:insideV w:val="nil"/>
        </w:tcBorders>
        <w:shd w:val="clear" w:color="auto" w:fill="000000" w:themeFill="text1"/>
      </w:tcPr>
    </w:tblStylePr>
    <w:tblStylePr w:type="lastRow">
      <w:tblPr/>
      <w:tcPr>
        <w:tcBorders>
          <w:top w:val="single" w:color="CBE9C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CBE9CF" w:themeColor="background1" w:sz="18" w:space="0"/>
          <w:insideH w:val="nil"/>
          <w:insideV w:val="nil"/>
        </w:tcBorders>
        <w:shd w:val="clear" w:color="auto" w:fill="538135" w:themeFill="accent6" w:themeFillShade="BF"/>
      </w:tcPr>
    </w:tblStylePr>
    <w:tblStylePr w:type="lastCol">
      <w:tblPr/>
      <w:tcPr>
        <w:tcBorders>
          <w:top w:val="nil"/>
          <w:left w:val="single" w:color="CBE9C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CBE9CF" w:themeColor="background1" w:sz="4" w:space="0"/>
        <w:insideV w:val="single" w:color="CBE9C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000000" w:themeFill="tex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CBE9CF" w:themeColor="background1" w:sz="4" w:space="0"/>
        <w:insideV w:val="single" w:color="CBE9C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5D91" w:themeFill="accent1"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CBE9CF" w:themeColor="background1" w:sz="4" w:space="0"/>
        <w:insideV w:val="single" w:color="CBE9C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D480D" w:themeFill="accent2"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CBE9CF" w:themeColor="background1" w:sz="4" w:space="0"/>
        <w:insideV w:val="single" w:color="CBE9C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626262" w:themeFill="accent3"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CBE9CF" w:themeColor="background1" w:sz="4" w:space="0"/>
        <w:insideV w:val="single" w:color="CBE9C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997300" w:themeFill="accent4"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CBE9CF" w:themeColor="background1" w:sz="4" w:space="0"/>
        <w:insideV w:val="single" w:color="CBE9C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254378" w:themeFill="accent5"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CBE9CF" w:themeColor="background1" w:sz="4" w:space="0"/>
        <w:insideV w:val="single" w:color="CBE9C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CBE9CF" w:themeFill="background1"/>
      </w:tcPr>
    </w:tblStylePr>
    <w:tblStylePr w:type="lastRow">
      <w:rPr>
        <w:b/>
        <w:bCs/>
        <w:color w:val="CBE9CF" w:themeColor="background1"/>
        <w14:textFill>
          <w14:solidFill>
            <w14:schemeClr w14:val="bg1"/>
          </w14:solidFill>
        </w14:textFill>
      </w:rPr>
      <w:tblPr/>
      <w:tcPr>
        <w:tcBorders>
          <w:top w:val="single" w:color="CBE9CF" w:themeColor="background1" w:sz="6" w:space="0"/>
        </w:tcBorders>
        <w:shd w:val="clear" w:color="auto" w:fill="43672A" w:themeFill="accent6" w:themeFillShade="99"/>
      </w:tcPr>
    </w:tblStylePr>
    <w:tblStylePr w:type="firstCol">
      <w:rPr>
        <w:color w:val="CBE9C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CBE9C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CBE9CF" w:themeColor="background1"/>
        <w14:textFill>
          <w14:solidFill>
            <w14:schemeClr w14:val="bg1"/>
          </w14:solidFill>
        </w14:textFill>
      </w:rPr>
      <w:tblPr/>
      <w:tcPr>
        <w:tcBorders>
          <w:bottom w:val="single" w:color="CBE9C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CBE9C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CBE9CF" w:themeColor="background1"/>
        <w14:textFill>
          <w14:solidFill>
            <w14:schemeClr w14:val="bg1"/>
          </w14:solidFill>
        </w14:textFill>
      </w:rPr>
      <w:tblPr/>
      <w:tcPr>
        <w:shd w:val="clear" w:color="auto" w:fill="000000" w:themeFill="text1" w:themeFillShade="BF"/>
      </w:tcPr>
    </w:tblStylePr>
    <w:tblStylePr w:type="lastCol">
      <w:rPr>
        <w:color w:val="CBE9C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CBE9CF" w:themeColor="background1"/>
        <w14:textFill>
          <w14:solidFill>
            <w14:schemeClr w14:val="bg1"/>
          </w14:solidFill>
        </w14:textFill>
      </w:rPr>
      <w:tblPr/>
      <w:tcPr>
        <w:shd w:val="clear" w:color="auto" w:fill="2E75B5" w:themeFill="accent1" w:themeFillShade="BF"/>
      </w:tcPr>
    </w:tblStylePr>
    <w:tblStylePr w:type="lastCol">
      <w:rPr>
        <w:color w:val="CBE9C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CBE9CF" w:themeColor="background1"/>
        <w14:textFill>
          <w14:solidFill>
            <w14:schemeClr w14:val="bg1"/>
          </w14:solidFill>
        </w14:textFill>
      </w:rPr>
      <w:tblPr/>
      <w:tcPr>
        <w:shd w:val="clear" w:color="auto" w:fill="C55911" w:themeFill="accent2" w:themeFillShade="BF"/>
      </w:tcPr>
    </w:tblStylePr>
    <w:tblStylePr w:type="lastCol">
      <w:rPr>
        <w:color w:val="CBE9C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CBE9CF" w:themeColor="background1"/>
        <w14:textFill>
          <w14:solidFill>
            <w14:schemeClr w14:val="bg1"/>
          </w14:solidFill>
        </w14:textFill>
      </w:rPr>
      <w:tblPr/>
      <w:tcPr>
        <w:shd w:val="clear" w:color="auto" w:fill="7B7B7B" w:themeFill="accent3" w:themeFillShade="BF"/>
      </w:tcPr>
    </w:tblStylePr>
    <w:tblStylePr w:type="lastCol">
      <w:rPr>
        <w:color w:val="CBE9C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CBE9CF" w:themeColor="background1"/>
        <w14:textFill>
          <w14:solidFill>
            <w14:schemeClr w14:val="bg1"/>
          </w14:solidFill>
        </w14:textFill>
      </w:rPr>
      <w:tblPr/>
      <w:tcPr>
        <w:shd w:val="clear" w:color="auto" w:fill="BE8F00" w:themeFill="accent4" w:themeFillShade="BF"/>
      </w:tcPr>
    </w:tblStylePr>
    <w:tblStylePr w:type="lastCol">
      <w:rPr>
        <w:color w:val="CBE9C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CBE9CF" w:themeColor="background1"/>
        <w14:textFill>
          <w14:solidFill>
            <w14:schemeClr w14:val="bg1"/>
          </w14:solidFill>
        </w14:textFill>
      </w:rPr>
      <w:tblPr/>
      <w:tcPr>
        <w:shd w:val="clear" w:color="auto" w:fill="2F5496" w:themeFill="accent5" w:themeFillShade="BF"/>
      </w:tcPr>
    </w:tblStylePr>
    <w:tblStylePr w:type="lastCol">
      <w:rPr>
        <w:color w:val="CBE9C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uiPriority w:val="73"/>
    <w:rPr>
      <w:color w:val="000000" w:themeColor="text1"/>
      <w14:textFill>
        <w14:solidFill>
          <w14:schemeClr w14:val="tx1"/>
        </w14:solidFill>
      </w14:textFill>
    </w:rPr>
    <w:tblPr>
      <w:tblBorders>
        <w:insideH w:val="single" w:color="CBE9C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CBE9CF" w:themeColor="background1"/>
        <w14:textFill>
          <w14:solidFill>
            <w14:schemeClr w14:val="bg1"/>
          </w14:solidFill>
        </w14:textFill>
      </w:rPr>
      <w:tblPr/>
      <w:tcPr>
        <w:shd w:val="clear" w:color="auto" w:fill="538135" w:themeFill="accent6" w:themeFillShade="BF"/>
      </w:tcPr>
    </w:tblStylePr>
    <w:tblStylePr w:type="lastCol">
      <w:rPr>
        <w:color w:val="CBE9C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0"/>
    <w:rPr>
      <w:b/>
      <w:bCs/>
    </w:rPr>
  </w:style>
  <w:style w:type="character" w:styleId="233">
    <w:name w:val="endnote reference"/>
    <w:basedOn w:val="231"/>
    <w:uiPriority w:val="0"/>
    <w:rPr>
      <w:vertAlign w:val="superscript"/>
    </w:rPr>
  </w:style>
  <w:style w:type="character" w:styleId="234">
    <w:name w:val="page number"/>
    <w:basedOn w:val="231"/>
    <w:uiPriority w:val="0"/>
  </w:style>
  <w:style w:type="character" w:styleId="235">
    <w:name w:val="FollowedHyperlink"/>
    <w:basedOn w:val="231"/>
    <w:uiPriority w:val="0"/>
    <w:rPr>
      <w:color w:val="000000"/>
      <w:u w:val="none"/>
    </w:rPr>
  </w:style>
  <w:style w:type="character" w:styleId="236">
    <w:name w:val="Emphasis"/>
    <w:basedOn w:val="231"/>
    <w:qFormat/>
    <w:uiPriority w:val="0"/>
    <w:rPr>
      <w:i/>
      <w:iCs/>
    </w:rPr>
  </w:style>
  <w:style w:type="character" w:styleId="237">
    <w:name w:val="line number"/>
    <w:basedOn w:val="231"/>
    <w:uiPriority w:val="0"/>
  </w:style>
  <w:style w:type="character" w:styleId="238">
    <w:name w:val="HTML Definition"/>
    <w:basedOn w:val="231"/>
    <w:uiPriority w:val="0"/>
    <w:rPr>
      <w:i/>
      <w:iCs/>
    </w:rPr>
  </w:style>
  <w:style w:type="character" w:styleId="239">
    <w:name w:val="HTML Typewriter"/>
    <w:basedOn w:val="231"/>
    <w:uiPriority w:val="0"/>
    <w:rPr>
      <w:rFonts w:ascii="Courier New" w:hAnsi="Courier New" w:cs="Courier New"/>
      <w:sz w:val="20"/>
      <w:szCs w:val="20"/>
    </w:rPr>
  </w:style>
  <w:style w:type="character" w:styleId="240">
    <w:name w:val="HTML Acronym"/>
    <w:basedOn w:val="231"/>
    <w:uiPriority w:val="0"/>
  </w:style>
  <w:style w:type="character" w:styleId="241">
    <w:name w:val="HTML Variable"/>
    <w:basedOn w:val="231"/>
    <w:uiPriority w:val="0"/>
    <w:rPr>
      <w:i/>
      <w:iCs/>
    </w:rPr>
  </w:style>
  <w:style w:type="character" w:styleId="242">
    <w:name w:val="Hyperlink"/>
    <w:basedOn w:val="231"/>
    <w:uiPriority w:val="99"/>
    <w:rPr>
      <w:color w:val="000000"/>
      <w:u w:val="none"/>
    </w:rPr>
  </w:style>
  <w:style w:type="character" w:styleId="243">
    <w:name w:val="HTML Code"/>
    <w:basedOn w:val="231"/>
    <w:uiPriority w:val="0"/>
    <w:rPr>
      <w:rFonts w:ascii="Courier New" w:hAnsi="Courier New" w:cs="Courier New"/>
      <w:sz w:val="20"/>
      <w:szCs w:val="20"/>
    </w:rPr>
  </w:style>
  <w:style w:type="character" w:styleId="244">
    <w:name w:val="annotation reference"/>
    <w:basedOn w:val="231"/>
    <w:uiPriority w:val="0"/>
    <w:rPr>
      <w:sz w:val="21"/>
      <w:szCs w:val="21"/>
    </w:rPr>
  </w:style>
  <w:style w:type="character" w:styleId="245">
    <w:name w:val="HTML Cite"/>
    <w:basedOn w:val="231"/>
    <w:uiPriority w:val="0"/>
    <w:rPr>
      <w:i/>
      <w:iCs/>
    </w:rPr>
  </w:style>
  <w:style w:type="character" w:styleId="246">
    <w:name w:val="footnote reference"/>
    <w:basedOn w:val="231"/>
    <w:uiPriority w:val="0"/>
    <w:rPr>
      <w:vertAlign w:val="superscript"/>
    </w:rPr>
  </w:style>
  <w:style w:type="character" w:styleId="247">
    <w:name w:val="HTML Keyboard"/>
    <w:basedOn w:val="231"/>
    <w:uiPriority w:val="0"/>
    <w:rPr>
      <w:rFonts w:ascii="Courier New" w:hAnsi="Courier New" w:cs="Courier New"/>
      <w:sz w:val="20"/>
      <w:szCs w:val="20"/>
    </w:rPr>
  </w:style>
  <w:style w:type="character" w:styleId="248">
    <w:name w:val="HTML Sample"/>
    <w:basedOn w:val="231"/>
    <w:uiPriority w:val="0"/>
    <w:rPr>
      <w:rFonts w:ascii="Courier New" w:hAnsi="Courier New" w:cs="Courier New"/>
    </w:rPr>
  </w:style>
  <w:style w:type="paragraph" w:customStyle="1" w:styleId="249">
    <w:name w:val="_Style 15"/>
    <w:basedOn w:val="1"/>
    <w:next w:val="1"/>
    <w:uiPriority w:val="0"/>
    <w:pPr>
      <w:pBdr>
        <w:bottom w:val="single" w:color="auto" w:sz="6" w:space="1"/>
      </w:pBdr>
      <w:jc w:val="center"/>
    </w:pPr>
    <w:rPr>
      <w:rFonts w:ascii="Arial" w:eastAsia="宋体"/>
      <w:vanish/>
      <w:sz w:val="16"/>
    </w:rPr>
  </w:style>
  <w:style w:type="paragraph" w:customStyle="1" w:styleId="250">
    <w:name w:val="_Style 16"/>
    <w:basedOn w:val="1"/>
    <w:next w:val="1"/>
    <w:uiPriority w:val="0"/>
    <w:pPr>
      <w:pBdr>
        <w:top w:val="single" w:color="auto" w:sz="6" w:space="1"/>
      </w:pBdr>
      <w:jc w:val="center"/>
    </w:pPr>
    <w:rPr>
      <w:rFonts w:ascii="Arial" w:eastAsia="宋体"/>
      <w:vanish/>
      <w:sz w:val="16"/>
    </w:rPr>
  </w:style>
  <w:style w:type="character" w:customStyle="1" w:styleId="251">
    <w:name w:val="页眉 字符"/>
    <w:basedOn w:val="231"/>
    <w:link w:val="57"/>
    <w:uiPriority w:val="0"/>
    <w:rPr>
      <w:rFonts w:asciiTheme="minorHAnsi" w:hAnsiTheme="minorHAnsi" w:eastAsiaTheme="minorEastAsia" w:cstheme="minorBidi"/>
      <w:kern w:val="2"/>
      <w:sz w:val="18"/>
      <w:szCs w:val="18"/>
      <w:lang w:bidi="ar-SA"/>
    </w:rPr>
  </w:style>
  <w:style w:type="character" w:customStyle="1" w:styleId="252">
    <w:name w:val="页脚 字符"/>
    <w:basedOn w:val="231"/>
    <w:link w:val="55"/>
    <w:uiPriority w:val="0"/>
    <w:rPr>
      <w:rFonts w:asciiTheme="minorHAnsi" w:hAnsiTheme="minorHAnsi" w:eastAsiaTheme="minorEastAsia" w:cstheme="minorBidi"/>
      <w:kern w:val="2"/>
      <w:sz w:val="18"/>
      <w:szCs w:val="18"/>
      <w:lang w:bidi="ar-SA"/>
    </w:rPr>
  </w:style>
  <w:style w:type="character" w:customStyle="1" w:styleId="253">
    <w:name w:val="Mention"/>
    <w:basedOn w:val="231"/>
    <w:semiHidden/>
    <w:unhideWhenUsed/>
    <w:uiPriority w:val="99"/>
    <w:rPr>
      <w:color w:val="2B579A"/>
      <w:shd w:val="clear" w:color="auto" w:fill="E1DFDD"/>
    </w:rPr>
  </w:style>
  <w:style w:type="character" w:customStyle="1" w:styleId="254">
    <w:name w:val="HTML 地址 字符"/>
    <w:basedOn w:val="231"/>
    <w:link w:val="41"/>
    <w:uiPriority w:val="0"/>
    <w:rPr>
      <w:rFonts w:asciiTheme="minorHAnsi" w:hAnsiTheme="minorHAnsi" w:eastAsiaTheme="minorEastAsia" w:cstheme="minorBidi"/>
      <w:i/>
      <w:iCs/>
      <w:kern w:val="2"/>
      <w:sz w:val="21"/>
      <w:szCs w:val="24"/>
      <w:lang w:bidi="ar-SA"/>
    </w:rPr>
  </w:style>
  <w:style w:type="character" w:customStyle="1" w:styleId="255">
    <w:name w:val="HTML 预设格式 字符"/>
    <w:basedOn w:val="231"/>
    <w:link w:val="80"/>
    <w:uiPriority w:val="0"/>
    <w:rPr>
      <w:rFonts w:ascii="Courier New" w:hAnsi="Courier New" w:cs="Courier New" w:eastAsiaTheme="minorEastAsia"/>
      <w:kern w:val="2"/>
      <w:lang w:bidi="ar-SA"/>
    </w:rPr>
  </w:style>
  <w:style w:type="paragraph" w:customStyle="1" w:styleId="256">
    <w:name w:val="TOC Heading"/>
    <w:basedOn w:val="3"/>
    <w:next w:val="1"/>
    <w:semiHidden/>
    <w:unhideWhenUsed/>
    <w:qFormat/>
    <w:uiPriority w:val="39"/>
    <w:pPr>
      <w:keepNext/>
      <w:keepLines/>
      <w:spacing w:before="340" w:beforeAutospacing="0" w:after="330" w:afterAutospacing="0" w:line="578" w:lineRule="auto"/>
      <w:jc w:val="both"/>
      <w:outlineLvl w:val="9"/>
    </w:pPr>
    <w:rPr>
      <w:rFonts w:hint="default" w:asciiTheme="minorHAnsi" w:hAnsiTheme="minorHAnsi" w:eastAsiaTheme="minorEastAsia" w:cstheme="minorBidi"/>
      <w:bCs/>
      <w:sz w:val="44"/>
      <w:szCs w:val="44"/>
      <w:lang w:bidi="ar-SA"/>
    </w:rPr>
  </w:style>
  <w:style w:type="character" w:customStyle="1" w:styleId="257">
    <w:name w:val="标题 字符"/>
    <w:basedOn w:val="231"/>
    <w:link w:val="84"/>
    <w:uiPriority w:val="0"/>
    <w:rPr>
      <w:rFonts w:asciiTheme="majorHAnsi" w:hAnsiTheme="majorHAnsi" w:eastAsiaTheme="majorEastAsia" w:cstheme="majorBidi"/>
      <w:b/>
      <w:bCs/>
      <w:kern w:val="2"/>
      <w:sz w:val="32"/>
      <w:szCs w:val="32"/>
      <w:lang w:bidi="ar-SA"/>
    </w:rPr>
  </w:style>
  <w:style w:type="character" w:customStyle="1" w:styleId="258">
    <w:name w:val="标题 3 字符"/>
    <w:basedOn w:val="231"/>
    <w:link w:val="5"/>
    <w:semiHidden/>
    <w:uiPriority w:val="0"/>
    <w:rPr>
      <w:rFonts w:asciiTheme="minorHAnsi" w:hAnsiTheme="minorHAnsi" w:eastAsiaTheme="minorEastAsia" w:cstheme="minorBidi"/>
      <w:b/>
      <w:bCs/>
      <w:kern w:val="2"/>
      <w:sz w:val="32"/>
      <w:szCs w:val="32"/>
      <w:lang w:bidi="ar-SA"/>
    </w:rPr>
  </w:style>
  <w:style w:type="character" w:customStyle="1" w:styleId="259">
    <w:name w:val="标题 4 字符"/>
    <w:basedOn w:val="231"/>
    <w:link w:val="6"/>
    <w:semiHidden/>
    <w:uiPriority w:val="0"/>
    <w:rPr>
      <w:rFonts w:asciiTheme="majorHAnsi" w:hAnsiTheme="majorHAnsi" w:eastAsiaTheme="majorEastAsia" w:cstheme="majorBidi"/>
      <w:b/>
      <w:bCs/>
      <w:kern w:val="2"/>
      <w:sz w:val="28"/>
      <w:szCs w:val="28"/>
      <w:lang w:bidi="ar-SA"/>
    </w:rPr>
  </w:style>
  <w:style w:type="character" w:customStyle="1" w:styleId="260">
    <w:name w:val="标题 5 字符"/>
    <w:basedOn w:val="231"/>
    <w:link w:val="7"/>
    <w:semiHidden/>
    <w:uiPriority w:val="0"/>
    <w:rPr>
      <w:rFonts w:asciiTheme="minorHAnsi" w:hAnsiTheme="minorHAnsi" w:eastAsiaTheme="minorEastAsia" w:cstheme="minorBidi"/>
      <w:b/>
      <w:bCs/>
      <w:kern w:val="2"/>
      <w:sz w:val="28"/>
      <w:szCs w:val="28"/>
      <w:lang w:bidi="ar-SA"/>
    </w:rPr>
  </w:style>
  <w:style w:type="character" w:customStyle="1" w:styleId="261">
    <w:name w:val="标题 6 字符"/>
    <w:basedOn w:val="231"/>
    <w:link w:val="8"/>
    <w:semiHidden/>
    <w:uiPriority w:val="0"/>
    <w:rPr>
      <w:rFonts w:asciiTheme="majorHAnsi" w:hAnsiTheme="majorHAnsi" w:eastAsiaTheme="majorEastAsia" w:cstheme="majorBidi"/>
      <w:b/>
      <w:bCs/>
      <w:kern w:val="2"/>
      <w:sz w:val="24"/>
      <w:szCs w:val="24"/>
      <w:lang w:bidi="ar-SA"/>
    </w:rPr>
  </w:style>
  <w:style w:type="character" w:customStyle="1" w:styleId="262">
    <w:name w:val="标题 7 字符"/>
    <w:basedOn w:val="231"/>
    <w:link w:val="9"/>
    <w:semiHidden/>
    <w:uiPriority w:val="0"/>
    <w:rPr>
      <w:rFonts w:asciiTheme="minorHAnsi" w:hAnsiTheme="minorHAnsi" w:eastAsiaTheme="minorEastAsia" w:cstheme="minorBidi"/>
      <w:b/>
      <w:bCs/>
      <w:kern w:val="2"/>
      <w:sz w:val="24"/>
      <w:szCs w:val="24"/>
      <w:lang w:bidi="ar-SA"/>
    </w:rPr>
  </w:style>
  <w:style w:type="character" w:customStyle="1" w:styleId="263">
    <w:name w:val="标题 8 字符"/>
    <w:basedOn w:val="231"/>
    <w:link w:val="10"/>
    <w:semiHidden/>
    <w:uiPriority w:val="0"/>
    <w:rPr>
      <w:rFonts w:asciiTheme="majorHAnsi" w:hAnsiTheme="majorHAnsi" w:eastAsiaTheme="majorEastAsia" w:cstheme="majorBidi"/>
      <w:kern w:val="2"/>
      <w:sz w:val="24"/>
      <w:szCs w:val="24"/>
      <w:lang w:bidi="ar-SA"/>
    </w:rPr>
  </w:style>
  <w:style w:type="character" w:customStyle="1" w:styleId="264">
    <w:name w:val="标题 9 字符"/>
    <w:basedOn w:val="231"/>
    <w:link w:val="11"/>
    <w:semiHidden/>
    <w:uiPriority w:val="0"/>
    <w:rPr>
      <w:rFonts w:asciiTheme="majorHAnsi" w:hAnsiTheme="majorHAnsi" w:eastAsiaTheme="majorEastAsia" w:cstheme="majorBidi"/>
      <w:kern w:val="2"/>
      <w:sz w:val="21"/>
      <w:szCs w:val="21"/>
      <w:lang w:bidi="ar-SA"/>
    </w:rPr>
  </w:style>
  <w:style w:type="character" w:customStyle="1" w:styleId="265">
    <w:name w:val="Subtle Reference"/>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66">
    <w:name w:val="Subtle Emphasis"/>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267">
    <w:name w:val="称呼 字符"/>
    <w:basedOn w:val="231"/>
    <w:link w:val="30"/>
    <w:uiPriority w:val="0"/>
    <w:rPr>
      <w:rFonts w:asciiTheme="minorHAnsi" w:hAnsiTheme="minorHAnsi" w:eastAsiaTheme="minorEastAsia" w:cstheme="minorBidi"/>
      <w:kern w:val="2"/>
      <w:sz w:val="21"/>
      <w:szCs w:val="24"/>
      <w:lang w:bidi="ar-SA"/>
    </w:rPr>
  </w:style>
  <w:style w:type="character" w:customStyle="1" w:styleId="268">
    <w:name w:val="纯文本 字符"/>
    <w:basedOn w:val="231"/>
    <w:link w:val="45"/>
    <w:uiPriority w:val="0"/>
    <w:rPr>
      <w:rFonts w:hAnsi="Courier New" w:cs="Courier New" w:asciiTheme="minorEastAsia" w:eastAsiaTheme="minorEastAsia"/>
      <w:kern w:val="2"/>
      <w:sz w:val="21"/>
      <w:szCs w:val="24"/>
      <w:lang w:bidi="ar-SA"/>
    </w:rPr>
  </w:style>
  <w:style w:type="character" w:customStyle="1" w:styleId="269">
    <w:name w:val="电子邮件签名 字符"/>
    <w:basedOn w:val="231"/>
    <w:link w:val="19"/>
    <w:uiPriority w:val="0"/>
    <w:rPr>
      <w:rFonts w:asciiTheme="minorHAnsi" w:hAnsiTheme="minorHAnsi" w:eastAsiaTheme="minorEastAsia" w:cstheme="minorBidi"/>
      <w:kern w:val="2"/>
      <w:sz w:val="21"/>
      <w:szCs w:val="24"/>
      <w:lang w:bidi="ar-SA"/>
    </w:rPr>
  </w:style>
  <w:style w:type="character" w:customStyle="1" w:styleId="270">
    <w:name w:val="副标题 字符"/>
    <w:basedOn w:val="231"/>
    <w:link w:val="64"/>
    <w:uiPriority w:val="0"/>
    <w:rPr>
      <w:rFonts w:asciiTheme="minorHAnsi" w:hAnsiTheme="minorHAnsi" w:eastAsiaTheme="minorEastAsia" w:cstheme="minorBidi"/>
      <w:b/>
      <w:bCs/>
      <w:kern w:val="28"/>
      <w:sz w:val="32"/>
      <w:szCs w:val="32"/>
      <w:lang w:bidi="ar-SA"/>
    </w:rPr>
  </w:style>
  <w:style w:type="character" w:customStyle="1" w:styleId="271">
    <w:name w:val="宏文本 字符"/>
    <w:basedOn w:val="231"/>
    <w:link w:val="2"/>
    <w:uiPriority w:val="0"/>
    <w:rPr>
      <w:rFonts w:ascii="Courier New" w:hAnsi="Courier New" w:cs="Courier New"/>
      <w:kern w:val="2"/>
      <w:sz w:val="24"/>
      <w:szCs w:val="24"/>
      <w:lang w:bidi="ar-SA"/>
    </w:rPr>
  </w:style>
  <w:style w:type="character" w:customStyle="1" w:styleId="272">
    <w:name w:val="脚注文本 字符"/>
    <w:basedOn w:val="231"/>
    <w:link w:val="67"/>
    <w:uiPriority w:val="0"/>
    <w:rPr>
      <w:rFonts w:asciiTheme="minorHAnsi" w:hAnsiTheme="minorHAnsi" w:eastAsiaTheme="minorEastAsia" w:cstheme="minorBidi"/>
      <w:kern w:val="2"/>
      <w:sz w:val="18"/>
      <w:szCs w:val="18"/>
      <w:lang w:bidi="ar-SA"/>
    </w:rPr>
  </w:style>
  <w:style w:type="character" w:customStyle="1" w:styleId="273">
    <w:name w:val="结束语 字符"/>
    <w:basedOn w:val="231"/>
    <w:link w:val="32"/>
    <w:uiPriority w:val="0"/>
    <w:rPr>
      <w:rFonts w:asciiTheme="minorHAnsi" w:hAnsiTheme="minorHAnsi" w:eastAsiaTheme="minorEastAsia" w:cstheme="minorBidi"/>
      <w:kern w:val="2"/>
      <w:sz w:val="21"/>
      <w:szCs w:val="24"/>
      <w:lang w:bidi="ar-SA"/>
    </w:rPr>
  </w:style>
  <w:style w:type="character" w:customStyle="1" w:styleId="274">
    <w:name w:val="Hashtag"/>
    <w:basedOn w:val="231"/>
    <w:semiHidden/>
    <w:unhideWhenUsed/>
    <w:uiPriority w:val="99"/>
    <w:rPr>
      <w:color w:val="2B579A"/>
      <w:shd w:val="clear" w:color="auto" w:fill="E1DFDD"/>
    </w:rPr>
  </w:style>
  <w:style w:type="paragraph" w:styleId="275">
    <w:name w:val="List Paragraph"/>
    <w:basedOn w:val="1"/>
    <w:semiHidden/>
    <w:unhideWhenUsed/>
    <w:uiPriority w:val="99"/>
    <w:pPr>
      <w:ind w:firstLine="420" w:firstLineChars="200"/>
    </w:pPr>
  </w:style>
  <w:style w:type="character" w:customStyle="1" w:styleId="276">
    <w:name w:val="Intense Reference"/>
    <w:basedOn w:val="231"/>
    <w:qFormat/>
    <w:uiPriority w:val="32"/>
    <w:rPr>
      <w:b/>
      <w:bCs/>
      <w:smallCaps/>
      <w:color w:val="5B9BD5" w:themeColor="accent1"/>
      <w:spacing w:val="5"/>
      <w14:textFill>
        <w14:solidFill>
          <w14:schemeClr w14:val="accent1"/>
        </w14:solidFill>
      </w14:textFill>
    </w:rPr>
  </w:style>
  <w:style w:type="character" w:customStyle="1" w:styleId="277">
    <w:name w:val="Intense Emphasis"/>
    <w:basedOn w:val="231"/>
    <w:qFormat/>
    <w:uiPriority w:val="21"/>
    <w:rPr>
      <w:i/>
      <w:iCs/>
      <w:color w:val="5B9BD5" w:themeColor="accent1"/>
      <w14:textFill>
        <w14:solidFill>
          <w14:schemeClr w14:val="accent1"/>
        </w14:solidFill>
      </w14:textFill>
    </w:rPr>
  </w:style>
  <w:style w:type="paragraph" w:styleId="278">
    <w:name w:val="Intense Quote"/>
    <w:basedOn w:val="1"/>
    <w:next w:val="1"/>
    <w:link w:val="279"/>
    <w:semiHidden/>
    <w:unhideWhenUsed/>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279">
    <w:name w:val="明显引用 字符"/>
    <w:basedOn w:val="231"/>
    <w:link w:val="278"/>
    <w:semiHidden/>
    <w:uiPriority w:val="99"/>
    <w:rPr>
      <w:rFonts w:asciiTheme="minorHAnsi" w:hAnsiTheme="minorHAnsi" w:eastAsiaTheme="minorEastAsia" w:cstheme="minorBidi"/>
      <w:i/>
      <w:iCs/>
      <w:color w:val="5B9BD5" w:themeColor="accent1"/>
      <w:kern w:val="2"/>
      <w:sz w:val="21"/>
      <w:szCs w:val="24"/>
      <w:lang w:bidi="ar-SA"/>
      <w14:textFill>
        <w14:solidFill>
          <w14:schemeClr w14:val="accent1"/>
        </w14:solidFill>
      </w14:textFill>
    </w:rPr>
  </w:style>
  <w:style w:type="character" w:customStyle="1" w:styleId="280">
    <w:name w:val="批注框文本 字符"/>
    <w:basedOn w:val="231"/>
    <w:link w:val="54"/>
    <w:uiPriority w:val="0"/>
    <w:rPr>
      <w:rFonts w:asciiTheme="minorHAnsi" w:hAnsiTheme="minorHAnsi" w:eastAsiaTheme="minorEastAsia" w:cstheme="minorBidi"/>
      <w:kern w:val="2"/>
      <w:sz w:val="18"/>
      <w:szCs w:val="18"/>
      <w:lang w:bidi="ar-SA"/>
    </w:rPr>
  </w:style>
  <w:style w:type="character" w:customStyle="1" w:styleId="281">
    <w:name w:val="批注文字 字符"/>
    <w:basedOn w:val="231"/>
    <w:link w:val="28"/>
    <w:uiPriority w:val="0"/>
    <w:rPr>
      <w:rFonts w:asciiTheme="minorHAnsi" w:hAnsiTheme="minorHAnsi" w:eastAsiaTheme="minorEastAsia" w:cstheme="minorBidi"/>
      <w:kern w:val="2"/>
      <w:sz w:val="21"/>
      <w:szCs w:val="24"/>
      <w:lang w:bidi="ar-SA"/>
    </w:rPr>
  </w:style>
  <w:style w:type="character" w:customStyle="1" w:styleId="282">
    <w:name w:val="批注主题 字符"/>
    <w:basedOn w:val="281"/>
    <w:link w:val="85"/>
    <w:uiPriority w:val="0"/>
    <w:rPr>
      <w:rFonts w:asciiTheme="minorHAnsi" w:hAnsiTheme="minorHAnsi" w:eastAsiaTheme="minorEastAsia" w:cstheme="minorBidi"/>
      <w:b/>
      <w:bCs/>
      <w:kern w:val="2"/>
      <w:sz w:val="21"/>
      <w:szCs w:val="24"/>
      <w:lang w:bidi="ar-SA"/>
    </w:rPr>
  </w:style>
  <w:style w:type="character" w:customStyle="1" w:styleId="283">
    <w:name w:val="签名 字符"/>
    <w:basedOn w:val="231"/>
    <w:link w:val="58"/>
    <w:uiPriority w:val="0"/>
    <w:rPr>
      <w:rFonts w:asciiTheme="minorHAnsi" w:hAnsiTheme="minorHAnsi" w:eastAsiaTheme="minorEastAsia" w:cstheme="minorBidi"/>
      <w:kern w:val="2"/>
      <w:sz w:val="21"/>
      <w:szCs w:val="24"/>
      <w:lang w:bidi="ar-SA"/>
    </w:rPr>
  </w:style>
  <w:style w:type="table" w:customStyle="1" w:styleId="284">
    <w:name w:val="List Table 1 Light"/>
    <w:basedOn w:val="88"/>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85">
    <w:name w:val="List Table 1 Light Accent 1"/>
    <w:basedOn w:val="88"/>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86">
    <w:name w:val="List Table 1 Light Accent 2"/>
    <w:basedOn w:val="88"/>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87">
    <w:name w:val="List Table 1 Light Accent 3"/>
    <w:basedOn w:val="88"/>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88">
    <w:name w:val="List Table 1 Light Accent 4"/>
    <w:basedOn w:val="88"/>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89">
    <w:name w:val="List Table 1 Light Accent 5"/>
    <w:basedOn w:val="88"/>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0">
    <w:name w:val="List Table 1 Light Accent 6"/>
    <w:basedOn w:val="88"/>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1">
    <w:name w:val="List Table 2"/>
    <w:basedOn w:val="88"/>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292">
    <w:name w:val="List Table 2 Accent 1"/>
    <w:basedOn w:val="88"/>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93">
    <w:name w:val="List Table 2 Accent 2"/>
    <w:basedOn w:val="88"/>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94">
    <w:name w:val="List Table 2 Accent 3"/>
    <w:basedOn w:val="88"/>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295">
    <w:name w:val="List Table 2 Accent 4"/>
    <w:basedOn w:val="88"/>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296">
    <w:name w:val="List Table 2 Accent 5"/>
    <w:basedOn w:val="88"/>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97">
    <w:name w:val="List Table 2 Accent 6"/>
    <w:basedOn w:val="88"/>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298">
    <w:name w:val="List Table 3"/>
    <w:basedOn w:val="88"/>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CBE9C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299">
    <w:name w:val="List Table 3 Accent 1"/>
    <w:basedOn w:val="88"/>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CBE9C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00">
    <w:name w:val="List Table 3 Accent 2"/>
    <w:basedOn w:val="88"/>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CBE9C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01">
    <w:name w:val="List Table 3 Accent 3"/>
    <w:basedOn w:val="88"/>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CBE9C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02">
    <w:name w:val="List Table 3 Accent 4"/>
    <w:basedOn w:val="88"/>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CBE9C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03">
    <w:name w:val="List Table 3 Accent 5"/>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CBE9C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04">
    <w:name w:val="List Table 3 Accent 6"/>
    <w:basedOn w:val="88"/>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CBE9C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CBE9CF" w:themeFill="background1"/>
      </w:tcPr>
    </w:tblStylePr>
    <w:tblStylePr w:type="firstCol">
      <w:rPr>
        <w:b/>
        <w:bCs/>
      </w:rPr>
      <w:tcPr>
        <w:tcBorders>
          <w:right w:val="nil"/>
        </w:tcBorders>
        <w:shd w:val="clear" w:color="auto" w:fill="CBE9CF" w:themeFill="background1"/>
      </w:tcPr>
    </w:tblStylePr>
    <w:tblStylePr w:type="lastCol">
      <w:rPr>
        <w:b/>
        <w:bCs/>
      </w:rPr>
      <w:tcPr>
        <w:tcBorders>
          <w:left w:val="nil"/>
        </w:tcBorders>
        <w:shd w:val="clear" w:color="auto" w:fill="CBE9C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05">
    <w:name w:val="List Table 4"/>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06">
    <w:name w:val="List Table 4 Accent 1"/>
    <w:basedOn w:val="88"/>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07">
    <w:name w:val="List Table 4 Accent 2"/>
    <w:basedOn w:val="88"/>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08">
    <w:name w:val="List Table 4 Accent 3"/>
    <w:basedOn w:val="88"/>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09">
    <w:name w:val="List Table 4 Accent 4"/>
    <w:basedOn w:val="88"/>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10">
    <w:name w:val="List Table 4 Accent 5"/>
    <w:basedOn w:val="88"/>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11">
    <w:name w:val="List Table 4 Accent 6"/>
    <w:basedOn w:val="88"/>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12">
    <w:name w:val="List Table 5 Dark"/>
    <w:basedOn w:val="88"/>
    <w:uiPriority w:val="50"/>
    <w:rPr>
      <w:color w:val="CBE9C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3">
    <w:name w:val="List Table 5 Dark Accent 1"/>
    <w:basedOn w:val="88"/>
    <w:uiPriority w:val="50"/>
    <w:rPr>
      <w:color w:val="CBE9C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4">
    <w:name w:val="List Table 5 Dark Accent 2"/>
    <w:basedOn w:val="88"/>
    <w:uiPriority w:val="50"/>
    <w:rPr>
      <w:color w:val="CBE9C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5">
    <w:name w:val="List Table 5 Dark Accent 3"/>
    <w:basedOn w:val="88"/>
    <w:uiPriority w:val="50"/>
    <w:rPr>
      <w:color w:val="CBE9C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6">
    <w:name w:val="List Table 5 Dark Accent 4"/>
    <w:basedOn w:val="88"/>
    <w:uiPriority w:val="50"/>
    <w:rPr>
      <w:color w:val="CBE9C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7">
    <w:name w:val="List Table 5 Dark Accent 5"/>
    <w:basedOn w:val="88"/>
    <w:uiPriority w:val="50"/>
    <w:rPr>
      <w:color w:val="CBE9C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8">
    <w:name w:val="List Table 5 Dark Accent 6"/>
    <w:basedOn w:val="88"/>
    <w:uiPriority w:val="50"/>
    <w:rPr>
      <w:color w:val="CBE9C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CBE9CF" w:themeColor="background1" w:sz="18" w:space="0"/>
        </w:tcBorders>
      </w:tcPr>
    </w:tblStylePr>
    <w:tblStylePr w:type="lastRow">
      <w:rPr>
        <w:b/>
        <w:bCs/>
      </w:rPr>
      <w:tcPr>
        <w:tcBorders>
          <w:top w:val="single" w:color="CBE9CF" w:themeColor="background1" w:sz="4" w:space="0"/>
        </w:tcBorders>
      </w:tcPr>
    </w:tblStylePr>
    <w:tblStylePr w:type="firstCol">
      <w:rPr>
        <w:b/>
        <w:bCs/>
      </w:rPr>
      <w:tcPr>
        <w:tcBorders>
          <w:right w:val="single" w:color="CBE9CF" w:themeColor="background1" w:sz="4" w:space="0"/>
        </w:tcBorders>
      </w:tcPr>
    </w:tblStylePr>
    <w:tblStylePr w:type="lastCol">
      <w:rPr>
        <w:b/>
        <w:bCs/>
      </w:rPr>
      <w:tcPr>
        <w:tcBorders>
          <w:left w:val="single" w:color="CBE9CF" w:themeColor="background1" w:sz="4" w:space="0"/>
        </w:tcBorders>
      </w:tcPr>
    </w:tblStylePr>
    <w:tblStylePr w:type="band1Vert">
      <w:tcPr>
        <w:tcBorders>
          <w:left w:val="single" w:color="CBE9CF" w:themeColor="background1" w:sz="4" w:space="0"/>
          <w:right w:val="single" w:color="CBE9CF" w:themeColor="background1" w:sz="4" w:space="0"/>
        </w:tcBorders>
      </w:tcPr>
    </w:tblStylePr>
    <w:tblStylePr w:type="band2Vert">
      <w:tcPr>
        <w:tcBorders>
          <w:left w:val="single" w:color="CBE9CF" w:themeColor="background1" w:sz="4" w:space="0"/>
          <w:right w:val="single" w:color="CBE9CF" w:themeColor="background1" w:sz="4" w:space="0"/>
        </w:tcBorders>
      </w:tcPr>
    </w:tblStylePr>
    <w:tblStylePr w:type="band1Horz">
      <w:tcPr>
        <w:tcBorders>
          <w:top w:val="single" w:color="CBE9CF" w:themeColor="background1" w:sz="4" w:space="0"/>
          <w:bottom w:val="single" w:color="CBE9C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19">
    <w:name w:val="List Table 6 Colorful"/>
    <w:basedOn w:val="88"/>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20">
    <w:name w:val="List Table 6 Colorful Accent 1"/>
    <w:basedOn w:val="88"/>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21">
    <w:name w:val="List Table 6 Colorful Accent 2"/>
    <w:basedOn w:val="88"/>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22">
    <w:name w:val="List Table 6 Colorful Accent 3"/>
    <w:basedOn w:val="88"/>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23">
    <w:name w:val="List Table 6 Colorful Accent 4"/>
    <w:basedOn w:val="88"/>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24">
    <w:name w:val="List Table 6 Colorful Accent 5"/>
    <w:basedOn w:val="88"/>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25">
    <w:name w:val="List Table 6 Colorful Accent 6"/>
    <w:basedOn w:val="88"/>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26">
    <w:name w:val="List Table 7 Colorful"/>
    <w:basedOn w:val="88"/>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7">
    <w:name w:val="List Table 7 Colorful Accent 1"/>
    <w:basedOn w:val="88"/>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8">
    <w:name w:val="List Table 7 Colorful Accent 2"/>
    <w:basedOn w:val="88"/>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29">
    <w:name w:val="List Table 7 Colorful Accent 3"/>
    <w:basedOn w:val="88"/>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0">
    <w:name w:val="List Table 7 Colorful Accent 4"/>
    <w:basedOn w:val="88"/>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1">
    <w:name w:val="List Table 7 Colorful Accent 5"/>
    <w:basedOn w:val="88"/>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32">
    <w:name w:val="List Table 7 Colorful Accent 6"/>
    <w:basedOn w:val="88"/>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333">
    <w:name w:val="日期 字符"/>
    <w:basedOn w:val="231"/>
    <w:link w:val="50"/>
    <w:qFormat/>
    <w:uiPriority w:val="0"/>
    <w:rPr>
      <w:rFonts w:asciiTheme="minorHAnsi" w:hAnsiTheme="minorHAnsi" w:eastAsiaTheme="minorEastAsia" w:cstheme="minorBidi"/>
      <w:kern w:val="2"/>
      <w:sz w:val="21"/>
      <w:szCs w:val="24"/>
      <w:lang w:bidi="ar-SA"/>
    </w:rPr>
  </w:style>
  <w:style w:type="character" w:customStyle="1" w:styleId="334">
    <w:name w:val="Book Title"/>
    <w:basedOn w:val="231"/>
    <w:qFormat/>
    <w:uiPriority w:val="33"/>
    <w:rPr>
      <w:b/>
      <w:bCs/>
      <w:i/>
      <w:iCs/>
      <w:spacing w:val="5"/>
    </w:rPr>
  </w:style>
  <w:style w:type="paragraph" w:customStyle="1" w:styleId="335">
    <w:name w:val="Bibliography"/>
    <w:basedOn w:val="1"/>
    <w:next w:val="1"/>
    <w:semiHidden/>
    <w:unhideWhenUsed/>
    <w:uiPriority w:val="37"/>
  </w:style>
  <w:style w:type="table" w:customStyle="1" w:styleId="336">
    <w:name w:val="Grid Table 1 Light"/>
    <w:basedOn w:val="88"/>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37">
    <w:name w:val="Grid Table 1 Light Accent 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338">
    <w:name w:val="Grid Table 1 Light Accent 2"/>
    <w:basedOn w:val="88"/>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339">
    <w:name w:val="Grid Table 1 Light Accent 3"/>
    <w:basedOn w:val="88"/>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340">
    <w:name w:val="Grid Table 1 Light Accent 4"/>
    <w:basedOn w:val="88"/>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341">
    <w:name w:val="Grid Table 1 Light Accent 5"/>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342">
    <w:name w:val="Grid Table 1 Light Accent 6"/>
    <w:basedOn w:val="88"/>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343">
    <w:name w:val="Grid Table 2"/>
    <w:basedOn w:val="88"/>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CBE9CF" w:themeFill="background1"/>
      </w:tcPr>
    </w:tblStylePr>
    <w:tblStylePr w:type="lastRow">
      <w:rPr>
        <w:b/>
        <w:bCs/>
      </w:rPr>
      <w:tcPr>
        <w:tcBorders>
          <w:top w:val="double" w:color="666666" w:themeColor="tex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4">
    <w:name w:val="Grid Table 2 Accent 1"/>
    <w:basedOn w:val="88"/>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CBE9CF" w:themeFill="background1"/>
      </w:tcPr>
    </w:tblStylePr>
    <w:tblStylePr w:type="lastRow">
      <w:rPr>
        <w:b/>
        <w:bCs/>
      </w:rPr>
      <w:tcPr>
        <w:tcBorders>
          <w:top w:val="double" w:color="9CC2E5" w:themeColor="accent1"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45">
    <w:name w:val="Grid Table 2 Accent 2"/>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CBE9CF" w:themeFill="background1"/>
      </w:tcPr>
    </w:tblStylePr>
    <w:tblStylePr w:type="lastRow">
      <w:rPr>
        <w:b/>
        <w:bCs/>
      </w:rPr>
      <w:tcPr>
        <w:tcBorders>
          <w:top w:val="double" w:color="F4B083" w:themeColor="accent2"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46">
    <w:name w:val="Grid Table 2 Accent 3"/>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CBE9CF" w:themeFill="background1"/>
      </w:tcPr>
    </w:tblStylePr>
    <w:tblStylePr w:type="lastRow">
      <w:rPr>
        <w:b/>
        <w:bCs/>
      </w:rPr>
      <w:tcPr>
        <w:tcBorders>
          <w:top w:val="double" w:color="C8C8C8" w:themeColor="accent3"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47">
    <w:name w:val="Grid Table 2 Accent 4"/>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CBE9CF" w:themeFill="background1"/>
      </w:tcPr>
    </w:tblStylePr>
    <w:tblStylePr w:type="lastRow">
      <w:rPr>
        <w:b/>
        <w:bCs/>
      </w:rPr>
      <w:tcPr>
        <w:tcBorders>
          <w:top w:val="double" w:color="FFD965" w:themeColor="accent4"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48">
    <w:name w:val="Grid Table 2 Accent 5"/>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CBE9CF" w:themeFill="background1"/>
      </w:tcPr>
    </w:tblStylePr>
    <w:tblStylePr w:type="lastRow">
      <w:rPr>
        <w:b/>
        <w:bCs/>
      </w:rPr>
      <w:tcPr>
        <w:tcBorders>
          <w:top w:val="double" w:color="8EAADB" w:themeColor="accent5"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49">
    <w:name w:val="Grid Table 2 Accent 6"/>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CBE9CF" w:themeFill="background1"/>
      </w:tcPr>
    </w:tblStylePr>
    <w:tblStylePr w:type="lastRow">
      <w:rPr>
        <w:b/>
        <w:bCs/>
      </w:rPr>
      <w:tcPr>
        <w:tcBorders>
          <w:top w:val="double" w:color="A8D08D" w:themeColor="accent6" w:themeTint="99" w:sz="2" w:space="0"/>
          <w:bottom w:val="nil"/>
          <w:insideH w:val="nil"/>
          <w:insideV w:val="nil"/>
        </w:tcBorders>
        <w:shd w:val="clear" w:color="auto" w:fill="CBE9C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50">
    <w:name w:val="Grid Table 3"/>
    <w:basedOn w:val="88"/>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51">
    <w:name w:val="Grid Table 3 Accent 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52">
    <w:name w:val="Grid Table 3 Accent 2"/>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53">
    <w:name w:val="Grid Table 3 Accent 3"/>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54">
    <w:name w:val="Grid Table 3 Accent 4"/>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55">
    <w:name w:val="Grid Table 3 Accent 5"/>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56">
    <w:name w:val="Grid Table 3 Accent 6"/>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57">
    <w:name w:val="Grid Table 4"/>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CBE9C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58">
    <w:name w:val="Grid Table 4 Accent 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CBE9C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59">
    <w:name w:val="Grid Table 4 Accent 2"/>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CBE9C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60">
    <w:name w:val="Grid Table 4 Accent 3"/>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CBE9C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61">
    <w:name w:val="Grid Table 4 Accent 4"/>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CBE9C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62">
    <w:name w:val="Grid Table 4 Accent 5"/>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CBE9C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63">
    <w:name w:val="Grid Table 4 Accent 6"/>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CBE9C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4">
    <w:name w:val="Grid Table 5 Dark"/>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CCCCCC" w:themeFill="tex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000000" w:themeFill="tex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000000" w:themeFill="tex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000000" w:themeFill="tex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65">
    <w:name w:val="Grid Table 5 Dark Accent 1"/>
    <w:basedOn w:val="88"/>
    <w:qFormat/>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EEAF6" w:themeFill="accent1"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5B9BD5" w:themeFill="accent1"/>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5B9BD5" w:themeFill="accent1"/>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5B9BD5" w:themeFill="accent1"/>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366">
    <w:name w:val="Grid Table 5 Dark Accent 2"/>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BE4D5" w:themeFill="accent2"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ED7D31" w:themeFill="accent2"/>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ED7D31" w:themeFill="accent2"/>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ED7D31" w:themeFill="accent2"/>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367">
    <w:name w:val="Grid Table 5 Dark Accent 3"/>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CECEC" w:themeFill="accent3"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A5A5A5" w:themeFill="accent3"/>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A5A5A5" w:themeFill="accent3"/>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A5A5A5" w:themeFill="accent3"/>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368">
    <w:name w:val="Grid Table 5 Dark Accent 4"/>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FEF2CC" w:themeFill="accent4"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FFC000" w:themeFill="accent4"/>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FFC000" w:themeFill="accent4"/>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FFC000" w:themeFill="accent4"/>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369">
    <w:name w:val="Grid Table 5 Dark Accent 5"/>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D9E2F3" w:themeFill="accent5"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4472C4" w:themeFill="accent5"/>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4472C4" w:themeFill="accent5"/>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4472C4" w:themeFill="accent5"/>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370">
    <w:name w:val="Grid Table 5 Dark Accent 6"/>
    <w:basedOn w:val="88"/>
    <w:uiPriority w:val="50"/>
    <w:tblPr>
      <w:tblBorders>
        <w:top w:val="single" w:color="CBE9CF" w:themeColor="background1" w:sz="4" w:space="0"/>
        <w:left w:val="single" w:color="CBE9CF" w:themeColor="background1" w:sz="4" w:space="0"/>
        <w:bottom w:val="single" w:color="CBE9CF" w:themeColor="background1" w:sz="4" w:space="0"/>
        <w:right w:val="single" w:color="CBE9CF" w:themeColor="background1" w:sz="4" w:space="0"/>
        <w:insideH w:val="single" w:color="CBE9CF" w:themeColor="background1" w:sz="4" w:space="0"/>
        <w:insideV w:val="single" w:color="CBE9CF" w:themeColor="background1" w:sz="4" w:space="0"/>
      </w:tblBorders>
    </w:tblPr>
    <w:tcPr>
      <w:shd w:val="clear" w:color="auto" w:fill="E2EFD9" w:themeFill="accent6" w:themeFillTint="33"/>
    </w:tcPr>
    <w:tblStylePr w:type="firstRow">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right w:val="single" w:color="CBE9CF" w:themeColor="background1" w:sz="4" w:space="0"/>
          <w:insideH w:val="nil"/>
          <w:insideV w:val="nil"/>
        </w:tcBorders>
        <w:shd w:val="clear" w:color="auto" w:fill="70AD47" w:themeFill="accent6"/>
      </w:tcPr>
    </w:tblStylePr>
    <w:tblStylePr w:type="lastRow">
      <w:rPr>
        <w:b/>
        <w:bCs/>
        <w:color w:val="CBE9CF" w:themeColor="background1"/>
        <w14:textFill>
          <w14:solidFill>
            <w14:schemeClr w14:val="bg1"/>
          </w14:solidFill>
        </w14:textFill>
      </w:rPr>
      <w:tcPr>
        <w:tcBorders>
          <w:left w:val="single" w:color="CBE9CF" w:themeColor="background1" w:sz="4" w:space="0"/>
          <w:bottom w:val="single" w:color="CBE9CF" w:themeColor="background1" w:sz="4" w:space="0"/>
          <w:right w:val="single" w:color="CBE9CF" w:themeColor="background1" w:sz="4" w:space="0"/>
          <w:insideH w:val="nil"/>
          <w:insideV w:val="nil"/>
        </w:tcBorders>
        <w:shd w:val="clear" w:color="auto" w:fill="70AD47" w:themeFill="accent6"/>
      </w:tcPr>
    </w:tblStylePr>
    <w:tblStylePr w:type="firstCol">
      <w:rPr>
        <w:b/>
        <w:bCs/>
        <w:color w:val="CBE9CF" w:themeColor="background1"/>
        <w14:textFill>
          <w14:solidFill>
            <w14:schemeClr w14:val="bg1"/>
          </w14:solidFill>
        </w14:textFill>
      </w:rPr>
      <w:tcPr>
        <w:tcBorders>
          <w:top w:val="single" w:color="CBE9CF" w:themeColor="background1" w:sz="4" w:space="0"/>
          <w:left w:val="single" w:color="CBE9CF" w:themeColor="background1" w:sz="4" w:space="0"/>
          <w:bottom w:val="single" w:color="CBE9CF" w:themeColor="background1" w:sz="4" w:space="0"/>
          <w:insideV w:val="nil"/>
        </w:tcBorders>
        <w:shd w:val="clear" w:color="auto" w:fill="70AD47" w:themeFill="accent6"/>
      </w:tcPr>
    </w:tblStylePr>
    <w:tblStylePr w:type="lastCol">
      <w:rPr>
        <w:b/>
        <w:bCs/>
        <w:color w:val="CBE9CF" w:themeColor="background1"/>
        <w14:textFill>
          <w14:solidFill>
            <w14:schemeClr w14:val="bg1"/>
          </w14:solidFill>
        </w14:textFill>
      </w:rPr>
      <w:tcPr>
        <w:tcBorders>
          <w:top w:val="single" w:color="CBE9CF" w:themeColor="background1" w:sz="4" w:space="0"/>
          <w:bottom w:val="single" w:color="CBE9CF" w:themeColor="background1" w:sz="4" w:space="0"/>
          <w:right w:val="single" w:color="CBE9C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71">
    <w:name w:val="Grid Table 6 Colorful"/>
    <w:basedOn w:val="88"/>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2">
    <w:name w:val="Grid Table 6 Colorful Accent 1"/>
    <w:basedOn w:val="88"/>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3">
    <w:name w:val="Grid Table 6 Colorful Accent 2"/>
    <w:basedOn w:val="88"/>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4">
    <w:name w:val="Grid Table 6 Colorful Accent 3"/>
    <w:basedOn w:val="88"/>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5">
    <w:name w:val="Grid Table 6 Colorful Accent 4"/>
    <w:basedOn w:val="88"/>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6">
    <w:name w:val="Grid Table 6 Colorful Accent 5"/>
    <w:basedOn w:val="88"/>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7">
    <w:name w:val="Grid Table 6 Colorful Accent 6"/>
    <w:basedOn w:val="88"/>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8">
    <w:name w:val="Grid Table 7 Colorful"/>
    <w:basedOn w:val="88"/>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9">
    <w:name w:val="Grid Table 7 Colorful Accent 1"/>
    <w:basedOn w:val="88"/>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380">
    <w:name w:val="Grid Table 7 Colorful Accent 2"/>
    <w:basedOn w:val="88"/>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381">
    <w:name w:val="Grid Table 7 Colorful Accent 3"/>
    <w:basedOn w:val="88"/>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382">
    <w:name w:val="Grid Table 7 Colorful Accent 4"/>
    <w:basedOn w:val="88"/>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383">
    <w:name w:val="Grid Table 7 Colorful Accent 5"/>
    <w:basedOn w:val="88"/>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384">
    <w:name w:val="Grid Table 7 Colorful Accent 6"/>
    <w:basedOn w:val="88"/>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CBE9CF" w:themeFill="background1"/>
      </w:tcPr>
    </w:tblStylePr>
    <w:tblStylePr w:type="lastRow">
      <w:rPr>
        <w:b/>
        <w:bCs/>
      </w:rPr>
      <w:tcPr>
        <w:tcBorders>
          <w:left w:val="nil"/>
          <w:bottom w:val="nil"/>
          <w:right w:val="nil"/>
          <w:insideH w:val="nil"/>
          <w:insideV w:val="nil"/>
        </w:tcBorders>
        <w:shd w:val="clear" w:color="auto" w:fill="CBE9CF" w:themeFill="background1"/>
      </w:tcPr>
    </w:tblStylePr>
    <w:tblStylePr w:type="firstCol">
      <w:pPr>
        <w:jc w:val="right"/>
      </w:pPr>
      <w:rPr>
        <w:i/>
        <w:iCs/>
      </w:rPr>
      <w:tcPr>
        <w:tcBorders>
          <w:top w:val="nil"/>
          <w:left w:val="nil"/>
          <w:bottom w:val="nil"/>
          <w:insideH w:val="nil"/>
          <w:insideV w:val="nil"/>
        </w:tcBorders>
        <w:shd w:val="clear" w:color="auto" w:fill="CBE9CF" w:themeFill="background1"/>
      </w:tcPr>
    </w:tblStylePr>
    <w:tblStylePr w:type="lastCol">
      <w:rPr>
        <w:i/>
        <w:iCs/>
      </w:rPr>
      <w:tcPr>
        <w:tcBorders>
          <w:top w:val="nil"/>
          <w:bottom w:val="nil"/>
          <w:right w:val="nil"/>
          <w:insideH w:val="nil"/>
          <w:insideV w:val="nil"/>
        </w:tcBorders>
        <w:shd w:val="clear" w:color="auto" w:fill="CBE9C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85">
    <w:name w:val="Grid Table Light"/>
    <w:basedOn w:val="88"/>
    <w:uiPriority w:val="40"/>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style>
  <w:style w:type="character" w:customStyle="1" w:styleId="386">
    <w:name w:val="尾注文本 字符"/>
    <w:basedOn w:val="231"/>
    <w:link w:val="52"/>
    <w:uiPriority w:val="0"/>
    <w:rPr>
      <w:rFonts w:asciiTheme="minorHAnsi" w:hAnsiTheme="minorHAnsi" w:eastAsiaTheme="minorEastAsia" w:cstheme="minorBidi"/>
      <w:kern w:val="2"/>
      <w:sz w:val="21"/>
      <w:szCs w:val="24"/>
      <w:lang w:bidi="ar-SA"/>
    </w:rPr>
  </w:style>
  <w:style w:type="character" w:customStyle="1" w:styleId="387">
    <w:name w:val="Unresolved Mention"/>
    <w:basedOn w:val="231"/>
    <w:semiHidden/>
    <w:unhideWhenUsed/>
    <w:uiPriority w:val="99"/>
    <w:rPr>
      <w:color w:val="605E5C"/>
      <w:shd w:val="clear" w:color="auto" w:fill="E1DFDD"/>
    </w:rPr>
  </w:style>
  <w:style w:type="character" w:customStyle="1" w:styleId="388">
    <w:name w:val="文档结构图 字符"/>
    <w:basedOn w:val="231"/>
    <w:link w:val="26"/>
    <w:uiPriority w:val="0"/>
    <w:rPr>
      <w:rFonts w:ascii="Microsoft YaHei UI" w:eastAsia="Microsoft YaHei UI" w:hAnsiTheme="minorHAnsi" w:cstheme="minorBidi"/>
      <w:kern w:val="2"/>
      <w:sz w:val="18"/>
      <w:szCs w:val="18"/>
      <w:lang w:bidi="ar-SA"/>
    </w:rPr>
  </w:style>
  <w:style w:type="table" w:customStyle="1" w:styleId="389">
    <w:name w:val="Plain Table 1"/>
    <w:basedOn w:val="88"/>
    <w:uiPriority w:val="41"/>
    <w:tblPr>
      <w:tblBorders>
        <w:top w:val="single" w:color="7EC888" w:themeColor="background1" w:themeShade="BF" w:sz="4" w:space="0"/>
        <w:left w:val="single" w:color="7EC888" w:themeColor="background1" w:themeShade="BF" w:sz="4" w:space="0"/>
        <w:bottom w:val="single" w:color="7EC888" w:themeColor="background1" w:themeShade="BF" w:sz="4" w:space="0"/>
        <w:right w:val="single" w:color="7EC888" w:themeColor="background1" w:themeShade="BF" w:sz="4" w:space="0"/>
        <w:insideH w:val="single" w:color="7EC888" w:themeColor="background1" w:themeShade="BF" w:sz="4" w:space="0"/>
        <w:insideV w:val="single" w:color="7EC888" w:themeColor="background1" w:themeShade="BF" w:sz="4" w:space="0"/>
      </w:tblBorders>
    </w:tblPr>
    <w:tblStylePr w:type="firstRow">
      <w:rPr>
        <w:b/>
        <w:bCs/>
      </w:rPr>
    </w:tblStylePr>
    <w:tblStylePr w:type="lastRow">
      <w:rPr>
        <w:b/>
        <w:bCs/>
      </w:rPr>
      <w:tcPr>
        <w:tcBorders>
          <w:top w:val="double" w:color="7EC888" w:themeColor="background1" w:themeShade="BF" w:sz="4" w:space="0"/>
        </w:tcBorders>
      </w:tc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0">
    <w:name w:val="Plain Table 2"/>
    <w:basedOn w:val="88"/>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91">
    <w:name w:val="Plain Table 3"/>
    <w:basedOn w:val="88"/>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style>
  <w:style w:type="table" w:customStyle="1" w:styleId="392">
    <w:name w:val="Plain Table 4"/>
    <w:basedOn w:val="88"/>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BBE2C0" w:themeFill="background1" w:themeFillShade="F2"/>
      </w:tcPr>
    </w:tblStylePr>
    <w:tblStylePr w:type="band1Horz">
      <w:tcPr>
        <w:shd w:val="clear" w:color="auto" w:fill="BBE2C0" w:themeFill="background1" w:themeFillShade="F2"/>
      </w:tcPr>
    </w:tblStylePr>
  </w:style>
  <w:style w:type="table" w:customStyle="1" w:styleId="393">
    <w:name w:val="Plain Table 5"/>
    <w:basedOn w:val="88"/>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CBE9C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CBE9C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CBE9C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CBE9CF" w:themeFill="background1"/>
      </w:tcPr>
    </w:tblStylePr>
    <w:tblStylePr w:type="band1Vert">
      <w:tcPr>
        <w:shd w:val="clear" w:color="auto" w:fill="BBE2C0" w:themeFill="background1" w:themeFillShade="F2"/>
      </w:tcPr>
    </w:tblStylePr>
    <w:tblStylePr w:type="band1Horz">
      <w:tcPr>
        <w:shd w:val="clear" w:color="auto" w:fill="BBE2C0"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394">
    <w:name w:val="No Spacing"/>
    <w:semiHidden/>
    <w:unhideWhenUsed/>
    <w:uiPriority w:val="99"/>
    <w:pPr>
      <w:widowControl w:val="0"/>
      <w:jc w:val="both"/>
    </w:pPr>
    <w:rPr>
      <w:rFonts w:asciiTheme="minorHAnsi" w:hAnsiTheme="minorHAnsi" w:eastAsiaTheme="minorEastAsia" w:cstheme="minorBidi"/>
      <w:kern w:val="2"/>
      <w:sz w:val="21"/>
      <w:szCs w:val="24"/>
      <w:lang w:val="en-US" w:eastAsia="zh-CN" w:bidi="ar-SA"/>
    </w:rPr>
  </w:style>
  <w:style w:type="character" w:customStyle="1" w:styleId="395">
    <w:name w:val="信息标题 字符"/>
    <w:basedOn w:val="231"/>
    <w:link w:val="79"/>
    <w:uiPriority w:val="0"/>
    <w:rPr>
      <w:rFonts w:asciiTheme="majorHAnsi" w:hAnsiTheme="majorHAnsi" w:eastAsiaTheme="majorEastAsia" w:cstheme="majorBidi"/>
      <w:kern w:val="2"/>
      <w:sz w:val="24"/>
      <w:szCs w:val="24"/>
      <w:shd w:val="pct20" w:color="auto" w:fill="auto"/>
      <w:lang w:bidi="ar-SA"/>
    </w:rPr>
  </w:style>
  <w:style w:type="paragraph" w:styleId="396">
    <w:name w:val="Quote"/>
    <w:basedOn w:val="1"/>
    <w:next w:val="1"/>
    <w:link w:val="397"/>
    <w:semiHidden/>
    <w:unhideWhenUsed/>
    <w:uiPriority w:val="9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97">
    <w:name w:val="引用 字符"/>
    <w:basedOn w:val="231"/>
    <w:link w:val="396"/>
    <w:semiHidden/>
    <w:uiPriority w:val="99"/>
    <w:rPr>
      <w:rFonts w:asciiTheme="minorHAnsi" w:hAnsiTheme="minorHAnsi" w:eastAsiaTheme="minorEastAsia" w:cstheme="minorBidi"/>
      <w:i/>
      <w:iCs/>
      <w:color w:val="404040" w:themeColor="text1" w:themeTint="BF"/>
      <w:kern w:val="2"/>
      <w:sz w:val="21"/>
      <w:szCs w:val="24"/>
      <w:lang w:bidi="ar-SA"/>
      <w14:textFill>
        <w14:solidFill>
          <w14:schemeClr w14:val="tx1">
            <w14:lumMod w14:val="75000"/>
            <w14:lumOff w14:val="25000"/>
          </w14:schemeClr>
        </w14:solidFill>
      </w14:textFill>
    </w:rPr>
  </w:style>
  <w:style w:type="character" w:styleId="398">
    <w:name w:val="Placeholder Text"/>
    <w:basedOn w:val="231"/>
    <w:semiHidden/>
    <w:unhideWhenUsed/>
    <w:uiPriority w:val="99"/>
    <w:rPr>
      <w:color w:val="666666"/>
    </w:rPr>
  </w:style>
  <w:style w:type="character" w:customStyle="1" w:styleId="399">
    <w:name w:val="正文文本 字符"/>
    <w:basedOn w:val="231"/>
    <w:link w:val="34"/>
    <w:uiPriority w:val="0"/>
    <w:rPr>
      <w:rFonts w:asciiTheme="minorHAnsi" w:hAnsiTheme="minorHAnsi" w:eastAsiaTheme="minorEastAsia" w:cstheme="minorBidi"/>
      <w:kern w:val="2"/>
      <w:sz w:val="21"/>
      <w:szCs w:val="24"/>
      <w:lang w:bidi="ar-SA"/>
    </w:rPr>
  </w:style>
  <w:style w:type="character" w:customStyle="1" w:styleId="400">
    <w:name w:val="正文文本 2 字符"/>
    <w:basedOn w:val="231"/>
    <w:link w:val="76"/>
    <w:uiPriority w:val="0"/>
    <w:rPr>
      <w:rFonts w:asciiTheme="minorHAnsi" w:hAnsiTheme="minorHAnsi" w:eastAsiaTheme="minorEastAsia" w:cstheme="minorBidi"/>
      <w:kern w:val="2"/>
      <w:sz w:val="21"/>
      <w:szCs w:val="24"/>
      <w:lang w:bidi="ar-SA"/>
    </w:rPr>
  </w:style>
  <w:style w:type="character" w:customStyle="1" w:styleId="401">
    <w:name w:val="正文文本 3 字符"/>
    <w:basedOn w:val="231"/>
    <w:link w:val="31"/>
    <w:uiPriority w:val="0"/>
    <w:rPr>
      <w:rFonts w:asciiTheme="minorHAnsi" w:hAnsiTheme="minorHAnsi" w:eastAsiaTheme="minorEastAsia" w:cstheme="minorBidi"/>
      <w:kern w:val="2"/>
      <w:sz w:val="16"/>
      <w:szCs w:val="16"/>
      <w:lang w:bidi="ar-SA"/>
    </w:rPr>
  </w:style>
  <w:style w:type="character" w:customStyle="1" w:styleId="402">
    <w:name w:val="正文文本首行缩进 字符"/>
    <w:basedOn w:val="399"/>
    <w:link w:val="86"/>
    <w:uiPriority w:val="0"/>
    <w:rPr>
      <w:rFonts w:asciiTheme="minorHAnsi" w:hAnsiTheme="minorHAnsi" w:eastAsiaTheme="minorEastAsia" w:cstheme="minorBidi"/>
      <w:kern w:val="2"/>
      <w:sz w:val="21"/>
      <w:szCs w:val="24"/>
      <w:lang w:bidi="ar-SA"/>
    </w:rPr>
  </w:style>
  <w:style w:type="character" w:customStyle="1" w:styleId="403">
    <w:name w:val="正文文本缩进 字符"/>
    <w:basedOn w:val="231"/>
    <w:link w:val="35"/>
    <w:uiPriority w:val="0"/>
    <w:rPr>
      <w:rFonts w:asciiTheme="minorHAnsi" w:hAnsiTheme="minorHAnsi" w:eastAsiaTheme="minorEastAsia" w:cstheme="minorBidi"/>
      <w:kern w:val="2"/>
      <w:sz w:val="21"/>
      <w:szCs w:val="24"/>
      <w:lang w:bidi="ar-SA"/>
    </w:rPr>
  </w:style>
  <w:style w:type="character" w:customStyle="1" w:styleId="404">
    <w:name w:val="正文文本首行缩进 2 字符"/>
    <w:basedOn w:val="403"/>
    <w:link w:val="87"/>
    <w:uiPriority w:val="0"/>
    <w:rPr>
      <w:rFonts w:asciiTheme="minorHAnsi" w:hAnsiTheme="minorHAnsi" w:eastAsiaTheme="minorEastAsia" w:cstheme="minorBidi"/>
      <w:kern w:val="2"/>
      <w:sz w:val="21"/>
      <w:szCs w:val="24"/>
      <w:lang w:bidi="ar-SA"/>
    </w:rPr>
  </w:style>
  <w:style w:type="character" w:customStyle="1" w:styleId="405">
    <w:name w:val="正文文本缩进 2 字符"/>
    <w:basedOn w:val="231"/>
    <w:link w:val="51"/>
    <w:uiPriority w:val="0"/>
    <w:rPr>
      <w:rFonts w:asciiTheme="minorHAnsi" w:hAnsiTheme="minorHAnsi" w:eastAsiaTheme="minorEastAsia" w:cstheme="minorBidi"/>
      <w:kern w:val="2"/>
      <w:sz w:val="21"/>
      <w:szCs w:val="24"/>
      <w:lang w:bidi="ar-SA"/>
    </w:rPr>
  </w:style>
  <w:style w:type="character" w:customStyle="1" w:styleId="406">
    <w:name w:val="正文文本缩进 3 字符"/>
    <w:basedOn w:val="231"/>
    <w:link w:val="70"/>
    <w:uiPriority w:val="0"/>
    <w:rPr>
      <w:rFonts w:asciiTheme="minorHAnsi" w:hAnsiTheme="minorHAnsi" w:eastAsiaTheme="minorEastAsia" w:cstheme="minorBidi"/>
      <w:kern w:val="2"/>
      <w:sz w:val="16"/>
      <w:szCs w:val="16"/>
      <w:lang w:bidi="ar-SA"/>
    </w:rPr>
  </w:style>
  <w:style w:type="character" w:customStyle="1" w:styleId="407">
    <w:name w:val="Smart Hyperlink"/>
    <w:basedOn w:val="231"/>
    <w:semiHidden/>
    <w:unhideWhenUsed/>
    <w:uiPriority w:val="99"/>
    <w:rPr>
      <w:u w:val="dotted"/>
    </w:rPr>
  </w:style>
  <w:style w:type="character" w:customStyle="1" w:styleId="408">
    <w:name w:val="Smart Link"/>
    <w:basedOn w:val="231"/>
    <w:semiHidden/>
    <w:unhideWhenUsed/>
    <w:uiPriority w:val="99"/>
    <w:rPr>
      <w:color w:val="0000FF"/>
      <w:u w:val="single"/>
      <w:shd w:val="clear" w:color="auto" w:fill="F3F2F1"/>
    </w:rPr>
  </w:style>
  <w:style w:type="character" w:customStyle="1" w:styleId="409">
    <w:name w:val="注释标题 字符"/>
    <w:basedOn w:val="231"/>
    <w:link w:val="16"/>
    <w:qFormat/>
    <w:uiPriority w:val="0"/>
    <w:rPr>
      <w:rFonts w:asciiTheme="minorHAnsi" w:hAnsiTheme="minorHAnsi" w:eastAsiaTheme="minorEastAsia" w:cstheme="minorBidi"/>
      <w:kern w:val="2"/>
      <w:sz w:val="21"/>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10109</Words>
  <Characters>11159</Characters>
  <Lines>97</Lines>
  <Paragraphs>27</Paragraphs>
  <TotalTime>7</TotalTime>
  <ScaleCrop>false</ScaleCrop>
  <LinksUpToDate>false</LinksUpToDate>
  <CharactersWithSpaces>11206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2026-06-18T02:19:00Z</dcterms:created>
  <dc:creator>Administrator</dc:creator>
  <cp:lastModifiedBy>地球上最后一个EMO男孩</cp:lastModifiedBy>
  <dcterms:modified xsi:type="dcterms:W3CDTF">2026-07-29T08:09:11Z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eyJoZGlkIjoiZDg0NzI2OTI3NDllNDYwMTM2ZDQzYzI1OTY5ZjBiMGYiLCJ1c2VySWQiOiI4NjA2OTc4MzUifQ==</vt:lpwstr>
  </property>
  <property fmtid="{D5CDD505-2E9C-101B-9397-08002B2CF9AE}" pid="4" name="ICV">
    <vt:lpwstr>48A4E0AF26DC4EE0B784058FA285AE9D_12</vt:lpwstr>
  </property>
</Properties>
</file>