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799C4">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423ED10F"/>
    <w:p w14:paraId="40F90D1D"/>
    <w:p w14:paraId="0DFFD677"/>
    <w:p w14:paraId="16C0E8A4">
      <w:pPr>
        <w:ind w:firstLine="1050" w:firstLineChars="500"/>
      </w:pPr>
    </w:p>
    <w:p w14:paraId="6A7E35C3">
      <w:pPr>
        <w:ind w:firstLine="1050" w:firstLineChars="500"/>
      </w:pPr>
    </w:p>
    <w:p w14:paraId="28D22EDE">
      <w:pPr>
        <w:ind w:firstLine="1760" w:firstLineChars="400"/>
        <w:rPr>
          <w:rFonts w:ascii="黑体" w:eastAsia="黑体"/>
          <w:sz w:val="44"/>
          <w:szCs w:val="44"/>
        </w:rPr>
      </w:pPr>
    </w:p>
    <w:p w14:paraId="69B7741F">
      <w:pPr>
        <w:ind w:firstLine="1760" w:firstLineChars="400"/>
        <w:rPr>
          <w:rFonts w:ascii="黑体" w:eastAsia="黑体"/>
          <w:sz w:val="44"/>
          <w:szCs w:val="44"/>
        </w:rPr>
      </w:pPr>
    </w:p>
    <w:p w14:paraId="55C886F4">
      <w:pPr>
        <w:jc w:val="center"/>
        <w:rPr>
          <w:rFonts w:hint="default" w:ascii="黑体" w:eastAsia="黑体"/>
          <w:sz w:val="44"/>
          <w:szCs w:val="44"/>
          <w:lang w:val="en-US" w:eastAsia="zh-CN"/>
        </w:rPr>
      </w:pPr>
      <w:r>
        <w:rPr>
          <w:rFonts w:hint="eastAsia" w:ascii="黑体" w:eastAsia="黑体"/>
          <w:sz w:val="44"/>
          <w:szCs w:val="44"/>
          <w:lang w:val="en-US" w:eastAsia="zh-CN"/>
        </w:rPr>
        <w:t>壤塘县藏医院</w:t>
      </w:r>
    </w:p>
    <w:p w14:paraId="2ED507B7">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7E4C7628">
      <w:pPr>
        <w:ind w:firstLine="1760" w:firstLineChars="400"/>
        <w:rPr>
          <w:rFonts w:ascii="黑体" w:eastAsia="黑体"/>
          <w:sz w:val="44"/>
          <w:szCs w:val="44"/>
        </w:rPr>
      </w:pPr>
    </w:p>
    <w:p w14:paraId="15A33362">
      <w:pPr>
        <w:ind w:firstLine="1760" w:firstLineChars="400"/>
        <w:rPr>
          <w:rFonts w:ascii="黑体" w:eastAsia="黑体"/>
          <w:sz w:val="44"/>
          <w:szCs w:val="44"/>
        </w:rPr>
      </w:pPr>
    </w:p>
    <w:p w14:paraId="0EC649A2">
      <w:pPr>
        <w:ind w:firstLine="1760" w:firstLineChars="400"/>
        <w:rPr>
          <w:rFonts w:ascii="黑体" w:eastAsia="黑体"/>
          <w:sz w:val="44"/>
          <w:szCs w:val="44"/>
        </w:rPr>
      </w:pPr>
    </w:p>
    <w:p w14:paraId="45CA300B">
      <w:pPr>
        <w:ind w:firstLine="1760" w:firstLineChars="400"/>
        <w:rPr>
          <w:rFonts w:ascii="黑体" w:eastAsia="黑体"/>
          <w:sz w:val="44"/>
          <w:szCs w:val="44"/>
        </w:rPr>
      </w:pPr>
    </w:p>
    <w:p w14:paraId="71FFC19D">
      <w:pPr>
        <w:ind w:firstLine="1760" w:firstLineChars="400"/>
        <w:rPr>
          <w:rFonts w:ascii="黑体" w:eastAsia="黑体"/>
          <w:sz w:val="44"/>
          <w:szCs w:val="44"/>
        </w:rPr>
      </w:pPr>
    </w:p>
    <w:p w14:paraId="42AE0FF0">
      <w:pPr>
        <w:ind w:firstLine="1760" w:firstLineChars="400"/>
        <w:rPr>
          <w:rFonts w:ascii="黑体" w:eastAsia="黑体"/>
          <w:sz w:val="44"/>
          <w:szCs w:val="44"/>
        </w:rPr>
      </w:pPr>
    </w:p>
    <w:p w14:paraId="0F5C0288">
      <w:pPr>
        <w:ind w:firstLine="1760" w:firstLineChars="400"/>
        <w:rPr>
          <w:rFonts w:ascii="黑体" w:eastAsia="黑体"/>
          <w:sz w:val="44"/>
          <w:szCs w:val="44"/>
        </w:rPr>
      </w:pPr>
    </w:p>
    <w:p w14:paraId="162C80E1">
      <w:pPr>
        <w:ind w:firstLine="1760" w:firstLineChars="400"/>
        <w:rPr>
          <w:rFonts w:ascii="黑体" w:eastAsia="黑体"/>
          <w:sz w:val="44"/>
          <w:szCs w:val="44"/>
        </w:rPr>
      </w:pPr>
    </w:p>
    <w:p w14:paraId="62B8A6AC">
      <w:pPr>
        <w:ind w:firstLine="1760" w:firstLineChars="400"/>
        <w:rPr>
          <w:rFonts w:ascii="黑体" w:eastAsia="黑体"/>
          <w:sz w:val="44"/>
          <w:szCs w:val="44"/>
        </w:rPr>
      </w:pPr>
    </w:p>
    <w:p w14:paraId="125BB699">
      <w:pPr>
        <w:ind w:firstLine="1760" w:firstLineChars="400"/>
        <w:rPr>
          <w:rFonts w:ascii="黑体" w:eastAsia="黑体"/>
          <w:sz w:val="44"/>
          <w:szCs w:val="44"/>
        </w:rPr>
      </w:pPr>
    </w:p>
    <w:p w14:paraId="10F74257">
      <w:pPr>
        <w:ind w:firstLine="1760" w:firstLineChars="400"/>
        <w:rPr>
          <w:rFonts w:ascii="黑体" w:eastAsia="黑体"/>
          <w:sz w:val="44"/>
          <w:szCs w:val="44"/>
        </w:rPr>
      </w:pPr>
    </w:p>
    <w:p w14:paraId="6CCF478F">
      <w:pPr>
        <w:ind w:firstLine="1760" w:firstLineChars="400"/>
        <w:rPr>
          <w:rFonts w:ascii="黑体" w:eastAsia="黑体"/>
          <w:sz w:val="44"/>
          <w:szCs w:val="44"/>
        </w:rPr>
      </w:pPr>
    </w:p>
    <w:p w14:paraId="565CF8BE">
      <w:pPr>
        <w:ind w:firstLine="1760" w:firstLineChars="400"/>
        <w:rPr>
          <w:rFonts w:ascii="黑体" w:eastAsia="黑体"/>
          <w:sz w:val="44"/>
          <w:szCs w:val="44"/>
        </w:rPr>
      </w:pPr>
    </w:p>
    <w:p w14:paraId="5952CA18">
      <w:pPr>
        <w:ind w:firstLine="1760" w:firstLineChars="400"/>
        <w:rPr>
          <w:rFonts w:ascii="黑体" w:eastAsia="黑体"/>
          <w:sz w:val="44"/>
          <w:szCs w:val="44"/>
        </w:rPr>
      </w:pPr>
    </w:p>
    <w:p w14:paraId="4901DC6E">
      <w:pPr>
        <w:rPr>
          <w:rFonts w:ascii="黑体" w:eastAsia="黑体"/>
          <w:sz w:val="44"/>
          <w:szCs w:val="44"/>
        </w:rPr>
      </w:pPr>
    </w:p>
    <w:p w14:paraId="2BE0D169">
      <w:pPr>
        <w:ind w:firstLine="3120" w:firstLineChars="600"/>
        <w:rPr>
          <w:rFonts w:ascii="黑体" w:eastAsia="黑体"/>
          <w:sz w:val="52"/>
          <w:szCs w:val="52"/>
        </w:rPr>
      </w:pPr>
      <w:r>
        <w:rPr>
          <w:rFonts w:hint="eastAsia" w:ascii="黑体" w:eastAsia="黑体"/>
          <w:sz w:val="52"/>
          <w:szCs w:val="52"/>
        </w:rPr>
        <w:t>目录</w:t>
      </w:r>
    </w:p>
    <w:p w14:paraId="6547C7EB">
      <w:pPr>
        <w:ind w:firstLine="3080" w:firstLineChars="700"/>
        <w:rPr>
          <w:rFonts w:ascii="黑体" w:eastAsia="黑体"/>
          <w:sz w:val="44"/>
          <w:szCs w:val="44"/>
        </w:rPr>
      </w:pPr>
    </w:p>
    <w:p w14:paraId="5F801A8B">
      <w:pPr>
        <w:pStyle w:val="10"/>
        <w:ind w:firstLine="0" w:firstLineChars="0"/>
        <w:rPr>
          <w:rFonts w:ascii="黑体" w:eastAsia="黑体"/>
          <w:sz w:val="32"/>
          <w:szCs w:val="32"/>
        </w:rPr>
      </w:pPr>
      <w:r>
        <w:rPr>
          <w:rFonts w:hint="eastAsia" w:ascii="黑体" w:eastAsia="黑体"/>
          <w:sz w:val="32"/>
          <w:szCs w:val="32"/>
        </w:rPr>
        <w:t>一、基本职能及主要工作</w:t>
      </w:r>
    </w:p>
    <w:p w14:paraId="29183581">
      <w:pPr>
        <w:rPr>
          <w:rFonts w:ascii="楷体" w:eastAsia="楷体"/>
          <w:sz w:val="32"/>
          <w:szCs w:val="32"/>
        </w:rPr>
      </w:pPr>
      <w:r>
        <w:rPr>
          <w:rFonts w:hint="eastAsia" w:ascii="楷体" w:eastAsia="楷体"/>
          <w:sz w:val="32"/>
          <w:szCs w:val="32"/>
        </w:rPr>
        <w:t>（一）部门职能简介</w:t>
      </w:r>
    </w:p>
    <w:p w14:paraId="3CF063F7">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66D8EA15">
      <w:pPr>
        <w:rPr>
          <w:rFonts w:ascii="黑体" w:eastAsia="黑体"/>
          <w:sz w:val="32"/>
          <w:szCs w:val="32"/>
        </w:rPr>
      </w:pPr>
      <w:r>
        <w:rPr>
          <w:rFonts w:hint="eastAsia" w:ascii="黑体" w:eastAsia="黑体"/>
          <w:sz w:val="32"/>
          <w:szCs w:val="32"/>
        </w:rPr>
        <w:t>二、部门预算单位构成</w:t>
      </w:r>
    </w:p>
    <w:p w14:paraId="05B3C496">
      <w:pPr>
        <w:rPr>
          <w:rFonts w:ascii="黑体" w:eastAsia="黑体"/>
          <w:sz w:val="32"/>
          <w:szCs w:val="32"/>
        </w:rPr>
      </w:pPr>
      <w:r>
        <w:rPr>
          <w:rFonts w:hint="eastAsia" w:ascii="黑体" w:eastAsia="黑体"/>
          <w:sz w:val="32"/>
          <w:szCs w:val="32"/>
        </w:rPr>
        <w:t>三、收支预算情况说明</w:t>
      </w:r>
    </w:p>
    <w:p w14:paraId="4DCFFEE6">
      <w:pPr>
        <w:rPr>
          <w:rFonts w:ascii="楷体" w:eastAsia="楷体"/>
          <w:sz w:val="32"/>
          <w:szCs w:val="32"/>
        </w:rPr>
      </w:pPr>
      <w:r>
        <w:rPr>
          <w:rFonts w:hint="eastAsia" w:ascii="楷体" w:eastAsia="楷体"/>
          <w:sz w:val="32"/>
          <w:szCs w:val="32"/>
        </w:rPr>
        <w:t>（一）收入预算情况</w:t>
      </w:r>
    </w:p>
    <w:p w14:paraId="2EA1BEA6">
      <w:pPr>
        <w:rPr>
          <w:rFonts w:ascii="楷体" w:eastAsia="楷体"/>
          <w:sz w:val="32"/>
          <w:szCs w:val="32"/>
        </w:rPr>
      </w:pPr>
      <w:r>
        <w:rPr>
          <w:rFonts w:hint="eastAsia" w:ascii="楷体" w:eastAsia="楷体"/>
          <w:sz w:val="32"/>
          <w:szCs w:val="32"/>
        </w:rPr>
        <w:t>（二）支出预算情况</w:t>
      </w:r>
    </w:p>
    <w:p w14:paraId="4D25FE4B">
      <w:pPr>
        <w:rPr>
          <w:rFonts w:ascii="黑体" w:eastAsia="黑体"/>
          <w:sz w:val="32"/>
          <w:szCs w:val="32"/>
        </w:rPr>
      </w:pPr>
      <w:r>
        <w:rPr>
          <w:rFonts w:hint="eastAsia" w:ascii="黑体" w:eastAsia="黑体"/>
          <w:sz w:val="32"/>
          <w:szCs w:val="32"/>
        </w:rPr>
        <w:t>四、财政拨款收支预算情况说明</w:t>
      </w:r>
    </w:p>
    <w:p w14:paraId="4430A124">
      <w:pPr>
        <w:rPr>
          <w:rFonts w:ascii="黑体" w:eastAsia="黑体"/>
          <w:sz w:val="32"/>
          <w:szCs w:val="32"/>
        </w:rPr>
      </w:pPr>
      <w:r>
        <w:rPr>
          <w:rFonts w:hint="eastAsia" w:ascii="黑体" w:eastAsia="黑体"/>
          <w:sz w:val="32"/>
          <w:szCs w:val="32"/>
        </w:rPr>
        <w:t>五、一般公共预算当年拨款情况说明</w:t>
      </w:r>
    </w:p>
    <w:p w14:paraId="19878539">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02C7846D">
      <w:pPr>
        <w:rPr>
          <w:rFonts w:ascii="黑体" w:eastAsia="黑体"/>
          <w:sz w:val="32"/>
          <w:szCs w:val="32"/>
        </w:rPr>
      </w:pPr>
    </w:p>
    <w:p w14:paraId="38BECE35">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4DCB4E7">
      <w:pPr>
        <w:pStyle w:val="10"/>
        <w:rPr>
          <w:rFonts w:ascii="黑体" w:eastAsia="黑体"/>
          <w:sz w:val="32"/>
          <w:szCs w:val="32"/>
        </w:rPr>
      </w:pPr>
      <w:r>
        <w:rPr>
          <w:rFonts w:hint="eastAsia" w:ascii="黑体" w:eastAsia="黑体"/>
          <w:sz w:val="32"/>
          <w:szCs w:val="32"/>
        </w:rPr>
        <w:t>一、基本职能及主要工作</w:t>
      </w:r>
    </w:p>
    <w:p w14:paraId="77CCE055">
      <w:pPr>
        <w:ind w:firstLine="640" w:firstLineChars="200"/>
        <w:rPr>
          <w:rFonts w:ascii="仿宋_GB2312" w:hAnsi="仿宋_GB2312" w:eastAsia="仿宋_GB2312" w:cs="仿宋_GB2312"/>
          <w:kern w:val="0"/>
          <w:sz w:val="32"/>
          <w:szCs w:val="32"/>
        </w:rPr>
      </w:pPr>
      <w:r>
        <w:rPr>
          <w:rFonts w:hint="eastAsia" w:ascii="楷体" w:eastAsia="楷体"/>
          <w:sz w:val="32"/>
          <w:szCs w:val="32"/>
        </w:rPr>
        <w:t>（一）部门职能简介</w:t>
      </w:r>
    </w:p>
    <w:p w14:paraId="3A3DA8A7">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1、为人民群众提供中藏医西医医疗、预防、保健、计划生育、康复等医疗卫生服务。</w:t>
      </w:r>
    </w:p>
    <w:p w14:paraId="459AEAB2">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2、贯彻落实医药卫生体制改革、中藏西医并重方针和国家中医药法律法规，执行中医药政策；拟定实施中医药、民族医药和中西医结合发展战略、规划；指导全县各医疗机构发展中医药和中西医结合业务建设。</w:t>
      </w:r>
    </w:p>
    <w:p w14:paraId="33BDA36B">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3、确保全县人民中藏西医疗健康需求，建立与地方经济发展相适应的中藏西医结合医疗环境。加强中医医院标准化管理。</w:t>
      </w:r>
    </w:p>
    <w:p w14:paraId="13AF4AA7">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4、贯彻落实国家基本药物制度和药品集中采购工作，执行医用耗材集中采购工作；负责医院内部的药品和医疗器械管理工作。</w:t>
      </w:r>
    </w:p>
    <w:p w14:paraId="4292578B">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5、承担意外灾害事故、疫情等突发公共卫生事件的医疗急救及社区预防、保健和康复医疗服务工作，开展各种医疗保健卫生知识宣传普及。</w:t>
      </w:r>
    </w:p>
    <w:p w14:paraId="62F6D327">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6、充分发挥中医药在国家基本公共卫生服务中的优势和作用，负责全县基本公共卫生服务中医药健康管理项目</w:t>
      </w:r>
    </w:p>
    <w:p w14:paraId="031A6575">
      <w:pPr>
        <w:widowControl/>
        <w:spacing w:line="360" w:lineRule="auto"/>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的实施和日常管理。</w:t>
      </w:r>
    </w:p>
    <w:p w14:paraId="47154164">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7、组织实施中藏西医药科学研究，推进医学科技成果转化和推广应用；承担中藏医药人才培养，中医药继续医学教育工作。</w:t>
      </w:r>
    </w:p>
    <w:p w14:paraId="54336367">
      <w:pPr>
        <w:widowControl/>
        <w:spacing w:line="360" w:lineRule="auto"/>
        <w:ind w:firstLine="640" w:firstLineChars="200"/>
        <w:jc w:val="left"/>
        <w:rPr>
          <w:rFonts w:ascii="楷体" w:eastAsia="楷体"/>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color w:val="000000"/>
          <w:sz w:val="32"/>
          <w:szCs w:val="32"/>
        </w:rPr>
        <w:t>做好城镇居民基本医疗保险和定点医疗机构的各项工作。</w:t>
      </w:r>
      <w:r>
        <w:rPr>
          <w:rFonts w:hint="eastAsia" w:ascii="楷体" w:hAnsi="Calibri" w:eastAsia="楷体" w:cs="Times New Roman"/>
          <w:kern w:val="2"/>
          <w:sz w:val="32"/>
          <w:szCs w:val="32"/>
          <w:lang w:val="en-US" w:eastAsia="zh-CN" w:bidi="ar-SA"/>
        </w:rPr>
        <w:br w:type="textWrapping"/>
      </w:r>
      <w:r>
        <w:rPr>
          <w:rFonts w:hint="eastAsia" w:hAnsi="黑体" w:cs="Times New Roman"/>
          <w:b/>
          <w:bCs/>
          <w:kern w:val="2"/>
          <w:sz w:val="32"/>
          <w:szCs w:val="32"/>
          <w:lang w:val="en-US" w:eastAsia="zh-CN"/>
        </w:rPr>
        <w:t xml:space="preserve">   </w:t>
      </w:r>
      <w:r>
        <w:rPr>
          <w:rFonts w:hint="eastAsia" w:ascii="楷体" w:eastAsia="楷体"/>
          <w:sz w:val="32"/>
          <w:szCs w:val="32"/>
        </w:rPr>
        <w:t>（二）2025年重点工作</w:t>
      </w:r>
    </w:p>
    <w:p w14:paraId="027B0CA1">
      <w:pPr>
        <w:pStyle w:val="10"/>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2025年，将继续抓好医疗服务质量，按照医院的中长期发展规划及上级主管部门精神和要求，一步一个脚印地抓好落实，使医院再上新水平、再登新台阶。重点抓好以下几个方面的工作：</w:t>
      </w:r>
    </w:p>
    <w:p w14:paraId="6DF3BED3">
      <w:pPr>
        <w:pStyle w:val="10"/>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一</w:t>
      </w:r>
      <w:r>
        <w:rPr>
          <w:rFonts w:hint="eastAsia" w:ascii="仿宋_GB2312" w:hAnsi="Calibri" w:eastAsia="仿宋_GB2312" w:cs="仿宋_GB2312"/>
          <w:kern w:val="2"/>
          <w:sz w:val="32"/>
          <w:szCs w:val="32"/>
          <w:lang w:val="en-US" w:eastAsia="zh-CN" w:bidi="ar-SA"/>
        </w:rPr>
        <w:t>是根据医院实际情况，加大对重点专科的建设，持续推进针灸科、康复科、藏药浴科3个重点专科的建设工作。</w:t>
      </w:r>
    </w:p>
    <w:p w14:paraId="74FC874F">
      <w:pPr>
        <w:pStyle w:val="10"/>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二</w:t>
      </w:r>
      <w:r>
        <w:rPr>
          <w:rFonts w:hint="eastAsia" w:ascii="仿宋_GB2312" w:hAnsi="Calibri" w:eastAsia="仿宋_GB2312" w:cs="仿宋_GB2312"/>
          <w:kern w:val="2"/>
          <w:sz w:val="32"/>
          <w:szCs w:val="32"/>
          <w:lang w:val="en-US" w:eastAsia="zh-CN" w:bidi="ar-SA"/>
        </w:rPr>
        <w:t>是聚焦平安医院，加强安全服务管理。完善各项安全机制建设，提升医院医护人员维护医院安全稳定的政治站位和责任意识，明确科室第一责任人监督管理主体责任，确保领导到位、责任到位、力量到位、落实到位，确保隐患第一时间发现、第一时间报送、第一时间协调处理。</w:t>
      </w:r>
    </w:p>
    <w:p w14:paraId="758A866B">
      <w:pPr>
        <w:pStyle w:val="10"/>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三</w:t>
      </w:r>
      <w:r>
        <w:rPr>
          <w:rFonts w:hint="eastAsia" w:ascii="仿宋_GB2312" w:hAnsi="Calibri" w:eastAsia="仿宋_GB2312" w:cs="仿宋_GB2312"/>
          <w:kern w:val="2"/>
          <w:sz w:val="32"/>
          <w:szCs w:val="32"/>
          <w:lang w:val="en-US" w:eastAsia="zh-CN" w:bidi="ar-SA"/>
        </w:rPr>
        <w:t>是</w:t>
      </w:r>
      <w:r>
        <w:rPr>
          <w:rFonts w:hint="default" w:ascii="仿宋_GB2312" w:hAnsi="Calibri" w:eastAsia="仿宋_GB2312" w:cs="仿宋_GB2312"/>
          <w:kern w:val="2"/>
          <w:sz w:val="32"/>
          <w:szCs w:val="32"/>
          <w:lang w:val="en-US" w:eastAsia="zh-CN" w:bidi="ar-SA"/>
        </w:rPr>
        <w:t>提升中</w:t>
      </w:r>
      <w:r>
        <w:rPr>
          <w:rFonts w:hint="eastAsia" w:ascii="仿宋_GB2312" w:hAnsi="Calibri" w:eastAsia="仿宋_GB2312" w:cs="仿宋_GB2312"/>
          <w:kern w:val="2"/>
          <w:sz w:val="32"/>
          <w:szCs w:val="32"/>
          <w:lang w:val="en-US" w:eastAsia="zh-CN" w:bidi="ar-SA"/>
        </w:rPr>
        <w:t>藏</w:t>
      </w:r>
      <w:r>
        <w:rPr>
          <w:rFonts w:hint="default" w:ascii="仿宋_GB2312" w:hAnsi="Calibri" w:eastAsia="仿宋_GB2312" w:cs="仿宋_GB2312"/>
          <w:kern w:val="2"/>
          <w:sz w:val="32"/>
          <w:szCs w:val="32"/>
          <w:lang w:val="en-US" w:eastAsia="zh-CN" w:bidi="ar-SA"/>
        </w:rPr>
        <w:t>医药特色康复和治未病服务能力，实施中</w:t>
      </w:r>
      <w:r>
        <w:rPr>
          <w:rFonts w:hint="eastAsia" w:ascii="仿宋_GB2312" w:hAnsi="Calibri" w:eastAsia="仿宋_GB2312" w:cs="仿宋_GB2312"/>
          <w:kern w:val="2"/>
          <w:sz w:val="32"/>
          <w:szCs w:val="32"/>
          <w:lang w:val="en-US" w:eastAsia="zh-CN" w:bidi="ar-SA"/>
        </w:rPr>
        <w:t>藏</w:t>
      </w:r>
      <w:r>
        <w:rPr>
          <w:rFonts w:hint="default" w:ascii="仿宋_GB2312" w:hAnsi="Calibri" w:eastAsia="仿宋_GB2312" w:cs="仿宋_GB2312"/>
          <w:kern w:val="2"/>
          <w:sz w:val="32"/>
          <w:szCs w:val="32"/>
          <w:lang w:val="en-US" w:eastAsia="zh-CN" w:bidi="ar-SA"/>
        </w:rPr>
        <w:t>医药康复能力提升工程，充分发挥中</w:t>
      </w:r>
      <w:r>
        <w:rPr>
          <w:rFonts w:hint="eastAsia" w:ascii="仿宋_GB2312" w:hAnsi="Calibri" w:eastAsia="仿宋_GB2312" w:cs="仿宋_GB2312"/>
          <w:kern w:val="2"/>
          <w:sz w:val="32"/>
          <w:szCs w:val="32"/>
          <w:lang w:val="en-US" w:eastAsia="zh-CN" w:bidi="ar-SA"/>
        </w:rPr>
        <w:t>藏</w:t>
      </w:r>
      <w:r>
        <w:rPr>
          <w:rFonts w:hint="default" w:ascii="仿宋_GB2312" w:hAnsi="Calibri" w:eastAsia="仿宋_GB2312" w:cs="仿宋_GB2312"/>
          <w:kern w:val="2"/>
          <w:sz w:val="32"/>
          <w:szCs w:val="32"/>
          <w:lang w:val="en-US" w:eastAsia="zh-CN" w:bidi="ar-SA"/>
        </w:rPr>
        <w:t>医药</w:t>
      </w:r>
      <w:r>
        <w:rPr>
          <w:rFonts w:hint="eastAsia" w:ascii="仿宋_GB2312"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未病先防</w:t>
      </w:r>
      <w:r>
        <w:rPr>
          <w:rFonts w:hint="eastAsia" w:ascii="仿宋_GB2312"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特色优势，加强中医院</w:t>
      </w:r>
      <w:r>
        <w:rPr>
          <w:rFonts w:hint="eastAsia" w:ascii="仿宋_GB2312"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治未病</w:t>
      </w:r>
      <w:r>
        <w:rPr>
          <w:rFonts w:hint="eastAsia" w:ascii="仿宋_GB2312"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科建设。</w:t>
      </w:r>
    </w:p>
    <w:p w14:paraId="313F81DF">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5C4861AF">
      <w:pPr>
        <w:pStyle w:val="10"/>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楷体" w:hAnsi="Calibri" w:eastAsia="楷体" w:cs="Times New Roman"/>
          <w:kern w:val="2"/>
          <w:sz w:val="32"/>
          <w:szCs w:val="32"/>
          <w:lang w:val="en-US" w:eastAsia="zh-CN" w:bidi="ar-SA"/>
        </w:rPr>
      </w:pPr>
      <w:r>
        <w:rPr>
          <w:rFonts w:hint="eastAsia" w:ascii="仿宋_GB2312" w:hAnsi="Calibri" w:eastAsia="仿宋_GB2312" w:cs="仿宋_GB2312"/>
          <w:kern w:val="2"/>
          <w:sz w:val="32"/>
          <w:szCs w:val="32"/>
          <w:lang w:val="en-US" w:eastAsia="zh-CN" w:bidi="ar-SA"/>
        </w:rPr>
        <w:t>壤塘县藏医院成立于2010年10月，机构性质：事业机构，机构级别：属壤塘县卫生健康局下属二级预算单位。</w:t>
      </w:r>
    </w:p>
    <w:p w14:paraId="74183DF3">
      <w:pPr>
        <w:pStyle w:val="10"/>
        <w:keepNext w:val="0"/>
        <w:keepLines w:val="0"/>
        <w:pageBreakBefore w:val="0"/>
        <w:widowControl w:val="0"/>
        <w:numPr>
          <w:ilvl w:val="0"/>
          <w:numId w:val="1"/>
        </w:numPr>
        <w:kinsoku/>
        <w:wordWrap/>
        <w:overflowPunct/>
        <w:topLinePunct w:val="0"/>
        <w:autoSpaceDE/>
        <w:autoSpaceDN/>
        <w:bidi w:val="0"/>
        <w:adjustRightInd/>
        <w:snapToGrid/>
        <w:ind w:left="1360" w:leftChars="0" w:hanging="720" w:firstLineChars="0"/>
        <w:textAlignment w:val="auto"/>
        <w:rPr>
          <w:rFonts w:hint="eastAsia" w:ascii="黑体" w:eastAsia="黑体"/>
          <w:sz w:val="32"/>
          <w:szCs w:val="32"/>
        </w:rPr>
      </w:pPr>
      <w:r>
        <w:rPr>
          <w:rFonts w:hint="eastAsia" w:ascii="黑体" w:eastAsia="黑体"/>
          <w:sz w:val="32"/>
          <w:szCs w:val="32"/>
        </w:rPr>
        <w:t>收支预算情况说明</w:t>
      </w:r>
    </w:p>
    <w:p w14:paraId="3ADECD4A">
      <w:pPr>
        <w:pStyle w:val="10"/>
        <w:keepNext w:val="0"/>
        <w:keepLines w:val="0"/>
        <w:pageBreakBefore w:val="0"/>
        <w:widowControl w:val="0"/>
        <w:numPr>
          <w:ilvl w:val="0"/>
          <w:numId w:val="0"/>
        </w:numPr>
        <w:kinsoku/>
        <w:wordWrap/>
        <w:overflowPunct/>
        <w:topLinePunct w:val="0"/>
        <w:autoSpaceDE/>
        <w:autoSpaceDN/>
        <w:bidi w:val="0"/>
        <w:adjustRightInd/>
        <w:snapToGrid/>
        <w:ind w:left="0" w:leftChars="0" w:firstLine="320" w:firstLineChars="200"/>
        <w:textAlignment w:val="auto"/>
        <w:rPr>
          <w:rFonts w:hint="eastAsia" w:ascii="楷体" w:hAnsi="Calibri" w:eastAsia="楷体" w:cs="Times New Roman"/>
          <w:kern w:val="2"/>
          <w:sz w:val="32"/>
          <w:szCs w:val="32"/>
          <w:lang w:val="en-US" w:eastAsia="zh-CN" w:bidi="ar-SA"/>
        </w:rPr>
      </w:pPr>
      <w:r>
        <w:rPr>
          <w:rFonts w:ascii="??" w:hAnsi="??" w:eastAsia="宋体" w:cs="??"/>
          <w:sz w:val="16"/>
          <w:szCs w:val="16"/>
        </w:rPr>
        <w:t xml:space="preserve">  </w:t>
      </w:r>
      <w:r>
        <w:rPr>
          <w:rFonts w:hint="eastAsia" w:ascii="仿宋_GB2312" w:hAnsi="Calibri" w:eastAsia="仿宋_GB2312" w:cs="仿宋_GB2312"/>
          <w:kern w:val="2"/>
          <w:sz w:val="32"/>
          <w:szCs w:val="32"/>
          <w:lang w:val="en-US" w:eastAsia="zh-CN" w:bidi="ar-SA"/>
        </w:rPr>
        <w:t>按照综合预算的原则，壤塘县藏医院所有收入和支出均纳入部门预算管理。收入包括：一般公共预算拨款收入766.71万元，事业收入0万元，其他收入0万元，上年结转0万元；支出包括：一般公共服务支出0万元，教育支出0万元，文化体育与传媒支出0万元，社会保障和就业支出129.51万元，卫生健康支出572.25万元，住房保障支出64.95万元。壤塘县藏医院2024年收支总预算766.71万元,　比2024年收支预算总数增加47.19万元，主要原因: 住房公积金、单位职工保险的增加及工资调整。</w:t>
      </w:r>
    </w:p>
    <w:p w14:paraId="73004924">
      <w:pPr>
        <w:numPr>
          <w:ilvl w:val="0"/>
          <w:numId w:val="2"/>
        </w:numPr>
        <w:ind w:firstLine="640" w:firstLineChars="200"/>
        <w:rPr>
          <w:rFonts w:hint="eastAsia" w:ascii="楷体" w:eastAsia="楷体"/>
          <w:sz w:val="32"/>
          <w:szCs w:val="32"/>
        </w:rPr>
      </w:pPr>
      <w:r>
        <w:rPr>
          <w:rFonts w:hint="eastAsia" w:ascii="楷体" w:eastAsia="楷体"/>
          <w:sz w:val="32"/>
          <w:szCs w:val="32"/>
        </w:rPr>
        <w:t>收入预算情况</w:t>
      </w:r>
    </w:p>
    <w:p w14:paraId="0F7BF32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壤塘县藏医院2025年收入预算766.71万元，其中：上年结转0万元，占0%；一般公共预算拨款收入766.71万元，占100%；事业收入0万元，占0%；其他收入0万元，占0%。</w:t>
      </w:r>
    </w:p>
    <w:p w14:paraId="7A40EA65">
      <w:pPr>
        <w:numPr>
          <w:ilvl w:val="0"/>
          <w:numId w:val="2"/>
        </w:numPr>
        <w:ind w:left="0" w:leftChars="0" w:firstLine="640" w:firstLineChars="200"/>
        <w:jc w:val="left"/>
        <w:rPr>
          <w:rFonts w:hint="eastAsia" w:ascii="楷体" w:eastAsia="楷体" w:cs="仿宋_GB2312"/>
          <w:sz w:val="32"/>
          <w:szCs w:val="32"/>
        </w:rPr>
      </w:pPr>
      <w:r>
        <w:rPr>
          <w:rFonts w:hint="eastAsia" w:ascii="楷体" w:eastAsia="楷体" w:cs="仿宋_GB2312"/>
          <w:sz w:val="32"/>
          <w:szCs w:val="32"/>
        </w:rPr>
        <w:t>支出预算情况</w:t>
      </w:r>
    </w:p>
    <w:p w14:paraId="52BBCFE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壤塘县藏医院2025年支出预算766.71万元，其中：基本支出765.59万元，占99.85%；项目支出1.12万元，占0.15%。</w:t>
      </w:r>
    </w:p>
    <w:p w14:paraId="152F8E32">
      <w:pPr>
        <w:keepNext w:val="0"/>
        <w:keepLines w:val="0"/>
        <w:pageBreakBefore w:val="0"/>
        <w:widowControl w:val="0"/>
        <w:numPr>
          <w:ilvl w:val="0"/>
          <w:numId w:val="1"/>
        </w:numPr>
        <w:kinsoku/>
        <w:wordWrap/>
        <w:overflowPunct/>
        <w:topLinePunct w:val="0"/>
        <w:autoSpaceDE/>
        <w:autoSpaceDN/>
        <w:bidi w:val="0"/>
        <w:adjustRightInd/>
        <w:snapToGrid/>
        <w:ind w:left="1360" w:leftChars="0" w:hanging="720" w:firstLineChars="0"/>
        <w:jc w:val="both"/>
        <w:textAlignment w:val="auto"/>
        <w:rPr>
          <w:rFonts w:hint="eastAsia" w:ascii="黑体" w:eastAsia="黑体"/>
          <w:sz w:val="32"/>
          <w:szCs w:val="32"/>
        </w:rPr>
      </w:pPr>
      <w:r>
        <w:rPr>
          <w:rFonts w:hint="eastAsia" w:ascii="黑体" w:eastAsia="黑体"/>
          <w:sz w:val="32"/>
          <w:szCs w:val="32"/>
        </w:rPr>
        <w:t>财政拨款收支预算情况说明</w:t>
      </w:r>
    </w:p>
    <w:p w14:paraId="6B0403BC">
      <w:pPr>
        <w:pStyle w:val="10"/>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壤塘县藏医院2025年财政拨款收支总预算766.71万元，比2025年财政拨款收支总预算增加47.19万元，主要原因:</w:t>
      </w:r>
      <w:r>
        <w:rPr>
          <w:rFonts w:hint="eastAsia" w:ascii="仿宋_GB2312" w:hAnsi="Calibri" w:eastAsia="仿宋_GB2312" w:cs="仿宋_GB2312"/>
          <w:kern w:val="2"/>
          <w:sz w:val="32"/>
          <w:szCs w:val="32"/>
          <w:lang w:val="en-US" w:eastAsia="zh-CN" w:bidi="ar-SA"/>
        </w:rPr>
        <w:t>住房公积金、单位职工保险的增加及工资调整。</w:t>
      </w:r>
    </w:p>
    <w:p w14:paraId="410FF804">
      <w:pPr>
        <w:pStyle w:val="11"/>
        <w:spacing w:before="0" w:line="360" w:lineRule="auto"/>
        <w:ind w:firstLine="627" w:firstLineChars="196"/>
        <w:rPr>
          <w:rFonts w:ascii="仿宋_GB2312" w:eastAsia="仿宋_GB2312"/>
          <w:sz w:val="32"/>
          <w:szCs w:val="32"/>
        </w:rPr>
      </w:pPr>
      <w:r>
        <w:rPr>
          <w:rFonts w:hint="eastAsia" w:ascii="仿宋_GB2312" w:eastAsia="仿宋_GB2312" w:cs="仿宋_GB2312"/>
          <w:sz w:val="32"/>
          <w:szCs w:val="32"/>
        </w:rPr>
        <w:t>收入包括：</w:t>
      </w:r>
      <w:r>
        <w:rPr>
          <w:rFonts w:hint="eastAsia" w:hAnsi="黑体"/>
          <w:kern w:val="2"/>
          <w:sz w:val="32"/>
          <w:szCs w:val="32"/>
        </w:rPr>
        <w:t>本年一般公共预算拨款收入</w:t>
      </w:r>
      <w:r>
        <w:rPr>
          <w:rFonts w:hint="eastAsia" w:hAnsi="黑体"/>
          <w:kern w:val="2"/>
          <w:sz w:val="32"/>
          <w:szCs w:val="32"/>
          <w:lang w:val="en-US" w:eastAsia="zh-CN"/>
        </w:rPr>
        <w:t>766.71</w:t>
      </w:r>
      <w:r>
        <w:rPr>
          <w:rFonts w:hint="eastAsia" w:hAnsi="黑体"/>
          <w:kern w:val="2"/>
          <w:sz w:val="32"/>
          <w:szCs w:val="32"/>
        </w:rPr>
        <w:t>万元，上年结转一般公共预算收入0万元，上年结转财政拨款资金0万元；</w:t>
      </w:r>
      <w:r>
        <w:rPr>
          <w:rFonts w:hAnsi="黑体" w:cs="Times New Roman"/>
          <w:kern w:val="2"/>
          <w:sz w:val="32"/>
          <w:szCs w:val="32"/>
        </w:rPr>
        <w:br w:type="textWrapping"/>
      </w:r>
      <w:r>
        <w:rPr>
          <w:rFonts w:hint="eastAsia" w:hAnsi="黑体"/>
          <w:kern w:val="2"/>
          <w:sz w:val="32"/>
          <w:szCs w:val="32"/>
        </w:rPr>
        <w:t>　　支出包括：一般公共服务支出0万元，教育支出0万元，文化体育与传媒支出0万元，社会保障和就业支出</w:t>
      </w:r>
      <w:r>
        <w:rPr>
          <w:rFonts w:hint="eastAsia" w:hAnsi="黑体" w:cs="Times New Roman"/>
          <w:kern w:val="2"/>
          <w:sz w:val="32"/>
          <w:szCs w:val="32"/>
          <w:lang w:val="en-US" w:eastAsia="zh-CN"/>
        </w:rPr>
        <w:t>129.51</w:t>
      </w:r>
      <w:r>
        <w:rPr>
          <w:rFonts w:hint="eastAsia" w:hAnsi="黑体"/>
          <w:kern w:val="2"/>
          <w:sz w:val="32"/>
          <w:szCs w:val="32"/>
        </w:rPr>
        <w:t>万元，卫生健康支出</w:t>
      </w:r>
      <w:r>
        <w:rPr>
          <w:rFonts w:hint="eastAsia" w:hAnsi="黑体" w:cs="Times New Roman"/>
          <w:kern w:val="2"/>
          <w:sz w:val="32"/>
          <w:szCs w:val="32"/>
          <w:lang w:val="en-US" w:eastAsia="zh-CN"/>
        </w:rPr>
        <w:t>572.25</w:t>
      </w:r>
      <w:r>
        <w:rPr>
          <w:rFonts w:hint="eastAsia" w:hAnsi="黑体"/>
          <w:kern w:val="2"/>
          <w:sz w:val="32"/>
          <w:szCs w:val="32"/>
        </w:rPr>
        <w:t>万元，住房保障支出</w:t>
      </w:r>
      <w:r>
        <w:rPr>
          <w:rFonts w:hint="eastAsia" w:hAnsi="黑体" w:cs="Times New Roman"/>
          <w:kern w:val="2"/>
          <w:sz w:val="32"/>
          <w:szCs w:val="32"/>
          <w:lang w:val="en-US" w:eastAsia="zh-CN"/>
        </w:rPr>
        <w:t>64.95</w:t>
      </w:r>
      <w:r>
        <w:rPr>
          <w:rFonts w:hint="eastAsia" w:hAnsi="黑体"/>
          <w:kern w:val="2"/>
          <w:sz w:val="32"/>
          <w:szCs w:val="32"/>
        </w:rPr>
        <w:t>万元。</w:t>
      </w:r>
    </w:p>
    <w:p w14:paraId="37547771">
      <w:pPr>
        <w:ind w:firstLine="640" w:firstLineChars="200"/>
        <w:rPr>
          <w:rFonts w:ascii="黑体" w:eastAsia="黑体"/>
          <w:sz w:val="32"/>
          <w:szCs w:val="32"/>
        </w:rPr>
      </w:pPr>
      <w:r>
        <w:rPr>
          <w:rFonts w:hint="eastAsia" w:ascii="黑体" w:eastAsia="黑体"/>
          <w:sz w:val="32"/>
          <w:szCs w:val="32"/>
        </w:rPr>
        <w:t>五、一般公共预算当年拨款情况说明</w:t>
      </w:r>
    </w:p>
    <w:p w14:paraId="354F159F">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1C5BEC59">
      <w:pPr>
        <w:pStyle w:val="11"/>
        <w:spacing w:before="0" w:line="360" w:lineRule="auto"/>
        <w:ind w:firstLine="660"/>
        <w:rPr>
          <w:rFonts w:cs="仿宋_GB2312"/>
          <w:kern w:val="2"/>
          <w:sz w:val="32"/>
          <w:szCs w:val="32"/>
        </w:rPr>
      </w:pPr>
      <w:r>
        <w:rPr>
          <w:rFonts w:hint="eastAsia" w:cs="仿宋_GB2312"/>
          <w:kern w:val="2"/>
          <w:sz w:val="32"/>
          <w:szCs w:val="32"/>
          <w:lang w:val="en-US" w:eastAsia="zh-CN"/>
        </w:rPr>
        <w:t>壤塘县藏医院</w:t>
      </w:r>
      <w:r>
        <w:rPr>
          <w:rFonts w:hint="eastAsia" w:cs="宋体"/>
          <w:sz w:val="32"/>
          <w:szCs w:val="32"/>
        </w:rPr>
        <w:t>2025年一般公共预算当年拨款</w:t>
      </w:r>
      <w:r>
        <w:rPr>
          <w:rFonts w:hint="eastAsia" w:cs="宋体"/>
          <w:sz w:val="32"/>
          <w:szCs w:val="32"/>
          <w:lang w:val="en-US" w:eastAsia="zh-CN"/>
        </w:rPr>
        <w:t>766.71</w:t>
      </w:r>
      <w:r>
        <w:rPr>
          <w:rFonts w:hint="eastAsia" w:cs="宋体"/>
          <w:sz w:val="32"/>
          <w:szCs w:val="32"/>
        </w:rPr>
        <w:t>万元，比2024年预算数增加</w:t>
      </w:r>
      <w:r>
        <w:rPr>
          <w:rFonts w:hint="eastAsia" w:cs="宋体"/>
          <w:sz w:val="32"/>
          <w:szCs w:val="32"/>
          <w:lang w:val="en-US" w:eastAsia="zh-CN"/>
        </w:rPr>
        <w:t>47.19</w:t>
      </w:r>
      <w:r>
        <w:rPr>
          <w:rFonts w:hint="eastAsia" w:cs="宋体"/>
          <w:sz w:val="32"/>
          <w:szCs w:val="32"/>
        </w:rPr>
        <w:t>万元，主要原因:</w:t>
      </w:r>
      <w:r>
        <w:rPr>
          <w:rFonts w:hint="eastAsia" w:ascii="仿宋_GB2312" w:hAnsi="Calibri" w:eastAsia="仿宋_GB2312" w:cs="仿宋_GB2312"/>
          <w:kern w:val="2"/>
          <w:sz w:val="32"/>
          <w:szCs w:val="32"/>
          <w:lang w:val="en-US" w:eastAsia="zh-CN" w:bidi="ar-SA"/>
        </w:rPr>
        <w:t>住房公积金、单位职工保险的增加及工资调整。</w:t>
      </w:r>
      <w:r>
        <w:rPr>
          <w:rFonts w:hint="eastAsia" w:cs="仿宋_GB2312"/>
          <w:kern w:val="2"/>
          <w:sz w:val="32"/>
          <w:szCs w:val="32"/>
        </w:rPr>
        <w:t>　　</w:t>
      </w:r>
    </w:p>
    <w:p w14:paraId="2A605D83">
      <w:pPr>
        <w:pStyle w:val="11"/>
        <w:spacing w:before="0" w:line="360" w:lineRule="auto"/>
        <w:ind w:left="651" w:leftChars="310"/>
        <w:jc w:val="left"/>
        <w:rPr>
          <w:rFonts w:hint="eastAsia" w:cs="宋体"/>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cs="宋体"/>
          <w:sz w:val="32"/>
          <w:szCs w:val="32"/>
        </w:rPr>
        <w:t>一般公共服务支出</w:t>
      </w:r>
      <w:r>
        <w:rPr>
          <w:rFonts w:hint="eastAsia" w:cs="宋体"/>
          <w:sz w:val="32"/>
          <w:szCs w:val="32"/>
          <w:lang w:val="en-US" w:eastAsia="zh-CN"/>
        </w:rPr>
        <w:t>0</w:t>
      </w:r>
      <w:r>
        <w:rPr>
          <w:rFonts w:hint="eastAsia" w:cs="宋体"/>
          <w:sz w:val="32"/>
          <w:szCs w:val="32"/>
        </w:rPr>
        <w:t>万元，占</w:t>
      </w:r>
      <w:r>
        <w:rPr>
          <w:rFonts w:hint="eastAsia" w:cs="宋体"/>
          <w:sz w:val="32"/>
          <w:szCs w:val="32"/>
          <w:lang w:val="en-US" w:eastAsia="zh-CN"/>
        </w:rPr>
        <w:t>0</w:t>
      </w:r>
      <w:r>
        <w:rPr>
          <w:rFonts w:hint="eastAsia" w:cs="宋体"/>
          <w:sz w:val="32"/>
          <w:szCs w:val="32"/>
        </w:rPr>
        <w:t xml:space="preserve">%；社会保障和就业支        </w:t>
      </w:r>
    </w:p>
    <w:p w14:paraId="73DA645B">
      <w:pPr>
        <w:pStyle w:val="11"/>
        <w:spacing w:before="0" w:line="360" w:lineRule="auto"/>
        <w:jc w:val="left"/>
        <w:rPr>
          <w:rFonts w:hint="eastAsia" w:cs="宋体"/>
          <w:sz w:val="32"/>
          <w:szCs w:val="32"/>
          <w:lang w:eastAsia="zh-CN"/>
        </w:rPr>
      </w:pPr>
      <w:r>
        <w:rPr>
          <w:rFonts w:hint="eastAsia" w:cs="宋体"/>
          <w:sz w:val="32"/>
          <w:szCs w:val="32"/>
          <w:lang w:val="en-US" w:eastAsia="zh-CN"/>
        </w:rPr>
        <w:t>出129.51万元，占16.89</w:t>
      </w:r>
      <w:r>
        <w:rPr>
          <w:rFonts w:hint="eastAsia" w:cs="宋体"/>
          <w:sz w:val="32"/>
          <w:szCs w:val="32"/>
        </w:rPr>
        <w:t>%；</w:t>
      </w:r>
      <w:r>
        <w:rPr>
          <w:rFonts w:hint="eastAsia" w:cs="宋体"/>
          <w:sz w:val="32"/>
          <w:szCs w:val="32"/>
          <w:lang w:val="en-US" w:eastAsia="zh-CN"/>
        </w:rPr>
        <w:t>卫生健康支出572.25万元，占74.63%；</w:t>
      </w:r>
      <w:r>
        <w:rPr>
          <w:rFonts w:hint="eastAsia" w:cs="宋体"/>
          <w:sz w:val="32"/>
          <w:szCs w:val="32"/>
        </w:rPr>
        <w:t>住房保障支出</w:t>
      </w:r>
      <w:r>
        <w:rPr>
          <w:rFonts w:hint="eastAsia" w:cs="宋体"/>
          <w:sz w:val="32"/>
          <w:szCs w:val="32"/>
          <w:lang w:val="en-US" w:eastAsia="zh-CN"/>
        </w:rPr>
        <w:t>64.95</w:t>
      </w:r>
      <w:r>
        <w:rPr>
          <w:rFonts w:hint="eastAsia" w:cs="宋体"/>
          <w:sz w:val="32"/>
          <w:szCs w:val="32"/>
        </w:rPr>
        <w:t>万元，占</w:t>
      </w:r>
      <w:r>
        <w:rPr>
          <w:rFonts w:hint="eastAsia" w:cs="宋体"/>
          <w:sz w:val="32"/>
          <w:szCs w:val="32"/>
          <w:lang w:val="en-US" w:eastAsia="zh-CN"/>
        </w:rPr>
        <w:t>8.48</w:t>
      </w:r>
      <w:r>
        <w:rPr>
          <w:rFonts w:hint="eastAsia" w:cs="宋体"/>
          <w:sz w:val="32"/>
          <w:szCs w:val="32"/>
        </w:rPr>
        <w:t>%</w:t>
      </w:r>
      <w:r>
        <w:rPr>
          <w:rFonts w:hint="eastAsia" w:cs="宋体"/>
          <w:sz w:val="32"/>
          <w:szCs w:val="32"/>
          <w:lang w:eastAsia="zh-CN"/>
        </w:rPr>
        <w:t>。</w:t>
      </w:r>
    </w:p>
    <w:p w14:paraId="4E9C3ED9">
      <w:pPr>
        <w:pStyle w:val="11"/>
        <w:keepNext w:val="0"/>
        <w:keepLines w:val="0"/>
        <w:pageBreakBefore w:val="0"/>
        <w:widowControl w:val="0"/>
        <w:kinsoku/>
        <w:wordWrap/>
        <w:overflowPunct/>
        <w:topLinePunct w:val="0"/>
        <w:autoSpaceDE/>
        <w:autoSpaceDN/>
        <w:bidi w:val="0"/>
        <w:adjustRightInd/>
        <w:snapToGrid/>
        <w:spacing w:before="0" w:line="360" w:lineRule="auto"/>
        <w:ind w:firstLine="640" w:firstLineChars="200"/>
        <w:jc w:val="left"/>
        <w:textAlignment w:val="auto"/>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7253B43A">
      <w:pPr>
        <w:pStyle w:val="11"/>
        <w:spacing w:before="0" w:line="360" w:lineRule="auto"/>
        <w:ind w:firstLine="640" w:firstLineChars="200"/>
        <w:rPr>
          <w:rFonts w:hint="eastAsia"/>
          <w:kern w:val="2"/>
          <w:sz w:val="32"/>
          <w:szCs w:val="32"/>
        </w:rPr>
      </w:pPr>
      <w:bookmarkStart w:id="0" w:name="_GoBack"/>
      <w:bookmarkEnd w:id="0"/>
      <w:r>
        <w:rPr>
          <w:rFonts w:hAnsi="黑体"/>
          <w:kern w:val="2"/>
          <w:sz w:val="32"/>
          <w:szCs w:val="32"/>
        </w:rPr>
        <w:t>1</w:t>
      </w:r>
      <w:r>
        <w:rPr>
          <w:rFonts w:hint="eastAsia" w:hAnsi="黑体"/>
          <w:kern w:val="2"/>
          <w:sz w:val="32"/>
          <w:szCs w:val="32"/>
        </w:rPr>
        <w:t>．一般公共服务（208）</w:t>
      </w:r>
      <w:r>
        <w:rPr>
          <w:rFonts w:hint="eastAsia"/>
          <w:kern w:val="2"/>
          <w:sz w:val="32"/>
          <w:szCs w:val="32"/>
        </w:rPr>
        <w:t>行政事业单位离退休</w:t>
      </w:r>
      <w:r>
        <w:rPr>
          <w:rFonts w:hint="eastAsia" w:hAnsi="黑体"/>
          <w:kern w:val="2"/>
          <w:sz w:val="32"/>
          <w:szCs w:val="32"/>
        </w:rPr>
        <w:t>（05）机关事业单位基本养老保险缴费支出（05）；202</w:t>
      </w:r>
      <w:r>
        <w:rPr>
          <w:rFonts w:hint="eastAsia" w:hAnsi="黑体"/>
          <w:kern w:val="2"/>
          <w:sz w:val="32"/>
          <w:szCs w:val="32"/>
          <w:lang w:val="en-US" w:eastAsia="zh-CN"/>
        </w:rPr>
        <w:t>5</w:t>
      </w:r>
      <w:r>
        <w:rPr>
          <w:rFonts w:hint="eastAsia" w:hAnsi="黑体"/>
          <w:kern w:val="2"/>
          <w:sz w:val="32"/>
          <w:szCs w:val="32"/>
        </w:rPr>
        <w:t>年预算数为</w:t>
      </w:r>
      <w:r>
        <w:rPr>
          <w:rFonts w:hint="eastAsia" w:hAnsi="黑体"/>
          <w:kern w:val="2"/>
          <w:sz w:val="32"/>
          <w:szCs w:val="32"/>
          <w:lang w:val="en-US" w:eastAsia="zh-CN"/>
        </w:rPr>
        <w:t>86.34</w:t>
      </w:r>
      <w:r>
        <w:rPr>
          <w:rFonts w:hint="eastAsia" w:hAnsi="黑体"/>
          <w:kern w:val="2"/>
          <w:sz w:val="32"/>
          <w:szCs w:val="32"/>
        </w:rPr>
        <w:t>万元，主要用于</w:t>
      </w:r>
      <w:r>
        <w:rPr>
          <w:rFonts w:hAnsi="黑体"/>
          <w:kern w:val="2"/>
          <w:sz w:val="32"/>
          <w:szCs w:val="32"/>
        </w:rPr>
        <w:t>:</w:t>
      </w:r>
      <w:r>
        <w:rPr>
          <w:rFonts w:hint="eastAsia"/>
          <w:kern w:val="2"/>
          <w:sz w:val="32"/>
          <w:szCs w:val="32"/>
        </w:rPr>
        <w:t>单位人员的养老保险。</w:t>
      </w:r>
      <w:r>
        <w:rPr>
          <w:rFonts w:hAnsi="黑体"/>
          <w:kern w:val="2"/>
          <w:sz w:val="32"/>
          <w:szCs w:val="32"/>
        </w:rPr>
        <w:br w:type="textWrapping"/>
      </w:r>
      <w:r>
        <w:rPr>
          <w:rFonts w:hint="eastAsia" w:hAnsi="黑体"/>
          <w:kern w:val="2"/>
          <w:sz w:val="32"/>
          <w:szCs w:val="32"/>
        </w:rPr>
        <w:t>　　</w:t>
      </w:r>
      <w:r>
        <w:rPr>
          <w:rFonts w:hAnsi="黑体"/>
          <w:kern w:val="2"/>
          <w:sz w:val="32"/>
          <w:szCs w:val="32"/>
        </w:rPr>
        <w:t>2</w:t>
      </w:r>
      <w:r>
        <w:rPr>
          <w:rFonts w:hint="eastAsia" w:hAnsi="黑体"/>
          <w:kern w:val="2"/>
          <w:sz w:val="32"/>
          <w:szCs w:val="32"/>
        </w:rPr>
        <w:t>．</w:t>
      </w:r>
      <w:r>
        <w:rPr>
          <w:rFonts w:hint="eastAsia"/>
          <w:kern w:val="2"/>
          <w:sz w:val="32"/>
          <w:szCs w:val="32"/>
        </w:rPr>
        <w:t>社会保障和就业支出（208）行政事业单位离退休（05）机关事业单位职业年金缴费支出（06）；</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年预算数为</w:t>
      </w:r>
      <w:r>
        <w:rPr>
          <w:rFonts w:hint="eastAsia" w:hAnsi="黑体"/>
          <w:kern w:val="2"/>
          <w:sz w:val="32"/>
          <w:szCs w:val="32"/>
          <w:lang w:val="en-US" w:eastAsia="zh-CN"/>
        </w:rPr>
        <w:t>43.17</w:t>
      </w:r>
      <w:r>
        <w:rPr>
          <w:rFonts w:hint="eastAsia" w:hAnsi="黑体"/>
          <w:kern w:val="2"/>
          <w:sz w:val="32"/>
          <w:szCs w:val="32"/>
        </w:rPr>
        <w:t>万元，主要用于</w:t>
      </w:r>
      <w:r>
        <w:rPr>
          <w:rFonts w:hAnsi="黑体"/>
          <w:kern w:val="2"/>
          <w:sz w:val="32"/>
          <w:szCs w:val="32"/>
        </w:rPr>
        <w:t>:</w:t>
      </w:r>
      <w:r>
        <w:rPr>
          <w:rFonts w:hint="eastAsia"/>
          <w:kern w:val="2"/>
          <w:sz w:val="32"/>
          <w:szCs w:val="32"/>
        </w:rPr>
        <w:t xml:space="preserve">单位人员的职业年金缴费。     </w:t>
      </w:r>
    </w:p>
    <w:p w14:paraId="64E44A50">
      <w:pPr>
        <w:pStyle w:val="11"/>
        <w:spacing w:before="0" w:line="360" w:lineRule="auto"/>
        <w:ind w:firstLine="640" w:firstLineChars="200"/>
        <w:rPr>
          <w:rFonts w:hAnsi="黑体" w:cs="Times New Roman"/>
          <w:kern w:val="2"/>
          <w:sz w:val="32"/>
          <w:szCs w:val="32"/>
        </w:rPr>
      </w:pPr>
      <w:r>
        <w:rPr>
          <w:rFonts w:hAnsi="黑体"/>
          <w:kern w:val="2"/>
          <w:sz w:val="32"/>
          <w:szCs w:val="32"/>
        </w:rPr>
        <w:t>3</w:t>
      </w:r>
      <w:r>
        <w:rPr>
          <w:rFonts w:hint="eastAsia" w:hAnsi="黑体"/>
          <w:kern w:val="2"/>
          <w:sz w:val="32"/>
          <w:szCs w:val="32"/>
        </w:rPr>
        <w:t>．</w:t>
      </w:r>
      <w:r>
        <w:rPr>
          <w:rFonts w:hint="eastAsia"/>
          <w:kern w:val="2"/>
          <w:sz w:val="32"/>
          <w:szCs w:val="32"/>
        </w:rPr>
        <w:t>卫生健康支出（210）公立医院（02）中医（民族）医院(02)；</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年预算数为</w:t>
      </w:r>
      <w:r>
        <w:rPr>
          <w:rFonts w:hint="eastAsia" w:hAnsi="黑体"/>
          <w:kern w:val="2"/>
          <w:sz w:val="32"/>
          <w:szCs w:val="32"/>
          <w:lang w:val="en-US" w:eastAsia="zh-CN"/>
        </w:rPr>
        <w:t>526.47</w:t>
      </w:r>
      <w:r>
        <w:rPr>
          <w:rFonts w:hint="eastAsia" w:hAnsi="黑体"/>
          <w:kern w:val="2"/>
          <w:sz w:val="32"/>
          <w:szCs w:val="32"/>
        </w:rPr>
        <w:t>万元，主要用于</w:t>
      </w:r>
      <w:r>
        <w:rPr>
          <w:rFonts w:hAnsi="黑体"/>
          <w:kern w:val="2"/>
          <w:sz w:val="32"/>
          <w:szCs w:val="32"/>
        </w:rPr>
        <w:t xml:space="preserve"> :</w:t>
      </w:r>
      <w:r>
        <w:rPr>
          <w:rFonts w:hint="eastAsia"/>
          <w:kern w:val="2"/>
          <w:sz w:val="32"/>
          <w:szCs w:val="32"/>
        </w:rPr>
        <w:t>单位人员工资费用。</w:t>
      </w:r>
      <w:r>
        <w:rPr>
          <w:rFonts w:hint="eastAsia" w:hAnsi="黑体"/>
          <w:kern w:val="2"/>
          <w:sz w:val="32"/>
          <w:szCs w:val="32"/>
        </w:rPr>
        <w:t>　</w:t>
      </w:r>
    </w:p>
    <w:p w14:paraId="7BB885BA">
      <w:pPr>
        <w:pStyle w:val="11"/>
        <w:spacing w:before="0" w:line="360" w:lineRule="auto"/>
        <w:ind w:firstLine="320" w:firstLineChars="100"/>
        <w:rPr>
          <w:rFonts w:hint="eastAsia" w:hAnsi="黑体"/>
          <w:kern w:val="2"/>
          <w:sz w:val="32"/>
          <w:szCs w:val="32"/>
        </w:rPr>
      </w:pPr>
      <w:r>
        <w:rPr>
          <w:rFonts w:hint="eastAsia" w:hAnsi="黑体"/>
          <w:kern w:val="2"/>
          <w:sz w:val="32"/>
          <w:szCs w:val="32"/>
        </w:rPr>
        <w:t>　</w:t>
      </w:r>
      <w:r>
        <w:rPr>
          <w:rFonts w:hAnsi="黑体"/>
          <w:kern w:val="2"/>
          <w:sz w:val="32"/>
          <w:szCs w:val="32"/>
        </w:rPr>
        <w:t>4</w:t>
      </w:r>
      <w:r>
        <w:rPr>
          <w:rFonts w:hint="eastAsia" w:hAnsi="黑体"/>
          <w:kern w:val="2"/>
          <w:sz w:val="32"/>
          <w:szCs w:val="32"/>
        </w:rPr>
        <w:t>．卫生健康支出（210）行政事业单位医疗（11）事业单位医疗（02）:202</w:t>
      </w:r>
      <w:r>
        <w:rPr>
          <w:rFonts w:hint="eastAsia" w:hAnsi="黑体"/>
          <w:kern w:val="2"/>
          <w:sz w:val="32"/>
          <w:szCs w:val="32"/>
          <w:lang w:val="en-US" w:eastAsia="zh-CN"/>
        </w:rPr>
        <w:t>5</w:t>
      </w:r>
      <w:r>
        <w:rPr>
          <w:rFonts w:hint="eastAsia" w:hAnsi="黑体"/>
          <w:kern w:val="2"/>
          <w:sz w:val="32"/>
          <w:szCs w:val="32"/>
        </w:rPr>
        <w:t>年预算数为</w:t>
      </w:r>
      <w:r>
        <w:rPr>
          <w:rFonts w:hint="eastAsia" w:hAnsi="黑体"/>
          <w:kern w:val="2"/>
          <w:sz w:val="32"/>
          <w:szCs w:val="32"/>
          <w:lang w:val="en-US" w:eastAsia="zh-CN"/>
        </w:rPr>
        <w:t>37.77</w:t>
      </w:r>
      <w:r>
        <w:rPr>
          <w:rFonts w:hint="eastAsia" w:hAnsi="黑体"/>
          <w:kern w:val="2"/>
          <w:sz w:val="32"/>
          <w:szCs w:val="32"/>
        </w:rPr>
        <w:t>万元，主要用于：事业单位人员的</w:t>
      </w:r>
      <w:r>
        <w:rPr>
          <w:rFonts w:hint="eastAsia" w:hAnsi="黑体"/>
          <w:kern w:val="2"/>
          <w:sz w:val="32"/>
          <w:szCs w:val="32"/>
          <w:lang w:val="en-US" w:eastAsia="zh-CN"/>
        </w:rPr>
        <w:t>基本医疗保险</w:t>
      </w:r>
      <w:r>
        <w:rPr>
          <w:rFonts w:hint="eastAsia" w:hAnsi="黑体"/>
          <w:kern w:val="2"/>
          <w:sz w:val="32"/>
          <w:szCs w:val="32"/>
        </w:rPr>
        <w:t>。</w:t>
      </w:r>
    </w:p>
    <w:p w14:paraId="1063D376">
      <w:pPr>
        <w:pStyle w:val="11"/>
        <w:spacing w:before="0" w:line="360" w:lineRule="auto"/>
        <w:ind w:firstLine="320" w:firstLineChars="100"/>
        <w:rPr>
          <w:rFonts w:hint="eastAsia" w:hAnsi="黑体"/>
          <w:kern w:val="2"/>
          <w:sz w:val="32"/>
          <w:szCs w:val="32"/>
        </w:rPr>
      </w:pPr>
      <w:r>
        <w:rPr>
          <w:rFonts w:hint="eastAsia" w:hAnsi="黑体"/>
          <w:kern w:val="2"/>
          <w:sz w:val="32"/>
          <w:szCs w:val="32"/>
        </w:rPr>
        <w:t>　5. 卫生健康支出（210）行政事业单位医疗（11）其他行政事业单位医疗支出（99）:202</w:t>
      </w:r>
      <w:r>
        <w:rPr>
          <w:rFonts w:hint="eastAsia" w:hAnsi="黑体"/>
          <w:kern w:val="2"/>
          <w:sz w:val="32"/>
          <w:szCs w:val="32"/>
          <w:lang w:val="en-US" w:eastAsia="zh-CN"/>
        </w:rPr>
        <w:t>5</w:t>
      </w:r>
      <w:r>
        <w:rPr>
          <w:rFonts w:hint="eastAsia" w:hAnsi="黑体"/>
          <w:kern w:val="2"/>
          <w:sz w:val="32"/>
          <w:szCs w:val="32"/>
        </w:rPr>
        <w:t>预算数为</w:t>
      </w:r>
      <w:r>
        <w:rPr>
          <w:rFonts w:hint="eastAsia" w:hAnsi="黑体"/>
          <w:kern w:val="2"/>
          <w:sz w:val="32"/>
          <w:szCs w:val="32"/>
          <w:lang w:val="en-US" w:eastAsia="zh-CN"/>
        </w:rPr>
        <w:t>8.01</w:t>
      </w:r>
      <w:r>
        <w:rPr>
          <w:rFonts w:hint="eastAsia" w:hAnsi="黑体"/>
          <w:kern w:val="2"/>
          <w:sz w:val="32"/>
          <w:szCs w:val="32"/>
        </w:rPr>
        <w:t>万元，主要用于：事业单位人员公务员医疗补助。</w:t>
      </w:r>
    </w:p>
    <w:p w14:paraId="78E7C6E2">
      <w:pPr>
        <w:pStyle w:val="11"/>
        <w:spacing w:before="0" w:line="360" w:lineRule="auto"/>
        <w:ind w:firstLine="640" w:firstLineChars="200"/>
        <w:rPr>
          <w:rFonts w:hAnsi="黑体" w:cs="Times New Roman"/>
          <w:kern w:val="2"/>
          <w:sz w:val="32"/>
          <w:szCs w:val="32"/>
        </w:rPr>
      </w:pPr>
      <w:r>
        <w:rPr>
          <w:rFonts w:hint="eastAsia" w:hAnsi="黑体"/>
          <w:kern w:val="2"/>
          <w:sz w:val="32"/>
          <w:szCs w:val="32"/>
        </w:rPr>
        <w:t xml:space="preserve">6. </w:t>
      </w:r>
      <w:r>
        <w:rPr>
          <w:rFonts w:hint="eastAsia"/>
          <w:kern w:val="2"/>
          <w:sz w:val="32"/>
          <w:szCs w:val="32"/>
        </w:rPr>
        <w:t>住房保障支出（221）住房改革支出（02）住房公积金（01）:202</w:t>
      </w:r>
      <w:r>
        <w:rPr>
          <w:rFonts w:hint="eastAsia"/>
          <w:kern w:val="2"/>
          <w:sz w:val="32"/>
          <w:szCs w:val="32"/>
          <w:lang w:val="en-US" w:eastAsia="zh-CN"/>
        </w:rPr>
        <w:t>5</w:t>
      </w:r>
      <w:r>
        <w:rPr>
          <w:rFonts w:hint="eastAsia"/>
          <w:kern w:val="2"/>
          <w:sz w:val="32"/>
          <w:szCs w:val="32"/>
        </w:rPr>
        <w:t>年预算数为</w:t>
      </w:r>
      <w:r>
        <w:rPr>
          <w:rFonts w:hint="eastAsia"/>
          <w:kern w:val="2"/>
          <w:sz w:val="32"/>
          <w:szCs w:val="32"/>
          <w:lang w:val="en-US" w:eastAsia="zh-CN"/>
        </w:rPr>
        <w:t>64.95</w:t>
      </w:r>
      <w:r>
        <w:rPr>
          <w:rFonts w:hint="eastAsia"/>
          <w:kern w:val="2"/>
          <w:sz w:val="32"/>
          <w:szCs w:val="32"/>
        </w:rPr>
        <w:t>万元，主要用于</w:t>
      </w:r>
      <w:r>
        <w:rPr>
          <w:rFonts w:hint="eastAsia"/>
          <w:kern w:val="2"/>
          <w:sz w:val="32"/>
          <w:szCs w:val="32"/>
          <w:lang w:eastAsia="zh-CN"/>
        </w:rPr>
        <w:t>：</w:t>
      </w:r>
      <w:r>
        <w:rPr>
          <w:rFonts w:hint="eastAsia"/>
          <w:kern w:val="2"/>
          <w:sz w:val="32"/>
          <w:szCs w:val="32"/>
        </w:rPr>
        <w:t>事业单位人员住房公积金。</w:t>
      </w:r>
    </w:p>
    <w:p w14:paraId="09E2298A">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496AD795">
      <w:pPr>
        <w:pStyle w:val="11"/>
        <w:spacing w:before="0" w:line="360" w:lineRule="auto"/>
        <w:ind w:firstLine="640" w:firstLineChars="200"/>
        <w:rPr>
          <w:rFonts w:cs="仿宋_GB2312"/>
          <w:kern w:val="2"/>
          <w:sz w:val="32"/>
          <w:szCs w:val="32"/>
        </w:rPr>
      </w:pPr>
      <w:r>
        <w:rPr>
          <w:rFonts w:hint="eastAsia" w:cs="仿宋_GB2312"/>
          <w:kern w:val="2"/>
          <w:sz w:val="32"/>
          <w:szCs w:val="32"/>
          <w:lang w:val="en-US" w:eastAsia="zh-CN"/>
        </w:rPr>
        <w:t>壤塘县藏医院</w:t>
      </w:r>
      <w:r>
        <w:rPr>
          <w:rFonts w:hint="eastAsia" w:cs="仿宋_GB2312"/>
          <w:kern w:val="2"/>
          <w:sz w:val="32"/>
          <w:szCs w:val="32"/>
        </w:rPr>
        <w:t>2025年一般公共预算基本支出</w:t>
      </w:r>
      <w:r>
        <w:rPr>
          <w:rFonts w:hint="eastAsia" w:cs="仿宋_GB2312"/>
          <w:kern w:val="2"/>
          <w:sz w:val="32"/>
          <w:szCs w:val="32"/>
          <w:lang w:val="en-US" w:eastAsia="zh-CN"/>
        </w:rPr>
        <w:t>765.59</w:t>
      </w:r>
      <w:r>
        <w:rPr>
          <w:rFonts w:hint="eastAsia" w:cs="仿宋_GB2312"/>
          <w:kern w:val="2"/>
          <w:sz w:val="32"/>
          <w:szCs w:val="32"/>
        </w:rPr>
        <w:t>万元，其中：人员经费</w:t>
      </w:r>
      <w:r>
        <w:rPr>
          <w:rFonts w:hint="eastAsia" w:cs="仿宋_GB2312"/>
          <w:kern w:val="2"/>
          <w:sz w:val="32"/>
          <w:szCs w:val="32"/>
          <w:lang w:val="en-US" w:eastAsia="zh-CN"/>
        </w:rPr>
        <w:t>765.59</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437BFEA7">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0</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25A22A7A">
      <w:pPr>
        <w:pStyle w:val="11"/>
        <w:spacing w:before="0" w:line="360" w:lineRule="auto"/>
        <w:ind w:firstLine="640" w:firstLineChars="200"/>
        <w:rPr>
          <w:rFonts w:cs="仿宋_GB2312"/>
          <w:kern w:val="2"/>
          <w:sz w:val="32"/>
          <w:szCs w:val="32"/>
        </w:rPr>
      </w:pPr>
      <w:r>
        <w:rPr>
          <w:rFonts w:hint="eastAsia" w:cs="仿宋_GB2312"/>
          <w:kern w:val="2"/>
          <w:sz w:val="32"/>
          <w:szCs w:val="32"/>
          <w:lang w:val="en-US" w:eastAsia="zh-CN"/>
        </w:rPr>
        <w:t>壤塘县藏医院</w:t>
      </w:r>
      <w:r>
        <w:rPr>
          <w:rFonts w:hint="eastAsia" w:cs="仿宋_GB2312"/>
          <w:kern w:val="2"/>
          <w:sz w:val="32"/>
          <w:szCs w:val="32"/>
        </w:rPr>
        <w:t>2025年“三公”经费财政拨款预算数</w:t>
      </w:r>
      <w:r>
        <w:rPr>
          <w:rFonts w:hint="eastAsia" w:cs="仿宋_GB2312"/>
          <w:kern w:val="2"/>
          <w:sz w:val="32"/>
          <w:szCs w:val="32"/>
          <w:lang w:val="en-US" w:eastAsia="zh-CN"/>
        </w:rPr>
        <w:t>0</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14:paraId="262B4961">
      <w:pPr>
        <w:pStyle w:val="11"/>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7FA8D52D">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14:paraId="0A53E413">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14:paraId="33A5067A">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3FECC779">
      <w:pPr>
        <w:pStyle w:val="11"/>
        <w:spacing w:before="0" w:line="360" w:lineRule="auto"/>
        <w:ind w:firstLine="640" w:firstLineChars="200"/>
        <w:rPr>
          <w:rFonts w:cs="仿宋_GB2312"/>
          <w:kern w:val="2"/>
          <w:sz w:val="32"/>
          <w:szCs w:val="32"/>
        </w:rPr>
      </w:pPr>
      <w:r>
        <w:rPr>
          <w:rFonts w:hint="eastAsia" w:cs="仿宋_GB2312"/>
          <w:kern w:val="2"/>
          <w:sz w:val="32"/>
          <w:szCs w:val="32"/>
          <w:lang w:val="en-US" w:eastAsia="zh-CN"/>
        </w:rPr>
        <w:t>壤塘县藏医院</w:t>
      </w:r>
      <w:r>
        <w:rPr>
          <w:rFonts w:hint="eastAsia" w:cs="仿宋_GB2312"/>
          <w:kern w:val="2"/>
          <w:sz w:val="32"/>
          <w:szCs w:val="32"/>
        </w:rPr>
        <w:t>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6BD9B4A2">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5C70B98E">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壤塘县藏医院</w:t>
      </w:r>
      <w:r>
        <w:rPr>
          <w:rFonts w:hint="eastAsia" w:cs="仿宋_GB2312"/>
          <w:kern w:val="2"/>
          <w:sz w:val="32"/>
          <w:szCs w:val="32"/>
        </w:rPr>
        <w:t>2025年机关运行经费财政拨款预算为</w:t>
      </w:r>
      <w:r>
        <w:rPr>
          <w:rFonts w:hint="eastAsia" w:cs="仿宋_GB2312"/>
          <w:kern w:val="2"/>
          <w:sz w:val="32"/>
          <w:szCs w:val="32"/>
          <w:lang w:val="en-US" w:eastAsia="zh-CN"/>
        </w:rPr>
        <w:t>0</w:t>
      </w:r>
      <w:r>
        <w:rPr>
          <w:rFonts w:hint="eastAsia" w:cs="仿宋_GB2312"/>
          <w:kern w:val="2"/>
          <w:sz w:val="32"/>
          <w:szCs w:val="32"/>
        </w:rPr>
        <w:t>万元，比2024年预算</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万元，减少</w:t>
      </w:r>
      <w:r>
        <w:rPr>
          <w:rFonts w:hint="eastAsia" w:cs="仿宋_GB2312"/>
          <w:color w:val="000000"/>
          <w:kern w:val="2"/>
          <w:sz w:val="32"/>
          <w:szCs w:val="32"/>
          <w:lang w:val="en-US" w:eastAsia="zh-CN"/>
        </w:rPr>
        <w:t>0</w:t>
      </w:r>
      <w:r>
        <w:rPr>
          <w:rFonts w:hint="eastAsia" w:cs="仿宋_GB2312"/>
          <w:color w:val="000000"/>
          <w:kern w:val="2"/>
          <w:sz w:val="32"/>
          <w:szCs w:val="32"/>
        </w:rPr>
        <w:t xml:space="preserve">%。 </w:t>
      </w:r>
    </w:p>
    <w:p w14:paraId="28746FF3">
      <w:pPr>
        <w:pStyle w:val="11"/>
        <w:spacing w:before="0" w:line="360" w:lineRule="auto"/>
        <w:ind w:firstLine="640" w:firstLineChars="200"/>
        <w:rPr>
          <w:rFonts w:hint="eastAsia" w:eastAsia="仿宋_GB2312" w:cs="仿宋_GB2312"/>
          <w:color w:val="000000"/>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05334150">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6BFE33F0">
      <w:pPr>
        <w:pStyle w:val="11"/>
        <w:spacing w:before="0" w:line="360" w:lineRule="auto"/>
        <w:ind w:firstLine="640" w:firstLineChars="200"/>
        <w:rPr>
          <w:rFonts w:cs="仿宋_GB2312"/>
          <w:kern w:val="2"/>
          <w:sz w:val="32"/>
          <w:szCs w:val="32"/>
        </w:rPr>
      </w:pPr>
      <w:r>
        <w:rPr>
          <w:rFonts w:hint="eastAsia" w:cs="仿宋_GB2312"/>
          <w:kern w:val="2"/>
          <w:sz w:val="32"/>
          <w:szCs w:val="32"/>
          <w:lang w:val="en-US" w:eastAsia="zh-CN"/>
        </w:rPr>
        <w:t>2025</w:t>
      </w:r>
      <w:r>
        <w:rPr>
          <w:rFonts w:hint="eastAsia" w:cs="仿宋_GB2312"/>
          <w:kern w:val="2"/>
          <w:sz w:val="32"/>
          <w:szCs w:val="32"/>
        </w:rPr>
        <w:t>年12月31日，我单位固定资产</w:t>
      </w:r>
      <w:r>
        <w:rPr>
          <w:rFonts w:hint="eastAsia" w:cs="仿宋_GB2312"/>
          <w:kern w:val="2"/>
          <w:sz w:val="32"/>
          <w:szCs w:val="32"/>
          <w:lang w:val="en-US" w:eastAsia="zh-CN"/>
        </w:rPr>
        <w:t>0</w:t>
      </w:r>
      <w:r>
        <w:rPr>
          <w:rFonts w:hint="eastAsia" w:cs="仿宋_GB2312"/>
          <w:kern w:val="2"/>
          <w:sz w:val="32"/>
          <w:szCs w:val="32"/>
        </w:rPr>
        <w:t>万元。</w:t>
      </w:r>
    </w:p>
    <w:p w14:paraId="1F77501C">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w:t>
      </w:r>
      <w:r>
        <w:rPr>
          <w:rFonts w:hint="eastAsia" w:cs="仿宋_GB2312"/>
          <w:kern w:val="2"/>
          <w:sz w:val="32"/>
          <w:szCs w:val="32"/>
          <w:lang w:val="en-US" w:eastAsia="zh-CN"/>
        </w:rPr>
        <w:t>壤塘县藏医院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766.71</w:t>
      </w:r>
      <w:r>
        <w:rPr>
          <w:rFonts w:hint="eastAsia" w:cs="仿宋_GB2312"/>
          <w:kern w:val="2"/>
          <w:sz w:val="32"/>
          <w:szCs w:val="32"/>
        </w:rPr>
        <w:t>万元。</w:t>
      </w:r>
    </w:p>
    <w:p w14:paraId="1E711282">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48DB883">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D5EC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854B5"/>
    <w:multiLevelType w:val="singleLevel"/>
    <w:tmpl w:val="13E854B5"/>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078768E"/>
    <w:rsid w:val="01DA409B"/>
    <w:rsid w:val="035166A0"/>
    <w:rsid w:val="056F6BA4"/>
    <w:rsid w:val="05CA2505"/>
    <w:rsid w:val="092A5A30"/>
    <w:rsid w:val="0DC01D94"/>
    <w:rsid w:val="0F140170"/>
    <w:rsid w:val="39FA13BF"/>
    <w:rsid w:val="45943BEF"/>
    <w:rsid w:val="4B6E0A3F"/>
    <w:rsid w:val="51D3784E"/>
    <w:rsid w:val="52ED493F"/>
    <w:rsid w:val="530D4FE1"/>
    <w:rsid w:val="588B228C"/>
    <w:rsid w:val="61BF394A"/>
    <w:rsid w:val="62436329"/>
    <w:rsid w:val="63AE002A"/>
    <w:rsid w:val="642D7291"/>
    <w:rsid w:val="6D9C688D"/>
    <w:rsid w:val="78EF0B61"/>
    <w:rsid w:val="7B8212F3"/>
    <w:rsid w:val="7F0D1D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List Paragraph"/>
    <w:basedOn w:val="1"/>
    <w:uiPriority w:val="0"/>
    <w:pPr>
      <w:ind w:firstLine="200" w:firstLineChars="200"/>
    </w:pPr>
  </w:style>
  <w:style w:type="paragraph" w:customStyle="1" w:styleId="11">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3442</Words>
  <Characters>3758</Characters>
  <Lines>124</Lines>
  <Paragraphs>51</Paragraphs>
  <TotalTime>4</TotalTime>
  <ScaleCrop>false</ScaleCrop>
  <LinksUpToDate>false</LinksUpToDate>
  <CharactersWithSpaces>3824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沐晴つ</cp:lastModifiedBy>
  <cp:lastPrinted>2018-01-30T09:39:00Z</cp:lastPrinted>
  <dcterms:modified xsi:type="dcterms:W3CDTF">2026-07-28T09:43:04Z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eyJoZGlkIjoiM2Y2MjgwOThiZTJhZWRmZTFkYTQ3ZTIxMjA3ZjNiYmEiLCJ1c2VySWQiOiI3NTgwODA2OTQifQ==</vt:lpwstr>
  </property>
  <property fmtid="{D5CDD505-2E9C-101B-9397-08002B2CF9AE}" pid="4" name="ICV">
    <vt:lpwstr>65680CF5664142FCBC385F67844432A1_12</vt:lpwstr>
  </property>
</Properties>
</file>