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5DC87">
      <w:pPr>
        <w:jc w:val="center"/>
        <w:rPr>
          <w:rFonts w:hint="eastAsia" w:ascii="黑体" w:hAnsi="黑体" w:eastAsia="黑体"/>
          <w:sz w:val="72"/>
          <w:szCs w:val="72"/>
        </w:rPr>
      </w:pPr>
      <w:bookmarkStart w:id="0" w:name="_Toc15378441"/>
      <w:bookmarkStart w:id="1" w:name="_Toc15377193"/>
      <w:bookmarkStart w:id="2" w:name="_Toc15377425"/>
      <w:bookmarkStart w:id="3" w:name="_Toc15396475"/>
      <w:bookmarkStart w:id="4" w:name="_Toc15396597"/>
    </w:p>
    <w:p w14:paraId="5009E071">
      <w:pPr>
        <w:jc w:val="center"/>
        <w:rPr>
          <w:rFonts w:hint="eastAsia" w:ascii="黑体" w:hAnsi="黑体" w:eastAsia="黑体"/>
          <w:sz w:val="72"/>
          <w:szCs w:val="72"/>
        </w:rPr>
      </w:pPr>
    </w:p>
    <w:p w14:paraId="389C23AB">
      <w:pPr>
        <w:jc w:val="center"/>
        <w:rPr>
          <w:rFonts w:ascii="黑体" w:hAnsi="黑体" w:eastAsia="黑体"/>
          <w:sz w:val="72"/>
          <w:szCs w:val="72"/>
        </w:rPr>
      </w:pPr>
      <w:r>
        <w:rPr>
          <w:rFonts w:ascii="黑体" w:hAnsi="黑体" w:eastAsia="黑体"/>
          <w:sz w:val="72"/>
          <w:szCs w:val="72"/>
        </w:rPr>
        <w:t>202</w:t>
      </w:r>
      <w:r>
        <w:rPr>
          <w:rFonts w:hint="eastAsia" w:ascii="黑体" w:hAnsi="黑体" w:eastAsia="黑体"/>
          <w:sz w:val="72"/>
          <w:szCs w:val="72"/>
        </w:rPr>
        <w:t>1年度</w:t>
      </w:r>
      <w:bookmarkEnd w:id="0"/>
      <w:bookmarkEnd w:id="1"/>
      <w:bookmarkEnd w:id="2"/>
      <w:bookmarkEnd w:id="3"/>
      <w:bookmarkEnd w:id="4"/>
    </w:p>
    <w:p w14:paraId="552DFFDF">
      <w:pPr>
        <w:jc w:val="center"/>
        <w:rPr>
          <w:rFonts w:ascii="方正小标宋简体" w:eastAsia="方正小标宋简体"/>
          <w:sz w:val="72"/>
          <w:szCs w:val="72"/>
        </w:rPr>
      </w:pPr>
      <w:bookmarkStart w:id="5" w:name="_Toc15396476"/>
      <w:bookmarkStart w:id="6" w:name="_Toc15377194"/>
      <w:bookmarkStart w:id="7" w:name="_Toc15378442"/>
      <w:bookmarkStart w:id="8" w:name="_Toc15396598"/>
      <w:bookmarkStart w:id="9" w:name="_Toc15377426"/>
      <w:r>
        <w:rPr>
          <w:rFonts w:hint="eastAsia" w:ascii="方正小标宋简体" w:eastAsia="方正小标宋简体"/>
          <w:sz w:val="72"/>
          <w:szCs w:val="72"/>
        </w:rPr>
        <w:t>阿坝州</w:t>
      </w:r>
      <w:bookmarkStart w:id="10" w:name="_Toc15306268"/>
      <w:r>
        <w:rPr>
          <w:rFonts w:hint="eastAsia" w:ascii="方正小标宋简体" w:eastAsia="方正小标宋简体"/>
          <w:sz w:val="72"/>
          <w:szCs w:val="72"/>
        </w:rPr>
        <w:t>壤塘县藏医院部门决算</w:t>
      </w:r>
      <w:bookmarkEnd w:id="5"/>
      <w:bookmarkEnd w:id="6"/>
      <w:bookmarkEnd w:id="7"/>
      <w:bookmarkEnd w:id="8"/>
      <w:bookmarkEnd w:id="9"/>
      <w:bookmarkEnd w:id="10"/>
    </w:p>
    <w:p w14:paraId="77794882">
      <w:pPr>
        <w:widowControl/>
        <w:jc w:val="center"/>
        <w:rPr>
          <w:rFonts w:ascii="方正小标宋简体" w:hAnsi="宋体" w:eastAsia="方正小标宋简体"/>
          <w:color w:val="000000"/>
          <w:sz w:val="36"/>
          <w:szCs w:val="36"/>
        </w:rPr>
      </w:pPr>
    </w:p>
    <w:p w14:paraId="3F6768EE">
      <w:pPr>
        <w:rPr>
          <w:rFonts w:ascii="方正小标宋简体" w:hAnsi="宋体" w:eastAsia="方正小标宋简体"/>
          <w:sz w:val="36"/>
          <w:szCs w:val="36"/>
        </w:rPr>
      </w:pPr>
    </w:p>
    <w:p w14:paraId="6A27E7ED">
      <w:pPr>
        <w:rPr>
          <w:rFonts w:ascii="方正小标宋简体" w:hAnsi="宋体" w:eastAsia="方正小标宋简体"/>
          <w:sz w:val="36"/>
          <w:szCs w:val="36"/>
        </w:rPr>
      </w:pPr>
    </w:p>
    <w:p w14:paraId="1DF03005">
      <w:pPr>
        <w:rPr>
          <w:rFonts w:ascii="方正小标宋简体" w:hAnsi="宋体" w:eastAsia="方正小标宋简体"/>
          <w:sz w:val="36"/>
          <w:szCs w:val="36"/>
        </w:rPr>
      </w:pPr>
    </w:p>
    <w:p w14:paraId="40AA2FD4">
      <w:pPr>
        <w:rPr>
          <w:rFonts w:ascii="方正小标宋简体" w:hAnsi="宋体" w:eastAsia="方正小标宋简体"/>
          <w:sz w:val="36"/>
          <w:szCs w:val="36"/>
        </w:rPr>
      </w:pPr>
    </w:p>
    <w:p w14:paraId="03E72CB8">
      <w:pPr>
        <w:rPr>
          <w:rFonts w:ascii="方正小标宋简体" w:hAnsi="宋体" w:eastAsia="方正小标宋简体"/>
          <w:sz w:val="36"/>
          <w:szCs w:val="36"/>
        </w:rPr>
      </w:pPr>
    </w:p>
    <w:p w14:paraId="4AEAA8E9">
      <w:pPr>
        <w:rPr>
          <w:rFonts w:hint="eastAsia" w:ascii="宋体" w:hAnsi="宋体" w:cs="宋体"/>
          <w:sz w:val="24"/>
        </w:rPr>
      </w:pPr>
    </w:p>
    <w:p w14:paraId="74A2DDC5">
      <w:pPr>
        <w:rPr>
          <w:rFonts w:hint="eastAsia" w:ascii="宋体" w:hAnsi="宋体" w:cs="宋体"/>
          <w:sz w:val="24"/>
        </w:rPr>
      </w:pPr>
    </w:p>
    <w:p w14:paraId="50EBCDFD">
      <w:pPr>
        <w:rPr>
          <w:rFonts w:hint="eastAsia" w:ascii="宋体" w:hAnsi="宋体" w:cs="宋体"/>
          <w:sz w:val="24"/>
        </w:rPr>
      </w:pPr>
    </w:p>
    <w:p w14:paraId="1159B2B0">
      <w:pPr>
        <w:rPr>
          <w:rFonts w:hint="eastAsia" w:ascii="宋体" w:hAnsi="宋体" w:cs="宋体"/>
          <w:sz w:val="24"/>
        </w:rPr>
      </w:pPr>
    </w:p>
    <w:p w14:paraId="32C7159D">
      <w:pPr>
        <w:rPr>
          <w:rFonts w:hint="eastAsia" w:ascii="宋体" w:hAnsi="宋体" w:cs="宋体"/>
          <w:sz w:val="24"/>
        </w:rPr>
      </w:pPr>
    </w:p>
    <w:p w14:paraId="13F25C03">
      <w:pPr>
        <w:rPr>
          <w:rFonts w:hint="eastAsia" w:ascii="宋体" w:hAnsi="宋体" w:cs="宋体"/>
          <w:sz w:val="24"/>
        </w:rPr>
      </w:pPr>
    </w:p>
    <w:p w14:paraId="6F563C69">
      <w:pPr>
        <w:rPr>
          <w:rFonts w:hint="eastAsia" w:ascii="宋体" w:hAnsi="宋体" w:cs="宋体"/>
          <w:sz w:val="24"/>
        </w:rPr>
      </w:pPr>
    </w:p>
    <w:p w14:paraId="4E5BA901">
      <w:pPr>
        <w:rPr>
          <w:rFonts w:hint="eastAsia" w:ascii="宋体" w:hAnsi="宋体" w:cs="宋体"/>
          <w:sz w:val="24"/>
        </w:rPr>
      </w:pPr>
    </w:p>
    <w:p w14:paraId="46CDF242">
      <w:pPr>
        <w:rPr>
          <w:rFonts w:hint="eastAsia" w:ascii="宋体" w:hAnsi="宋体" w:cs="宋体"/>
          <w:sz w:val="24"/>
        </w:rPr>
      </w:pPr>
    </w:p>
    <w:p w14:paraId="7D17EFFD">
      <w:pPr>
        <w:rPr>
          <w:rFonts w:hint="eastAsia" w:ascii="宋体" w:hAnsi="宋体" w:cs="宋体"/>
          <w:sz w:val="24"/>
        </w:rPr>
      </w:pPr>
    </w:p>
    <w:p w14:paraId="30BE374A">
      <w:pPr>
        <w:rPr>
          <w:rFonts w:hint="eastAsia" w:ascii="宋体" w:hAnsi="宋体" w:cs="宋体"/>
          <w:sz w:val="24"/>
        </w:rPr>
      </w:pPr>
    </w:p>
    <w:p w14:paraId="4F1C3699">
      <w:pPr>
        <w:rPr>
          <w:rFonts w:hint="eastAsia" w:ascii="宋体" w:hAnsi="宋体" w:cs="宋体"/>
          <w:sz w:val="24"/>
        </w:rPr>
      </w:pPr>
    </w:p>
    <w:p w14:paraId="503A79B6">
      <w:pPr>
        <w:rPr>
          <w:rFonts w:hint="eastAsia" w:ascii="宋体" w:hAnsi="宋体" w:cs="宋体"/>
          <w:sz w:val="24"/>
        </w:rPr>
      </w:pPr>
    </w:p>
    <w:p w14:paraId="0A07287D">
      <w:pPr>
        <w:jc w:val="center"/>
        <w:rPr>
          <w:rFonts w:ascii="方正小标宋简体" w:hAnsi="宋体" w:eastAsia="方正小标宋简体"/>
          <w:sz w:val="36"/>
          <w:szCs w:val="36"/>
        </w:rPr>
      </w:pPr>
      <w:r>
        <w:rPr>
          <w:rFonts w:hint="eastAsia" w:ascii="宋体" w:hAnsi="宋体" w:cs="宋体"/>
          <w:sz w:val="24"/>
        </w:rPr>
        <w:t>公开时间：</w:t>
      </w:r>
      <w:r>
        <w:rPr>
          <w:rFonts w:hint="eastAsia" w:hAnsiTheme="minorHAnsi"/>
          <w:sz w:val="24"/>
        </w:rPr>
        <w:t>2022</w:t>
      </w:r>
      <w:r>
        <w:rPr>
          <w:rFonts w:hint="eastAsia" w:ascii="宋体" w:hAnsi="宋体" w:cs="宋体"/>
          <w:sz w:val="24"/>
        </w:rPr>
        <w:t>年</w:t>
      </w:r>
      <w:r>
        <w:rPr>
          <w:rFonts w:hint="eastAsia" w:hAnsiTheme="minorHAnsi"/>
          <w:sz w:val="24"/>
        </w:rPr>
        <w:t>10</w:t>
      </w:r>
      <w:r>
        <w:rPr>
          <w:rFonts w:hint="eastAsia" w:ascii="宋体" w:hAnsi="宋体" w:cs="宋体"/>
          <w:sz w:val="24"/>
        </w:rPr>
        <w:t>月</w:t>
      </w:r>
      <w:r>
        <w:rPr>
          <w:rFonts w:hint="eastAsia" w:hAnsiTheme="minorHAnsi"/>
          <w:sz w:val="24"/>
        </w:rPr>
        <w:t>21</w:t>
      </w:r>
      <w:r>
        <w:rPr>
          <w:rFonts w:hint="eastAsia" w:ascii="宋体" w:hAnsi="宋体" w:cs="宋体"/>
          <w:sz w:val="24"/>
        </w:rPr>
        <w:t>日</w:t>
      </w:r>
    </w:p>
    <w:p w14:paraId="641AA7CC">
      <w:pPr>
        <w:pStyle w:val="8"/>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0FAC0437">
      <w:pPr>
        <w:pStyle w:val="8"/>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hint="eastAsia" w:ascii="黑体" w:hAnsi="黑体" w:eastAsia="黑体"/>
          <w:bCs w:val="0"/>
        </w:rPr>
        <w:t>部门概况</w:t>
      </w:r>
      <w:r>
        <w:tab/>
      </w:r>
      <w:r>
        <w:fldChar w:fldCharType="begin"/>
      </w:r>
      <w:r>
        <w:instrText xml:space="preserve"> PAGEREF _Toc14122 \h </w:instrText>
      </w:r>
      <w:r>
        <w:fldChar w:fldCharType="separate"/>
      </w:r>
      <w:r>
        <w:t>1</w:t>
      </w:r>
      <w:r>
        <w:fldChar w:fldCharType="end"/>
      </w:r>
    </w:p>
    <w:p w14:paraId="2A7DBB1C">
      <w:pPr>
        <w:pStyle w:val="9"/>
        <w:tabs>
          <w:tab w:val="right" w:leader="dot" w:pos="8306"/>
        </w:tabs>
      </w:pPr>
      <w:r>
        <w:rPr>
          <w:rFonts w:hint="eastAsia" w:ascii="黑体" w:hAnsi="黑体" w:eastAsia="黑体"/>
          <w:color w:val="000000"/>
        </w:rPr>
        <w:t>一、基</w:t>
      </w:r>
      <w:r>
        <w:rPr>
          <w:rFonts w:hint="eastAsia" w:ascii="黑体" w:hAnsi="黑体" w:eastAsia="黑体"/>
        </w:rPr>
        <w:t>本职能及主要工作</w:t>
      </w:r>
      <w:r>
        <w:tab/>
      </w:r>
      <w:r>
        <w:fldChar w:fldCharType="begin"/>
      </w:r>
      <w:r>
        <w:instrText xml:space="preserve"> PAGEREF _Toc22873 \h </w:instrText>
      </w:r>
      <w:r>
        <w:fldChar w:fldCharType="separate"/>
      </w:r>
      <w:r>
        <w:t>1</w:t>
      </w:r>
      <w:r>
        <w:fldChar w:fldCharType="end"/>
      </w:r>
    </w:p>
    <w:p w14:paraId="48FAEDCE">
      <w:pPr>
        <w:pStyle w:val="5"/>
        <w:tabs>
          <w:tab w:val="right" w:leader="dot" w:pos="8306"/>
        </w:tabs>
      </w:pPr>
      <w:r>
        <w:rPr>
          <w:rFonts w:hint="eastAsia" w:ascii="仿宋" w:hAnsi="仿宋" w:eastAsia="仿宋"/>
          <w:bCs/>
          <w:i w:val="0"/>
          <w:iCs w:val="0"/>
          <w:color w:val="000000"/>
          <w:szCs w:val="32"/>
        </w:rPr>
        <w:t>（一）主要职能</w:t>
      </w:r>
      <w:r>
        <w:tab/>
      </w:r>
      <w:r>
        <w:fldChar w:fldCharType="begin"/>
      </w:r>
      <w:r>
        <w:instrText xml:space="preserve"> PAGEREF _Toc22184 \h </w:instrText>
      </w:r>
      <w:r>
        <w:fldChar w:fldCharType="separate"/>
      </w:r>
      <w:r>
        <w:t>1</w:t>
      </w:r>
      <w:r>
        <w:fldChar w:fldCharType="end"/>
      </w:r>
    </w:p>
    <w:p w14:paraId="572E146C">
      <w:pPr>
        <w:pStyle w:val="5"/>
        <w:tabs>
          <w:tab w:val="right" w:leader="dot" w:pos="8306"/>
        </w:tabs>
      </w:pPr>
      <w:r>
        <w:rPr>
          <w:rFonts w:hint="eastAsia" w:ascii="仿宋" w:hAnsi="仿宋" w:eastAsia="仿宋"/>
          <w:bCs/>
          <w:i w:val="0"/>
          <w:iCs w:val="0"/>
          <w:color w:val="000000"/>
          <w:szCs w:val="32"/>
        </w:rPr>
        <w:t>（二）</w:t>
      </w:r>
      <w:r>
        <w:rPr>
          <w:rFonts w:ascii="仿宋" w:hAnsi="仿宋" w:eastAsia="仿宋"/>
          <w:bCs/>
          <w:i w:val="0"/>
          <w:iCs w:val="0"/>
          <w:color w:val="000000"/>
          <w:szCs w:val="32"/>
        </w:rPr>
        <w:t>202</w:t>
      </w:r>
      <w:r>
        <w:rPr>
          <w:rFonts w:hint="eastAsia" w:ascii="仿宋" w:hAnsi="仿宋" w:eastAsia="仿宋"/>
          <w:bCs/>
          <w:i w:val="0"/>
          <w:iCs w:val="0"/>
          <w:color w:val="000000"/>
          <w:szCs w:val="32"/>
        </w:rPr>
        <w:t>1年重点工作完成情况</w:t>
      </w:r>
      <w:r>
        <w:tab/>
      </w:r>
      <w:r>
        <w:fldChar w:fldCharType="begin"/>
      </w:r>
      <w:r>
        <w:instrText xml:space="preserve"> PAGEREF _Toc23703 \h </w:instrText>
      </w:r>
      <w:r>
        <w:fldChar w:fldCharType="separate"/>
      </w:r>
      <w:r>
        <w:t>2</w:t>
      </w:r>
      <w:r>
        <w:fldChar w:fldCharType="end"/>
      </w:r>
    </w:p>
    <w:p w14:paraId="1D1029CF">
      <w:pPr>
        <w:pStyle w:val="9"/>
        <w:tabs>
          <w:tab w:val="right" w:leader="dot" w:pos="8306"/>
        </w:tabs>
      </w:pPr>
      <w:r>
        <w:rPr>
          <w:rFonts w:hint="eastAsia" w:ascii="黑体" w:hAnsi="黑体" w:eastAsia="黑体"/>
          <w:color w:val="000000"/>
        </w:rPr>
        <w:t>二、机</w:t>
      </w:r>
      <w:r>
        <w:rPr>
          <w:rFonts w:hint="eastAsia"/>
          <w:color w:val="000000"/>
        </w:rPr>
        <w:t>构设置</w:t>
      </w:r>
      <w:r>
        <w:tab/>
      </w:r>
      <w:r>
        <w:fldChar w:fldCharType="begin"/>
      </w:r>
      <w:r>
        <w:instrText xml:space="preserve"> PAGEREF _Toc5348 \h </w:instrText>
      </w:r>
      <w:r>
        <w:fldChar w:fldCharType="separate"/>
      </w:r>
      <w:r>
        <w:t>3</w:t>
      </w:r>
      <w:r>
        <w:fldChar w:fldCharType="end"/>
      </w:r>
    </w:p>
    <w:p w14:paraId="6EA718F6">
      <w:pPr>
        <w:pStyle w:val="8"/>
        <w:tabs>
          <w:tab w:val="right" w:leader="dot" w:pos="8306"/>
        </w:tabs>
      </w:pPr>
      <w:r>
        <w:rPr>
          <w:rFonts w:hint="eastAsia" w:ascii="黑体" w:hAnsi="黑体" w:eastAsia="黑体"/>
          <w:color w:val="000000"/>
        </w:rPr>
        <w:t>第二部分</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_Toc674 \h </w:instrText>
      </w:r>
      <w:r>
        <w:fldChar w:fldCharType="separate"/>
      </w:r>
      <w:r>
        <w:t>4</w:t>
      </w:r>
      <w:r>
        <w:fldChar w:fldCharType="end"/>
      </w:r>
    </w:p>
    <w:p w14:paraId="02CD3A4F">
      <w:pPr>
        <w:pStyle w:val="9"/>
        <w:tabs>
          <w:tab w:val="right" w:leader="dot" w:pos="8306"/>
        </w:tabs>
      </w:pPr>
      <w:r>
        <w:rPr>
          <w:rFonts w:ascii="黑体" w:hAnsi="黑体" w:eastAsia="黑体"/>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_Toc22180 \h </w:instrText>
      </w:r>
      <w:r>
        <w:fldChar w:fldCharType="separate"/>
      </w:r>
      <w:r>
        <w:t>4</w:t>
      </w:r>
      <w:r>
        <w:fldChar w:fldCharType="end"/>
      </w:r>
    </w:p>
    <w:p w14:paraId="5E219276">
      <w:pPr>
        <w:pStyle w:val="9"/>
        <w:tabs>
          <w:tab w:val="right" w:leader="dot" w:pos="8306"/>
        </w:tabs>
      </w:pPr>
      <w:r>
        <w:rPr>
          <w:rFonts w:ascii="黑体" w:hAnsi="黑体" w:eastAsia="黑体"/>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_Toc8025 \h </w:instrText>
      </w:r>
      <w:r>
        <w:fldChar w:fldCharType="separate"/>
      </w:r>
      <w:r>
        <w:t>4</w:t>
      </w:r>
      <w:r>
        <w:fldChar w:fldCharType="end"/>
      </w:r>
    </w:p>
    <w:p w14:paraId="107EA6A1">
      <w:pPr>
        <w:pStyle w:val="9"/>
        <w:tabs>
          <w:tab w:val="right" w:leader="dot" w:pos="8306"/>
        </w:tabs>
      </w:pPr>
      <w:r>
        <w:rPr>
          <w:rFonts w:ascii="黑体" w:hAnsi="黑体" w:eastAsia="黑体"/>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_Toc25019 \h </w:instrText>
      </w:r>
      <w:r>
        <w:fldChar w:fldCharType="separate"/>
      </w:r>
      <w:r>
        <w:t>5</w:t>
      </w:r>
      <w:r>
        <w:fldChar w:fldCharType="end"/>
      </w:r>
    </w:p>
    <w:p w14:paraId="5B6E9426">
      <w:pPr>
        <w:pStyle w:val="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_Toc17670 \h </w:instrText>
      </w:r>
      <w:r>
        <w:fldChar w:fldCharType="separate"/>
      </w:r>
      <w:r>
        <w:t>5</w:t>
      </w:r>
      <w:r>
        <w:fldChar w:fldCharType="end"/>
      </w:r>
    </w:p>
    <w:p w14:paraId="71454291">
      <w:pPr>
        <w:pStyle w:val="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_Toc23551 \h </w:instrText>
      </w:r>
      <w:r>
        <w:fldChar w:fldCharType="separate"/>
      </w:r>
      <w:r>
        <w:t>6</w:t>
      </w:r>
      <w:r>
        <w:fldChar w:fldCharType="end"/>
      </w:r>
    </w:p>
    <w:p w14:paraId="5E9B46B5">
      <w:pPr>
        <w:pStyle w:val="5"/>
        <w:tabs>
          <w:tab w:val="right" w:leader="dot" w:pos="8306"/>
        </w:tabs>
        <w:rPr>
          <w:i w:val="0"/>
          <w:iCs w:val="0"/>
        </w:rPr>
      </w:pPr>
      <w:r>
        <w:rPr>
          <w:rFonts w:hint="eastAsia" w:ascii="仿宋" w:hAnsi="仿宋" w:eastAsia="仿宋"/>
          <w:i w:val="0"/>
          <w:iCs w:val="0"/>
          <w:color w:val="000000"/>
          <w:szCs w:val="32"/>
        </w:rPr>
        <w:t>（一）一般公共预算财政拨款支出决算总体情况</w:t>
      </w:r>
      <w:r>
        <w:rPr>
          <w:i w:val="0"/>
          <w:iCs w:val="0"/>
        </w:rPr>
        <w:tab/>
      </w:r>
      <w:r>
        <w:rPr>
          <w:i w:val="0"/>
          <w:iCs w:val="0"/>
        </w:rPr>
        <w:fldChar w:fldCharType="begin"/>
      </w:r>
      <w:r>
        <w:rPr>
          <w:i w:val="0"/>
          <w:iCs w:val="0"/>
        </w:rPr>
        <w:instrText xml:space="preserve"> PAGEREF _Toc21497 \h </w:instrText>
      </w:r>
      <w:r>
        <w:rPr>
          <w:i w:val="0"/>
          <w:iCs w:val="0"/>
        </w:rPr>
        <w:fldChar w:fldCharType="separate"/>
      </w:r>
      <w:r>
        <w:rPr>
          <w:i w:val="0"/>
          <w:iCs w:val="0"/>
        </w:rPr>
        <w:t>6</w:t>
      </w:r>
      <w:r>
        <w:rPr>
          <w:i w:val="0"/>
          <w:iCs w:val="0"/>
        </w:rPr>
        <w:fldChar w:fldCharType="end"/>
      </w:r>
    </w:p>
    <w:p w14:paraId="555022B8">
      <w:pPr>
        <w:pStyle w:val="5"/>
        <w:tabs>
          <w:tab w:val="right" w:leader="dot" w:pos="8306"/>
        </w:tabs>
        <w:rPr>
          <w:i w:val="0"/>
          <w:iCs w:val="0"/>
        </w:rPr>
      </w:pPr>
      <w:r>
        <w:rPr>
          <w:rFonts w:hint="eastAsia" w:ascii="仿宋" w:hAnsi="仿宋" w:eastAsia="仿宋"/>
          <w:i w:val="0"/>
          <w:iCs w:val="0"/>
          <w:color w:val="000000"/>
          <w:szCs w:val="32"/>
        </w:rPr>
        <w:t>（二）一般公共预算财政拨款支出决算结构情况</w:t>
      </w:r>
      <w:r>
        <w:rPr>
          <w:i w:val="0"/>
          <w:iCs w:val="0"/>
        </w:rPr>
        <w:tab/>
      </w:r>
      <w:r>
        <w:rPr>
          <w:i w:val="0"/>
          <w:iCs w:val="0"/>
        </w:rPr>
        <w:fldChar w:fldCharType="begin"/>
      </w:r>
      <w:r>
        <w:rPr>
          <w:i w:val="0"/>
          <w:iCs w:val="0"/>
        </w:rPr>
        <w:instrText xml:space="preserve"> PAGEREF _Toc30476 \h </w:instrText>
      </w:r>
      <w:r>
        <w:rPr>
          <w:i w:val="0"/>
          <w:iCs w:val="0"/>
        </w:rPr>
        <w:fldChar w:fldCharType="separate"/>
      </w:r>
      <w:r>
        <w:rPr>
          <w:i w:val="0"/>
          <w:iCs w:val="0"/>
        </w:rPr>
        <w:t>7</w:t>
      </w:r>
      <w:r>
        <w:rPr>
          <w:i w:val="0"/>
          <w:iCs w:val="0"/>
        </w:rPr>
        <w:fldChar w:fldCharType="end"/>
      </w:r>
    </w:p>
    <w:p w14:paraId="711C286E">
      <w:pPr>
        <w:pStyle w:val="5"/>
        <w:tabs>
          <w:tab w:val="right" w:leader="dot" w:pos="8306"/>
        </w:tabs>
      </w:pPr>
      <w:r>
        <w:rPr>
          <w:rFonts w:hint="eastAsia" w:ascii="仿宋" w:hAnsi="仿宋" w:eastAsia="仿宋"/>
          <w:i w:val="0"/>
          <w:iCs w:val="0"/>
          <w:color w:val="000000"/>
          <w:szCs w:val="32"/>
        </w:rPr>
        <w:t>（三）一般公共预算财政拨款支出决算具体情况</w:t>
      </w:r>
      <w:r>
        <w:tab/>
      </w:r>
      <w:r>
        <w:fldChar w:fldCharType="begin"/>
      </w:r>
      <w:r>
        <w:instrText xml:space="preserve"> PAGEREF _Toc26558 \h </w:instrText>
      </w:r>
      <w:r>
        <w:fldChar w:fldCharType="separate"/>
      </w:r>
      <w:r>
        <w:t>7</w:t>
      </w:r>
      <w:r>
        <w:fldChar w:fldCharType="end"/>
      </w:r>
    </w:p>
    <w:p w14:paraId="01274458">
      <w:pPr>
        <w:pStyle w:val="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_Toc22296 \h </w:instrText>
      </w:r>
      <w:r>
        <w:fldChar w:fldCharType="separate"/>
      </w:r>
      <w:r>
        <w:t>9</w:t>
      </w:r>
      <w:r>
        <w:fldChar w:fldCharType="end"/>
      </w:r>
    </w:p>
    <w:p w14:paraId="593F7608">
      <w:pPr>
        <w:pStyle w:val="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_Toc5925 \h </w:instrText>
      </w:r>
      <w:r>
        <w:fldChar w:fldCharType="separate"/>
      </w:r>
      <w:r>
        <w:t>9</w:t>
      </w:r>
      <w:r>
        <w:fldChar w:fldCharType="end"/>
      </w:r>
    </w:p>
    <w:p w14:paraId="3F4B0F65">
      <w:pPr>
        <w:pStyle w:val="5"/>
        <w:tabs>
          <w:tab w:val="right" w:leader="dot" w:pos="8306"/>
        </w:tabs>
        <w:rPr>
          <w:i w:val="0"/>
          <w:iCs w:val="0"/>
        </w:rPr>
      </w:pPr>
      <w:r>
        <w:rPr>
          <w:rFonts w:hint="eastAsia" w:ascii="仿宋" w:hAnsi="仿宋" w:eastAsia="仿宋"/>
          <w:i w:val="0"/>
          <w:iCs w:val="0"/>
          <w:color w:val="000000"/>
          <w:szCs w:val="32"/>
        </w:rPr>
        <w:t>（一）“三公”经费财政拨款支出决算总体情况说明</w:t>
      </w:r>
      <w:r>
        <w:rPr>
          <w:i w:val="0"/>
          <w:iCs w:val="0"/>
        </w:rPr>
        <w:tab/>
      </w:r>
      <w:r>
        <w:rPr>
          <w:i w:val="0"/>
          <w:iCs w:val="0"/>
        </w:rPr>
        <w:fldChar w:fldCharType="begin"/>
      </w:r>
      <w:r>
        <w:rPr>
          <w:i w:val="0"/>
          <w:iCs w:val="0"/>
        </w:rPr>
        <w:instrText xml:space="preserve"> PAGEREF _Toc30049 \h </w:instrText>
      </w:r>
      <w:r>
        <w:rPr>
          <w:i w:val="0"/>
          <w:iCs w:val="0"/>
        </w:rPr>
        <w:fldChar w:fldCharType="separate"/>
      </w:r>
      <w:r>
        <w:rPr>
          <w:i w:val="0"/>
          <w:iCs w:val="0"/>
        </w:rPr>
        <w:t>9</w:t>
      </w:r>
      <w:r>
        <w:rPr>
          <w:i w:val="0"/>
          <w:iCs w:val="0"/>
        </w:rPr>
        <w:fldChar w:fldCharType="end"/>
      </w:r>
    </w:p>
    <w:p w14:paraId="7AA2A269">
      <w:pPr>
        <w:pStyle w:val="5"/>
        <w:tabs>
          <w:tab w:val="right" w:leader="dot" w:pos="8306"/>
        </w:tabs>
      </w:pPr>
      <w:r>
        <w:rPr>
          <w:rFonts w:hint="eastAsia" w:ascii="仿宋" w:hAnsi="仿宋" w:eastAsia="仿宋"/>
          <w:i w:val="0"/>
          <w:iCs w:val="0"/>
          <w:color w:val="000000"/>
          <w:szCs w:val="32"/>
        </w:rPr>
        <w:t>（二）“三公”经费财政拨款支出决算具体情况说明</w:t>
      </w:r>
      <w:r>
        <w:tab/>
      </w:r>
      <w:r>
        <w:fldChar w:fldCharType="begin"/>
      </w:r>
      <w:r>
        <w:instrText xml:space="preserve"> PAGEREF _Toc25979 \h </w:instrText>
      </w:r>
      <w:r>
        <w:fldChar w:fldCharType="separate"/>
      </w:r>
      <w:r>
        <w:t>10</w:t>
      </w:r>
      <w:r>
        <w:fldChar w:fldCharType="end"/>
      </w:r>
    </w:p>
    <w:p w14:paraId="70B7100C">
      <w:pPr>
        <w:pStyle w:val="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_Toc755 \h </w:instrText>
      </w:r>
      <w:r>
        <w:fldChar w:fldCharType="separate"/>
      </w:r>
      <w:r>
        <w:t>10</w:t>
      </w:r>
      <w:r>
        <w:fldChar w:fldCharType="end"/>
      </w:r>
    </w:p>
    <w:p w14:paraId="1B494201">
      <w:pPr>
        <w:pStyle w:val="9"/>
        <w:tabs>
          <w:tab w:val="right" w:leader="dot" w:pos="8306"/>
        </w:tabs>
      </w:pPr>
      <w:r>
        <w:rPr>
          <w:rFonts w:hint="eastAsia" w:ascii="黑体" w:hAnsi="黑体" w:eastAsia="黑体"/>
        </w:rPr>
        <w:t>九、 国有资本经营预算支出决算情况说明</w:t>
      </w:r>
      <w:r>
        <w:tab/>
      </w:r>
      <w:r>
        <w:fldChar w:fldCharType="begin"/>
      </w:r>
      <w:r>
        <w:instrText xml:space="preserve"> PAGEREF _Toc30375 \h </w:instrText>
      </w:r>
      <w:r>
        <w:fldChar w:fldCharType="separate"/>
      </w:r>
      <w:r>
        <w:t>10</w:t>
      </w:r>
      <w:r>
        <w:fldChar w:fldCharType="end"/>
      </w:r>
    </w:p>
    <w:p w14:paraId="48F55E4D">
      <w:pPr>
        <w:pStyle w:val="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_Toc14055 \h </w:instrText>
      </w:r>
      <w:r>
        <w:fldChar w:fldCharType="separate"/>
      </w:r>
      <w:r>
        <w:t>10</w:t>
      </w:r>
      <w:r>
        <w:fldChar w:fldCharType="end"/>
      </w:r>
    </w:p>
    <w:p w14:paraId="08FF4691">
      <w:pPr>
        <w:pStyle w:val="5"/>
        <w:tabs>
          <w:tab w:val="right" w:leader="dot" w:pos="8306"/>
        </w:tabs>
        <w:rPr>
          <w:i w:val="0"/>
          <w:iCs w:val="0"/>
        </w:rPr>
      </w:pPr>
      <w:r>
        <w:rPr>
          <w:rFonts w:hint="eastAsia" w:ascii="仿宋" w:hAnsi="仿宋" w:eastAsia="仿宋"/>
          <w:i w:val="0"/>
          <w:iCs w:val="0"/>
          <w:color w:val="000000"/>
          <w:szCs w:val="32"/>
        </w:rPr>
        <w:t>（一）机关运行经费支出情况</w:t>
      </w:r>
      <w:r>
        <w:rPr>
          <w:i w:val="0"/>
          <w:iCs w:val="0"/>
        </w:rPr>
        <w:tab/>
      </w:r>
      <w:r>
        <w:rPr>
          <w:i w:val="0"/>
          <w:iCs w:val="0"/>
        </w:rPr>
        <w:fldChar w:fldCharType="begin"/>
      </w:r>
      <w:r>
        <w:rPr>
          <w:i w:val="0"/>
          <w:iCs w:val="0"/>
        </w:rPr>
        <w:instrText xml:space="preserve"> PAGEREF _Toc25860 \h </w:instrText>
      </w:r>
      <w:r>
        <w:rPr>
          <w:i w:val="0"/>
          <w:iCs w:val="0"/>
        </w:rPr>
        <w:fldChar w:fldCharType="separate"/>
      </w:r>
      <w:r>
        <w:rPr>
          <w:i w:val="0"/>
          <w:iCs w:val="0"/>
        </w:rPr>
        <w:t>10</w:t>
      </w:r>
      <w:r>
        <w:rPr>
          <w:i w:val="0"/>
          <w:iCs w:val="0"/>
        </w:rPr>
        <w:fldChar w:fldCharType="end"/>
      </w:r>
    </w:p>
    <w:p w14:paraId="440B4128">
      <w:pPr>
        <w:pStyle w:val="5"/>
        <w:tabs>
          <w:tab w:val="right" w:leader="dot" w:pos="8306"/>
        </w:tabs>
        <w:rPr>
          <w:i w:val="0"/>
          <w:iCs w:val="0"/>
        </w:rPr>
      </w:pPr>
      <w:r>
        <w:rPr>
          <w:rFonts w:hint="eastAsia" w:ascii="仿宋" w:hAnsi="仿宋" w:eastAsia="仿宋"/>
          <w:i w:val="0"/>
          <w:iCs w:val="0"/>
          <w:color w:val="000000"/>
          <w:szCs w:val="32"/>
        </w:rPr>
        <w:t>（二）政府采购支出情况</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10</w:t>
      </w:r>
      <w:r>
        <w:rPr>
          <w:i w:val="0"/>
          <w:iCs w:val="0"/>
        </w:rPr>
        <w:fldChar w:fldCharType="end"/>
      </w:r>
    </w:p>
    <w:p w14:paraId="3A692B45">
      <w:pPr>
        <w:pStyle w:val="5"/>
        <w:tabs>
          <w:tab w:val="right" w:leader="dot" w:pos="8306"/>
        </w:tabs>
        <w:rPr>
          <w:i w:val="0"/>
          <w:iCs w:val="0"/>
        </w:rPr>
      </w:pPr>
      <w:r>
        <w:rPr>
          <w:rFonts w:hint="eastAsia" w:ascii="仿宋" w:hAnsi="仿宋" w:eastAsia="仿宋"/>
          <w:i w:val="0"/>
          <w:iCs w:val="0"/>
          <w:color w:val="000000"/>
          <w:szCs w:val="32"/>
        </w:rPr>
        <w:t>（三）国有资产占有使用情况</w:t>
      </w:r>
      <w:r>
        <w:rPr>
          <w:i w:val="0"/>
          <w:iCs w:val="0"/>
        </w:rPr>
        <w:tab/>
      </w:r>
      <w:r>
        <w:rPr>
          <w:i w:val="0"/>
          <w:iCs w:val="0"/>
        </w:rPr>
        <w:fldChar w:fldCharType="begin"/>
      </w:r>
      <w:r>
        <w:rPr>
          <w:i w:val="0"/>
          <w:iCs w:val="0"/>
        </w:rPr>
        <w:instrText xml:space="preserve"> PAGEREF _Toc20270 \h </w:instrText>
      </w:r>
      <w:r>
        <w:rPr>
          <w:i w:val="0"/>
          <w:iCs w:val="0"/>
        </w:rPr>
        <w:fldChar w:fldCharType="separate"/>
      </w:r>
      <w:r>
        <w:rPr>
          <w:i w:val="0"/>
          <w:iCs w:val="0"/>
        </w:rPr>
        <w:t>10</w:t>
      </w:r>
      <w:r>
        <w:rPr>
          <w:i w:val="0"/>
          <w:iCs w:val="0"/>
        </w:rPr>
        <w:fldChar w:fldCharType="end"/>
      </w:r>
    </w:p>
    <w:p w14:paraId="30EFA4E2">
      <w:pPr>
        <w:pStyle w:val="5"/>
        <w:tabs>
          <w:tab w:val="right" w:leader="dot" w:pos="8306"/>
        </w:tabs>
      </w:pPr>
      <w:r>
        <w:rPr>
          <w:rFonts w:hint="eastAsia" w:ascii="仿宋" w:hAnsi="仿宋" w:eastAsia="仿宋"/>
          <w:i w:val="0"/>
          <w:iCs w:val="0"/>
          <w:color w:val="000000"/>
          <w:szCs w:val="32"/>
        </w:rPr>
        <w:t>（四）预算绩效管理情况。</w:t>
      </w:r>
      <w:r>
        <w:tab/>
      </w:r>
      <w:r>
        <w:fldChar w:fldCharType="begin"/>
      </w:r>
      <w:r>
        <w:instrText xml:space="preserve"> PAGEREF _Toc17954 \h </w:instrText>
      </w:r>
      <w:r>
        <w:fldChar w:fldCharType="separate"/>
      </w:r>
      <w:r>
        <w:t>11</w:t>
      </w:r>
      <w:r>
        <w:fldChar w:fldCharType="end"/>
      </w:r>
    </w:p>
    <w:p w14:paraId="40F7642B">
      <w:pPr>
        <w:pStyle w:val="8"/>
        <w:tabs>
          <w:tab w:val="right" w:leader="dot" w:pos="8306"/>
        </w:tabs>
      </w:pPr>
      <w:r>
        <w:rPr>
          <w:rFonts w:hint="eastAsia" w:ascii="黑体" w:hAnsi="黑体" w:eastAsia="黑体"/>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_Toc9504 \h </w:instrText>
      </w:r>
      <w:r>
        <w:fldChar w:fldCharType="separate"/>
      </w:r>
      <w:r>
        <w:t>14</w:t>
      </w:r>
      <w:r>
        <w:fldChar w:fldCharType="end"/>
      </w:r>
    </w:p>
    <w:p w14:paraId="73256F97">
      <w:pPr>
        <w:pStyle w:val="8"/>
        <w:tabs>
          <w:tab w:val="right" w:leader="dot" w:pos="8306"/>
        </w:tabs>
      </w:pPr>
      <w:r>
        <w:rPr>
          <w:rFonts w:hint="eastAsia" w:ascii="黑体" w:hAnsi="黑体" w:eastAsia="黑体"/>
          <w:color w:val="000000"/>
          <w:szCs w:val="44"/>
        </w:rPr>
        <w:t>第</w:t>
      </w:r>
      <w:r>
        <w:rPr>
          <w:rFonts w:hint="eastAsia" w:ascii="黑体" w:hAnsi="黑体" w:eastAsia="黑体"/>
        </w:rPr>
        <w:t>四部分附件</w:t>
      </w:r>
      <w:r>
        <w:tab/>
      </w:r>
      <w:r>
        <w:fldChar w:fldCharType="begin"/>
      </w:r>
      <w:r>
        <w:instrText xml:space="preserve"> PAGEREF _Toc22729 \h </w:instrText>
      </w:r>
      <w:r>
        <w:fldChar w:fldCharType="separate"/>
      </w:r>
      <w:r>
        <w:t>17</w:t>
      </w:r>
      <w:r>
        <w:fldChar w:fldCharType="end"/>
      </w:r>
    </w:p>
    <w:p w14:paraId="115E1804">
      <w:pPr>
        <w:pStyle w:val="8"/>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_Toc14161 \h </w:instrText>
      </w:r>
      <w:r>
        <w:fldChar w:fldCharType="separate"/>
      </w:r>
      <w:r>
        <w:t>17</w:t>
      </w:r>
      <w:r>
        <w:fldChar w:fldCharType="end"/>
      </w:r>
    </w:p>
    <w:p w14:paraId="5F8A2FDA">
      <w:pPr>
        <w:pStyle w:val="8"/>
        <w:tabs>
          <w:tab w:val="right" w:leader="dot" w:pos="8306"/>
        </w:tabs>
      </w:pPr>
      <w:r>
        <w:rPr>
          <w:rFonts w:hint="eastAsia" w:ascii="方正小标宋简体" w:hAnsi="黑体" w:eastAsia="方正小标宋简体" w:cs="黑体"/>
          <w:szCs w:val="44"/>
        </w:rPr>
        <w:t>壤塘县藏医院部门</w:t>
      </w:r>
      <w:r>
        <w:rPr>
          <w:rFonts w:ascii="方正小标宋简体" w:hAnsi="黑体" w:eastAsia="方正小标宋简体" w:cs="黑体"/>
          <w:szCs w:val="44"/>
        </w:rPr>
        <w:t>202</w:t>
      </w:r>
      <w:r>
        <w:rPr>
          <w:rFonts w:hint="eastAsia" w:ascii="方正小标宋简体" w:hAnsi="黑体" w:eastAsia="方正小标宋简体" w:cs="黑体"/>
          <w:szCs w:val="44"/>
        </w:rPr>
        <w:t>1年部门整体支出绩效评价报告</w:t>
      </w:r>
      <w:r>
        <w:tab/>
      </w:r>
      <w:r>
        <w:fldChar w:fldCharType="begin"/>
      </w:r>
      <w:r>
        <w:instrText xml:space="preserve"> PAGEREF _Toc11487 \h </w:instrText>
      </w:r>
      <w:r>
        <w:fldChar w:fldCharType="separate"/>
      </w:r>
      <w:r>
        <w:t>17</w:t>
      </w:r>
      <w:r>
        <w:fldChar w:fldCharType="end"/>
      </w:r>
    </w:p>
    <w:p w14:paraId="6121BAE2">
      <w:pPr>
        <w:pStyle w:val="8"/>
        <w:tabs>
          <w:tab w:val="right" w:leader="dot" w:pos="8306"/>
        </w:tabs>
      </w:pPr>
      <w:r>
        <w:rPr>
          <w:rFonts w:hint="eastAsia" w:ascii="黑体" w:hAnsi="黑体" w:eastAsia="黑体"/>
          <w:color w:val="000000"/>
          <w:szCs w:val="44"/>
        </w:rPr>
        <w:t>第</w:t>
      </w:r>
      <w:r>
        <w:rPr>
          <w:rFonts w:hint="eastAsia" w:ascii="黑体" w:hAnsi="黑体" w:eastAsia="黑体"/>
        </w:rPr>
        <w:t>五部分附表</w:t>
      </w:r>
      <w:r>
        <w:tab/>
      </w:r>
      <w:r>
        <w:fldChar w:fldCharType="begin"/>
      </w:r>
      <w:r>
        <w:instrText xml:space="preserve"> PAGEREF _Toc24502 \h </w:instrText>
      </w:r>
      <w:r>
        <w:fldChar w:fldCharType="separate"/>
      </w:r>
      <w:r>
        <w:t>21</w:t>
      </w:r>
      <w:r>
        <w:fldChar w:fldCharType="end"/>
      </w:r>
    </w:p>
    <w:p w14:paraId="05A9278F">
      <w:pPr>
        <w:pStyle w:val="9"/>
        <w:tabs>
          <w:tab w:val="right" w:leader="dot" w:pos="8306"/>
        </w:tabs>
      </w:pPr>
      <w:r>
        <w:rPr>
          <w:rFonts w:hint="eastAsia" w:ascii="仿宋" w:hAnsi="仿宋" w:eastAsia="仿宋"/>
          <w:color w:val="000000"/>
        </w:rPr>
        <w:t>一、收</w:t>
      </w:r>
      <w:r>
        <w:rPr>
          <w:rFonts w:hint="eastAsia" w:ascii="仿宋" w:hAnsi="仿宋" w:eastAsia="仿宋"/>
        </w:rPr>
        <w:t>入支出决算总表</w:t>
      </w:r>
      <w:r>
        <w:tab/>
      </w:r>
      <w:r>
        <w:fldChar w:fldCharType="begin"/>
      </w:r>
      <w:r>
        <w:instrText xml:space="preserve"> PAGEREF _Toc30685 \h </w:instrText>
      </w:r>
      <w:r>
        <w:fldChar w:fldCharType="separate"/>
      </w:r>
      <w:r>
        <w:t>21</w:t>
      </w:r>
      <w:r>
        <w:fldChar w:fldCharType="end"/>
      </w:r>
    </w:p>
    <w:p w14:paraId="72E9B7CB">
      <w:pPr>
        <w:pStyle w:val="9"/>
        <w:tabs>
          <w:tab w:val="right" w:leader="dot" w:pos="8306"/>
        </w:tabs>
      </w:pPr>
      <w:r>
        <w:rPr>
          <w:rFonts w:hint="eastAsia" w:ascii="仿宋" w:hAnsi="仿宋" w:eastAsia="仿宋"/>
          <w:color w:val="000000"/>
        </w:rPr>
        <w:t>二、收</w:t>
      </w:r>
      <w:r>
        <w:rPr>
          <w:rFonts w:hint="eastAsia" w:ascii="仿宋" w:hAnsi="仿宋" w:eastAsia="仿宋"/>
        </w:rPr>
        <w:t>入决算表</w:t>
      </w:r>
      <w:r>
        <w:tab/>
      </w:r>
      <w:r>
        <w:fldChar w:fldCharType="begin"/>
      </w:r>
      <w:r>
        <w:instrText xml:space="preserve"> PAGEREF _Toc7121 \h </w:instrText>
      </w:r>
      <w:r>
        <w:fldChar w:fldCharType="separate"/>
      </w:r>
      <w:r>
        <w:t>21</w:t>
      </w:r>
      <w:r>
        <w:fldChar w:fldCharType="end"/>
      </w:r>
    </w:p>
    <w:p w14:paraId="5C31C78B">
      <w:pPr>
        <w:pStyle w:val="9"/>
        <w:tabs>
          <w:tab w:val="right" w:leader="dot" w:pos="8306"/>
        </w:tabs>
      </w:pPr>
      <w:r>
        <w:rPr>
          <w:rFonts w:hint="eastAsia" w:ascii="仿宋" w:hAnsi="仿宋" w:eastAsia="仿宋"/>
        </w:rPr>
        <w:t>三、</w:t>
      </w:r>
      <w:r>
        <w:rPr>
          <w:rFonts w:hint="eastAsia" w:ascii="仿宋" w:hAnsi="仿宋" w:eastAsia="仿宋"/>
          <w:color w:val="000000"/>
        </w:rPr>
        <w:t>支</w:t>
      </w:r>
      <w:r>
        <w:rPr>
          <w:rFonts w:hint="eastAsia" w:ascii="仿宋" w:hAnsi="仿宋" w:eastAsia="仿宋"/>
        </w:rPr>
        <w:t>出决算表</w:t>
      </w:r>
      <w:r>
        <w:tab/>
      </w:r>
      <w:r>
        <w:fldChar w:fldCharType="begin"/>
      </w:r>
      <w:r>
        <w:instrText xml:space="preserve"> PAGEREF _Toc12138 \h </w:instrText>
      </w:r>
      <w:r>
        <w:fldChar w:fldCharType="separate"/>
      </w:r>
      <w:r>
        <w:t>21</w:t>
      </w:r>
      <w:r>
        <w:fldChar w:fldCharType="end"/>
      </w:r>
    </w:p>
    <w:p w14:paraId="1363620A">
      <w:pPr>
        <w:pStyle w:val="9"/>
        <w:tabs>
          <w:tab w:val="right" w:leader="dot" w:pos="8306"/>
        </w:tabs>
      </w:pPr>
      <w:r>
        <w:rPr>
          <w:rFonts w:hint="eastAsia" w:ascii="仿宋" w:hAnsi="仿宋" w:eastAsia="仿宋"/>
        </w:rPr>
        <w:t>四、</w:t>
      </w:r>
      <w:r>
        <w:rPr>
          <w:rFonts w:hint="eastAsia" w:ascii="仿宋" w:hAnsi="仿宋" w:eastAsia="仿宋"/>
          <w:color w:val="000000"/>
        </w:rPr>
        <w:t>财</w:t>
      </w:r>
      <w:r>
        <w:rPr>
          <w:rFonts w:hint="eastAsia" w:ascii="仿宋" w:hAnsi="仿宋" w:eastAsia="仿宋"/>
        </w:rPr>
        <w:t>政拨款收入支出决算总表</w:t>
      </w:r>
      <w:r>
        <w:tab/>
      </w:r>
      <w:r>
        <w:fldChar w:fldCharType="begin"/>
      </w:r>
      <w:r>
        <w:instrText xml:space="preserve"> PAGEREF _Toc26675 \h </w:instrText>
      </w:r>
      <w:r>
        <w:fldChar w:fldCharType="separate"/>
      </w:r>
      <w:r>
        <w:t>21</w:t>
      </w:r>
      <w:r>
        <w:fldChar w:fldCharType="end"/>
      </w:r>
    </w:p>
    <w:p w14:paraId="557ABC46">
      <w:pPr>
        <w:pStyle w:val="9"/>
        <w:tabs>
          <w:tab w:val="right" w:leader="dot" w:pos="8306"/>
        </w:tabs>
      </w:pPr>
      <w:r>
        <w:rPr>
          <w:rFonts w:hint="eastAsia" w:ascii="仿宋" w:hAnsi="仿宋" w:eastAsia="仿宋"/>
        </w:rPr>
        <w:t>五、</w:t>
      </w:r>
      <w:r>
        <w:rPr>
          <w:rFonts w:hint="eastAsia" w:ascii="仿宋" w:hAnsi="仿宋" w:eastAsia="仿宋"/>
          <w:color w:val="000000"/>
        </w:rPr>
        <w:t>财</w:t>
      </w:r>
      <w:r>
        <w:rPr>
          <w:rFonts w:hint="eastAsia" w:ascii="仿宋" w:hAnsi="仿宋" w:eastAsia="仿宋"/>
        </w:rPr>
        <w:t>政拨款支出决算明细表</w:t>
      </w:r>
      <w:r>
        <w:tab/>
      </w:r>
      <w:r>
        <w:fldChar w:fldCharType="begin"/>
      </w:r>
      <w:r>
        <w:instrText xml:space="preserve"> PAGEREF _Toc19787 \h </w:instrText>
      </w:r>
      <w:r>
        <w:fldChar w:fldCharType="separate"/>
      </w:r>
      <w:r>
        <w:t>21</w:t>
      </w:r>
      <w:r>
        <w:fldChar w:fldCharType="end"/>
      </w:r>
    </w:p>
    <w:p w14:paraId="1A66D039">
      <w:pPr>
        <w:pStyle w:val="9"/>
        <w:tabs>
          <w:tab w:val="right" w:leader="dot" w:pos="8306"/>
        </w:tabs>
      </w:pPr>
      <w:r>
        <w:rPr>
          <w:rFonts w:hint="eastAsia" w:ascii="仿宋" w:hAnsi="仿宋" w:eastAsia="仿宋"/>
        </w:rPr>
        <w:t>六、</w:t>
      </w:r>
      <w:r>
        <w:rPr>
          <w:rFonts w:hint="eastAsia" w:ascii="仿宋" w:hAnsi="仿宋" w:eastAsia="仿宋"/>
          <w:color w:val="000000"/>
        </w:rPr>
        <w:t>一</w:t>
      </w:r>
      <w:r>
        <w:rPr>
          <w:rFonts w:hint="eastAsia" w:ascii="仿宋" w:hAnsi="仿宋" w:eastAsia="仿宋"/>
        </w:rPr>
        <w:t>般公共预算财政拨款支出决算表</w:t>
      </w:r>
      <w:r>
        <w:tab/>
      </w:r>
      <w:r>
        <w:fldChar w:fldCharType="begin"/>
      </w:r>
      <w:r>
        <w:instrText xml:space="preserve"> PAGEREF _Toc28958 \h </w:instrText>
      </w:r>
      <w:r>
        <w:fldChar w:fldCharType="separate"/>
      </w:r>
      <w:r>
        <w:t>21</w:t>
      </w:r>
      <w:r>
        <w:fldChar w:fldCharType="end"/>
      </w:r>
    </w:p>
    <w:p w14:paraId="102CF3F6">
      <w:pPr>
        <w:pStyle w:val="9"/>
        <w:tabs>
          <w:tab w:val="right" w:leader="dot" w:pos="8306"/>
        </w:tabs>
      </w:pPr>
      <w:r>
        <w:rPr>
          <w:rFonts w:hint="eastAsia" w:ascii="仿宋" w:hAnsi="仿宋" w:eastAsia="仿宋"/>
        </w:rPr>
        <w:t>七、</w:t>
      </w:r>
      <w:r>
        <w:rPr>
          <w:rFonts w:hint="eastAsia" w:ascii="仿宋" w:hAnsi="仿宋" w:eastAsia="仿宋"/>
          <w:color w:val="000000"/>
        </w:rPr>
        <w:t>一</w:t>
      </w:r>
      <w:r>
        <w:rPr>
          <w:rFonts w:hint="eastAsia" w:ascii="仿宋" w:hAnsi="仿宋" w:eastAsia="仿宋"/>
        </w:rPr>
        <w:t>般公共预算财政拨款支出决算明细表</w:t>
      </w:r>
      <w:r>
        <w:tab/>
      </w:r>
      <w:r>
        <w:fldChar w:fldCharType="begin"/>
      </w:r>
      <w:r>
        <w:instrText xml:space="preserve"> PAGEREF _Toc18434 \h </w:instrText>
      </w:r>
      <w:r>
        <w:fldChar w:fldCharType="separate"/>
      </w:r>
      <w:r>
        <w:t>21</w:t>
      </w:r>
      <w:r>
        <w:fldChar w:fldCharType="end"/>
      </w:r>
    </w:p>
    <w:p w14:paraId="42BFB022">
      <w:pPr>
        <w:pStyle w:val="9"/>
        <w:tabs>
          <w:tab w:val="right" w:leader="dot" w:pos="8306"/>
        </w:tabs>
      </w:pPr>
      <w:r>
        <w:rPr>
          <w:rFonts w:hint="eastAsia" w:ascii="仿宋" w:hAnsi="仿宋" w:eastAsia="仿宋"/>
        </w:rPr>
        <w:t>八、</w:t>
      </w:r>
      <w:r>
        <w:rPr>
          <w:rFonts w:hint="eastAsia" w:ascii="仿宋" w:hAnsi="仿宋" w:eastAsia="仿宋"/>
          <w:color w:val="000000"/>
        </w:rPr>
        <w:t>一</w:t>
      </w:r>
      <w:r>
        <w:rPr>
          <w:rFonts w:hint="eastAsia" w:ascii="仿宋" w:hAnsi="仿宋" w:eastAsia="仿宋"/>
        </w:rPr>
        <w:t>般公共预算财政拨款基本支出决算表</w:t>
      </w:r>
      <w:r>
        <w:tab/>
      </w:r>
      <w:r>
        <w:fldChar w:fldCharType="begin"/>
      </w:r>
      <w:r>
        <w:instrText xml:space="preserve"> PAGEREF _Toc2348 \h </w:instrText>
      </w:r>
      <w:r>
        <w:fldChar w:fldCharType="separate"/>
      </w:r>
      <w:r>
        <w:t>21</w:t>
      </w:r>
      <w:r>
        <w:fldChar w:fldCharType="end"/>
      </w:r>
    </w:p>
    <w:p w14:paraId="45331650">
      <w:pPr>
        <w:pStyle w:val="9"/>
        <w:tabs>
          <w:tab w:val="right" w:leader="dot" w:pos="8306"/>
        </w:tabs>
      </w:pPr>
      <w:r>
        <w:rPr>
          <w:rFonts w:hint="eastAsia" w:ascii="仿宋" w:hAnsi="仿宋" w:eastAsia="仿宋"/>
        </w:rPr>
        <w:t>九、</w:t>
      </w:r>
      <w:r>
        <w:rPr>
          <w:rFonts w:hint="eastAsia" w:ascii="仿宋" w:hAnsi="仿宋" w:eastAsia="仿宋"/>
          <w:color w:val="000000"/>
        </w:rPr>
        <w:t>一</w:t>
      </w:r>
      <w:r>
        <w:rPr>
          <w:rFonts w:hint="eastAsia" w:ascii="仿宋" w:hAnsi="仿宋" w:eastAsia="仿宋"/>
        </w:rPr>
        <w:t>般公共预算财政拨款项目支出决算表</w:t>
      </w:r>
      <w:r>
        <w:tab/>
      </w:r>
      <w:r>
        <w:fldChar w:fldCharType="begin"/>
      </w:r>
      <w:r>
        <w:instrText xml:space="preserve"> PAGEREF _Toc3424 \h </w:instrText>
      </w:r>
      <w:r>
        <w:fldChar w:fldCharType="separate"/>
      </w:r>
      <w:r>
        <w:t>21</w:t>
      </w:r>
      <w:r>
        <w:fldChar w:fldCharType="end"/>
      </w:r>
    </w:p>
    <w:p w14:paraId="6EE2DFBC">
      <w:pPr>
        <w:pStyle w:val="9"/>
        <w:tabs>
          <w:tab w:val="right" w:leader="dot" w:pos="8306"/>
        </w:tabs>
      </w:pPr>
      <w:r>
        <w:rPr>
          <w:rFonts w:hint="eastAsia" w:ascii="仿宋" w:hAnsi="仿宋" w:eastAsia="仿宋"/>
        </w:rPr>
        <w:t>十、</w:t>
      </w:r>
      <w:r>
        <w:rPr>
          <w:rFonts w:hint="eastAsia" w:ascii="仿宋" w:hAnsi="仿宋" w:eastAsia="仿宋"/>
          <w:color w:val="000000"/>
        </w:rPr>
        <w:t>一</w:t>
      </w:r>
      <w:r>
        <w:rPr>
          <w:rFonts w:hint="eastAsia" w:ascii="仿宋" w:hAnsi="仿宋" w:eastAsia="仿宋"/>
        </w:rPr>
        <w:t>般公共预算财政拨款“三公”经费支出决算表</w:t>
      </w:r>
      <w:r>
        <w:tab/>
      </w:r>
      <w:r>
        <w:fldChar w:fldCharType="begin"/>
      </w:r>
      <w:r>
        <w:instrText xml:space="preserve"> PAGEREF _Toc7709 \h </w:instrText>
      </w:r>
      <w:r>
        <w:fldChar w:fldCharType="separate"/>
      </w:r>
      <w:r>
        <w:t>21</w:t>
      </w:r>
      <w:r>
        <w:fldChar w:fldCharType="end"/>
      </w:r>
    </w:p>
    <w:p w14:paraId="4254931A">
      <w:pPr>
        <w:pStyle w:val="9"/>
        <w:tabs>
          <w:tab w:val="right" w:leader="dot" w:pos="8306"/>
        </w:tabs>
      </w:pPr>
      <w:r>
        <w:rPr>
          <w:rFonts w:hint="eastAsia" w:ascii="仿宋" w:hAnsi="仿宋" w:eastAsia="仿宋"/>
        </w:rPr>
        <w:t>十一、</w:t>
      </w:r>
      <w:r>
        <w:rPr>
          <w:rFonts w:hint="eastAsia" w:ascii="仿宋" w:hAnsi="仿宋" w:eastAsia="仿宋"/>
          <w:color w:val="000000"/>
        </w:rPr>
        <w:t>政</w:t>
      </w:r>
      <w:r>
        <w:rPr>
          <w:rFonts w:hint="eastAsia" w:ascii="仿宋" w:hAnsi="仿宋" w:eastAsia="仿宋"/>
        </w:rPr>
        <w:t>府性基金预算财政拨款收入支出决算表</w:t>
      </w:r>
      <w:r>
        <w:tab/>
      </w:r>
      <w:r>
        <w:fldChar w:fldCharType="begin"/>
      </w:r>
      <w:r>
        <w:instrText xml:space="preserve"> PAGEREF _Toc30346 \h </w:instrText>
      </w:r>
      <w:r>
        <w:fldChar w:fldCharType="separate"/>
      </w:r>
      <w:r>
        <w:t>21</w:t>
      </w:r>
      <w:r>
        <w:fldChar w:fldCharType="end"/>
      </w:r>
    </w:p>
    <w:p w14:paraId="69B6F51E">
      <w:pPr>
        <w:pStyle w:val="9"/>
        <w:tabs>
          <w:tab w:val="right" w:leader="dot" w:pos="8306"/>
        </w:tabs>
      </w:pPr>
      <w:r>
        <w:rPr>
          <w:rFonts w:hint="eastAsia" w:ascii="仿宋" w:hAnsi="仿宋" w:eastAsia="仿宋"/>
        </w:rPr>
        <w:t>十二、</w:t>
      </w:r>
      <w:r>
        <w:rPr>
          <w:rFonts w:hint="eastAsia" w:ascii="仿宋" w:hAnsi="仿宋" w:eastAsia="仿宋"/>
          <w:color w:val="000000"/>
        </w:rPr>
        <w:t>政</w:t>
      </w:r>
      <w:r>
        <w:rPr>
          <w:rFonts w:hint="eastAsia" w:ascii="仿宋" w:hAnsi="仿宋" w:eastAsia="仿宋"/>
        </w:rPr>
        <w:t>府性基金预算财政拨款“三公”经费支出决算表</w:t>
      </w:r>
      <w:r>
        <w:tab/>
      </w:r>
      <w:r>
        <w:fldChar w:fldCharType="begin"/>
      </w:r>
      <w:r>
        <w:instrText xml:space="preserve"> PAGEREF _Toc25925 \h </w:instrText>
      </w:r>
      <w:r>
        <w:fldChar w:fldCharType="separate"/>
      </w:r>
      <w:r>
        <w:t>21</w:t>
      </w:r>
      <w:r>
        <w:fldChar w:fldCharType="end"/>
      </w:r>
    </w:p>
    <w:p w14:paraId="1FF807D6">
      <w:pPr>
        <w:pStyle w:val="9"/>
        <w:tabs>
          <w:tab w:val="right" w:leader="dot" w:pos="8306"/>
        </w:tabs>
      </w:pPr>
      <w:r>
        <w:rPr>
          <w:rFonts w:hint="eastAsia" w:ascii="仿宋" w:hAnsi="仿宋" w:eastAsia="仿宋"/>
        </w:rPr>
        <w:t>十三、</w:t>
      </w:r>
      <w:r>
        <w:rPr>
          <w:rFonts w:hint="eastAsia" w:ascii="仿宋" w:hAnsi="仿宋" w:eastAsia="仿宋"/>
          <w:color w:val="000000"/>
        </w:rPr>
        <w:t>国</w:t>
      </w:r>
      <w:r>
        <w:rPr>
          <w:rFonts w:hint="eastAsia" w:ascii="仿宋" w:hAnsi="仿宋" w:eastAsia="仿宋"/>
        </w:rPr>
        <w:t>有资本经营预算财政拨款支出决算表</w:t>
      </w:r>
      <w:r>
        <w:tab/>
      </w:r>
      <w:r>
        <w:fldChar w:fldCharType="begin"/>
      </w:r>
      <w:r>
        <w:instrText xml:space="preserve"> PAGEREF _Toc10564 \h </w:instrText>
      </w:r>
      <w:r>
        <w:fldChar w:fldCharType="separate"/>
      </w:r>
      <w:r>
        <w:t>21</w:t>
      </w:r>
      <w:r>
        <w:fldChar w:fldCharType="end"/>
      </w:r>
    </w:p>
    <w:p w14:paraId="28A5B75D">
      <w:pPr>
        <w:pStyle w:val="9"/>
        <w:tabs>
          <w:tab w:val="right" w:leader="dot" w:pos="8306"/>
        </w:tabs>
      </w:pPr>
      <w:r>
        <w:rPr>
          <w:rFonts w:hint="eastAsia" w:ascii="仿宋" w:hAnsi="仿宋" w:eastAsia="仿宋"/>
        </w:rPr>
        <w:t>十四、国有资本经营预算财政拨款支出决算表</w:t>
      </w:r>
      <w:r>
        <w:tab/>
      </w:r>
      <w:r>
        <w:fldChar w:fldCharType="begin"/>
      </w:r>
      <w:r>
        <w:instrText xml:space="preserve"> PAGEREF _Toc1065 \h </w:instrText>
      </w:r>
      <w:r>
        <w:fldChar w:fldCharType="separate"/>
      </w:r>
      <w:r>
        <w:t>21</w:t>
      </w:r>
      <w:r>
        <w:fldChar w:fldCharType="end"/>
      </w:r>
    </w:p>
    <w:p w14:paraId="072092BA">
      <w:pPr>
        <w:rPr>
          <w:rFonts w:hint="eastAsia" w:eastAsiaTheme="minorEastAsia"/>
        </w:rPr>
        <w:sectPr>
          <w:footerReference r:id="rId4" w:type="first"/>
          <w:headerReference r:id="rId3" w:type="default"/>
          <w:pgSz w:w="11906" w:h="16838"/>
          <w:pgMar w:top="1440" w:right="1800" w:bottom="1440" w:left="1800" w:header="851" w:footer="992" w:gutter="0"/>
          <w:pgNumType w:start="3"/>
          <w:cols w:space="425" w:num="1"/>
          <w:titlePg/>
          <w:docGrid w:type="lines" w:linePitch="312" w:charSpace="0"/>
        </w:sectPr>
      </w:pPr>
      <w:r>
        <w:rPr>
          <w:rFonts w:asciiTheme="minorHAnsi" w:eastAsiaTheme="minorHAnsi"/>
          <w:bCs/>
          <w:caps/>
          <w:szCs w:val="20"/>
        </w:rPr>
        <w:fldChar w:fldCharType="end"/>
      </w:r>
      <w:bookmarkStart w:id="11" w:name="_Toc15396599"/>
      <w:bookmarkStart w:id="12" w:name="_Toc15377196"/>
      <w:bookmarkStart w:id="13" w:name="_Toc79163601"/>
    </w:p>
    <w:p w14:paraId="52BAA2A1">
      <w:pPr>
        <w:widowControl/>
        <w:jc w:val="left"/>
        <w:rPr>
          <w:rFonts w:ascii="黑体" w:hAnsi="黑体" w:eastAsia="黑体"/>
          <w:bCs/>
          <w:kern w:val="44"/>
          <w:sz w:val="44"/>
          <w:szCs w:val="44"/>
        </w:rPr>
      </w:pPr>
    </w:p>
    <w:p w14:paraId="3EA2351A">
      <w:pPr>
        <w:pStyle w:val="2"/>
        <w:spacing w:before="0" w:after="0" w:line="600" w:lineRule="exact"/>
        <w:jc w:val="center"/>
        <w:rPr>
          <w:rStyle w:val="14"/>
          <w:rFonts w:ascii="黑体" w:hAnsi="黑体" w:eastAsia="黑体"/>
          <w:b/>
          <w:bCs w:val="0"/>
        </w:rPr>
      </w:pPr>
      <w:bookmarkStart w:id="14" w:name="_Toc14122"/>
      <w:r>
        <w:rPr>
          <w:rFonts w:hint="eastAsia" w:ascii="黑体" w:hAnsi="黑体" w:eastAsia="黑体"/>
          <w:b w:val="0"/>
        </w:rPr>
        <w:t>第一部分</w:t>
      </w:r>
      <w:r>
        <w:rPr>
          <w:rStyle w:val="14"/>
          <w:rFonts w:hint="eastAsia" w:ascii="黑体" w:hAnsi="黑体" w:eastAsia="黑体"/>
          <w:b w:val="0"/>
          <w:bCs w:val="0"/>
        </w:rPr>
        <w:t>部门概况</w:t>
      </w:r>
      <w:bookmarkEnd w:id="11"/>
      <w:bookmarkEnd w:id="12"/>
      <w:bookmarkEnd w:id="13"/>
      <w:bookmarkEnd w:id="14"/>
    </w:p>
    <w:p w14:paraId="4F0180C2">
      <w:pPr>
        <w:widowControl/>
        <w:jc w:val="left"/>
        <w:rPr>
          <w:rFonts w:ascii="黑体" w:eastAsia="黑体"/>
          <w:color w:val="000000"/>
          <w:sz w:val="32"/>
          <w:szCs w:val="32"/>
        </w:rPr>
      </w:pPr>
    </w:p>
    <w:p w14:paraId="6CEBEF71">
      <w:pPr>
        <w:pStyle w:val="3"/>
        <w:spacing w:before="0" w:after="0" w:line="600" w:lineRule="exact"/>
        <w:rPr>
          <w:rStyle w:val="15"/>
          <w:rFonts w:ascii="仿宋" w:hAnsi="仿宋" w:eastAsia="仿宋"/>
          <w:b w:val="0"/>
          <w:bCs w:val="0"/>
        </w:rPr>
      </w:pPr>
      <w:bookmarkStart w:id="15" w:name="_Toc79163602"/>
      <w:bookmarkStart w:id="16" w:name="_Toc15377197"/>
      <w:bookmarkStart w:id="17" w:name="_Toc22873"/>
      <w:bookmarkStart w:id="18" w:name="_Toc15396600"/>
      <w:r>
        <w:rPr>
          <w:rFonts w:hint="eastAsia" w:ascii="黑体" w:hAnsi="黑体" w:eastAsia="黑体"/>
          <w:b w:val="0"/>
          <w:color w:val="000000"/>
        </w:rPr>
        <w:t>一、基</w:t>
      </w:r>
      <w:r>
        <w:rPr>
          <w:rStyle w:val="15"/>
          <w:rFonts w:hint="eastAsia" w:ascii="黑体" w:hAnsi="黑体" w:eastAsia="黑体"/>
          <w:b w:val="0"/>
          <w:bCs w:val="0"/>
        </w:rPr>
        <w:t>本职能及主要工作</w:t>
      </w:r>
      <w:bookmarkEnd w:id="15"/>
      <w:bookmarkEnd w:id="16"/>
      <w:bookmarkEnd w:id="17"/>
      <w:bookmarkEnd w:id="18"/>
    </w:p>
    <w:p w14:paraId="3868EFAB">
      <w:pPr>
        <w:pStyle w:val="4"/>
        <w:adjustRightInd w:val="0"/>
        <w:snapToGrid w:val="0"/>
        <w:spacing w:before="93" w:line="600" w:lineRule="exact"/>
        <w:ind w:firstLine="672" w:firstLineChars="210"/>
        <w:outlineLvl w:val="2"/>
        <w:rPr>
          <w:rFonts w:ascii="仿宋" w:hAnsi="仿宋" w:eastAsia="仿宋"/>
          <w:bCs/>
          <w:color w:val="000000"/>
          <w:sz w:val="32"/>
          <w:szCs w:val="32"/>
        </w:rPr>
      </w:pPr>
      <w:bookmarkStart w:id="19" w:name="_Toc79163603"/>
      <w:bookmarkStart w:id="20" w:name="_Toc22184"/>
      <w:bookmarkStart w:id="21" w:name="_Toc15378445"/>
      <w:bookmarkStart w:id="22" w:name="_Toc15377198"/>
      <w:r>
        <w:rPr>
          <w:rFonts w:hint="eastAsia" w:ascii="仿宋" w:hAnsi="仿宋" w:eastAsia="仿宋"/>
          <w:bCs/>
          <w:color w:val="000000"/>
          <w:sz w:val="32"/>
          <w:szCs w:val="32"/>
        </w:rPr>
        <w:t>（一）主要职能</w:t>
      </w:r>
      <w:bookmarkEnd w:id="19"/>
      <w:bookmarkEnd w:id="20"/>
    </w:p>
    <w:bookmarkEnd w:id="21"/>
    <w:bookmarkEnd w:id="22"/>
    <w:p w14:paraId="21DCCF08">
      <w:pPr>
        <w:widowControl/>
        <w:spacing w:line="520" w:lineRule="exact"/>
        <w:ind w:firstLine="640" w:firstLineChars="200"/>
        <w:jc w:val="left"/>
        <w:rPr>
          <w:rFonts w:ascii="仿宋" w:hAnsi="仿宋" w:eastAsia="仿宋" w:cs="仿宋_GB2312"/>
          <w:sz w:val="32"/>
          <w:szCs w:val="32"/>
        </w:rPr>
      </w:pPr>
      <w:bookmarkStart w:id="23" w:name="_Toc15378446"/>
      <w:bookmarkStart w:id="24" w:name="_Toc79163604"/>
      <w:bookmarkStart w:id="25" w:name="_Toc15377199"/>
      <w:r>
        <w:rPr>
          <w:rFonts w:hint="eastAsia" w:ascii="仿宋" w:hAnsi="仿宋" w:eastAsia="仿宋" w:cs="仿宋_GB2312"/>
          <w:sz w:val="32"/>
          <w:szCs w:val="32"/>
        </w:rPr>
        <w:t>1、为人民群众提供中藏</w:t>
      </w:r>
      <w:r>
        <w:rPr>
          <w:rFonts w:hint="eastAsia" w:ascii="仿宋" w:hAnsi="仿宋" w:eastAsia="仿宋" w:cs="仿宋_GB2312"/>
          <w:sz w:val="32"/>
          <w:szCs w:val="32"/>
          <w:lang w:eastAsia="zh-CN"/>
        </w:rPr>
        <w:t>医</w:t>
      </w:r>
      <w:r>
        <w:rPr>
          <w:rFonts w:hint="eastAsia" w:ascii="仿宋" w:hAnsi="仿宋" w:eastAsia="仿宋" w:cs="仿宋_GB2312"/>
          <w:sz w:val="32"/>
          <w:szCs w:val="32"/>
        </w:rPr>
        <w:t>西医医疗、预防、保健、计划生育、康复等医疗卫生服务。</w:t>
      </w:r>
    </w:p>
    <w:p w14:paraId="51C962FB">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443C1227">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3、确保全县人民中藏西医疗健康需求，建立与地方经济发展相适应的中藏西医结合医疗环境。加强中医医院标准化管理。</w:t>
      </w:r>
    </w:p>
    <w:p w14:paraId="62D8C207">
      <w:pPr>
        <w:widowControl/>
        <w:spacing w:line="52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4、贯彻落实国家基本药物制度和药品集中采购工作，执行医用耗材集中采购工作；负责医院内部的药品和医疗器械管理工作。</w:t>
      </w:r>
    </w:p>
    <w:p w14:paraId="34C59D6D">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s="仿宋_GB2312"/>
          <w:sz w:val="32"/>
          <w:szCs w:val="32"/>
        </w:rPr>
      </w:pPr>
      <w:r>
        <w:rPr>
          <w:rFonts w:hint="eastAsia" w:ascii="仿宋" w:hAnsi="仿宋" w:eastAsia="仿宋" w:cs="仿宋_GB2312"/>
          <w:sz w:val="32"/>
          <w:szCs w:val="32"/>
        </w:rPr>
        <w:t> 5、承担意外灾害事故、疫情等突发公共卫生事件的医疗急救及社区预防、保健和康复医疗服务工作，开展各种医疗保健卫生知识宣传普及。</w:t>
      </w:r>
    </w:p>
    <w:p w14:paraId="1526AC95">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s="仿宋_GB2312"/>
          <w:sz w:val="32"/>
          <w:szCs w:val="32"/>
        </w:rPr>
      </w:pPr>
      <w:r>
        <w:rPr>
          <w:rFonts w:hint="eastAsia" w:ascii="仿宋" w:hAnsi="仿宋" w:eastAsia="仿宋" w:cs="仿宋_GB2312"/>
          <w:sz w:val="32"/>
          <w:szCs w:val="32"/>
        </w:rPr>
        <w:t>6、充分发挥中医药在国家基本公共卫生服务中的优势和作用，负责全县基本公共卫生服务中医药健康管理项目的实施和日常管理。</w:t>
      </w:r>
    </w:p>
    <w:p w14:paraId="0FF93298">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s="仿宋_GB2312"/>
          <w:sz w:val="32"/>
          <w:szCs w:val="32"/>
        </w:rPr>
      </w:pPr>
      <w:r>
        <w:rPr>
          <w:rFonts w:hint="eastAsia" w:ascii="仿宋" w:hAnsi="仿宋" w:eastAsia="仿宋" w:cs="仿宋_GB2312"/>
          <w:sz w:val="32"/>
          <w:szCs w:val="32"/>
        </w:rPr>
        <w:t>7、组织实施中藏西医药科学研究，推进医学科技成果转化和推广应用；承担中藏医药人才培养，中医药继续医学教育工作。</w:t>
      </w:r>
    </w:p>
    <w:p w14:paraId="4EB88378">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sz w:val="32"/>
          <w:szCs w:val="32"/>
        </w:rPr>
        <w:t>8、</w:t>
      </w:r>
      <w:r>
        <w:rPr>
          <w:rFonts w:hint="eastAsia" w:ascii="仿宋" w:hAnsi="仿宋" w:eastAsia="仿宋" w:cs="仿宋_GB2312"/>
          <w:color w:val="000000" w:themeColor="text1"/>
          <w:sz w:val="32"/>
          <w:szCs w:val="32"/>
          <w14:textFill>
            <w14:solidFill>
              <w14:schemeClr w14:val="tx1"/>
            </w14:solidFill>
          </w14:textFill>
        </w:rPr>
        <w:t>做好城镇居民基本医疗保险和定点医疗机构的各项工作。</w:t>
      </w:r>
    </w:p>
    <w:p w14:paraId="2D182B6D">
      <w:pPr>
        <w:pStyle w:val="4"/>
        <w:adjustRightInd w:val="0"/>
        <w:snapToGrid w:val="0"/>
        <w:spacing w:before="93" w:line="600" w:lineRule="exact"/>
        <w:ind w:firstLine="640" w:firstLineChars="200"/>
        <w:outlineLvl w:val="2"/>
        <w:rPr>
          <w:rFonts w:ascii="仿宋" w:hAnsi="仿宋" w:eastAsia="仿宋"/>
          <w:bCs/>
          <w:color w:val="000000"/>
          <w:sz w:val="32"/>
          <w:szCs w:val="32"/>
        </w:rPr>
      </w:pPr>
      <w:bookmarkStart w:id="26" w:name="_Toc23703"/>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3"/>
      <w:bookmarkEnd w:id="24"/>
      <w:bookmarkEnd w:id="25"/>
      <w:bookmarkEnd w:id="26"/>
    </w:p>
    <w:p w14:paraId="424CE492">
      <w:pPr>
        <w:ind w:firstLine="640" w:firstLineChars="200"/>
        <w:rPr>
          <w:rFonts w:ascii="仿宋" w:hAnsi="仿宋" w:eastAsia="仿宋" w:cs="仿宋"/>
          <w:sz w:val="32"/>
          <w:szCs w:val="32"/>
        </w:rPr>
      </w:pPr>
      <w:r>
        <w:rPr>
          <w:rFonts w:hint="eastAsia" w:ascii="仿宋" w:hAnsi="仿宋" w:eastAsia="仿宋" w:cs="仿宋"/>
          <w:sz w:val="32"/>
          <w:szCs w:val="32"/>
        </w:rPr>
        <w:t>1、始终坚持狠抓业务，提升医疗质量，</w:t>
      </w:r>
      <w:r>
        <w:rPr>
          <w:rFonts w:ascii="仿宋" w:hAnsi="仿宋" w:eastAsia="仿宋" w:cs="仿宋"/>
          <w:sz w:val="32"/>
          <w:szCs w:val="32"/>
        </w:rPr>
        <w:t>2021</w:t>
      </w:r>
      <w:r>
        <w:rPr>
          <w:rFonts w:hint="eastAsia" w:ascii="仿宋" w:hAnsi="仿宋" w:eastAsia="仿宋" w:cs="仿宋"/>
          <w:sz w:val="32"/>
          <w:szCs w:val="32"/>
        </w:rPr>
        <w:t>年全年我院门诊病人11751人次，其中：藏医门诊量9541余人次，占门诊总量的81.2%，中医门诊,1531余人次，占门诊总量的13.0%，西医门诊病人679人，占门诊总量的5.8%；住院病人566人次,患者平均住院天数7.1天。外治科治疗患者共3597人，其中：藏药浴约317余人次、针灸701人次、推拿按摩245人次</w:t>
      </w:r>
      <w:r>
        <w:rPr>
          <w:rFonts w:ascii="Calibri" w:hAnsi="Calibri" w:eastAsia="仿宋" w:cs="Calibri"/>
          <w:sz w:val="32"/>
          <w:szCs w:val="32"/>
        </w:rPr>
        <w:t> </w:t>
      </w:r>
      <w:r>
        <w:rPr>
          <w:rFonts w:hint="eastAsia" w:ascii="仿宋" w:hAnsi="仿宋" w:eastAsia="仿宋" w:cs="仿宋"/>
          <w:sz w:val="32"/>
          <w:szCs w:val="32"/>
        </w:rPr>
        <w:t>、康复理疗2101人次、大骨节病治疗233人次。</w:t>
      </w:r>
    </w:p>
    <w:p w14:paraId="5909AA30">
      <w:pPr>
        <w:ind w:firstLine="640" w:firstLineChars="200"/>
        <w:rPr>
          <w:rFonts w:ascii="仿宋" w:hAnsi="仿宋" w:eastAsia="仿宋" w:cs="仿宋"/>
          <w:sz w:val="32"/>
          <w:szCs w:val="32"/>
        </w:rPr>
      </w:pPr>
      <w:r>
        <w:rPr>
          <w:rFonts w:hint="eastAsia" w:ascii="仿宋" w:hAnsi="仿宋" w:eastAsia="仿宋" w:cs="仿宋"/>
          <w:color w:val="333333"/>
          <w:sz w:val="32"/>
          <w:szCs w:val="32"/>
          <w:shd w:val="clear" w:color="auto" w:fill="FFFFFF"/>
        </w:rPr>
        <w:t>2、</w:t>
      </w:r>
      <w:r>
        <w:rPr>
          <w:rFonts w:hint="eastAsia" w:ascii="仿宋_GB2312" w:hAnsi="仿宋_GB2312" w:eastAsia="仿宋_GB2312" w:cs="仿宋_GB2312"/>
          <w:sz w:val="32"/>
          <w:szCs w:val="32"/>
        </w:rPr>
        <w:t>HIV检测534人次、</w:t>
      </w:r>
      <w:r>
        <w:rPr>
          <w:rFonts w:hint="eastAsia" w:ascii="仿宋_GB2312" w:hAnsi="微软雅黑" w:eastAsia="仿宋_GB2312" w:cs="宋体"/>
          <w:color w:val="000000"/>
          <w:kern w:val="0"/>
          <w:sz w:val="32"/>
          <w:szCs w:val="32"/>
        </w:rPr>
        <w:t>从业人员健康检查520人，</w:t>
      </w:r>
      <w:r>
        <w:rPr>
          <w:rFonts w:hint="eastAsia" w:ascii="仿宋_GB2312" w:hAnsi="仿宋_GB2312" w:eastAsia="仿宋_GB2312" w:cs="仿宋_GB2312"/>
          <w:sz w:val="32"/>
          <w:szCs w:val="32"/>
        </w:rPr>
        <w:t>健康咨询212余人次，发放免费药品约1万余元，发放健康宣传册146余份。</w:t>
      </w:r>
    </w:p>
    <w:p w14:paraId="7C638C51">
      <w:pPr>
        <w:spacing w:line="560" w:lineRule="exact"/>
        <w:ind w:firstLine="640" w:firstLineChars="200"/>
        <w:rPr>
          <w:rFonts w:hint="eastAsia" w:ascii="仿宋_GB2312" w:hAnsi="仿宋_GB2312" w:eastAsia="仿宋_GB2312" w:cs="仿宋_GB2312"/>
          <w:color w:val="333333"/>
          <w:sz w:val="32"/>
          <w:szCs w:val="32"/>
        </w:rPr>
      </w:pPr>
      <w:r>
        <w:rPr>
          <w:rFonts w:hint="eastAsia" w:ascii="仿宋" w:hAnsi="仿宋" w:eastAsia="仿宋" w:cs="仿宋"/>
          <w:sz w:val="32"/>
          <w:szCs w:val="32"/>
        </w:rPr>
        <w:t>3、持续开展义诊巡诊工作，</w:t>
      </w:r>
      <w:r>
        <w:rPr>
          <w:rFonts w:hint="eastAsia" w:ascii="仿宋" w:hAnsi="仿宋" w:eastAsia="仿宋" w:cs="仿宋"/>
          <w:color w:val="333333"/>
          <w:sz w:val="32"/>
          <w:szCs w:val="32"/>
          <w:shd w:val="clear" w:color="auto" w:fill="FFFFFF"/>
        </w:rPr>
        <w:t>2021年度</w:t>
      </w:r>
      <w:r>
        <w:rPr>
          <w:rFonts w:hint="eastAsia" w:ascii="仿宋_GB2312" w:hAnsi="仿宋_GB2312" w:eastAsia="仿宋_GB2312" w:cs="仿宋_GB2312"/>
          <w:color w:val="333333"/>
          <w:sz w:val="32"/>
          <w:szCs w:val="32"/>
        </w:rPr>
        <w:t>我院前后组织专家到全县12个乡镇覆盖开展义诊义诊活动，全年共义诊1560人次，健康咨询401余人次，发放免费药品1万余元。</w:t>
      </w:r>
      <w:bookmarkStart w:id="27" w:name="_Toc79163605"/>
      <w:bookmarkStart w:id="28" w:name="_Toc15377200"/>
      <w:bookmarkStart w:id="29" w:name="_Toc15396601"/>
      <w:bookmarkStart w:id="30" w:name="_Toc5348"/>
    </w:p>
    <w:p w14:paraId="5FAAD075">
      <w:pPr>
        <w:spacing w:line="560" w:lineRule="exact"/>
        <w:ind w:firstLine="640" w:firstLineChars="200"/>
        <w:rPr>
          <w:rFonts w:hint="eastAsia" w:ascii="黑体" w:hAnsi="黑体" w:eastAsia="黑体" w:cs="Times New Roman"/>
          <w:b w:val="0"/>
          <w:bCs/>
          <w:color w:val="000000"/>
          <w:kern w:val="2"/>
          <w:sz w:val="32"/>
          <w:szCs w:val="32"/>
          <w:lang w:val="en-US" w:eastAsia="zh-CN" w:bidi="ar-SA"/>
        </w:rPr>
      </w:pPr>
      <w:r>
        <w:rPr>
          <w:rFonts w:hint="eastAsia" w:ascii="黑体" w:hAnsi="黑体" w:eastAsia="黑体" w:cs="Times New Roman"/>
          <w:b w:val="0"/>
          <w:bCs/>
          <w:color w:val="000000"/>
          <w:kern w:val="2"/>
          <w:sz w:val="32"/>
          <w:szCs w:val="32"/>
          <w:lang w:val="en-US" w:eastAsia="zh-CN" w:bidi="ar-SA"/>
        </w:rPr>
        <w:t>二、机构设置</w:t>
      </w:r>
      <w:bookmarkEnd w:id="27"/>
      <w:bookmarkEnd w:id="28"/>
      <w:bookmarkEnd w:id="29"/>
      <w:bookmarkEnd w:id="30"/>
    </w:p>
    <w:p w14:paraId="0659FFDA">
      <w:pPr>
        <w:spacing w:line="560" w:lineRule="exact"/>
        <w:ind w:firstLine="640" w:firstLineChars="200"/>
        <w:rPr>
          <w:rFonts w:ascii="仿宋" w:hAnsi="仿宋" w:eastAsia="仿宋"/>
          <w:b/>
          <w:color w:val="000000"/>
          <w:sz w:val="32"/>
          <w:szCs w:val="32"/>
          <w14:textFill>
            <w14:gradFill>
              <w14:gsLst>
                <w14:gs w14:pos="0">
                  <w14:srgbClr w14:val="E30000"/>
                </w14:gs>
                <w14:gs w14:pos="100000">
                  <w14:srgbClr w14:val="760303"/>
                </w14:gs>
              </w14:gsLst>
              <w14:lin w14:ang="0" w14:scaled="0"/>
            </w14:gradFill>
          </w14:textFill>
        </w:rPr>
      </w:pPr>
      <w:r>
        <w:rPr>
          <w:rFonts w:hint="eastAsia" w:ascii="仿宋_GB2312" w:hAnsi="宋体" w:eastAsia="仿宋_GB2312" w:cs="宋体"/>
          <w:kern w:val="0"/>
          <w:sz w:val="32"/>
          <w:szCs w:val="32"/>
        </w:rPr>
        <w:t>壤塘县藏医院成立于2010年10月，机构性质：事业机构，机构级别：属县</w:t>
      </w:r>
      <w:r>
        <w:rPr>
          <w:rFonts w:hint="eastAsia" w:ascii="仿宋_GB2312" w:hAnsi="宋体" w:eastAsia="仿宋_GB2312" w:cs="宋体"/>
          <w:color w:val="000000" w:themeColor="text1"/>
          <w:kern w:val="0"/>
          <w:sz w:val="32"/>
          <w:szCs w:val="32"/>
          <w14:textFill>
            <w14:solidFill>
              <w14:schemeClr w14:val="tx1"/>
            </w14:solidFill>
          </w14:textFill>
        </w:rPr>
        <w:t>卫生健康局下属二级预算单位，组织机构代码证号：12513230660277363B。</w:t>
      </w:r>
    </w:p>
    <w:p w14:paraId="06940325">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33D3B610">
      <w:pPr>
        <w:pStyle w:val="2"/>
        <w:spacing w:before="0" w:after="0" w:line="600" w:lineRule="exact"/>
        <w:jc w:val="right"/>
        <w:rPr>
          <w:rStyle w:val="14"/>
          <w:rFonts w:ascii="黑体" w:hAnsi="黑体" w:eastAsia="黑体"/>
          <w:b w:val="0"/>
          <w:bCs w:val="0"/>
        </w:rPr>
      </w:pPr>
      <w:bookmarkStart w:id="31" w:name="_Toc79163609"/>
      <w:bookmarkStart w:id="32" w:name="_Toc674"/>
      <w:bookmarkStart w:id="33" w:name="_Toc15396602"/>
      <w:bookmarkStart w:id="34" w:name="_Toc15377204"/>
      <w:r>
        <w:rPr>
          <w:rFonts w:hint="eastAsia" w:ascii="黑体" w:hAnsi="黑体" w:eastAsia="黑体"/>
          <w:b w:val="0"/>
          <w:color w:val="000000"/>
        </w:rPr>
        <w:t>第二部分</w:t>
      </w:r>
      <w:r>
        <w:rPr>
          <w:rStyle w:val="14"/>
          <w:rFonts w:ascii="黑体" w:hAnsi="黑体" w:eastAsia="黑体"/>
          <w:b w:val="0"/>
          <w:bCs w:val="0"/>
        </w:rPr>
        <w:t>202</w:t>
      </w:r>
      <w:r>
        <w:rPr>
          <w:rStyle w:val="14"/>
          <w:rFonts w:hint="eastAsia" w:ascii="黑体" w:hAnsi="黑体" w:eastAsia="黑体"/>
          <w:b w:val="0"/>
          <w:bCs w:val="0"/>
        </w:rPr>
        <w:t>1年度部门决算情况说明</w:t>
      </w:r>
      <w:bookmarkEnd w:id="31"/>
      <w:bookmarkEnd w:id="32"/>
      <w:bookmarkEnd w:id="33"/>
      <w:bookmarkEnd w:id="34"/>
    </w:p>
    <w:p w14:paraId="18F9F49C">
      <w:pPr>
        <w:spacing w:line="600" w:lineRule="exact"/>
      </w:pPr>
    </w:p>
    <w:p w14:paraId="0EE3EDD4">
      <w:pPr>
        <w:pStyle w:val="16"/>
        <w:spacing w:line="600" w:lineRule="exact"/>
        <w:ind w:left="640" w:firstLine="0" w:firstLineChars="0"/>
        <w:outlineLvl w:val="1"/>
        <w:rPr>
          <w:rStyle w:val="15"/>
          <w:rFonts w:ascii="黑体" w:hAnsi="黑体" w:eastAsia="黑体"/>
          <w:b w:val="0"/>
        </w:rPr>
      </w:pPr>
      <w:bookmarkStart w:id="35" w:name="_Toc79163610"/>
      <w:bookmarkStart w:id="36" w:name="_Toc15396603"/>
      <w:bookmarkStart w:id="37" w:name="_Toc22180"/>
      <w:bookmarkStart w:id="38" w:name="_Toc15377205"/>
      <w:r>
        <w:rPr>
          <w:rFonts w:hint="eastAsia" w:ascii="黑体" w:hAnsi="黑体" w:eastAsia="黑体"/>
          <w:color w:val="000000"/>
          <w:sz w:val="32"/>
          <w:szCs w:val="32"/>
        </w:rPr>
        <w:t>一、收</w:t>
      </w:r>
      <w:r>
        <w:rPr>
          <w:rStyle w:val="15"/>
          <w:rFonts w:hint="eastAsia" w:ascii="黑体" w:hAnsi="黑体" w:eastAsia="黑体"/>
          <w:b w:val="0"/>
        </w:rPr>
        <w:t>入支出决算总体情况说明</w:t>
      </w:r>
      <w:bookmarkEnd w:id="35"/>
      <w:bookmarkEnd w:id="36"/>
      <w:bookmarkEnd w:id="37"/>
      <w:bookmarkEnd w:id="38"/>
    </w:p>
    <w:p w14:paraId="105D5535">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1年度收、支总计</w:t>
      </w:r>
      <w:r>
        <w:rPr>
          <w:rFonts w:ascii="仿宋" w:hAnsi="仿宋" w:eastAsia="仿宋"/>
          <w:color w:val="000000"/>
          <w:sz w:val="32"/>
          <w:szCs w:val="32"/>
        </w:rPr>
        <w:t>1516.95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20年相比，收、支总计各减少</w:t>
      </w:r>
      <w:r>
        <w:rPr>
          <w:rFonts w:ascii="仿宋" w:hAnsi="仿宋" w:eastAsia="仿宋"/>
          <w:color w:val="000000"/>
          <w:sz w:val="32"/>
          <w:szCs w:val="32"/>
        </w:rPr>
        <w:t>63.19</w:t>
      </w:r>
      <w:r>
        <w:rPr>
          <w:rFonts w:hint="eastAsia" w:ascii="仿宋" w:hAnsi="仿宋" w:eastAsia="仿宋"/>
          <w:color w:val="000000"/>
          <w:sz w:val="32"/>
          <w:szCs w:val="32"/>
        </w:rPr>
        <w:t>万元，下降</w:t>
      </w:r>
      <w:r>
        <w:rPr>
          <w:rFonts w:ascii="仿宋" w:hAnsi="仿宋" w:eastAsia="仿宋"/>
          <w:color w:val="000000"/>
          <w:sz w:val="32"/>
          <w:szCs w:val="32"/>
        </w:rPr>
        <w:t>4.00%</w:t>
      </w:r>
      <w:r>
        <w:rPr>
          <w:rFonts w:hint="eastAsia" w:ascii="仿宋" w:hAnsi="仿宋" w:eastAsia="仿宋"/>
          <w:color w:val="000000"/>
          <w:sz w:val="32"/>
          <w:szCs w:val="32"/>
        </w:rPr>
        <w:t>。主要变动原因是2</w:t>
      </w:r>
      <w:r>
        <w:rPr>
          <w:rFonts w:ascii="仿宋" w:hAnsi="仿宋" w:eastAsia="仿宋"/>
          <w:color w:val="000000"/>
          <w:sz w:val="32"/>
          <w:szCs w:val="32"/>
        </w:rPr>
        <w:t>021</w:t>
      </w:r>
      <w:r>
        <w:rPr>
          <w:rFonts w:hint="eastAsia" w:ascii="仿宋" w:hAnsi="仿宋" w:eastAsia="仿宋"/>
          <w:color w:val="000000"/>
          <w:sz w:val="32"/>
          <w:szCs w:val="32"/>
        </w:rPr>
        <w:t>年事业收入减少，总体收支减少。</w:t>
      </w:r>
    </w:p>
    <w:p w14:paraId="25FB562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10795</wp:posOffset>
            </wp:positionV>
            <wp:extent cx="5274310" cy="3076575"/>
            <wp:effectExtent l="5080" t="4445" r="16510" b="508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2CE01C8">
      <w:pPr>
        <w:spacing w:line="600" w:lineRule="exact"/>
        <w:ind w:firstLine="640" w:firstLineChars="200"/>
        <w:rPr>
          <w:rFonts w:ascii="仿宋" w:hAnsi="仿宋" w:eastAsia="仿宋"/>
          <w:color w:val="000000"/>
          <w:sz w:val="32"/>
          <w:szCs w:val="32"/>
        </w:rPr>
      </w:pPr>
    </w:p>
    <w:p w14:paraId="634E774F">
      <w:pPr>
        <w:spacing w:line="600" w:lineRule="exact"/>
        <w:ind w:firstLine="640" w:firstLineChars="200"/>
        <w:rPr>
          <w:rFonts w:ascii="仿宋" w:hAnsi="仿宋" w:eastAsia="仿宋"/>
          <w:color w:val="000000"/>
          <w:sz w:val="32"/>
          <w:szCs w:val="32"/>
        </w:rPr>
      </w:pPr>
    </w:p>
    <w:p w14:paraId="57ADB1FA">
      <w:pPr>
        <w:spacing w:line="600" w:lineRule="exact"/>
        <w:ind w:firstLine="640" w:firstLineChars="200"/>
        <w:rPr>
          <w:rFonts w:ascii="仿宋" w:hAnsi="仿宋" w:eastAsia="仿宋"/>
          <w:color w:val="000000"/>
          <w:sz w:val="32"/>
          <w:szCs w:val="32"/>
        </w:rPr>
      </w:pPr>
    </w:p>
    <w:p w14:paraId="4E79F31D">
      <w:pPr>
        <w:spacing w:line="600" w:lineRule="exact"/>
        <w:ind w:firstLine="640" w:firstLineChars="200"/>
        <w:rPr>
          <w:rFonts w:ascii="仿宋" w:hAnsi="仿宋" w:eastAsia="仿宋"/>
          <w:color w:val="000000"/>
          <w:sz w:val="32"/>
          <w:szCs w:val="32"/>
        </w:rPr>
      </w:pPr>
    </w:p>
    <w:p w14:paraId="12BF150A">
      <w:pPr>
        <w:spacing w:line="600" w:lineRule="exact"/>
        <w:ind w:firstLine="640" w:firstLineChars="200"/>
        <w:rPr>
          <w:rFonts w:ascii="仿宋" w:hAnsi="仿宋" w:eastAsia="仿宋"/>
          <w:color w:val="000000"/>
          <w:sz w:val="32"/>
          <w:szCs w:val="32"/>
        </w:rPr>
      </w:pPr>
    </w:p>
    <w:p w14:paraId="6AF77BAA">
      <w:pPr>
        <w:spacing w:line="600" w:lineRule="exact"/>
        <w:ind w:firstLine="640" w:firstLineChars="200"/>
        <w:rPr>
          <w:rFonts w:ascii="仿宋" w:hAnsi="仿宋" w:eastAsia="仿宋"/>
          <w:color w:val="000000"/>
          <w:sz w:val="32"/>
          <w:szCs w:val="32"/>
        </w:rPr>
      </w:pPr>
    </w:p>
    <w:p w14:paraId="29711E34">
      <w:pPr>
        <w:spacing w:line="600" w:lineRule="exact"/>
        <w:rPr>
          <w:rFonts w:ascii="仿宋" w:hAnsi="仿宋" w:eastAsia="仿宋"/>
          <w:color w:val="000000"/>
          <w:sz w:val="32"/>
          <w:szCs w:val="32"/>
        </w:rPr>
      </w:pPr>
    </w:p>
    <w:p w14:paraId="281D1776">
      <w:pPr>
        <w:spacing w:line="600" w:lineRule="exact"/>
        <w:ind w:firstLine="1600" w:firstLineChars="5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63E5D039">
      <w:pPr>
        <w:pStyle w:val="16"/>
        <w:spacing w:line="600" w:lineRule="exact"/>
        <w:ind w:left="640" w:firstLine="0" w:firstLineChars="0"/>
        <w:outlineLvl w:val="1"/>
        <w:rPr>
          <w:rStyle w:val="15"/>
          <w:rFonts w:ascii="黑体" w:hAnsi="黑体" w:eastAsia="黑体"/>
          <w:b w:val="0"/>
        </w:rPr>
      </w:pPr>
      <w:bookmarkStart w:id="39" w:name="_Toc15396604"/>
      <w:bookmarkStart w:id="40" w:name="_Toc79163611"/>
      <w:bookmarkStart w:id="41" w:name="_Toc8025"/>
      <w:bookmarkStart w:id="42" w:name="_Toc15377206"/>
      <w:r>
        <w:rPr>
          <w:rFonts w:hint="eastAsia" w:ascii="黑体" w:hAnsi="黑体" w:eastAsia="黑体"/>
          <w:color w:val="000000"/>
          <w:sz w:val="32"/>
          <w:szCs w:val="32"/>
        </w:rPr>
        <w:t>二、收</w:t>
      </w:r>
      <w:r>
        <w:rPr>
          <w:rStyle w:val="15"/>
          <w:rFonts w:hint="eastAsia" w:ascii="黑体" w:hAnsi="黑体" w:eastAsia="黑体"/>
          <w:b w:val="0"/>
        </w:rPr>
        <w:t>入决算情况说明</w:t>
      </w:r>
      <w:bookmarkEnd w:id="39"/>
      <w:bookmarkEnd w:id="40"/>
      <w:bookmarkEnd w:id="41"/>
      <w:bookmarkEnd w:id="42"/>
    </w:p>
    <w:p w14:paraId="64D4AA75">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w:t>
      </w:r>
      <w:r>
        <w:rPr>
          <w:rFonts w:ascii="仿宋" w:hAnsi="仿宋" w:eastAsia="仿宋"/>
          <w:color w:val="000000"/>
          <w:sz w:val="32"/>
          <w:szCs w:val="32"/>
        </w:rPr>
        <w:t>1225.95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67.61</w:t>
      </w:r>
      <w:r>
        <w:rPr>
          <w:rFonts w:hint="eastAsia" w:ascii="仿宋" w:hAnsi="仿宋" w:eastAsia="仿宋"/>
          <w:color w:val="000000"/>
          <w:sz w:val="32"/>
          <w:szCs w:val="32"/>
        </w:rPr>
        <w:t>万元，占6</w:t>
      </w:r>
      <w:r>
        <w:rPr>
          <w:rFonts w:ascii="仿宋" w:hAnsi="仿宋" w:eastAsia="仿宋"/>
          <w:color w:val="000000"/>
          <w:sz w:val="32"/>
          <w:szCs w:val="32"/>
        </w:rPr>
        <w:t>7.61%</w:t>
      </w:r>
      <w:r>
        <w:rPr>
          <w:rFonts w:hint="eastAsia" w:ascii="仿宋" w:hAnsi="仿宋" w:eastAsia="仿宋"/>
          <w:color w:val="000000"/>
          <w:sz w:val="32"/>
          <w:szCs w:val="32"/>
        </w:rPr>
        <w:t>；事业收入</w:t>
      </w:r>
      <w:r>
        <w:rPr>
          <w:rFonts w:ascii="仿宋" w:hAnsi="仿宋" w:eastAsia="仿宋"/>
          <w:color w:val="000000"/>
          <w:sz w:val="32"/>
          <w:szCs w:val="32"/>
        </w:rPr>
        <w:t>397.09</w:t>
      </w:r>
      <w:r>
        <w:rPr>
          <w:rFonts w:hint="eastAsia" w:ascii="仿宋" w:hAnsi="仿宋" w:eastAsia="仿宋"/>
          <w:color w:val="000000"/>
          <w:sz w:val="32"/>
          <w:szCs w:val="32"/>
        </w:rPr>
        <w:t>万元，占3</w:t>
      </w:r>
      <w:r>
        <w:rPr>
          <w:rFonts w:ascii="仿宋" w:hAnsi="仿宋" w:eastAsia="仿宋"/>
          <w:color w:val="000000"/>
          <w:sz w:val="32"/>
          <w:szCs w:val="32"/>
        </w:rPr>
        <w:t>2.39%</w:t>
      </w:r>
      <w:r>
        <w:rPr>
          <w:rFonts w:hint="eastAsia" w:ascii="仿宋" w:hAnsi="仿宋" w:eastAsia="仿宋"/>
          <w:color w:val="000000"/>
          <w:sz w:val="32"/>
          <w:szCs w:val="32"/>
        </w:rPr>
        <w:t>。</w:t>
      </w:r>
    </w:p>
    <w:p w14:paraId="4ABD475B">
      <w:pPr>
        <w:spacing w:line="600" w:lineRule="exact"/>
        <w:ind w:firstLine="640" w:firstLineChars="200"/>
        <w:rPr>
          <w:rFonts w:hint="eastAsia" w:ascii="仿宋" w:hAnsi="仿宋" w:eastAsia="仿宋"/>
          <w:color w:val="000000"/>
          <w:sz w:val="32"/>
          <w:szCs w:val="32"/>
        </w:rPr>
      </w:pPr>
    </w:p>
    <w:p w14:paraId="25A45B0D">
      <w:pPr>
        <w:spacing w:line="600" w:lineRule="exact"/>
        <w:ind w:firstLine="640" w:firstLineChars="200"/>
        <w:rPr>
          <w:rFonts w:hint="eastAsia" w:ascii="仿宋" w:hAnsi="仿宋" w:eastAsia="仿宋"/>
          <w:color w:val="000000"/>
          <w:sz w:val="32"/>
          <w:szCs w:val="32"/>
        </w:rPr>
      </w:pPr>
    </w:p>
    <w:p w14:paraId="4DDC2AD0">
      <w:pPr>
        <w:spacing w:line="600" w:lineRule="exact"/>
        <w:ind w:firstLine="640" w:firstLineChars="200"/>
        <w:rPr>
          <w:rFonts w:hint="eastAsia" w:ascii="仿宋" w:hAnsi="仿宋" w:eastAsia="仿宋"/>
          <w:color w:val="000000"/>
          <w:sz w:val="32"/>
          <w:szCs w:val="32"/>
        </w:rPr>
      </w:pPr>
    </w:p>
    <w:p w14:paraId="2DFADBA0">
      <w:pPr>
        <w:spacing w:line="600" w:lineRule="exact"/>
        <w:ind w:firstLine="640" w:firstLineChars="200"/>
        <w:rPr>
          <w:rFonts w:ascii="仿宋" w:hAnsi="仿宋" w:eastAsia="仿宋"/>
          <w:color w:val="000000"/>
          <w:sz w:val="32"/>
          <w:szCs w:val="32"/>
        </w:rPr>
      </w:pPr>
    </w:p>
    <w:p w14:paraId="5472FBE8">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28575</wp:posOffset>
            </wp:positionH>
            <wp:positionV relativeFrom="paragraph">
              <wp:posOffset>186690</wp:posOffset>
            </wp:positionV>
            <wp:extent cx="4886325" cy="2447925"/>
            <wp:effectExtent l="4445" t="4445" r="5080" b="508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CDB5E96">
      <w:pPr>
        <w:spacing w:line="600" w:lineRule="exact"/>
        <w:ind w:firstLine="640" w:firstLineChars="200"/>
        <w:rPr>
          <w:rFonts w:ascii="仿宋" w:hAnsi="仿宋" w:eastAsia="仿宋"/>
          <w:color w:val="000000"/>
          <w:sz w:val="32"/>
          <w:szCs w:val="32"/>
        </w:rPr>
      </w:pPr>
    </w:p>
    <w:p w14:paraId="65605377">
      <w:pPr>
        <w:spacing w:line="600" w:lineRule="exact"/>
        <w:ind w:firstLine="640" w:firstLineChars="200"/>
        <w:rPr>
          <w:rFonts w:ascii="仿宋" w:hAnsi="仿宋" w:eastAsia="仿宋"/>
          <w:color w:val="000000"/>
          <w:sz w:val="32"/>
          <w:szCs w:val="32"/>
        </w:rPr>
      </w:pPr>
    </w:p>
    <w:p w14:paraId="2CA3DA86">
      <w:pPr>
        <w:spacing w:line="600" w:lineRule="exact"/>
        <w:ind w:firstLine="640" w:firstLineChars="200"/>
        <w:rPr>
          <w:rFonts w:ascii="仿宋" w:hAnsi="仿宋" w:eastAsia="仿宋"/>
          <w:color w:val="000000"/>
          <w:sz w:val="32"/>
          <w:szCs w:val="32"/>
        </w:rPr>
      </w:pPr>
    </w:p>
    <w:p w14:paraId="6E4C3A59">
      <w:pPr>
        <w:spacing w:line="600" w:lineRule="exact"/>
        <w:rPr>
          <w:rFonts w:ascii="仿宋" w:hAnsi="仿宋" w:eastAsia="仿宋"/>
          <w:color w:val="000000"/>
          <w:sz w:val="32"/>
          <w:szCs w:val="32"/>
        </w:rPr>
      </w:pPr>
    </w:p>
    <w:p w14:paraId="33D31FE2">
      <w:pPr>
        <w:spacing w:line="600" w:lineRule="exact"/>
        <w:ind w:firstLine="2240" w:firstLineChars="700"/>
        <w:rPr>
          <w:rFonts w:ascii="仿宋" w:hAnsi="仿宋" w:eastAsia="仿宋"/>
          <w:color w:val="000000"/>
          <w:sz w:val="32"/>
          <w:szCs w:val="32"/>
        </w:rPr>
      </w:pPr>
    </w:p>
    <w:p w14:paraId="006EAAD3">
      <w:pPr>
        <w:spacing w:line="600" w:lineRule="exact"/>
        <w:ind w:firstLine="2240" w:firstLineChars="700"/>
        <w:rPr>
          <w:rFonts w:ascii="仿宋" w:hAnsi="仿宋" w:eastAsia="仿宋"/>
          <w:color w:val="000000"/>
          <w:sz w:val="32"/>
          <w:szCs w:val="32"/>
        </w:rPr>
      </w:pPr>
    </w:p>
    <w:p w14:paraId="66846BEB">
      <w:pPr>
        <w:spacing w:line="600" w:lineRule="exact"/>
        <w:ind w:firstLine="2240" w:firstLineChars="7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14:paraId="080809FE">
      <w:pPr>
        <w:pStyle w:val="16"/>
        <w:spacing w:line="600" w:lineRule="exact"/>
        <w:ind w:left="640" w:firstLine="0" w:firstLineChars="0"/>
        <w:outlineLvl w:val="1"/>
        <w:rPr>
          <w:rStyle w:val="15"/>
          <w:rFonts w:ascii="黑体" w:hAnsi="黑体" w:eastAsia="黑体"/>
          <w:b w:val="0"/>
        </w:rPr>
      </w:pPr>
      <w:bookmarkStart w:id="43" w:name="_Toc79163612"/>
      <w:bookmarkStart w:id="44" w:name="_Toc25019"/>
      <w:bookmarkStart w:id="45" w:name="_Toc15396605"/>
      <w:bookmarkStart w:id="46" w:name="_Toc15377207"/>
      <w:r>
        <w:rPr>
          <w:rFonts w:hint="eastAsia" w:ascii="黑体" w:hAnsi="黑体" w:eastAsia="黑体"/>
          <w:color w:val="000000"/>
          <w:sz w:val="32"/>
          <w:szCs w:val="32"/>
        </w:rPr>
        <w:t>三、支</w:t>
      </w:r>
      <w:r>
        <w:rPr>
          <w:rStyle w:val="15"/>
          <w:rFonts w:hint="eastAsia" w:ascii="黑体" w:hAnsi="黑体" w:eastAsia="黑体"/>
          <w:b w:val="0"/>
        </w:rPr>
        <w:t>出决算情况说明</w:t>
      </w:r>
      <w:bookmarkEnd w:id="43"/>
      <w:bookmarkEnd w:id="44"/>
      <w:bookmarkEnd w:id="45"/>
      <w:bookmarkEnd w:id="46"/>
    </w:p>
    <w:p w14:paraId="6887FB13">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w:t>
      </w:r>
      <w:r>
        <w:rPr>
          <w:rFonts w:ascii="仿宋_GB2312" w:eastAsia="仿宋_GB2312"/>
          <w:sz w:val="32"/>
          <w:szCs w:val="32"/>
        </w:rPr>
        <w:t>1427.04</w:t>
      </w:r>
      <w:r>
        <w:rPr>
          <w:rFonts w:hint="eastAsia" w:ascii="仿宋_GB2312" w:eastAsia="仿宋_GB2312"/>
          <w:sz w:val="32"/>
          <w:szCs w:val="32"/>
        </w:rPr>
        <w:t>万元，其中：基本支出</w:t>
      </w:r>
      <w:r>
        <w:rPr>
          <w:rFonts w:ascii="仿宋_GB2312" w:eastAsia="仿宋_GB2312"/>
          <w:sz w:val="32"/>
          <w:szCs w:val="32"/>
        </w:rPr>
        <w:t>1098.88</w:t>
      </w:r>
      <w:r>
        <w:rPr>
          <w:rFonts w:hint="eastAsia" w:ascii="仿宋_GB2312" w:eastAsia="仿宋_GB2312"/>
          <w:sz w:val="32"/>
          <w:szCs w:val="32"/>
        </w:rPr>
        <w:t>万元，占</w:t>
      </w:r>
      <w:r>
        <w:rPr>
          <w:rFonts w:ascii="仿宋_GB2312" w:eastAsia="仿宋_GB2312"/>
          <w:sz w:val="32"/>
          <w:szCs w:val="32"/>
        </w:rPr>
        <w:t>77.00%</w:t>
      </w:r>
      <w:r>
        <w:rPr>
          <w:rFonts w:hint="eastAsia" w:ascii="仿宋_GB2312" w:eastAsia="仿宋_GB2312"/>
          <w:sz w:val="32"/>
          <w:szCs w:val="32"/>
        </w:rPr>
        <w:t>；项目支出</w:t>
      </w:r>
      <w:r>
        <w:rPr>
          <w:rFonts w:ascii="仿宋_GB2312" w:eastAsia="仿宋_GB2312"/>
          <w:sz w:val="32"/>
          <w:szCs w:val="32"/>
        </w:rPr>
        <w:t>328.15</w:t>
      </w:r>
      <w:r>
        <w:rPr>
          <w:rFonts w:hint="eastAsia" w:ascii="仿宋_GB2312" w:eastAsia="仿宋_GB2312"/>
          <w:sz w:val="32"/>
          <w:szCs w:val="32"/>
        </w:rPr>
        <w:t>万元，占</w:t>
      </w:r>
      <w:r>
        <w:rPr>
          <w:rFonts w:ascii="仿宋_GB2312" w:eastAsia="仿宋_GB2312"/>
          <w:sz w:val="32"/>
          <w:szCs w:val="32"/>
        </w:rPr>
        <w:t>23.00%</w:t>
      </w:r>
      <w:r>
        <w:rPr>
          <w:rFonts w:hint="eastAsia" w:ascii="仿宋_GB2312" w:eastAsia="仿宋_GB2312"/>
          <w:sz w:val="32"/>
          <w:szCs w:val="32"/>
        </w:rPr>
        <w:t>。</w:t>
      </w:r>
    </w:p>
    <w:p w14:paraId="35ACD3D0">
      <w:pPr>
        <w:spacing w:line="600" w:lineRule="exact"/>
        <w:ind w:firstLine="640"/>
        <w:rPr>
          <w:rFonts w:ascii="仿宋_GB2312" w:eastAsia="仿宋_GB2312"/>
          <w:sz w:val="32"/>
          <w:szCs w:val="32"/>
        </w:rPr>
      </w:pPr>
      <w:r>
        <w:rPr>
          <w:rFonts w:ascii="仿宋_GB2312" w:eastAsia="仿宋_GB2312"/>
          <w:sz w:val="32"/>
          <w:szCs w:val="32"/>
        </w:rPr>
        <w:drawing>
          <wp:anchor distT="0" distB="0" distL="114300" distR="114300" simplePos="0" relativeHeight="251661312" behindDoc="0" locked="0" layoutInCell="1" allowOverlap="1">
            <wp:simplePos x="0" y="0"/>
            <wp:positionH relativeFrom="column">
              <wp:posOffset>133350</wp:posOffset>
            </wp:positionH>
            <wp:positionV relativeFrom="paragraph">
              <wp:posOffset>123190</wp:posOffset>
            </wp:positionV>
            <wp:extent cx="4857750" cy="2486025"/>
            <wp:effectExtent l="4445" t="4445" r="14605" b="508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5585674">
      <w:pPr>
        <w:spacing w:line="600" w:lineRule="exact"/>
        <w:ind w:firstLine="640"/>
        <w:rPr>
          <w:rFonts w:ascii="仿宋_GB2312" w:eastAsia="仿宋_GB2312"/>
          <w:sz w:val="32"/>
          <w:szCs w:val="32"/>
        </w:rPr>
      </w:pPr>
    </w:p>
    <w:p w14:paraId="07659EEF">
      <w:pPr>
        <w:spacing w:line="600" w:lineRule="exact"/>
        <w:ind w:firstLine="640"/>
        <w:rPr>
          <w:rFonts w:ascii="仿宋_GB2312" w:eastAsia="仿宋_GB2312"/>
          <w:sz w:val="32"/>
          <w:szCs w:val="32"/>
        </w:rPr>
      </w:pPr>
    </w:p>
    <w:p w14:paraId="051F5BDF">
      <w:pPr>
        <w:spacing w:line="600" w:lineRule="exact"/>
        <w:ind w:firstLine="640"/>
        <w:rPr>
          <w:rFonts w:ascii="仿宋_GB2312" w:eastAsia="仿宋_GB2312"/>
          <w:sz w:val="32"/>
          <w:szCs w:val="32"/>
        </w:rPr>
      </w:pPr>
    </w:p>
    <w:p w14:paraId="4370EDC5">
      <w:pPr>
        <w:spacing w:line="600" w:lineRule="exact"/>
        <w:ind w:firstLine="640"/>
        <w:rPr>
          <w:rFonts w:ascii="仿宋_GB2312" w:eastAsia="仿宋_GB2312"/>
          <w:sz w:val="32"/>
          <w:szCs w:val="32"/>
        </w:rPr>
      </w:pPr>
    </w:p>
    <w:p w14:paraId="4A253F13">
      <w:pPr>
        <w:spacing w:line="600" w:lineRule="exact"/>
        <w:rPr>
          <w:rFonts w:ascii="仿宋_GB2312" w:eastAsia="仿宋_GB2312"/>
          <w:sz w:val="32"/>
          <w:szCs w:val="32"/>
        </w:rPr>
      </w:pPr>
    </w:p>
    <w:p w14:paraId="3D15D4EC">
      <w:pPr>
        <w:spacing w:line="600" w:lineRule="exact"/>
        <w:ind w:firstLine="2560" w:firstLineChars="800"/>
        <w:rPr>
          <w:rFonts w:ascii="仿宋" w:hAnsi="仿宋" w:eastAsia="仿宋"/>
          <w:color w:val="000000"/>
          <w:sz w:val="32"/>
          <w:szCs w:val="32"/>
        </w:rPr>
      </w:pPr>
    </w:p>
    <w:p w14:paraId="19DE374E">
      <w:pPr>
        <w:spacing w:line="600" w:lineRule="exact"/>
        <w:ind w:firstLine="2560" w:firstLineChars="8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14:paraId="2B95A371">
      <w:pPr>
        <w:spacing w:line="600" w:lineRule="exact"/>
        <w:ind w:firstLine="640" w:firstLineChars="200"/>
        <w:outlineLvl w:val="1"/>
        <w:rPr>
          <w:rStyle w:val="15"/>
          <w:rFonts w:ascii="黑体" w:hAnsi="黑体" w:eastAsia="黑体"/>
          <w:b w:val="0"/>
        </w:rPr>
      </w:pPr>
      <w:bookmarkStart w:id="47" w:name="_Toc15377208"/>
      <w:bookmarkStart w:id="48" w:name="_Toc79163613"/>
      <w:bookmarkStart w:id="49" w:name="_Toc15396606"/>
      <w:bookmarkStart w:id="50" w:name="_Toc17670"/>
      <w:r>
        <w:rPr>
          <w:rFonts w:hint="eastAsia" w:ascii="黑体" w:hAnsi="黑体" w:eastAsia="黑体"/>
          <w:color w:val="000000"/>
          <w:sz w:val="32"/>
          <w:szCs w:val="32"/>
        </w:rPr>
        <w:t>四、财</w:t>
      </w:r>
      <w:r>
        <w:rPr>
          <w:rStyle w:val="15"/>
          <w:rFonts w:hint="eastAsia" w:ascii="黑体" w:hAnsi="黑体" w:eastAsia="黑体"/>
          <w:b w:val="0"/>
        </w:rPr>
        <w:t>政拨款收入支出决算总体情况说明</w:t>
      </w:r>
      <w:bookmarkEnd w:id="47"/>
      <w:bookmarkEnd w:id="48"/>
      <w:bookmarkEnd w:id="49"/>
      <w:bookmarkEnd w:id="50"/>
    </w:p>
    <w:p w14:paraId="07C3D5E7">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1年财政拨款收、支总计</w:t>
      </w:r>
      <w:r>
        <w:rPr>
          <w:rFonts w:ascii="仿宋" w:hAnsi="仿宋" w:eastAsia="仿宋"/>
          <w:color w:val="000000"/>
          <w:sz w:val="32"/>
          <w:szCs w:val="32"/>
        </w:rPr>
        <w:t>1119.85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20年相比，财政拨款收、支总计各增</w:t>
      </w:r>
      <w:r>
        <w:rPr>
          <w:rFonts w:ascii="仿宋" w:hAnsi="仿宋" w:eastAsia="仿宋"/>
          <w:color w:val="000000"/>
          <w:sz w:val="32"/>
          <w:szCs w:val="32"/>
        </w:rPr>
        <w:t>20</w:t>
      </w:r>
      <w:r>
        <w:rPr>
          <w:rFonts w:hint="eastAsia" w:ascii="仿宋" w:hAnsi="仿宋" w:eastAsia="仿宋"/>
          <w:color w:val="000000"/>
          <w:sz w:val="32"/>
          <w:szCs w:val="32"/>
        </w:rPr>
        <w:t>.</w:t>
      </w:r>
      <w:r>
        <w:rPr>
          <w:rFonts w:ascii="仿宋" w:hAnsi="仿宋" w:eastAsia="仿宋"/>
          <w:color w:val="000000"/>
          <w:sz w:val="32"/>
          <w:szCs w:val="32"/>
        </w:rPr>
        <w:t>48</w:t>
      </w:r>
      <w:r>
        <w:rPr>
          <w:rFonts w:hint="eastAsia" w:ascii="仿宋" w:hAnsi="仿宋" w:eastAsia="仿宋"/>
          <w:color w:val="000000"/>
          <w:sz w:val="32"/>
          <w:szCs w:val="32"/>
        </w:rPr>
        <w:t>万元，增长</w:t>
      </w:r>
      <w:r>
        <w:rPr>
          <w:rFonts w:ascii="仿宋" w:hAnsi="仿宋" w:eastAsia="仿宋"/>
          <w:color w:val="000000"/>
          <w:sz w:val="32"/>
          <w:szCs w:val="32"/>
        </w:rPr>
        <w:t>1.83%</w:t>
      </w:r>
      <w:r>
        <w:rPr>
          <w:rFonts w:hint="eastAsia" w:ascii="仿宋" w:hAnsi="仿宋" w:eastAsia="仿宋"/>
          <w:color w:val="000000"/>
          <w:sz w:val="32"/>
          <w:szCs w:val="32"/>
        </w:rPr>
        <w:t>。主要变动原因是</w:t>
      </w:r>
      <w:r>
        <w:rPr>
          <w:rFonts w:ascii="仿宋" w:hAnsi="仿宋" w:eastAsia="仿宋"/>
          <w:color w:val="000000"/>
          <w:sz w:val="32"/>
          <w:szCs w:val="32"/>
        </w:rPr>
        <w:t>2021</w:t>
      </w:r>
      <w:r>
        <w:rPr>
          <w:rFonts w:hint="eastAsia" w:ascii="仿宋" w:hAnsi="仿宋" w:eastAsia="仿宋"/>
          <w:color w:val="000000"/>
          <w:sz w:val="32"/>
          <w:szCs w:val="32"/>
        </w:rPr>
        <w:t>年当年项目支出增加。</w:t>
      </w:r>
    </w:p>
    <w:p w14:paraId="584BB6E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0</wp:posOffset>
            </wp:positionH>
            <wp:positionV relativeFrom="paragraph">
              <wp:posOffset>276225</wp:posOffset>
            </wp:positionV>
            <wp:extent cx="4914900" cy="2000250"/>
            <wp:effectExtent l="5080" t="4445" r="13970" b="1460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E20541B">
      <w:pPr>
        <w:spacing w:line="600" w:lineRule="exact"/>
        <w:ind w:firstLine="640"/>
        <w:rPr>
          <w:rFonts w:ascii="仿宋" w:hAnsi="仿宋" w:eastAsia="仿宋"/>
          <w:color w:val="000000"/>
          <w:sz w:val="32"/>
          <w:szCs w:val="32"/>
        </w:rPr>
      </w:pPr>
    </w:p>
    <w:p w14:paraId="3F17D878">
      <w:pPr>
        <w:spacing w:line="600" w:lineRule="exact"/>
        <w:ind w:firstLine="640"/>
        <w:rPr>
          <w:rFonts w:ascii="仿宋" w:hAnsi="仿宋" w:eastAsia="仿宋"/>
          <w:color w:val="000000"/>
          <w:sz w:val="32"/>
          <w:szCs w:val="32"/>
        </w:rPr>
      </w:pPr>
    </w:p>
    <w:p w14:paraId="4BAB5568">
      <w:pPr>
        <w:spacing w:line="600" w:lineRule="exact"/>
        <w:rPr>
          <w:rFonts w:ascii="仿宋" w:hAnsi="仿宋" w:eastAsia="仿宋"/>
          <w:b/>
          <w:color w:val="FF0000"/>
          <w:sz w:val="32"/>
          <w:szCs w:val="32"/>
        </w:rPr>
      </w:pPr>
    </w:p>
    <w:p w14:paraId="0D741272">
      <w:pPr>
        <w:spacing w:line="600" w:lineRule="exact"/>
        <w:rPr>
          <w:rFonts w:ascii="仿宋" w:hAnsi="仿宋" w:eastAsia="仿宋"/>
          <w:b/>
          <w:color w:val="FF0000"/>
          <w:sz w:val="32"/>
          <w:szCs w:val="32"/>
        </w:rPr>
      </w:pPr>
    </w:p>
    <w:p w14:paraId="2A578CE6">
      <w:pPr>
        <w:spacing w:line="600" w:lineRule="exact"/>
        <w:rPr>
          <w:rFonts w:ascii="仿宋" w:hAnsi="仿宋" w:eastAsia="仿宋"/>
          <w:color w:val="000000"/>
          <w:sz w:val="32"/>
          <w:szCs w:val="32"/>
        </w:rPr>
      </w:pPr>
    </w:p>
    <w:p w14:paraId="04FFA34D">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2B4EAF9D">
      <w:pPr>
        <w:spacing w:line="600" w:lineRule="exact"/>
        <w:ind w:firstLine="640" w:firstLineChars="200"/>
        <w:outlineLvl w:val="1"/>
        <w:rPr>
          <w:rStyle w:val="15"/>
          <w:rFonts w:ascii="黑体" w:hAnsi="黑体" w:eastAsia="黑体"/>
          <w:b w:val="0"/>
        </w:rPr>
      </w:pPr>
      <w:bookmarkStart w:id="51" w:name="_Toc23551"/>
      <w:bookmarkStart w:id="52" w:name="_Toc79163614"/>
      <w:bookmarkStart w:id="53" w:name="_Toc15377209"/>
      <w:bookmarkStart w:id="5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5"/>
          <w:rFonts w:hint="eastAsia" w:ascii="黑体" w:hAnsi="黑体" w:eastAsia="黑体"/>
          <w:b w:val="0"/>
        </w:rPr>
        <w:t>般公共预算财政拨款支出决算情况说明</w:t>
      </w:r>
      <w:bookmarkEnd w:id="51"/>
      <w:bookmarkEnd w:id="52"/>
      <w:bookmarkEnd w:id="53"/>
      <w:bookmarkEnd w:id="54"/>
    </w:p>
    <w:p w14:paraId="33A9DD9C">
      <w:pPr>
        <w:spacing w:line="600" w:lineRule="exact"/>
        <w:ind w:firstLine="643" w:firstLineChars="200"/>
        <w:outlineLvl w:val="2"/>
        <w:rPr>
          <w:rFonts w:ascii="仿宋" w:hAnsi="仿宋" w:eastAsia="仿宋"/>
          <w:b/>
          <w:color w:val="000000"/>
          <w:sz w:val="32"/>
          <w:szCs w:val="32"/>
        </w:rPr>
      </w:pPr>
      <w:bookmarkStart w:id="55" w:name="_Toc15377210"/>
      <w:bookmarkStart w:id="56" w:name="_Toc79163615"/>
      <w:bookmarkStart w:id="57" w:name="_Toc21497"/>
      <w:r>
        <w:rPr>
          <w:rFonts w:hint="eastAsia" w:ascii="仿宋" w:hAnsi="仿宋" w:eastAsia="仿宋"/>
          <w:b/>
          <w:color w:val="000000"/>
          <w:sz w:val="32"/>
          <w:szCs w:val="32"/>
        </w:rPr>
        <w:t>（一）一般公共预算财政拨款支出决算总体情况</w:t>
      </w:r>
      <w:bookmarkEnd w:id="55"/>
      <w:bookmarkEnd w:id="56"/>
      <w:bookmarkEnd w:id="57"/>
    </w:p>
    <w:p w14:paraId="1426CD31">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ascii="仿宋" w:hAnsi="仿宋" w:eastAsia="仿宋"/>
          <w:color w:val="000000"/>
          <w:sz w:val="32"/>
          <w:szCs w:val="32"/>
        </w:rPr>
        <w:t>1119.85</w:t>
      </w:r>
      <w:r>
        <w:rPr>
          <w:rFonts w:hint="eastAsia" w:ascii="仿宋" w:hAnsi="仿宋" w:eastAsia="仿宋"/>
          <w:color w:val="000000"/>
          <w:sz w:val="32"/>
          <w:szCs w:val="32"/>
        </w:rPr>
        <w:t>万元，占本年支出合计的</w:t>
      </w:r>
      <w:r>
        <w:rPr>
          <w:rFonts w:ascii="仿宋" w:hAnsi="仿宋" w:eastAsia="仿宋"/>
          <w:color w:val="000000"/>
          <w:sz w:val="32"/>
          <w:szCs w:val="32"/>
        </w:rPr>
        <w:t>73.82%</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ascii="仿宋" w:hAnsi="仿宋" w:eastAsia="仿宋"/>
          <w:color w:val="000000"/>
          <w:sz w:val="32"/>
          <w:szCs w:val="32"/>
        </w:rPr>
        <w:t>20.48</w:t>
      </w:r>
      <w:r>
        <w:rPr>
          <w:rFonts w:hint="eastAsia" w:ascii="仿宋" w:hAnsi="仿宋" w:eastAsia="仿宋"/>
          <w:color w:val="000000"/>
          <w:sz w:val="32"/>
          <w:szCs w:val="32"/>
        </w:rPr>
        <w:t>万元，增长1</w:t>
      </w:r>
      <w:r>
        <w:rPr>
          <w:rFonts w:ascii="仿宋" w:hAnsi="仿宋" w:eastAsia="仿宋"/>
          <w:color w:val="000000"/>
          <w:sz w:val="32"/>
          <w:szCs w:val="32"/>
        </w:rPr>
        <w:t>.86%</w:t>
      </w:r>
      <w:r>
        <w:rPr>
          <w:rFonts w:hint="eastAsia" w:ascii="仿宋" w:hAnsi="仿宋" w:eastAsia="仿宋"/>
          <w:color w:val="000000"/>
          <w:sz w:val="32"/>
          <w:szCs w:val="32"/>
        </w:rPr>
        <w:t>。主要变动原因是2</w:t>
      </w:r>
      <w:r>
        <w:rPr>
          <w:rFonts w:ascii="仿宋" w:hAnsi="仿宋" w:eastAsia="仿宋"/>
          <w:color w:val="000000"/>
          <w:sz w:val="32"/>
          <w:szCs w:val="32"/>
        </w:rPr>
        <w:t>021</w:t>
      </w:r>
      <w:r>
        <w:rPr>
          <w:rFonts w:hint="eastAsia" w:ascii="仿宋" w:hAnsi="仿宋" w:eastAsia="仿宋"/>
          <w:color w:val="000000"/>
          <w:sz w:val="32"/>
          <w:szCs w:val="32"/>
        </w:rPr>
        <w:t>年当年项目增多，支出增加。</w:t>
      </w:r>
    </w:p>
    <w:p w14:paraId="4669911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285750</wp:posOffset>
            </wp:positionH>
            <wp:positionV relativeFrom="paragraph">
              <wp:posOffset>123825</wp:posOffset>
            </wp:positionV>
            <wp:extent cx="4648200" cy="2533650"/>
            <wp:effectExtent l="4445" t="4445" r="14605" b="1460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640D3FF">
      <w:pPr>
        <w:spacing w:line="600" w:lineRule="exact"/>
        <w:ind w:firstLine="640" w:firstLineChars="200"/>
        <w:rPr>
          <w:rFonts w:ascii="仿宋" w:hAnsi="仿宋" w:eastAsia="仿宋"/>
          <w:color w:val="000000"/>
          <w:sz w:val="32"/>
          <w:szCs w:val="32"/>
        </w:rPr>
      </w:pPr>
    </w:p>
    <w:p w14:paraId="0C68B138">
      <w:pPr>
        <w:spacing w:line="600" w:lineRule="exact"/>
        <w:ind w:firstLine="640" w:firstLineChars="200"/>
        <w:rPr>
          <w:rFonts w:ascii="仿宋" w:hAnsi="仿宋" w:eastAsia="仿宋"/>
          <w:color w:val="000000"/>
          <w:sz w:val="32"/>
          <w:szCs w:val="32"/>
        </w:rPr>
      </w:pPr>
    </w:p>
    <w:p w14:paraId="37C7994F">
      <w:pPr>
        <w:spacing w:line="600" w:lineRule="exact"/>
        <w:ind w:firstLine="640" w:firstLineChars="200"/>
        <w:rPr>
          <w:rFonts w:ascii="仿宋" w:hAnsi="仿宋" w:eastAsia="仿宋"/>
          <w:color w:val="000000"/>
          <w:sz w:val="32"/>
          <w:szCs w:val="32"/>
        </w:rPr>
      </w:pPr>
    </w:p>
    <w:p w14:paraId="28BED28C">
      <w:pPr>
        <w:spacing w:line="600" w:lineRule="exact"/>
        <w:ind w:firstLine="640" w:firstLineChars="200"/>
        <w:rPr>
          <w:rFonts w:ascii="仿宋" w:hAnsi="仿宋" w:eastAsia="仿宋"/>
          <w:color w:val="000000"/>
          <w:sz w:val="32"/>
          <w:szCs w:val="32"/>
        </w:rPr>
      </w:pPr>
    </w:p>
    <w:p w14:paraId="5E4DF55F">
      <w:pPr>
        <w:spacing w:line="600" w:lineRule="exact"/>
        <w:ind w:firstLine="640" w:firstLineChars="200"/>
        <w:rPr>
          <w:rFonts w:ascii="仿宋" w:hAnsi="仿宋" w:eastAsia="仿宋"/>
          <w:color w:val="000000"/>
          <w:sz w:val="32"/>
          <w:szCs w:val="32"/>
        </w:rPr>
      </w:pPr>
    </w:p>
    <w:p w14:paraId="0B98F3B4">
      <w:pPr>
        <w:spacing w:line="600" w:lineRule="exact"/>
        <w:ind w:firstLine="640" w:firstLineChars="200"/>
        <w:rPr>
          <w:rFonts w:ascii="仿宋" w:hAnsi="仿宋" w:eastAsia="仿宋"/>
          <w:color w:val="000000"/>
          <w:sz w:val="32"/>
          <w:szCs w:val="32"/>
        </w:rPr>
      </w:pPr>
    </w:p>
    <w:p w14:paraId="05B7248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25398B1C">
      <w:pPr>
        <w:spacing w:line="600" w:lineRule="exact"/>
        <w:ind w:firstLine="643" w:firstLineChars="200"/>
        <w:outlineLvl w:val="2"/>
        <w:rPr>
          <w:rFonts w:ascii="仿宋" w:hAnsi="仿宋" w:eastAsia="仿宋"/>
          <w:b/>
          <w:color w:val="000000"/>
          <w:sz w:val="32"/>
          <w:szCs w:val="32"/>
        </w:rPr>
      </w:pPr>
      <w:bookmarkStart w:id="58" w:name="_Toc30476"/>
      <w:bookmarkStart w:id="59" w:name="_Toc15377211"/>
      <w:bookmarkStart w:id="60" w:name="_Toc79163616"/>
      <w:r>
        <w:rPr>
          <w:rFonts w:hint="eastAsia" w:ascii="仿宋" w:hAnsi="仿宋" w:eastAsia="仿宋"/>
          <w:b/>
          <w:color w:val="000000"/>
          <w:sz w:val="32"/>
          <w:szCs w:val="32"/>
        </w:rPr>
        <w:t>（二）一般公共预算财政拨款支出决算结构情况</w:t>
      </w:r>
      <w:bookmarkEnd w:id="58"/>
      <w:bookmarkEnd w:id="59"/>
      <w:bookmarkEnd w:id="60"/>
    </w:p>
    <w:p w14:paraId="6B201D91">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ascii="仿宋" w:hAnsi="仿宋" w:eastAsia="仿宋"/>
          <w:color w:val="000000"/>
          <w:sz w:val="32"/>
          <w:szCs w:val="32"/>
        </w:rPr>
        <w:t>1119.85</w:t>
      </w:r>
      <w:r>
        <w:rPr>
          <w:rFonts w:hint="eastAsia" w:ascii="仿宋" w:hAnsi="仿宋" w:eastAsia="仿宋"/>
          <w:color w:val="000000"/>
          <w:sz w:val="32"/>
          <w:szCs w:val="32"/>
        </w:rPr>
        <w:t>万元，主要用于以下方面：</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92.22</w:t>
      </w:r>
      <w:r>
        <w:rPr>
          <w:rFonts w:hint="eastAsia" w:ascii="仿宋" w:hAnsi="仿宋" w:eastAsia="仿宋"/>
          <w:color w:val="000000"/>
          <w:sz w:val="32"/>
          <w:szCs w:val="32"/>
        </w:rPr>
        <w:t>万元，占8</w:t>
      </w:r>
      <w:r>
        <w:rPr>
          <w:rFonts w:ascii="仿宋" w:hAnsi="仿宋" w:eastAsia="仿宋"/>
          <w:color w:val="000000"/>
          <w:sz w:val="32"/>
          <w:szCs w:val="32"/>
        </w:rPr>
        <w:t>.24%</w:t>
      </w:r>
      <w:r>
        <w:rPr>
          <w:rFonts w:hint="eastAsia" w:ascii="仿宋" w:hAnsi="仿宋" w:eastAsia="仿宋"/>
          <w:color w:val="000000"/>
          <w:sz w:val="32"/>
          <w:szCs w:val="32"/>
        </w:rPr>
        <w:t>；</w:t>
      </w:r>
      <w:r>
        <w:rPr>
          <w:rFonts w:hint="eastAsia" w:ascii="仿宋" w:hAnsi="仿宋" w:eastAsia="仿宋"/>
          <w:b/>
          <w:bCs/>
          <w:color w:val="000000"/>
          <w:sz w:val="32"/>
          <w:szCs w:val="32"/>
        </w:rPr>
        <w:t>卫生健康（类）支出</w:t>
      </w:r>
      <w:r>
        <w:rPr>
          <w:rFonts w:hint="eastAsia" w:ascii="仿宋" w:hAnsi="仿宋" w:eastAsia="仿宋"/>
          <w:color w:val="000000"/>
          <w:sz w:val="32"/>
          <w:szCs w:val="32"/>
        </w:rPr>
        <w:t>9</w:t>
      </w:r>
      <w:r>
        <w:rPr>
          <w:rFonts w:ascii="仿宋" w:hAnsi="仿宋" w:eastAsia="仿宋"/>
          <w:color w:val="000000"/>
          <w:sz w:val="32"/>
          <w:szCs w:val="32"/>
        </w:rPr>
        <w:t>61.94</w:t>
      </w:r>
      <w:r>
        <w:rPr>
          <w:rFonts w:hint="eastAsia" w:ascii="仿宋" w:hAnsi="仿宋" w:eastAsia="仿宋"/>
          <w:color w:val="000000"/>
          <w:sz w:val="32"/>
          <w:szCs w:val="32"/>
        </w:rPr>
        <w:t>万元，占</w:t>
      </w:r>
      <w:r>
        <w:rPr>
          <w:rFonts w:ascii="仿宋" w:hAnsi="仿宋" w:eastAsia="仿宋"/>
          <w:color w:val="000000"/>
          <w:sz w:val="32"/>
          <w:szCs w:val="32"/>
        </w:rPr>
        <w:t>85.9%</w:t>
      </w:r>
      <w:r>
        <w:rPr>
          <w:rFonts w:hint="eastAsia" w:ascii="仿宋" w:hAnsi="仿宋" w:eastAsia="仿宋"/>
          <w:color w:val="000000"/>
          <w:sz w:val="32"/>
          <w:szCs w:val="32"/>
        </w:rPr>
        <w:t>；</w:t>
      </w:r>
      <w:r>
        <w:rPr>
          <w:rFonts w:hint="eastAsia" w:ascii="仿宋" w:hAnsi="仿宋" w:eastAsia="仿宋"/>
          <w:b/>
          <w:color w:val="000000"/>
          <w:sz w:val="32"/>
          <w:szCs w:val="32"/>
        </w:rPr>
        <w:t>住房保障</w:t>
      </w:r>
      <w:r>
        <w:rPr>
          <w:rFonts w:hint="eastAsia" w:ascii="仿宋" w:hAnsi="仿宋" w:eastAsia="仿宋"/>
          <w:color w:val="000000"/>
          <w:sz w:val="32"/>
          <w:szCs w:val="32"/>
        </w:rPr>
        <w:t>（类）支出</w:t>
      </w:r>
      <w:r>
        <w:rPr>
          <w:rFonts w:ascii="仿宋" w:hAnsi="仿宋" w:eastAsia="仿宋"/>
          <w:color w:val="000000"/>
          <w:sz w:val="32"/>
          <w:szCs w:val="32"/>
        </w:rPr>
        <w:t>65.7</w:t>
      </w:r>
      <w:r>
        <w:rPr>
          <w:rFonts w:hint="eastAsia" w:ascii="仿宋" w:hAnsi="仿宋" w:eastAsia="仿宋"/>
          <w:color w:val="000000"/>
          <w:sz w:val="32"/>
          <w:szCs w:val="32"/>
        </w:rPr>
        <w:t>万元，占</w:t>
      </w:r>
      <w:r>
        <w:rPr>
          <w:rFonts w:ascii="仿宋" w:hAnsi="仿宋" w:eastAsia="仿宋"/>
          <w:color w:val="000000"/>
          <w:sz w:val="32"/>
          <w:szCs w:val="32"/>
        </w:rPr>
        <w:t>5.87%</w:t>
      </w:r>
      <w:r>
        <w:rPr>
          <w:rFonts w:hint="eastAsia" w:ascii="仿宋" w:hAnsi="仿宋" w:eastAsia="仿宋"/>
          <w:color w:val="000000"/>
          <w:sz w:val="32"/>
          <w:szCs w:val="32"/>
        </w:rPr>
        <w:t>。</w:t>
      </w:r>
    </w:p>
    <w:p w14:paraId="416DAC4E">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6432" behindDoc="0" locked="0" layoutInCell="1" allowOverlap="1">
            <wp:simplePos x="0" y="0"/>
            <wp:positionH relativeFrom="column">
              <wp:posOffset>381000</wp:posOffset>
            </wp:positionH>
            <wp:positionV relativeFrom="paragraph">
              <wp:posOffset>133350</wp:posOffset>
            </wp:positionV>
            <wp:extent cx="4257675" cy="2533650"/>
            <wp:effectExtent l="4445" t="4445" r="5080" b="1460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86CC10C">
      <w:pPr>
        <w:spacing w:line="600" w:lineRule="exact"/>
        <w:ind w:firstLine="640"/>
        <w:rPr>
          <w:rFonts w:ascii="仿宋" w:hAnsi="仿宋" w:eastAsia="仿宋"/>
          <w:color w:val="000000"/>
          <w:sz w:val="32"/>
          <w:szCs w:val="32"/>
        </w:rPr>
      </w:pPr>
    </w:p>
    <w:p w14:paraId="23BF3E1D">
      <w:pPr>
        <w:spacing w:line="600" w:lineRule="exact"/>
        <w:ind w:firstLine="640"/>
        <w:rPr>
          <w:rFonts w:ascii="仿宋" w:hAnsi="仿宋" w:eastAsia="仿宋"/>
          <w:color w:val="000000"/>
          <w:sz w:val="32"/>
          <w:szCs w:val="32"/>
        </w:rPr>
      </w:pPr>
    </w:p>
    <w:p w14:paraId="764D1D32">
      <w:pPr>
        <w:spacing w:line="600" w:lineRule="exact"/>
        <w:ind w:firstLine="640"/>
        <w:rPr>
          <w:rFonts w:ascii="仿宋" w:hAnsi="仿宋" w:eastAsia="仿宋"/>
          <w:color w:val="000000"/>
          <w:sz w:val="32"/>
          <w:szCs w:val="32"/>
        </w:rPr>
      </w:pPr>
    </w:p>
    <w:p w14:paraId="5CF26C0F">
      <w:pPr>
        <w:spacing w:line="600" w:lineRule="exact"/>
        <w:ind w:firstLine="640"/>
        <w:rPr>
          <w:rFonts w:ascii="仿宋" w:hAnsi="仿宋" w:eastAsia="仿宋"/>
          <w:color w:val="000000"/>
          <w:sz w:val="32"/>
          <w:szCs w:val="32"/>
        </w:rPr>
      </w:pPr>
    </w:p>
    <w:p w14:paraId="1E42C376">
      <w:pPr>
        <w:spacing w:line="600" w:lineRule="exact"/>
        <w:ind w:firstLine="640"/>
        <w:rPr>
          <w:rFonts w:ascii="仿宋" w:hAnsi="仿宋" w:eastAsia="仿宋"/>
          <w:color w:val="000000"/>
          <w:sz w:val="32"/>
          <w:szCs w:val="32"/>
        </w:rPr>
      </w:pPr>
    </w:p>
    <w:p w14:paraId="42AA3F60">
      <w:pPr>
        <w:spacing w:line="600" w:lineRule="exact"/>
        <w:ind w:firstLine="640"/>
        <w:rPr>
          <w:rFonts w:ascii="仿宋" w:hAnsi="仿宋" w:eastAsia="仿宋"/>
          <w:color w:val="000000"/>
          <w:sz w:val="32"/>
          <w:szCs w:val="32"/>
        </w:rPr>
      </w:pPr>
    </w:p>
    <w:p w14:paraId="447C5B7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14:paraId="555F8F72">
      <w:pPr>
        <w:spacing w:line="600" w:lineRule="exact"/>
        <w:ind w:firstLine="643" w:firstLineChars="200"/>
        <w:outlineLvl w:val="2"/>
        <w:rPr>
          <w:rFonts w:ascii="仿宋" w:hAnsi="仿宋" w:eastAsia="仿宋"/>
          <w:b/>
          <w:color w:val="000000"/>
          <w:sz w:val="32"/>
          <w:szCs w:val="32"/>
        </w:rPr>
      </w:pPr>
      <w:bookmarkStart w:id="61" w:name="_Toc15377212"/>
      <w:bookmarkStart w:id="62" w:name="_Toc79163617"/>
      <w:bookmarkStart w:id="63" w:name="_Toc26558"/>
      <w:r>
        <w:rPr>
          <w:rFonts w:hint="eastAsia" w:ascii="仿宋" w:hAnsi="仿宋" w:eastAsia="仿宋"/>
          <w:b/>
          <w:color w:val="000000"/>
          <w:sz w:val="32"/>
          <w:szCs w:val="32"/>
        </w:rPr>
        <w:t>（三）一般公共预算财政拨款支出决算具体情况</w:t>
      </w:r>
      <w:bookmarkEnd w:id="61"/>
      <w:bookmarkEnd w:id="62"/>
      <w:bookmarkEnd w:id="63"/>
    </w:p>
    <w:p w14:paraId="28958860">
      <w:pPr>
        <w:spacing w:line="600" w:lineRule="exact"/>
        <w:ind w:firstLine="643" w:firstLineChars="200"/>
        <w:rPr>
          <w:rFonts w:ascii="仿宋_GB2312" w:eastAsia="仿宋_GB2312"/>
          <w:b/>
          <w:bCs/>
          <w:sz w:val="32"/>
          <w:szCs w:val="32"/>
        </w:rPr>
      </w:pPr>
      <w:bookmarkStart w:id="64" w:name="_Toc15378460"/>
      <w:bookmarkStart w:id="65" w:name="_Toc15377213"/>
      <w:bookmarkStart w:id="66" w:name="_Toc15377444"/>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ascii="仿宋_GB2312" w:eastAsia="仿宋_GB2312"/>
          <w:b/>
          <w:bCs/>
          <w:sz w:val="32"/>
          <w:szCs w:val="32"/>
        </w:rPr>
        <w:t>1119.85</w:t>
      </w:r>
      <w:r>
        <w:rPr>
          <w:rFonts w:hint="eastAsia" w:ascii="仿宋_GB2312" w:eastAsia="仿宋_GB2312"/>
          <w:b/>
          <w:bCs/>
          <w:sz w:val="32"/>
          <w:szCs w:val="32"/>
        </w:rPr>
        <w:t>万元，完成预算</w:t>
      </w:r>
      <w:r>
        <w:rPr>
          <w:rFonts w:ascii="仿宋_GB2312" w:eastAsia="仿宋_GB2312"/>
          <w:b/>
          <w:bCs/>
          <w:sz w:val="32"/>
          <w:szCs w:val="32"/>
        </w:rPr>
        <w:t>100.00%</w:t>
      </w:r>
      <w:r>
        <w:rPr>
          <w:rFonts w:hint="eastAsia" w:ascii="仿宋_GB2312" w:eastAsia="仿宋_GB2312"/>
          <w:b/>
          <w:bCs/>
          <w:sz w:val="32"/>
          <w:szCs w:val="32"/>
        </w:rPr>
        <w:t>。其中：</w:t>
      </w:r>
      <w:bookmarkEnd w:id="64"/>
      <w:bookmarkEnd w:id="65"/>
      <w:bookmarkEnd w:id="66"/>
    </w:p>
    <w:p w14:paraId="24C2713F">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1</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社会保障和就业支出（类）行政事业单位养老支出（款）机关事业单位基本养老保险缴费支出（项）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61.48</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1C8F83B4">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2</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社会保障和就业支出（类）行政事业单位养老支出（款）机关事业单位职业年金缴费支出（项）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30.74</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0CF3882C">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3</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卫生健康支出（类）公立医院（款）中医（民族）医院（项）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597.38</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0A0B93E5">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4</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卫生健康支出（类）公立医院（款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其他公立医院支出（项）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25.28</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0CD84601">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5.</w:t>
      </w:r>
      <w:r>
        <w:rPr>
          <w:rStyle w:val="13"/>
          <w:rFonts w:hint="eastAsia" w:ascii="仿宋" w:hAnsi="仿宋" w:eastAsia="仿宋"/>
          <w:bCs/>
          <w:color w:val="000000"/>
          <w:sz w:val="32"/>
          <w:szCs w:val="32"/>
        </w:rPr>
        <w:t>卫生健康支出（类）公共卫生（款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基本公共卫生服务（项）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55.58</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56FF03CB">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6</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卫生健康支出（类）公共卫生（款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重大公共卫生服务（项）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74.51</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4063449E">
      <w:pPr>
        <w:spacing w:line="600" w:lineRule="exact"/>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7</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卫生健康支出（类）中医药（款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中医（民族医）药专项（项）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103.8</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15E2A0E0">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8</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卫生健康支出（类）行政事业单位医疗（款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事业单位医疗（项）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29.09</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05CEC0F0">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9.</w:t>
      </w:r>
      <w:r>
        <w:rPr>
          <w:rStyle w:val="13"/>
          <w:rFonts w:hint="eastAsia" w:ascii="仿宋" w:hAnsi="仿宋" w:eastAsia="仿宋"/>
          <w:bCs/>
          <w:color w:val="000000"/>
          <w:sz w:val="32"/>
          <w:szCs w:val="32"/>
        </w:rPr>
        <w:t>卫生健康支出（类）行政事业单位医疗（款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其他行政事业单位医疗支出（项）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7.31</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72F54595">
      <w:pPr>
        <w:spacing w:line="600" w:lineRule="exact"/>
        <w:ind w:firstLine="643" w:firstLineChars="200"/>
        <w:rPr>
          <w:rFonts w:ascii="仿宋" w:hAnsi="仿宋" w:eastAsia="仿宋"/>
          <w:b/>
          <w:bCs/>
          <w:color w:val="000000"/>
          <w:sz w:val="32"/>
          <w:szCs w:val="32"/>
        </w:rPr>
      </w:pPr>
      <w:r>
        <w:rPr>
          <w:rStyle w:val="13"/>
          <w:rFonts w:hint="eastAsia" w:ascii="仿宋" w:hAnsi="仿宋" w:eastAsia="仿宋"/>
          <w:bCs/>
          <w:color w:val="000000"/>
          <w:sz w:val="32"/>
          <w:szCs w:val="32"/>
        </w:rPr>
        <w:t>1</w:t>
      </w:r>
      <w:r>
        <w:rPr>
          <w:rStyle w:val="13"/>
          <w:rFonts w:ascii="仿宋" w:hAnsi="仿宋" w:eastAsia="仿宋"/>
          <w:bCs/>
          <w:color w:val="000000"/>
          <w:sz w:val="32"/>
          <w:szCs w:val="32"/>
        </w:rPr>
        <w:t>0</w:t>
      </w:r>
      <w:r>
        <w:rPr>
          <w:rStyle w:val="13"/>
          <w:rFonts w:hint="eastAsia" w:ascii="仿宋" w:hAnsi="仿宋" w:eastAsia="仿宋"/>
          <w:bCs/>
          <w:color w:val="000000"/>
          <w:sz w:val="32"/>
          <w:szCs w:val="32"/>
        </w:rPr>
        <w:t>.卫生健康支出（类）其他卫生健康支出（款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其他卫生健康支出（项）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68.98</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36D66E7D">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1</w:t>
      </w:r>
      <w:r>
        <w:rPr>
          <w:rStyle w:val="13"/>
          <w:rFonts w:ascii="仿宋" w:hAnsi="仿宋" w:eastAsia="仿宋"/>
          <w:bCs/>
          <w:color w:val="000000"/>
          <w:sz w:val="32"/>
          <w:szCs w:val="32"/>
        </w:rPr>
        <w:t>1.</w:t>
      </w:r>
      <w:r>
        <w:rPr>
          <w:rStyle w:val="13"/>
          <w:rFonts w:hint="eastAsia" w:ascii="仿宋" w:hAnsi="仿宋" w:eastAsia="仿宋"/>
          <w:bCs/>
          <w:color w:val="000000"/>
          <w:sz w:val="32"/>
          <w:szCs w:val="32"/>
        </w:rPr>
        <w:t>住房保障支出（类）住房改革支出（款</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住房公积金（项）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ascii="仿宋" w:hAnsi="仿宋" w:eastAsia="仿宋"/>
          <w:b w:val="0"/>
          <w:bCs/>
          <w:color w:val="000000"/>
          <w:sz w:val="32"/>
          <w:szCs w:val="32"/>
        </w:rPr>
        <w:t>65.7</w:t>
      </w:r>
      <w:r>
        <w:rPr>
          <w:rStyle w:val="13"/>
          <w:rFonts w:hint="eastAsia" w:ascii="仿宋" w:hAnsi="仿宋" w:eastAsia="仿宋"/>
          <w:b w:val="0"/>
          <w:bCs/>
          <w:color w:val="000000"/>
          <w:sz w:val="32"/>
          <w:szCs w:val="32"/>
        </w:rPr>
        <w:t>万元，完成预算</w:t>
      </w:r>
      <w:r>
        <w:rPr>
          <w:rStyle w:val="13"/>
          <w:rFonts w:ascii="仿宋" w:hAnsi="仿宋" w:eastAsia="仿宋"/>
          <w:b w:val="0"/>
          <w:bCs/>
          <w:color w:val="000000"/>
          <w:sz w:val="32"/>
          <w:szCs w:val="32"/>
        </w:rPr>
        <w:t>100.00%</w:t>
      </w:r>
      <w:r>
        <w:rPr>
          <w:rStyle w:val="13"/>
          <w:rFonts w:hint="eastAsia" w:ascii="仿宋" w:hAnsi="仿宋" w:eastAsia="仿宋"/>
          <w:b w:val="0"/>
          <w:bCs/>
          <w:color w:val="000000"/>
          <w:sz w:val="32"/>
          <w:szCs w:val="32"/>
        </w:rPr>
        <w:t>，决算数等于预算数。</w:t>
      </w:r>
    </w:p>
    <w:p w14:paraId="39B9E72E">
      <w:pPr>
        <w:tabs>
          <w:tab w:val="right" w:pos="8306"/>
        </w:tabs>
        <w:spacing w:line="600" w:lineRule="exact"/>
        <w:ind w:firstLine="640"/>
        <w:outlineLvl w:val="1"/>
        <w:rPr>
          <w:rStyle w:val="15"/>
        </w:rPr>
      </w:pPr>
      <w:bookmarkStart w:id="67" w:name="_Toc15377214"/>
      <w:bookmarkStart w:id="68" w:name="_Toc15396608"/>
      <w:bookmarkStart w:id="69" w:name="_Toc22296"/>
      <w:bookmarkStart w:id="70"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5"/>
          <w:rFonts w:hint="eastAsia" w:ascii="黑体" w:hAnsi="黑体" w:eastAsia="黑体"/>
          <w:b w:val="0"/>
        </w:rPr>
        <w:t>般公共预算财政拨款基本支出决算情况说明</w:t>
      </w:r>
      <w:bookmarkEnd w:id="67"/>
      <w:bookmarkEnd w:id="68"/>
      <w:bookmarkEnd w:id="69"/>
      <w:bookmarkEnd w:id="70"/>
      <w:r>
        <w:rPr>
          <w:rStyle w:val="15"/>
          <w:rFonts w:ascii="黑体" w:hAnsi="黑体" w:eastAsia="黑体"/>
          <w:b w:val="0"/>
        </w:rPr>
        <w:tab/>
      </w:r>
    </w:p>
    <w:p w14:paraId="12179460">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ascii="仿宋" w:hAnsi="仿宋" w:eastAsia="仿宋"/>
          <w:color w:val="000000"/>
          <w:sz w:val="32"/>
          <w:szCs w:val="32"/>
        </w:rPr>
        <w:t>791.7</w:t>
      </w:r>
      <w:r>
        <w:rPr>
          <w:rFonts w:hint="eastAsia" w:ascii="仿宋" w:hAnsi="仿宋" w:eastAsia="仿宋"/>
          <w:color w:val="000000"/>
          <w:sz w:val="32"/>
          <w:szCs w:val="32"/>
        </w:rPr>
        <w:t>万元，其中：</w:t>
      </w:r>
    </w:p>
    <w:p w14:paraId="67EE0D5B">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776.79</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A32401B">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ascii="仿宋" w:hAnsi="仿宋" w:eastAsia="仿宋"/>
          <w:color w:val="000000"/>
          <w:sz w:val="32"/>
          <w:szCs w:val="32"/>
        </w:rPr>
        <w:t>14.91</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89F41F9">
      <w:pPr>
        <w:spacing w:line="600" w:lineRule="exact"/>
        <w:ind w:firstLine="640"/>
        <w:outlineLvl w:val="1"/>
        <w:rPr>
          <w:rStyle w:val="15"/>
          <w:rFonts w:ascii="黑体" w:hAnsi="黑体" w:eastAsia="黑体"/>
          <w:b w:val="0"/>
        </w:rPr>
      </w:pPr>
      <w:bookmarkStart w:id="71" w:name="_Toc79163619"/>
      <w:bookmarkStart w:id="72" w:name="_Toc5925"/>
      <w:bookmarkStart w:id="73" w:name="_Toc15396609"/>
      <w:bookmarkStart w:id="74" w:name="_Toc15377215"/>
      <w:r>
        <w:rPr>
          <w:rFonts w:hint="eastAsia" w:ascii="黑体" w:eastAsia="黑体"/>
          <w:color w:val="000000"/>
          <w:sz w:val="32"/>
          <w:szCs w:val="32"/>
        </w:rPr>
        <w:t>七、</w:t>
      </w:r>
      <w:r>
        <w:rPr>
          <w:rStyle w:val="15"/>
          <w:rFonts w:hint="eastAsia" w:ascii="黑体" w:hAnsi="黑体" w:eastAsia="黑体"/>
        </w:rPr>
        <w:t>“</w:t>
      </w:r>
      <w:r>
        <w:rPr>
          <w:rStyle w:val="15"/>
          <w:rFonts w:hint="eastAsia" w:ascii="黑体" w:hAnsi="黑体" w:eastAsia="黑体"/>
          <w:b w:val="0"/>
        </w:rPr>
        <w:t>三公”经费财政拨款支出决算情况说明</w:t>
      </w:r>
      <w:bookmarkEnd w:id="71"/>
      <w:bookmarkEnd w:id="72"/>
      <w:bookmarkEnd w:id="73"/>
      <w:bookmarkEnd w:id="74"/>
    </w:p>
    <w:p w14:paraId="2E790AC2">
      <w:pPr>
        <w:spacing w:line="600" w:lineRule="exact"/>
        <w:ind w:firstLine="643" w:firstLineChars="200"/>
        <w:outlineLvl w:val="2"/>
        <w:rPr>
          <w:rFonts w:ascii="仿宋" w:hAnsi="仿宋" w:eastAsia="仿宋"/>
          <w:b/>
          <w:color w:val="000000"/>
          <w:sz w:val="32"/>
          <w:szCs w:val="32"/>
        </w:rPr>
      </w:pPr>
      <w:bookmarkStart w:id="75" w:name="_Toc79163620"/>
      <w:bookmarkStart w:id="76" w:name="_Toc15377216"/>
      <w:bookmarkStart w:id="77" w:name="_Toc30049"/>
      <w:r>
        <w:rPr>
          <w:rFonts w:hint="eastAsia" w:ascii="仿宋" w:hAnsi="仿宋" w:eastAsia="仿宋"/>
          <w:b/>
          <w:color w:val="000000"/>
          <w:sz w:val="32"/>
          <w:szCs w:val="32"/>
        </w:rPr>
        <w:t>（一）“三公”经费财政拨款支出决算总体情况说明</w:t>
      </w:r>
      <w:bookmarkEnd w:id="75"/>
      <w:bookmarkEnd w:id="76"/>
      <w:bookmarkEnd w:id="77"/>
    </w:p>
    <w:p w14:paraId="77FFB8AA">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w:t>
      </w:r>
      <w:r>
        <w:rPr>
          <w:rFonts w:ascii="仿宋" w:hAnsi="仿宋" w:eastAsia="仿宋"/>
          <w:color w:val="000000"/>
          <w:sz w:val="32"/>
          <w:szCs w:val="32"/>
        </w:rPr>
        <w:t>0</w:t>
      </w:r>
      <w:r>
        <w:rPr>
          <w:rFonts w:hint="eastAsia" w:ascii="仿宋" w:hAnsi="仿宋" w:eastAsia="仿宋"/>
          <w:color w:val="000000"/>
          <w:sz w:val="32"/>
          <w:szCs w:val="32"/>
        </w:rPr>
        <w:t>万元。</w:t>
      </w:r>
    </w:p>
    <w:p w14:paraId="46E7DFE7">
      <w:pPr>
        <w:spacing w:line="600" w:lineRule="exact"/>
        <w:ind w:firstLine="643" w:firstLineChars="200"/>
        <w:outlineLvl w:val="2"/>
        <w:rPr>
          <w:rFonts w:ascii="仿宋" w:hAnsi="仿宋" w:eastAsia="仿宋"/>
          <w:b/>
          <w:color w:val="000000"/>
          <w:sz w:val="32"/>
          <w:szCs w:val="32"/>
        </w:rPr>
      </w:pPr>
      <w:bookmarkStart w:id="78" w:name="_Toc15377217"/>
      <w:bookmarkStart w:id="79" w:name="_Toc25979"/>
      <w:bookmarkStart w:id="80" w:name="_Toc79163621"/>
      <w:r>
        <w:rPr>
          <w:rFonts w:hint="eastAsia" w:ascii="仿宋" w:hAnsi="仿宋" w:eastAsia="仿宋"/>
          <w:b/>
          <w:color w:val="000000"/>
          <w:sz w:val="32"/>
          <w:szCs w:val="32"/>
        </w:rPr>
        <w:t>（二）“三公”经费财政拨款支出决算具体情况说明</w:t>
      </w:r>
      <w:bookmarkEnd w:id="78"/>
      <w:bookmarkEnd w:id="79"/>
      <w:bookmarkEnd w:id="80"/>
    </w:p>
    <w:p w14:paraId="43E11C9A">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w:t>
      </w:r>
      <w:r>
        <w:rPr>
          <w:rFonts w:ascii="仿宋" w:hAnsi="仿宋" w:eastAsia="仿宋"/>
          <w:color w:val="000000"/>
          <w:sz w:val="32"/>
          <w:szCs w:val="32"/>
        </w:rPr>
        <w:t>0</w:t>
      </w:r>
      <w:r>
        <w:rPr>
          <w:rFonts w:hint="eastAsia" w:ascii="仿宋" w:hAnsi="仿宋" w:eastAsia="仿宋"/>
          <w:color w:val="000000"/>
          <w:sz w:val="32"/>
          <w:szCs w:val="32"/>
        </w:rPr>
        <w:t>万元；公务接待费支出决算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p>
    <w:p w14:paraId="5945587A">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w:t>
      </w:r>
    </w:p>
    <w:p w14:paraId="37C1C9A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14:paraId="35362EF2">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p>
    <w:p w14:paraId="6ADBC6EC">
      <w:pPr>
        <w:spacing w:line="600" w:lineRule="exact"/>
        <w:ind w:firstLine="640"/>
        <w:outlineLvl w:val="1"/>
        <w:rPr>
          <w:rStyle w:val="15"/>
          <w:rFonts w:ascii="黑体" w:hAnsi="黑体" w:eastAsia="黑体"/>
        </w:rPr>
      </w:pPr>
      <w:bookmarkStart w:id="81" w:name="_Toc15377218"/>
      <w:bookmarkStart w:id="82" w:name="_Toc79163622"/>
      <w:bookmarkStart w:id="83" w:name="_Toc755"/>
      <w:bookmarkStart w:id="84" w:name="_Toc15396610"/>
      <w:r>
        <w:rPr>
          <w:rFonts w:hint="eastAsia" w:ascii="黑体" w:eastAsia="黑体"/>
          <w:color w:val="000000"/>
          <w:sz w:val="32"/>
          <w:szCs w:val="32"/>
        </w:rPr>
        <w:t>八、</w:t>
      </w:r>
      <w:r>
        <w:rPr>
          <w:rStyle w:val="15"/>
          <w:rFonts w:hint="eastAsia" w:ascii="黑体" w:hAnsi="黑体" w:eastAsia="黑体"/>
          <w:b w:val="0"/>
        </w:rPr>
        <w:t>政府性基金预算支出决算情况说明</w:t>
      </w:r>
      <w:bookmarkEnd w:id="81"/>
      <w:bookmarkEnd w:id="82"/>
      <w:bookmarkEnd w:id="83"/>
      <w:bookmarkEnd w:id="84"/>
    </w:p>
    <w:p w14:paraId="2454093F">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399002C6">
      <w:pPr>
        <w:numPr>
          <w:ilvl w:val="0"/>
          <w:numId w:val="1"/>
        </w:numPr>
        <w:spacing w:line="600" w:lineRule="exact"/>
        <w:ind w:firstLine="640"/>
        <w:outlineLvl w:val="1"/>
        <w:rPr>
          <w:rStyle w:val="15"/>
          <w:rFonts w:ascii="黑体" w:hAnsi="黑体" w:eastAsia="黑体"/>
          <w:b w:val="0"/>
        </w:rPr>
      </w:pPr>
      <w:bookmarkStart w:id="85" w:name="_Toc79163623"/>
      <w:bookmarkStart w:id="86" w:name="_Toc15377219"/>
      <w:bookmarkStart w:id="87" w:name="_Toc15396611"/>
      <w:bookmarkStart w:id="88" w:name="_Toc30375"/>
      <w:r>
        <w:rPr>
          <w:rStyle w:val="15"/>
          <w:rFonts w:hint="eastAsia" w:ascii="黑体" w:hAnsi="黑体" w:eastAsia="黑体"/>
          <w:b w:val="0"/>
        </w:rPr>
        <w:t>国有资本经营预算支出决算情况说明</w:t>
      </w:r>
      <w:bookmarkEnd w:id="85"/>
      <w:bookmarkEnd w:id="86"/>
      <w:bookmarkEnd w:id="87"/>
      <w:bookmarkEnd w:id="88"/>
    </w:p>
    <w:p w14:paraId="7207B4CE">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5CFE1324">
      <w:pPr>
        <w:spacing w:line="600" w:lineRule="exact"/>
        <w:ind w:firstLine="800" w:firstLineChars="250"/>
        <w:outlineLvl w:val="1"/>
        <w:rPr>
          <w:rStyle w:val="15"/>
          <w:rFonts w:ascii="黑体" w:hAnsi="黑体" w:eastAsia="黑体"/>
        </w:rPr>
      </w:pPr>
      <w:bookmarkStart w:id="89" w:name="_Toc79163624"/>
      <w:bookmarkStart w:id="90" w:name="_Toc15396612"/>
      <w:bookmarkStart w:id="91" w:name="_Toc14055"/>
      <w:bookmarkStart w:id="92" w:name="_Toc15377221"/>
      <w:r>
        <w:rPr>
          <w:rFonts w:hint="eastAsia" w:ascii="黑体" w:hAnsi="黑体" w:eastAsia="黑体"/>
          <w:color w:val="000000"/>
          <w:sz w:val="32"/>
          <w:szCs w:val="32"/>
        </w:rPr>
        <w:t>十</w:t>
      </w:r>
      <w:r>
        <w:rPr>
          <w:rStyle w:val="15"/>
          <w:rFonts w:hint="eastAsia" w:ascii="黑体" w:hAnsi="黑体" w:eastAsia="黑体"/>
        </w:rPr>
        <w:t>、</w:t>
      </w:r>
      <w:r>
        <w:rPr>
          <w:rStyle w:val="15"/>
          <w:rFonts w:hint="eastAsia" w:ascii="黑体" w:hAnsi="黑体" w:eastAsia="黑体"/>
          <w:b w:val="0"/>
        </w:rPr>
        <w:t>其他重要事项的情况说明</w:t>
      </w:r>
      <w:bookmarkEnd w:id="89"/>
      <w:bookmarkEnd w:id="90"/>
      <w:bookmarkEnd w:id="91"/>
      <w:bookmarkEnd w:id="92"/>
    </w:p>
    <w:p w14:paraId="7E92CE8B">
      <w:pPr>
        <w:spacing w:line="600" w:lineRule="exact"/>
        <w:ind w:firstLine="643" w:firstLineChars="200"/>
        <w:outlineLvl w:val="2"/>
        <w:rPr>
          <w:rFonts w:ascii="仿宋" w:hAnsi="仿宋" w:eastAsia="仿宋"/>
          <w:color w:val="000000"/>
          <w:sz w:val="32"/>
          <w:szCs w:val="32"/>
        </w:rPr>
      </w:pPr>
      <w:bookmarkStart w:id="93" w:name="_Toc79163625"/>
      <w:bookmarkStart w:id="94" w:name="_Toc25860"/>
      <w:bookmarkStart w:id="95" w:name="_Toc15377222"/>
      <w:r>
        <w:rPr>
          <w:rFonts w:hint="eastAsia" w:ascii="仿宋" w:hAnsi="仿宋" w:eastAsia="仿宋"/>
          <w:b/>
          <w:color w:val="000000"/>
          <w:sz w:val="32"/>
          <w:szCs w:val="32"/>
        </w:rPr>
        <w:t>（一）机关运行经费支出情况</w:t>
      </w:r>
      <w:bookmarkEnd w:id="93"/>
      <w:bookmarkEnd w:id="94"/>
      <w:bookmarkEnd w:id="95"/>
    </w:p>
    <w:p w14:paraId="4F0DF4B9">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1年，壤塘县藏医院无机关运行经费支出。</w:t>
      </w:r>
    </w:p>
    <w:p w14:paraId="6A544B7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6" w:name="_Toc2884"/>
      <w:bookmarkStart w:id="97" w:name="_Toc15377223"/>
      <w:bookmarkStart w:id="98" w:name="_Toc79163626"/>
      <w:r>
        <w:rPr>
          <w:rFonts w:hint="eastAsia" w:ascii="仿宋" w:hAnsi="仿宋" w:eastAsia="仿宋"/>
          <w:b/>
          <w:color w:val="000000"/>
          <w:sz w:val="32"/>
          <w:szCs w:val="32"/>
        </w:rPr>
        <w:t>（二）政府采购支出情况</w:t>
      </w:r>
      <w:bookmarkEnd w:id="96"/>
      <w:bookmarkEnd w:id="97"/>
      <w:bookmarkEnd w:id="98"/>
    </w:p>
    <w:p w14:paraId="6448DAC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1年，壤塘县藏医院政府采购支出总额</w:t>
      </w:r>
      <w:r>
        <w:rPr>
          <w:rFonts w:ascii="仿宋_GB2312" w:eastAsia="仿宋_GB2312"/>
          <w:color w:val="000000"/>
          <w:sz w:val="32"/>
          <w:szCs w:val="32"/>
        </w:rPr>
        <w:t>30.3</w:t>
      </w:r>
      <w:r>
        <w:rPr>
          <w:rFonts w:hint="eastAsia" w:ascii="仿宋_GB2312" w:eastAsia="仿宋_GB2312"/>
          <w:color w:val="000000"/>
          <w:sz w:val="32"/>
          <w:szCs w:val="32"/>
        </w:rPr>
        <w:t>万元，其中：政府采购货物支出</w:t>
      </w:r>
      <w:r>
        <w:rPr>
          <w:rFonts w:ascii="仿宋_GB2312" w:eastAsia="仿宋_GB2312"/>
          <w:color w:val="000000"/>
          <w:sz w:val="32"/>
          <w:szCs w:val="32"/>
        </w:rPr>
        <w:t>30.3</w:t>
      </w:r>
      <w:r>
        <w:rPr>
          <w:rFonts w:hint="eastAsia" w:ascii="仿宋_GB2312" w:eastAsia="仿宋_GB2312"/>
          <w:color w:val="000000"/>
          <w:sz w:val="32"/>
          <w:szCs w:val="32"/>
        </w:rPr>
        <w:t>万元。主要用于地方医疗服务建设。授予中小企业合同金额</w:t>
      </w:r>
      <w:r>
        <w:rPr>
          <w:rFonts w:ascii="仿宋_GB2312" w:eastAsia="仿宋_GB2312"/>
          <w:color w:val="000000"/>
          <w:sz w:val="32"/>
          <w:szCs w:val="32"/>
        </w:rPr>
        <w:t>30.3</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100.00%</w:t>
      </w:r>
      <w:r>
        <w:rPr>
          <w:rFonts w:hint="eastAsia" w:ascii="仿宋_GB2312" w:eastAsia="仿宋_GB2312"/>
          <w:color w:val="000000"/>
          <w:sz w:val="32"/>
          <w:szCs w:val="32"/>
        </w:rPr>
        <w:t>。</w:t>
      </w:r>
    </w:p>
    <w:p w14:paraId="385FB61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79163627"/>
      <w:bookmarkStart w:id="100" w:name="_Toc15377224"/>
      <w:bookmarkStart w:id="101" w:name="_Toc20270"/>
      <w:r>
        <w:rPr>
          <w:rFonts w:hint="eastAsia" w:ascii="仿宋" w:hAnsi="仿宋" w:eastAsia="仿宋"/>
          <w:b/>
          <w:color w:val="000000"/>
          <w:sz w:val="32"/>
          <w:szCs w:val="32"/>
        </w:rPr>
        <w:t>（三）国有资产占有使用情况</w:t>
      </w:r>
      <w:bookmarkEnd w:id="99"/>
      <w:bookmarkEnd w:id="100"/>
      <w:bookmarkEnd w:id="101"/>
    </w:p>
    <w:p w14:paraId="3DF86581">
      <w:pPr>
        <w:autoSpaceDE w:val="0"/>
        <w:autoSpaceDN w:val="0"/>
        <w:adjustRightInd w:val="0"/>
        <w:spacing w:line="600" w:lineRule="exact"/>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日，壤塘县藏医院共有车辆</w:t>
      </w:r>
      <w:r>
        <w:rPr>
          <w:rFonts w:ascii="仿宋_GB2312" w:eastAsia="仿宋_GB2312"/>
          <w:color w:val="000000"/>
          <w:sz w:val="32"/>
          <w:szCs w:val="32"/>
        </w:rPr>
        <w:t>1</w:t>
      </w:r>
      <w:r>
        <w:rPr>
          <w:rFonts w:hint="eastAsia" w:ascii="仿宋_GB2312" w:eastAsia="仿宋_GB2312"/>
          <w:color w:val="000000"/>
          <w:sz w:val="32"/>
          <w:szCs w:val="32"/>
        </w:rPr>
        <w:t>辆，其中：特种专业技术用车1辆，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万元以上专用设备</w:t>
      </w: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台（套）。</w:t>
      </w:r>
    </w:p>
    <w:p w14:paraId="717C297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2" w:name="_Toc79163628"/>
      <w:bookmarkStart w:id="103" w:name="_Toc17954"/>
      <w:r>
        <w:rPr>
          <w:rFonts w:hint="eastAsia" w:ascii="仿宋" w:hAnsi="仿宋" w:eastAsia="仿宋"/>
          <w:b/>
          <w:color w:val="000000"/>
          <w:sz w:val="32"/>
          <w:szCs w:val="32"/>
        </w:rPr>
        <w:t>（四）预算绩效管理情况。</w:t>
      </w:r>
      <w:bookmarkEnd w:id="102"/>
      <w:bookmarkEnd w:id="103"/>
    </w:p>
    <w:p w14:paraId="0D52860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1年部门整体支出开展绩效自评，从评价情况来看整体执行情况较好。本部门还自行组织了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个项目支出绩效评价，从评价情况来看基本公共卫生工作开展情况为良好。</w:t>
      </w:r>
    </w:p>
    <w:p w14:paraId="6756BF57">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14:paraId="07B4113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）基本公共卫生绩效目标完成情况综述。项目执行数为</w:t>
      </w:r>
      <w:r>
        <w:rPr>
          <w:rFonts w:ascii="仿宋_GB2312" w:hAnsi="仿宋_GB2312" w:eastAsia="仿宋_GB2312" w:cs="仿宋_GB2312"/>
          <w:sz w:val="32"/>
          <w:szCs w:val="32"/>
        </w:rPr>
        <w:t>55.58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。通过项目实施，重点地方病防治措施全面落实。开展职业病检测，保护放射工作人员、患者和公众的健康权益。</w:t>
      </w:r>
    </w:p>
    <w:p w14:paraId="4B0ECC17">
      <w:pPr>
        <w:spacing w:line="580" w:lineRule="exact"/>
        <w:ind w:firstLine="640" w:firstLineChars="200"/>
        <w:rPr>
          <w:rFonts w:ascii="仿宋_GB2312" w:hAnsi="仿宋_GB2312" w:eastAsia="仿宋_GB2312" w:cs="仿宋_GB2312"/>
          <w:sz w:val="32"/>
          <w:szCs w:val="32"/>
        </w:rPr>
      </w:pPr>
    </w:p>
    <w:p w14:paraId="660C8970">
      <w:pPr>
        <w:spacing w:line="580" w:lineRule="exact"/>
        <w:ind w:firstLine="640" w:firstLineChars="200"/>
        <w:rPr>
          <w:rFonts w:ascii="仿宋_GB2312" w:hAnsi="仿宋_GB2312" w:eastAsia="仿宋_GB2312" w:cs="仿宋_GB2312"/>
          <w:sz w:val="32"/>
          <w:szCs w:val="32"/>
        </w:rPr>
      </w:pPr>
    </w:p>
    <w:p w14:paraId="07E04638">
      <w:pPr>
        <w:spacing w:line="580" w:lineRule="exact"/>
        <w:ind w:firstLine="640" w:firstLineChars="200"/>
        <w:rPr>
          <w:rFonts w:ascii="仿宋_GB2312" w:hAnsi="仿宋_GB2312" w:eastAsia="仿宋_GB2312" w:cs="仿宋_GB2312"/>
          <w:sz w:val="32"/>
          <w:szCs w:val="32"/>
        </w:rPr>
      </w:pPr>
    </w:p>
    <w:p w14:paraId="4FAF6532">
      <w:pPr>
        <w:spacing w:line="580" w:lineRule="exact"/>
        <w:ind w:firstLine="640" w:firstLineChars="200"/>
        <w:rPr>
          <w:rFonts w:ascii="仿宋_GB2312" w:hAnsi="仿宋_GB2312" w:eastAsia="仿宋_GB2312" w:cs="仿宋_GB2312"/>
          <w:sz w:val="32"/>
          <w:szCs w:val="32"/>
        </w:rPr>
      </w:pPr>
    </w:p>
    <w:p w14:paraId="641D35C5">
      <w:pPr>
        <w:spacing w:line="580" w:lineRule="exact"/>
        <w:ind w:firstLine="640" w:firstLineChars="200"/>
        <w:rPr>
          <w:rFonts w:ascii="仿宋_GB2312" w:hAnsi="仿宋_GB2312" w:eastAsia="仿宋_GB2312" w:cs="仿宋_GB2312"/>
          <w:sz w:val="32"/>
          <w:szCs w:val="32"/>
        </w:rPr>
      </w:pPr>
    </w:p>
    <w:p w14:paraId="220F7A49">
      <w:pPr>
        <w:spacing w:line="580" w:lineRule="exact"/>
        <w:ind w:firstLine="640" w:firstLineChars="200"/>
        <w:rPr>
          <w:rFonts w:ascii="仿宋_GB2312" w:hAnsi="仿宋_GB2312" w:eastAsia="仿宋_GB2312" w:cs="仿宋_GB2312"/>
          <w:sz w:val="32"/>
          <w:szCs w:val="32"/>
        </w:rPr>
      </w:pPr>
    </w:p>
    <w:p w14:paraId="35E6B525">
      <w:pPr>
        <w:spacing w:line="580" w:lineRule="exact"/>
        <w:ind w:firstLine="640" w:firstLineChars="200"/>
        <w:rPr>
          <w:rFonts w:ascii="仿宋_GB2312" w:hAnsi="仿宋_GB2312" w:eastAsia="仿宋_GB2312" w:cs="仿宋_GB2312"/>
          <w:sz w:val="32"/>
          <w:szCs w:val="32"/>
        </w:rPr>
      </w:pPr>
    </w:p>
    <w:p w14:paraId="40457899">
      <w:pPr>
        <w:spacing w:line="580" w:lineRule="exact"/>
        <w:ind w:firstLine="640" w:firstLineChars="200"/>
        <w:rPr>
          <w:rFonts w:ascii="仿宋_GB2312" w:hAnsi="仿宋_GB2312" w:eastAsia="仿宋_GB2312" w:cs="仿宋_GB2312"/>
          <w:sz w:val="32"/>
          <w:szCs w:val="32"/>
        </w:rPr>
      </w:pPr>
    </w:p>
    <w:p w14:paraId="2498190C">
      <w:pPr>
        <w:spacing w:line="580" w:lineRule="exact"/>
        <w:ind w:firstLine="640" w:firstLineChars="200"/>
        <w:rPr>
          <w:rFonts w:hint="eastAsia" w:ascii="仿宋_GB2312" w:hAnsi="仿宋_GB2312" w:eastAsia="仿宋_GB2312" w:cs="仿宋_GB2312"/>
          <w:sz w:val="32"/>
          <w:szCs w:val="32"/>
        </w:rPr>
      </w:pPr>
    </w:p>
    <w:p w14:paraId="1A9B1BA6">
      <w:pPr>
        <w:spacing w:line="580" w:lineRule="exact"/>
        <w:ind w:firstLine="640" w:firstLineChars="200"/>
        <w:rPr>
          <w:rFonts w:hint="eastAsia" w:ascii="仿宋_GB2312" w:hAnsi="仿宋_GB2312" w:eastAsia="仿宋_GB2312" w:cs="仿宋_GB2312"/>
          <w:sz w:val="32"/>
          <w:szCs w:val="32"/>
        </w:rPr>
      </w:pPr>
    </w:p>
    <w:p w14:paraId="27B51D82">
      <w:pPr>
        <w:spacing w:line="580" w:lineRule="exact"/>
        <w:ind w:firstLine="640" w:firstLineChars="200"/>
        <w:rPr>
          <w:rFonts w:hint="eastAsia" w:ascii="仿宋_GB2312" w:hAnsi="仿宋_GB2312" w:eastAsia="仿宋_GB2312" w:cs="仿宋_GB2312"/>
          <w:sz w:val="32"/>
          <w:szCs w:val="32"/>
        </w:rPr>
      </w:pPr>
    </w:p>
    <w:p w14:paraId="77059405">
      <w:pPr>
        <w:spacing w:line="580" w:lineRule="exact"/>
        <w:ind w:firstLine="640" w:firstLineChars="200"/>
        <w:rPr>
          <w:rFonts w:hint="eastAsia" w:ascii="仿宋_GB2312" w:hAnsi="仿宋_GB2312" w:eastAsia="仿宋_GB2312" w:cs="仿宋_GB2312"/>
          <w:sz w:val="32"/>
          <w:szCs w:val="32"/>
        </w:rPr>
      </w:pPr>
    </w:p>
    <w:p w14:paraId="31E6246A">
      <w:pPr>
        <w:spacing w:line="580" w:lineRule="exact"/>
        <w:ind w:firstLine="640" w:firstLineChars="200"/>
        <w:rPr>
          <w:rFonts w:hint="eastAsia" w:ascii="仿宋_GB2312" w:hAnsi="仿宋_GB2312" w:eastAsia="仿宋_GB2312" w:cs="仿宋_GB2312"/>
          <w:sz w:val="32"/>
          <w:szCs w:val="32"/>
        </w:rPr>
      </w:pPr>
    </w:p>
    <w:p w14:paraId="5E0DC591">
      <w:pPr>
        <w:spacing w:line="580" w:lineRule="exact"/>
        <w:ind w:firstLine="640" w:firstLineChars="200"/>
        <w:rPr>
          <w:rFonts w:hint="eastAsia" w:ascii="仿宋_GB2312" w:hAnsi="仿宋_GB2312" w:eastAsia="仿宋_GB2312" w:cs="仿宋_GB2312"/>
          <w:sz w:val="32"/>
          <w:szCs w:val="32"/>
        </w:rPr>
      </w:pPr>
    </w:p>
    <w:p w14:paraId="7475A2E5">
      <w:pPr>
        <w:spacing w:line="580" w:lineRule="exact"/>
        <w:ind w:firstLine="640" w:firstLineChars="200"/>
        <w:rPr>
          <w:rFonts w:hint="eastAsia" w:ascii="仿宋_GB2312" w:hAnsi="仿宋_GB2312" w:eastAsia="仿宋_GB2312" w:cs="仿宋_GB2312"/>
          <w:sz w:val="32"/>
          <w:szCs w:val="32"/>
        </w:rPr>
      </w:pPr>
    </w:p>
    <w:p w14:paraId="4B5A6142">
      <w:pPr>
        <w:spacing w:line="580" w:lineRule="exact"/>
        <w:ind w:firstLine="640" w:firstLineChars="200"/>
        <w:rPr>
          <w:rFonts w:ascii="仿宋_GB2312" w:hAnsi="仿宋_GB2312" w:eastAsia="仿宋_GB2312" w:cs="仿宋_GB2312"/>
          <w:sz w:val="32"/>
          <w:szCs w:val="32"/>
        </w:rPr>
      </w:pPr>
    </w:p>
    <w:tbl>
      <w:tblPr>
        <w:tblStyle w:val="1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C1107FE">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540736D">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14:paraId="2F1CF6EE">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14:paraId="7FCAC26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F8305">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7F2C6F">
            <w:pPr>
              <w:widowControl/>
              <w:jc w:val="center"/>
              <w:textAlignment w:val="center"/>
              <w:rPr>
                <w:rFonts w:ascii="宋体" w:cs="宋体"/>
                <w:color w:val="000000"/>
                <w:sz w:val="24"/>
              </w:rPr>
            </w:pPr>
            <w:r>
              <w:rPr>
                <w:rFonts w:hint="eastAsia" w:ascii="宋体" w:cs="宋体"/>
                <w:color w:val="000000"/>
                <w:sz w:val="24"/>
              </w:rPr>
              <w:t>基本公卫卫生服务项目</w:t>
            </w:r>
          </w:p>
        </w:tc>
      </w:tr>
      <w:tr w14:paraId="41DEA29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C3C91">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7B650">
            <w:pPr>
              <w:widowControl/>
              <w:jc w:val="center"/>
              <w:textAlignment w:val="center"/>
              <w:rPr>
                <w:rFonts w:ascii="宋体" w:cs="宋体"/>
                <w:color w:val="000000"/>
                <w:sz w:val="24"/>
              </w:rPr>
            </w:pPr>
            <w:r>
              <w:rPr>
                <w:rFonts w:hint="eastAsia" w:ascii="宋体" w:cs="宋体"/>
                <w:color w:val="000000"/>
                <w:sz w:val="24"/>
              </w:rPr>
              <w:t>壤塘县藏医院</w:t>
            </w:r>
          </w:p>
        </w:tc>
      </w:tr>
      <w:tr w14:paraId="28090DAC">
        <w:tblPrEx>
          <w:tblCellMar>
            <w:top w:w="0" w:type="dxa"/>
            <w:left w:w="0" w:type="dxa"/>
            <w:bottom w:w="0" w:type="dxa"/>
            <w:right w:w="0" w:type="dxa"/>
          </w:tblCellMar>
        </w:tblPrEx>
        <w:trPr>
          <w:trHeight w:val="30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EE0FE">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A8000">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46214F1">
            <w:r>
              <w:t>55.58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0B7C38">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4DC42C8">
            <w:r>
              <w:t>55.58</w:t>
            </w:r>
          </w:p>
        </w:tc>
      </w:tr>
      <w:tr w14:paraId="425EE42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96F84">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FC9AE">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C47FA50">
            <w:r>
              <w:t>55.58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96532D">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DD7BB9E">
            <w:r>
              <w:t>55.58</w:t>
            </w:r>
          </w:p>
        </w:tc>
      </w:tr>
      <w:tr w14:paraId="005C55A4">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93AC5">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D69CD">
            <w:pPr>
              <w:widowControl/>
              <w:jc w:val="center"/>
              <w:textAlignment w:val="center"/>
              <w:rPr>
                <w:rFonts w:ascii="宋体" w:cs="宋体"/>
                <w:color w:val="000000"/>
                <w:sz w:val="24"/>
              </w:rPr>
            </w:pPr>
            <w:r>
              <w:rPr>
                <w:rFonts w:hint="eastAsia" w:ascii="宋体" w:hAnsi="宋体" w:cs="宋体"/>
                <w:color w:val="000000"/>
                <w:kern w:val="0"/>
                <w:sz w:val="24"/>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9C790">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5761EC">
            <w:pPr>
              <w:widowControl/>
              <w:jc w:val="center"/>
              <w:textAlignment w:val="center"/>
              <w:rPr>
                <w:rFonts w:ascii="宋体" w:cs="宋体"/>
                <w:color w:val="000000"/>
                <w:sz w:val="24"/>
              </w:rPr>
            </w:pPr>
            <w:r>
              <w:rPr>
                <w:rFonts w:hint="eastAsia" w:ascii="宋体" w:hAnsi="宋体" w:cs="宋体"/>
                <w:color w:val="000000"/>
                <w:kern w:val="0"/>
                <w:sz w:val="24"/>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ED1CA9">
            <w:pPr>
              <w:jc w:val="center"/>
              <w:rPr>
                <w:rFonts w:ascii="宋体" w:cs="宋体"/>
                <w:color w:val="000000"/>
                <w:sz w:val="24"/>
              </w:rPr>
            </w:pPr>
          </w:p>
        </w:tc>
      </w:tr>
      <w:tr w14:paraId="2DCC882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AE6A3">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91C546">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7BEC45">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7DB3D53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5169B">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B0F68">
            <w:pPr>
              <w:widowControl/>
              <w:jc w:val="center"/>
              <w:textAlignment w:val="center"/>
              <w:rPr>
                <w:rFonts w:ascii="宋体" w:cs="宋体"/>
                <w:color w:val="000000"/>
                <w:sz w:val="24"/>
              </w:rPr>
            </w:pPr>
            <w:r>
              <w:rPr>
                <w:rFonts w:hint="eastAsia" w:ascii="宋体" w:cs="宋体"/>
                <w:color w:val="000000"/>
                <w:sz w:val="24"/>
              </w:rPr>
              <w:t>目标:1:免费向全县常住城乡居民提供12类国家基本公共卫生服务；2:开展对重点疾病及危害因素检测，有效控制疾病流行，为制定相关政策提供科学依据。助力国家脱贫攻坚，保持重点地方病防治措施全面落实。开展职业病检测，最大限度地保护放射工作人员、患者和公众的健康权益。同时推进妇幼健康、健康素养促进、医养结合和老年健康服务、卫生应急、计划生育等方面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B29A96">
            <w:pPr>
              <w:widowControl/>
              <w:jc w:val="center"/>
              <w:textAlignment w:val="center"/>
              <w:rPr>
                <w:rFonts w:ascii="宋体" w:cs="宋体"/>
                <w:color w:val="000000"/>
                <w:sz w:val="24"/>
              </w:rPr>
            </w:pPr>
            <w:r>
              <w:rPr>
                <w:rFonts w:hint="eastAsia" w:ascii="宋体" w:cs="宋体"/>
                <w:color w:val="000000"/>
                <w:sz w:val="24"/>
              </w:rPr>
              <w:t>目标:1:免费向全县常住城乡居民提供12类国家基本公共卫生服务；2:开展对重点疾病及危害因素检测，有效控制疾病流行，为制定相关政策提供科学依据。助力国家脱贫攻坚，保持重点地方病防治措施全面落实。开展职业病检测，最大限度地保护放射工作人员、患者和公众的健康权益。同时推进妇幼健康、健康素养促进、医养结合和老年健康服务、卫生应急、计划生育等方面工作。</w:t>
            </w:r>
          </w:p>
        </w:tc>
      </w:tr>
      <w:tr w14:paraId="53A24DF1">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7919D4B">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5E4D1">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AED395">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A8357">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CFC8D2">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3AAF0">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75BE619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06A80AD">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3EFF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E2FB8">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385F5">
            <w:pPr>
              <w:widowControl/>
              <w:jc w:val="center"/>
              <w:textAlignment w:val="center"/>
              <w:rPr>
                <w:rFonts w:ascii="宋体" w:cs="宋体"/>
                <w:color w:val="000000"/>
                <w:sz w:val="24"/>
              </w:rPr>
            </w:pPr>
            <w:r>
              <w:rPr>
                <w:rFonts w:hint="eastAsia" w:ascii="宋体" w:cs="宋体"/>
                <w:color w:val="000000"/>
                <w:sz w:val="24"/>
              </w:rPr>
              <w:t>居民健康档案管理服务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78C00">
            <w:pPr>
              <w:widowControl/>
              <w:jc w:val="center"/>
              <w:textAlignment w:val="center"/>
              <w:rPr>
                <w:rFonts w:ascii="宋体" w:cs="宋体"/>
                <w:color w:val="000000"/>
                <w:sz w:val="24"/>
              </w:rPr>
            </w:pPr>
            <w:r>
              <w:rPr>
                <w:rFonts w:hint="eastAsia" w:ascii="宋体" w:cs="宋体"/>
                <w:color w:val="000000"/>
                <w:sz w:val="24"/>
              </w:rPr>
              <w:t>≥97%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981BC4">
            <w:pPr>
              <w:widowControl/>
              <w:jc w:val="center"/>
              <w:textAlignment w:val="center"/>
              <w:rPr>
                <w:rFonts w:ascii="宋体" w:cs="宋体"/>
                <w:color w:val="000000"/>
                <w:sz w:val="24"/>
              </w:rPr>
            </w:pPr>
            <w:r>
              <w:rPr>
                <w:rFonts w:hint="eastAsia" w:ascii="宋体" w:cs="宋体"/>
                <w:color w:val="000000"/>
                <w:sz w:val="24"/>
              </w:rPr>
              <w:t>≥97%</w:t>
            </w:r>
          </w:p>
        </w:tc>
      </w:tr>
      <w:tr w14:paraId="5B0A7FA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1D6036E">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B30D7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34A379">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1E2D7">
            <w:pPr>
              <w:widowControl/>
              <w:jc w:val="center"/>
              <w:textAlignment w:val="center"/>
              <w:rPr>
                <w:rFonts w:ascii="宋体" w:cs="宋体"/>
                <w:color w:val="000000"/>
                <w:sz w:val="24"/>
              </w:rPr>
            </w:pPr>
            <w:r>
              <w:rPr>
                <w:rFonts w:hint="eastAsia" w:ascii="宋体" w:cs="宋体"/>
                <w:color w:val="000000"/>
                <w:sz w:val="24"/>
              </w:rPr>
              <w:t>健康教育服务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7F6953">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430A0E">
            <w:pPr>
              <w:widowControl/>
              <w:jc w:val="center"/>
              <w:textAlignment w:val="center"/>
              <w:rPr>
                <w:rFonts w:ascii="宋体" w:cs="宋体"/>
                <w:color w:val="000000"/>
                <w:sz w:val="24"/>
              </w:rPr>
            </w:pPr>
            <w:r>
              <w:rPr>
                <w:rFonts w:hint="eastAsia" w:ascii="宋体" w:cs="宋体"/>
                <w:color w:val="000000"/>
                <w:sz w:val="24"/>
              </w:rPr>
              <w:t>≥100%</w:t>
            </w:r>
          </w:p>
        </w:tc>
      </w:tr>
      <w:tr w14:paraId="192D41B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08EF91E">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B7A2FB">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519EB">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861DC0">
            <w:pPr>
              <w:widowControl/>
              <w:jc w:val="center"/>
              <w:textAlignment w:val="center"/>
              <w:rPr>
                <w:rFonts w:ascii="宋体" w:cs="宋体"/>
                <w:color w:val="000000"/>
                <w:sz w:val="24"/>
              </w:rPr>
            </w:pPr>
            <w:r>
              <w:rPr>
                <w:rFonts w:hint="eastAsia" w:ascii="宋体" w:cs="宋体"/>
                <w:color w:val="000000"/>
                <w:sz w:val="24"/>
              </w:rPr>
              <w:t>预防接种服务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B1D331">
            <w:pPr>
              <w:widowControl/>
              <w:jc w:val="center"/>
              <w:textAlignment w:val="center"/>
              <w:rPr>
                <w:rFonts w:ascii="宋体" w:cs="宋体"/>
                <w:color w:val="000000"/>
                <w:sz w:val="24"/>
              </w:rPr>
            </w:pPr>
            <w:r>
              <w:rPr>
                <w:rFonts w:hint="eastAsia"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67CD66">
            <w:pPr>
              <w:widowControl/>
              <w:jc w:val="center"/>
              <w:textAlignment w:val="center"/>
              <w:rPr>
                <w:rFonts w:ascii="宋体" w:cs="宋体"/>
                <w:color w:val="000000"/>
                <w:sz w:val="24"/>
              </w:rPr>
            </w:pPr>
            <w:r>
              <w:rPr>
                <w:rFonts w:hint="eastAsia" w:ascii="宋体" w:cs="宋体"/>
                <w:color w:val="000000"/>
                <w:sz w:val="24"/>
              </w:rPr>
              <w:t>≥90%</w:t>
            </w:r>
          </w:p>
        </w:tc>
      </w:tr>
      <w:tr w14:paraId="41170B1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7DBEB61">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00AB4">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82E9D">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B3433F">
            <w:pPr>
              <w:widowControl/>
              <w:jc w:val="center"/>
              <w:textAlignment w:val="center"/>
              <w:rPr>
                <w:rFonts w:ascii="宋体" w:cs="宋体"/>
                <w:color w:val="000000"/>
                <w:sz w:val="24"/>
              </w:rPr>
            </w:pPr>
            <w:r>
              <w:rPr>
                <w:rFonts w:hint="eastAsia" w:ascii="宋体" w:cs="宋体"/>
                <w:color w:val="000000"/>
                <w:sz w:val="24"/>
              </w:rPr>
              <w:t>0-6岁儿童健康管理服务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9E0DD">
            <w:pPr>
              <w:widowControl/>
              <w:jc w:val="center"/>
              <w:textAlignment w:val="center"/>
              <w:rPr>
                <w:rFonts w:ascii="宋体" w:cs="宋体"/>
                <w:color w:val="000000"/>
                <w:sz w:val="24"/>
              </w:rPr>
            </w:pPr>
            <w:r>
              <w:rPr>
                <w:rFonts w:hint="eastAsia" w:ascii="宋体" w:cs="宋体"/>
                <w:color w:val="000000"/>
                <w:sz w:val="24"/>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FCFFF">
            <w:pPr>
              <w:widowControl/>
              <w:jc w:val="center"/>
              <w:textAlignment w:val="center"/>
              <w:rPr>
                <w:rFonts w:ascii="宋体" w:cs="宋体"/>
                <w:color w:val="000000"/>
                <w:sz w:val="24"/>
              </w:rPr>
            </w:pPr>
            <w:r>
              <w:rPr>
                <w:rFonts w:hint="eastAsia" w:ascii="宋体" w:cs="宋体"/>
                <w:color w:val="000000"/>
                <w:sz w:val="24"/>
              </w:rPr>
              <w:t>≥85%</w:t>
            </w:r>
          </w:p>
        </w:tc>
      </w:tr>
      <w:tr w14:paraId="14740C5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0894761">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5BAA4B">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952A2">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8F6F2">
            <w:pPr>
              <w:widowControl/>
              <w:jc w:val="center"/>
              <w:textAlignment w:val="center"/>
              <w:rPr>
                <w:rFonts w:ascii="宋体" w:cs="宋体"/>
                <w:color w:val="000000"/>
                <w:sz w:val="24"/>
              </w:rPr>
            </w:pPr>
            <w:r>
              <w:rPr>
                <w:rFonts w:hint="eastAsia" w:ascii="宋体" w:cs="宋体"/>
                <w:color w:val="000000"/>
                <w:sz w:val="24"/>
              </w:rPr>
              <w:t>孕产妇健康管理服务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282E9">
            <w:pPr>
              <w:widowControl/>
              <w:jc w:val="center"/>
              <w:textAlignment w:val="center"/>
              <w:rPr>
                <w:rFonts w:ascii="宋体" w:cs="宋体"/>
                <w:color w:val="000000"/>
                <w:sz w:val="24"/>
              </w:rPr>
            </w:pPr>
            <w:r>
              <w:rPr>
                <w:rFonts w:hint="eastAsia" w:ascii="宋体" w:cs="宋体"/>
                <w:color w:val="000000"/>
                <w:sz w:val="24"/>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F5B90">
            <w:pPr>
              <w:widowControl/>
              <w:jc w:val="center"/>
              <w:textAlignment w:val="center"/>
              <w:rPr>
                <w:rFonts w:ascii="宋体" w:cs="宋体"/>
                <w:color w:val="000000"/>
                <w:sz w:val="24"/>
              </w:rPr>
            </w:pPr>
            <w:r>
              <w:rPr>
                <w:rFonts w:hint="eastAsia" w:ascii="宋体" w:cs="宋体"/>
                <w:color w:val="000000"/>
                <w:sz w:val="24"/>
              </w:rPr>
              <w:t>≥85%</w:t>
            </w:r>
          </w:p>
        </w:tc>
      </w:tr>
      <w:tr w14:paraId="049C470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0073744">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1039E">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2E488">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6B33F5">
            <w:pPr>
              <w:widowControl/>
              <w:jc w:val="center"/>
              <w:textAlignment w:val="center"/>
              <w:rPr>
                <w:rFonts w:ascii="宋体" w:cs="宋体"/>
                <w:color w:val="000000"/>
                <w:sz w:val="24"/>
              </w:rPr>
            </w:pPr>
            <w:r>
              <w:rPr>
                <w:rFonts w:hint="eastAsia" w:ascii="宋体" w:cs="宋体"/>
                <w:color w:val="000000"/>
                <w:sz w:val="24"/>
              </w:rPr>
              <w:t>慢性病患者健康管理服务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ACB99C">
            <w:pPr>
              <w:widowControl/>
              <w:jc w:val="center"/>
              <w:textAlignment w:val="center"/>
              <w:rPr>
                <w:rFonts w:ascii="宋体" w:cs="宋体"/>
                <w:color w:val="000000"/>
                <w:sz w:val="24"/>
              </w:rPr>
            </w:pPr>
            <w:r>
              <w:rPr>
                <w:rFonts w:hint="eastAsia"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BBA744">
            <w:pPr>
              <w:widowControl/>
              <w:jc w:val="center"/>
              <w:textAlignment w:val="center"/>
              <w:rPr>
                <w:rFonts w:ascii="宋体" w:cs="宋体"/>
                <w:color w:val="000000"/>
                <w:sz w:val="24"/>
              </w:rPr>
            </w:pPr>
            <w:r>
              <w:rPr>
                <w:rFonts w:hint="eastAsia" w:ascii="宋体" w:cs="宋体"/>
                <w:color w:val="000000"/>
                <w:sz w:val="24"/>
              </w:rPr>
              <w:t>≥90%</w:t>
            </w:r>
          </w:p>
        </w:tc>
      </w:tr>
      <w:tr w14:paraId="740113D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2FDEB0E">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3C787">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0108F">
            <w:pPr>
              <w:widowControl/>
              <w:jc w:val="center"/>
              <w:textAlignment w:val="center"/>
              <w:rPr>
                <w:rFonts w:ascii="宋体" w:cs="宋体"/>
                <w:color w:val="000000"/>
                <w:sz w:val="24"/>
              </w:rPr>
            </w:pPr>
            <w:r>
              <w:rPr>
                <w:rFonts w:hint="eastAsia" w:ascii="宋体" w:cs="宋体"/>
                <w:color w:val="000000"/>
                <w:sz w:val="24"/>
              </w:rPr>
              <w:t>社会效益</w:t>
            </w:r>
          </w:p>
          <w:p w14:paraId="356A69DA">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46472">
            <w:pPr>
              <w:widowControl/>
              <w:jc w:val="center"/>
              <w:textAlignment w:val="center"/>
              <w:rPr>
                <w:rFonts w:ascii="宋体" w:cs="宋体"/>
                <w:color w:val="000000"/>
                <w:sz w:val="24"/>
              </w:rPr>
            </w:pPr>
            <w:r>
              <w:rPr>
                <w:rFonts w:hint="eastAsia" w:ascii="宋体" w:cs="宋体"/>
                <w:color w:val="000000"/>
                <w:sz w:val="24"/>
              </w:rPr>
              <w:t>城乡居民公共卫生服务差距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B7D4FB">
            <w:pPr>
              <w:widowControl/>
              <w:jc w:val="center"/>
              <w:textAlignment w:val="center"/>
              <w:rPr>
                <w:rFonts w:ascii="宋体" w:cs="宋体"/>
                <w:color w:val="000000"/>
                <w:sz w:val="24"/>
              </w:rPr>
            </w:pPr>
            <w:r>
              <w:rPr>
                <w:rFonts w:hint="eastAsia"/>
                <w:sz w:val="20"/>
                <w:szCs w:val="20"/>
              </w:rPr>
              <w:t>不断缩小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852896">
            <w:pPr>
              <w:widowControl/>
              <w:jc w:val="center"/>
              <w:textAlignment w:val="center"/>
              <w:rPr>
                <w:rFonts w:ascii="宋体" w:cs="宋体"/>
                <w:color w:val="000000"/>
                <w:sz w:val="24"/>
              </w:rPr>
            </w:pPr>
            <w:r>
              <w:rPr>
                <w:rFonts w:hint="eastAsia"/>
                <w:sz w:val="20"/>
                <w:szCs w:val="20"/>
              </w:rPr>
              <w:t>不断缩小</w:t>
            </w:r>
          </w:p>
        </w:tc>
      </w:tr>
      <w:tr w14:paraId="50779B3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EF2EF28">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10DC54">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1D9EA7">
            <w:pPr>
              <w:widowControl/>
              <w:jc w:val="center"/>
              <w:textAlignment w:val="center"/>
              <w:rPr>
                <w:rFonts w:ascii="宋体" w:cs="宋体"/>
                <w:color w:val="000000"/>
                <w:sz w:val="24"/>
              </w:rPr>
            </w:pPr>
            <w:r>
              <w:rPr>
                <w:rFonts w:hint="eastAsia" w:ascii="宋体" w:cs="宋体"/>
                <w:color w:val="000000"/>
                <w:sz w:val="24"/>
              </w:rPr>
              <w:t>可持续影响</w:t>
            </w:r>
          </w:p>
          <w:p w14:paraId="322EBEAA">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2E0CB">
            <w:pPr>
              <w:widowControl/>
              <w:jc w:val="center"/>
              <w:textAlignment w:val="center"/>
              <w:rPr>
                <w:rFonts w:ascii="宋体" w:cs="宋体"/>
                <w:color w:val="000000"/>
                <w:sz w:val="24"/>
              </w:rPr>
            </w:pPr>
            <w:r>
              <w:rPr>
                <w:rFonts w:hint="eastAsia" w:ascii="宋体" w:cs="宋体"/>
                <w:color w:val="000000"/>
                <w:sz w:val="24"/>
              </w:rPr>
              <w:t>基本公共卫生服务水平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B9C7F">
            <w:pPr>
              <w:widowControl/>
              <w:jc w:val="center"/>
              <w:textAlignment w:val="center"/>
              <w:rPr>
                <w:rFonts w:ascii="宋体" w:cs="宋体"/>
                <w:color w:val="000000"/>
                <w:sz w:val="24"/>
              </w:rPr>
            </w:pPr>
            <w:r>
              <w:rPr>
                <w:rFonts w:hint="eastAsia" w:ascii="宋体" w:cs="宋体"/>
                <w:color w:val="000000"/>
                <w:sz w:val="24"/>
              </w:rPr>
              <w:t>不断提高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71457D">
            <w:pPr>
              <w:widowControl/>
              <w:jc w:val="center"/>
              <w:textAlignment w:val="center"/>
              <w:rPr>
                <w:rFonts w:ascii="宋体" w:cs="宋体"/>
                <w:color w:val="000000"/>
                <w:sz w:val="24"/>
              </w:rPr>
            </w:pPr>
            <w:r>
              <w:rPr>
                <w:rFonts w:hint="eastAsia" w:ascii="宋体" w:cs="宋体"/>
                <w:color w:val="000000"/>
                <w:sz w:val="24"/>
              </w:rPr>
              <w:t>不断提高</w:t>
            </w:r>
          </w:p>
        </w:tc>
      </w:tr>
      <w:tr w14:paraId="08C82C3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C0718F3">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82B84E">
            <w:pPr>
              <w:widowControl/>
              <w:jc w:val="center"/>
              <w:textAlignment w:val="center"/>
              <w:rPr>
                <w:rFonts w:ascii="宋体" w:cs="宋体"/>
                <w:color w:val="000000"/>
                <w:kern w:val="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1A548">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B2E86">
            <w:pPr>
              <w:widowControl/>
              <w:jc w:val="center"/>
              <w:textAlignment w:val="center"/>
              <w:rPr>
                <w:rFonts w:ascii="宋体" w:cs="宋体"/>
                <w:color w:val="000000"/>
                <w:sz w:val="24"/>
              </w:rPr>
            </w:pPr>
            <w:r>
              <w:rPr>
                <w:rFonts w:hint="eastAsia" w:ascii="宋体" w:cs="宋体"/>
                <w:color w:val="000000"/>
                <w:sz w:val="24"/>
              </w:rPr>
              <w:t>传染病及突发公共卫生事件报告和处理服务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AE8AFA">
            <w:pPr>
              <w:widowControl/>
              <w:jc w:val="center"/>
              <w:textAlignment w:val="center"/>
              <w:rPr>
                <w:rFonts w:ascii="宋体" w:cs="宋体"/>
                <w:color w:val="000000"/>
                <w:sz w:val="24"/>
              </w:rPr>
            </w:pPr>
            <w:r>
              <w:rPr>
                <w:rFonts w:hint="eastAsia" w:asci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395D5">
            <w:pPr>
              <w:widowControl/>
              <w:jc w:val="center"/>
              <w:textAlignment w:val="center"/>
              <w:rPr>
                <w:rFonts w:ascii="宋体" w:cs="宋体"/>
                <w:color w:val="000000"/>
                <w:sz w:val="24"/>
              </w:rPr>
            </w:pPr>
            <w:r>
              <w:rPr>
                <w:rFonts w:hint="eastAsia" w:ascii="宋体" w:cs="宋体"/>
                <w:color w:val="000000"/>
                <w:sz w:val="24"/>
              </w:rPr>
              <w:t>≥95%</w:t>
            </w:r>
          </w:p>
        </w:tc>
      </w:tr>
      <w:tr w14:paraId="69261A4E">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B4F8100">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A768B3">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99DF0">
            <w:pPr>
              <w:widowControl/>
              <w:jc w:val="center"/>
              <w:textAlignment w:val="center"/>
              <w:rPr>
                <w:rFonts w:ascii="宋体" w:cs="宋体"/>
                <w:color w:val="000000"/>
                <w:sz w:val="24"/>
              </w:rPr>
            </w:pPr>
            <w:r>
              <w:rPr>
                <w:rFonts w:hint="eastAsia" w:ascii="宋体" w:cs="宋体"/>
                <w:color w:val="000000"/>
                <w:sz w:val="24"/>
              </w:rPr>
              <w:t>服务对象</w:t>
            </w:r>
          </w:p>
          <w:p w14:paraId="1E28BE68">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4E353B">
            <w:pPr>
              <w:widowControl/>
              <w:jc w:val="center"/>
              <w:textAlignment w:val="center"/>
              <w:rPr>
                <w:rFonts w:ascii="宋体" w:cs="宋体"/>
                <w:color w:val="000000"/>
                <w:sz w:val="24"/>
              </w:rPr>
            </w:pPr>
            <w:r>
              <w:rPr>
                <w:rFonts w:hint="eastAsia" w:ascii="宋体" w:cs="宋体"/>
                <w:color w:val="00000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FD40E4">
            <w:pPr>
              <w:widowControl/>
              <w:jc w:val="center"/>
              <w:textAlignment w:val="center"/>
              <w:rPr>
                <w:rFonts w:ascii="宋体" w:cs="宋体"/>
                <w:color w:val="000000"/>
                <w:sz w:val="24"/>
              </w:rPr>
            </w:pPr>
            <w:r>
              <w:rPr>
                <w:rFonts w:hint="eastAsia" w:ascii="宋体" w:cs="宋体"/>
                <w:color w:val="000000"/>
                <w:sz w:val="24"/>
              </w:rPr>
              <w:t>不断提高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055FE">
            <w:pPr>
              <w:widowControl/>
              <w:jc w:val="center"/>
              <w:textAlignment w:val="center"/>
              <w:rPr>
                <w:rFonts w:ascii="宋体" w:cs="宋体"/>
                <w:color w:val="000000"/>
                <w:sz w:val="24"/>
              </w:rPr>
            </w:pPr>
            <w:r>
              <w:rPr>
                <w:rFonts w:hint="eastAsia" w:ascii="宋体" w:cs="宋体"/>
                <w:color w:val="000000"/>
                <w:sz w:val="24"/>
              </w:rPr>
              <w:t>不断提高</w:t>
            </w:r>
          </w:p>
        </w:tc>
      </w:tr>
    </w:tbl>
    <w:p w14:paraId="68421829">
      <w:pPr>
        <w:spacing w:line="580" w:lineRule="exact"/>
        <w:rPr>
          <w:rFonts w:ascii="仿宋_GB2312" w:hAnsi="仿宋_GB2312" w:eastAsia="仿宋_GB2312" w:cs="仿宋_GB2312"/>
          <w:sz w:val="32"/>
          <w:szCs w:val="32"/>
        </w:rPr>
      </w:pPr>
    </w:p>
    <w:p w14:paraId="534DCF61">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2E1D573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1年部门整体支出绩效评价情况开展自评，《壤塘县藏医院部门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540A89BC">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FEBEC2C">
      <w:pPr>
        <w:numPr>
          <w:ilvl w:val="0"/>
          <w:numId w:val="2"/>
        </w:numPr>
        <w:spacing w:line="600" w:lineRule="exact"/>
        <w:ind w:firstLine="660" w:firstLineChars="150"/>
        <w:jc w:val="center"/>
        <w:outlineLvl w:val="0"/>
        <w:rPr>
          <w:rStyle w:val="14"/>
          <w:rFonts w:ascii="黑体" w:hAnsi="黑体" w:eastAsia="黑体"/>
          <w:b w:val="0"/>
        </w:rPr>
      </w:pPr>
      <w:bookmarkStart w:id="104" w:name="_Toc9504"/>
      <w:bookmarkStart w:id="105" w:name="_Toc15396613"/>
      <w:bookmarkStart w:id="106" w:name="_Toc15377225"/>
      <w:bookmarkStart w:id="107" w:name="_Toc79163629"/>
      <w:r>
        <w:rPr>
          <w:rFonts w:hint="eastAsia" w:ascii="黑体" w:hAnsi="黑体" w:eastAsia="黑体"/>
          <w:color w:val="000000"/>
          <w:sz w:val="44"/>
          <w:szCs w:val="44"/>
        </w:rPr>
        <w:t>名</w:t>
      </w:r>
      <w:r>
        <w:rPr>
          <w:rStyle w:val="14"/>
          <w:rFonts w:hint="eastAsia" w:ascii="黑体" w:hAnsi="黑体" w:eastAsia="黑体"/>
          <w:b w:val="0"/>
        </w:rPr>
        <w:t>词解释</w:t>
      </w:r>
      <w:bookmarkEnd w:id="104"/>
      <w:bookmarkEnd w:id="105"/>
      <w:bookmarkEnd w:id="106"/>
      <w:bookmarkEnd w:id="107"/>
    </w:p>
    <w:p w14:paraId="4A372CBF">
      <w:pPr>
        <w:spacing w:line="600" w:lineRule="exact"/>
        <w:jc w:val="left"/>
        <w:rPr>
          <w:rFonts w:ascii="宋体"/>
          <w:b/>
          <w:color w:val="000000"/>
          <w:sz w:val="44"/>
          <w:szCs w:val="44"/>
        </w:rPr>
      </w:pPr>
    </w:p>
    <w:p w14:paraId="2115006A">
      <w:pPr>
        <w:spacing w:line="600" w:lineRule="exact"/>
        <w:jc w:val="left"/>
        <w:rPr>
          <w:rFonts w:ascii="宋体"/>
          <w:b/>
          <w:color w:val="000000"/>
          <w:sz w:val="44"/>
          <w:szCs w:val="44"/>
        </w:rPr>
      </w:pPr>
      <w:bookmarkStart w:id="108" w:name="_Toc15377226"/>
    </w:p>
    <w:p w14:paraId="1127057C">
      <w:pPr>
        <w:pStyle w:val="1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3ACA13B">
      <w:pPr>
        <w:pStyle w:val="1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4A73CB5">
      <w:pPr>
        <w:pStyle w:val="1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7CC3825">
      <w:pPr>
        <w:pStyle w:val="17"/>
        <w:spacing w:line="560" w:lineRule="exact"/>
        <w:ind w:firstLine="640" w:firstLineChars="200"/>
        <w:rPr>
          <w:rFonts w:ascii="仿宋_GB2312" w:hAnsi="仿宋_GB2312" w:eastAsia="仿宋_GB2312" w:cs="仿宋_GB2312"/>
          <w:sz w:val="32"/>
          <w:szCs w:val="32"/>
        </w:rPr>
      </w:pPr>
      <w:r>
        <w:rPr>
          <w:rFonts w:ascii="仿宋_GB2312" w:eastAsia="仿宋_GB2312"/>
          <w:sz w:val="32"/>
          <w:szCs w:val="32"/>
        </w:rPr>
        <w:t>4.</w:t>
      </w:r>
      <w:r>
        <w:rPr>
          <w:rFonts w:hint="eastAsia" w:ascii="仿宋_GB2312" w:eastAsia="仿宋_GB2312"/>
          <w:sz w:val="32"/>
          <w:szCs w:val="32"/>
        </w:rPr>
        <w:t>其他收入：</w:t>
      </w:r>
      <w:r>
        <w:rPr>
          <w:rFonts w:hint="eastAsia" w:ascii="仿宋_GB2312" w:hAnsi="仿宋_GB2312" w:eastAsia="仿宋_GB2312" w:cs="仿宋_GB2312"/>
          <w:sz w:val="32"/>
          <w:szCs w:val="32"/>
        </w:rPr>
        <w:t>指除上述“财政拨款收入”、“事业收入”、“经营收入”等以外的收入。</w:t>
      </w:r>
    </w:p>
    <w:p w14:paraId="394C65EF">
      <w:pPr>
        <w:pStyle w:val="1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0E2ACF7D">
      <w:pPr>
        <w:pStyle w:val="1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0AF00B43">
      <w:pPr>
        <w:pStyle w:val="1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30B8895F">
      <w:pPr>
        <w:pStyle w:val="1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877D6B2">
      <w:pPr>
        <w:spacing w:line="560" w:lineRule="exact"/>
        <w:ind w:firstLine="640" w:firstLineChars="200"/>
        <w:rPr>
          <w:rFonts w:ascii="仿宋_GB2312" w:eastAsia="仿宋_GB2312"/>
          <w:color w:val="000000"/>
          <w:sz w:val="32"/>
          <w:szCs w:val="32"/>
        </w:rPr>
      </w:pPr>
      <w:r>
        <w:rPr>
          <w:rFonts w:hint="eastAsia" w:ascii="仿宋_GB2312" w:hAnsi="Calibri" w:eastAsia="仿宋_GB2312" w:cs="仿宋"/>
          <w:color w:val="000000"/>
          <w:kern w:val="0"/>
          <w:sz w:val="32"/>
          <w:szCs w:val="32"/>
        </w:rPr>
        <w:t>9</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机关事业单位基本养老保险缴费支出（2080505）：反映机关事业单位实</w:t>
      </w:r>
      <w:r>
        <w:rPr>
          <w:rFonts w:hint="eastAsia" w:ascii="仿宋_GB2312" w:eastAsia="仿宋_GB2312"/>
          <w:color w:val="000000"/>
          <w:sz w:val="32"/>
          <w:szCs w:val="32"/>
        </w:rPr>
        <w:t>施养老保险制度由单位缴纳的基本养老保险费支出。</w:t>
      </w:r>
    </w:p>
    <w:p w14:paraId="5972073D">
      <w:pPr>
        <w:ind w:firstLine="640" w:firstLineChars="200"/>
        <w:rPr>
          <w:rFonts w:ascii="仿宋_GB2312" w:eastAsia="仿宋_GB2312"/>
          <w:color w:val="000000"/>
          <w:sz w:val="32"/>
          <w:szCs w:val="32"/>
        </w:rPr>
      </w:pPr>
      <w:r>
        <w:rPr>
          <w:rFonts w:hint="eastAsia" w:ascii="仿宋_GB2312" w:eastAsia="仿宋_GB2312"/>
          <w:color w:val="000000"/>
          <w:sz w:val="32"/>
          <w:szCs w:val="32"/>
        </w:rPr>
        <w:t>10.机关事业单位职业年金缴费支出（2080506）：反映机关事业单位实施养老保险制度由单位实际缴纳的职业年金支出。</w:t>
      </w:r>
    </w:p>
    <w:p w14:paraId="03FB5782">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卫生健康支出（210）：反映卫生健康方面的支出。</w:t>
      </w:r>
    </w:p>
    <w:p w14:paraId="21D4AEC2">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疾病预防控制机构（2100401）：反映</w:t>
      </w:r>
      <w:r>
        <w:rPr>
          <w:rFonts w:hint="eastAsia" w:ascii="仿宋_GB2312" w:hAnsi="仿宋_GB2312" w:eastAsia="仿宋_GB2312" w:cs="仿宋_GB2312"/>
          <w:color w:val="000000" w:themeColor="text1"/>
          <w:sz w:val="32"/>
          <w:szCs w:val="32"/>
          <w14:textFill>
            <w14:solidFill>
              <w14:schemeClr w14:val="tx1"/>
            </w14:solidFill>
          </w14:textFill>
        </w:rPr>
        <w:t>卫生健康部门所属疾病预防控制机构的支出。</w:t>
      </w:r>
    </w:p>
    <w:p w14:paraId="2A8EAD15">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重大公共卫生专项（2100409）：反映重大疾病预防控制等重大公共卫生服务项目支出。</w:t>
      </w:r>
    </w:p>
    <w:p w14:paraId="11B03D47">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基本公共卫生服务（2100408）：反映基本公共卫生服务支出。</w:t>
      </w:r>
    </w:p>
    <w:p w14:paraId="3AD63A1B">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其他公共卫生支出（2100499）：反映除其他专业公共卫生、基本公共卫生、重大公共卫生、突发公共卫生项目以外的其他用于公共卫生方面的支出。</w:t>
      </w:r>
    </w:p>
    <w:p w14:paraId="1C2B7401">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事业单位医疗（2101102）：反映财政部门安排的事业单位基本医疗保险缴费经费，未参加医疗保险的事业单位的公费医疗经费，按国家规定享受离退休人员待遇的医疗经费。</w:t>
      </w:r>
    </w:p>
    <w:p w14:paraId="4C29C59B">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其他卫生健康支出（2109901）：反映</w:t>
      </w:r>
      <w:r>
        <w:rPr>
          <w:rFonts w:hint="eastAsia" w:ascii="仿宋_GB2312" w:hAnsi="仿宋_GB2312" w:eastAsia="仿宋_GB2312" w:cs="仿宋_GB2312"/>
          <w:color w:val="000000" w:themeColor="text1"/>
          <w:sz w:val="32"/>
          <w:szCs w:val="32"/>
          <w14:textFill>
            <w14:solidFill>
              <w14:schemeClr w14:val="tx1"/>
            </w14:solidFill>
          </w14:textFill>
        </w:rPr>
        <w:t>除事业单位医疗、基本医疗保险基金、医疗救助、优抚对象医疗等以外其他用于医疗卫生与计划生育方面的支出。</w:t>
      </w:r>
    </w:p>
    <w:p w14:paraId="7473EC35">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住房公积金（2210201）：反映行政事业单位按人力资源和社会保障部、财政部规定的基本工资和津贴补贴以及规定比例为职工缴纳的住房公积金。</w:t>
      </w:r>
    </w:p>
    <w:p w14:paraId="36843B73">
      <w:pPr>
        <w:spacing w:line="600" w:lineRule="exact"/>
        <w:jc w:val="center"/>
        <w:outlineLvl w:val="0"/>
        <w:rPr>
          <w:rStyle w:val="14"/>
          <w:rFonts w:ascii="黑体" w:hAnsi="黑体" w:eastAsia="黑体"/>
          <w:b w:val="0"/>
        </w:rPr>
      </w:pPr>
      <w:r>
        <w:rPr>
          <w:rFonts w:ascii="宋体"/>
          <w:b/>
          <w:color w:val="000000"/>
          <w:sz w:val="44"/>
          <w:szCs w:val="44"/>
        </w:rPr>
        <w:br w:type="page"/>
      </w:r>
      <w:bookmarkStart w:id="109" w:name="_Toc15396614"/>
      <w:bookmarkStart w:id="110" w:name="_Toc22729"/>
      <w:bookmarkStart w:id="111" w:name="_Toc79163630"/>
      <w:r>
        <w:rPr>
          <w:rFonts w:hint="eastAsia" w:ascii="黑体" w:hAnsi="黑体" w:eastAsia="黑体"/>
          <w:color w:val="000000"/>
          <w:sz w:val="44"/>
          <w:szCs w:val="44"/>
        </w:rPr>
        <w:t>第</w:t>
      </w:r>
      <w:r>
        <w:rPr>
          <w:rStyle w:val="14"/>
          <w:rFonts w:hint="eastAsia" w:ascii="黑体" w:hAnsi="黑体" w:eastAsia="黑体"/>
          <w:b w:val="0"/>
        </w:rPr>
        <w:t>四部分附件</w:t>
      </w:r>
      <w:bookmarkEnd w:id="109"/>
      <w:bookmarkEnd w:id="110"/>
      <w:bookmarkEnd w:id="111"/>
    </w:p>
    <w:p w14:paraId="13D16A0B">
      <w:pPr>
        <w:spacing w:line="600" w:lineRule="exact"/>
        <w:jc w:val="left"/>
        <w:outlineLvl w:val="0"/>
        <w:rPr>
          <w:rFonts w:ascii="方正小标宋简体" w:hAnsi="方正小标宋简体" w:eastAsia="方正小标宋简体" w:cs="方正小标宋简体"/>
          <w:sz w:val="32"/>
          <w:szCs w:val="32"/>
        </w:rPr>
      </w:pPr>
      <w:bookmarkStart w:id="112" w:name="_Toc14161"/>
      <w:bookmarkStart w:id="113" w:name="_Toc79163631"/>
      <w:r>
        <w:rPr>
          <w:rFonts w:hint="eastAsia" w:ascii="黑体" w:hAnsi="黑体" w:eastAsia="黑体" w:cs="黑体"/>
          <w:sz w:val="32"/>
          <w:szCs w:val="32"/>
        </w:rPr>
        <w:t>附件</w:t>
      </w:r>
      <w:r>
        <w:rPr>
          <w:rFonts w:ascii="黑体" w:hAnsi="黑体" w:eastAsia="黑体" w:cs="黑体"/>
          <w:sz w:val="32"/>
          <w:szCs w:val="32"/>
        </w:rPr>
        <w:t>1</w:t>
      </w:r>
      <w:bookmarkEnd w:id="112"/>
      <w:bookmarkEnd w:id="113"/>
    </w:p>
    <w:p w14:paraId="3EE55374">
      <w:pPr>
        <w:spacing w:line="580" w:lineRule="exact"/>
        <w:jc w:val="center"/>
        <w:rPr>
          <w:rFonts w:ascii="方正小标宋简体" w:hAnsi="方正小标宋简体" w:eastAsia="方正小标宋简体" w:cs="方正小标宋简体"/>
          <w:sz w:val="44"/>
          <w:szCs w:val="44"/>
        </w:rPr>
      </w:pPr>
    </w:p>
    <w:p w14:paraId="13F59358">
      <w:pPr>
        <w:spacing w:line="600" w:lineRule="exact"/>
        <w:jc w:val="center"/>
        <w:outlineLvl w:val="0"/>
        <w:rPr>
          <w:rFonts w:ascii="方正小标宋简体" w:hAnsi="黑体" w:eastAsia="方正小标宋简体" w:cs="黑体"/>
          <w:sz w:val="44"/>
          <w:szCs w:val="44"/>
        </w:rPr>
      </w:pPr>
      <w:bookmarkStart w:id="114" w:name="_Toc11487"/>
      <w:bookmarkStart w:id="115" w:name="_Toc79163632"/>
      <w:r>
        <w:rPr>
          <w:rFonts w:hint="eastAsia" w:ascii="方正小标宋简体" w:hAnsi="黑体" w:eastAsia="方正小标宋简体" w:cs="黑体"/>
          <w:sz w:val="44"/>
          <w:szCs w:val="44"/>
        </w:rPr>
        <w:t>壤塘县藏医院部门</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rPr>
        <w:t>1年部门整体支出绩效评价报告</w:t>
      </w:r>
      <w:bookmarkEnd w:id="114"/>
      <w:bookmarkEnd w:id="115"/>
    </w:p>
    <w:p w14:paraId="483F6A09">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3643B916">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4C5D2752">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26011C74">
      <w:pPr>
        <w:widowControl/>
        <w:spacing w:line="560" w:lineRule="exact"/>
        <w:ind w:firstLine="640" w:firstLineChars="200"/>
        <w:jc w:val="left"/>
        <w:rPr>
          <w:rFonts w:ascii="仿宋" w:hAnsi="仿宋" w:eastAsia="仿宋"/>
          <w:b/>
          <w:color w:val="000000"/>
          <w:sz w:val="32"/>
          <w:szCs w:val="32"/>
          <w14:textFill>
            <w14:gradFill>
              <w14:gsLst>
                <w14:gs w14:pos="0">
                  <w14:srgbClr w14:val="E30000"/>
                </w14:gs>
                <w14:gs w14:pos="100000">
                  <w14:srgbClr w14:val="760303"/>
                </w14:gs>
              </w14:gsLst>
              <w14:lin w14:ang="0" w14:scaled="0"/>
            </w14:gradFill>
          </w14:textFill>
        </w:rPr>
      </w:pPr>
      <w:r>
        <w:rPr>
          <w:rFonts w:hint="eastAsia" w:ascii="仿宋_GB2312" w:hAnsi="宋体" w:eastAsia="仿宋_GB2312" w:cs="宋体"/>
          <w:kern w:val="0"/>
          <w:sz w:val="32"/>
          <w:szCs w:val="32"/>
        </w:rPr>
        <w:t>壤塘县藏医院成立于2010年10月，机构性质：事业机构，机构级别：</w:t>
      </w:r>
      <w:r>
        <w:rPr>
          <w:rFonts w:hint="eastAsia" w:ascii="仿宋_GB2312" w:hAnsi="宋体" w:eastAsia="仿宋_GB2312" w:cs="宋体"/>
          <w:color w:val="000000" w:themeColor="text1"/>
          <w:kern w:val="0"/>
          <w:sz w:val="32"/>
          <w:szCs w:val="32"/>
          <w14:textFill>
            <w14:solidFill>
              <w14:schemeClr w14:val="tx1"/>
            </w14:solidFill>
          </w14:textFill>
        </w:rPr>
        <w:t>属</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壤塘</w:t>
      </w:r>
      <w:r>
        <w:rPr>
          <w:rFonts w:hint="eastAsia" w:ascii="仿宋_GB2312" w:hAnsi="宋体" w:eastAsia="仿宋_GB2312" w:cs="宋体"/>
          <w:color w:val="000000" w:themeColor="text1"/>
          <w:kern w:val="0"/>
          <w:sz w:val="32"/>
          <w:szCs w:val="32"/>
          <w14:textFill>
            <w14:solidFill>
              <w14:schemeClr w14:val="tx1"/>
            </w14:solidFill>
          </w14:textFill>
        </w:rPr>
        <w:t>县卫生健康局下属二级预算单位，组织机构代码证号：12513230660277363B。</w:t>
      </w:r>
    </w:p>
    <w:p w14:paraId="2F29827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3094C2C2">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根据2015年4月壤塘县人民政府办公室印发《壤塘县</w:t>
      </w:r>
      <w:r>
        <w:rPr>
          <w:rFonts w:hint="eastAsia" w:ascii="仿宋_GB2312" w:hAnsi="宋体" w:eastAsia="仿宋_GB2312" w:cs="宋体"/>
          <w:kern w:val="0"/>
          <w:sz w:val="32"/>
          <w:szCs w:val="32"/>
          <w:lang w:eastAsia="zh-CN"/>
        </w:rPr>
        <w:t>卫生健康</w:t>
      </w:r>
      <w:r>
        <w:rPr>
          <w:rFonts w:hint="eastAsia" w:ascii="仿宋_GB2312" w:hAnsi="宋体" w:eastAsia="仿宋_GB2312" w:cs="宋体"/>
          <w:kern w:val="0"/>
          <w:sz w:val="32"/>
          <w:szCs w:val="32"/>
        </w:rPr>
        <w:t>局主要职责，内设机构和人员编制规定》的通知。（壤府办发【2015】16号）设立壤塘县藏医院为县</w:t>
      </w:r>
      <w:r>
        <w:rPr>
          <w:rFonts w:hint="eastAsia" w:ascii="仿宋_GB2312" w:hAnsi="宋体" w:eastAsia="仿宋_GB2312" w:cs="宋体"/>
          <w:color w:val="000000" w:themeColor="text1"/>
          <w:kern w:val="0"/>
          <w:sz w:val="32"/>
          <w:szCs w:val="32"/>
          <w14:textFill>
            <w14:solidFill>
              <w14:schemeClr w14:val="tx1"/>
            </w14:solidFill>
          </w14:textFill>
        </w:rPr>
        <w:t>卫生健康局管理的正科级事业单位。</w:t>
      </w:r>
    </w:p>
    <w:p w14:paraId="2A61DD40">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07BD795F">
      <w:pPr>
        <w:widowControl/>
        <w:adjustRightInd w:val="0"/>
        <w:snapToGrid w:val="0"/>
        <w:spacing w:line="580"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w:t>
      </w:r>
      <w:r>
        <w:rPr>
          <w:rFonts w:ascii="仿宋_GB2312" w:hAnsi="宋体" w:eastAsia="仿宋_GB2312" w:cs="宋体"/>
          <w:color w:val="000000"/>
          <w:kern w:val="0"/>
          <w:sz w:val="32"/>
          <w:szCs w:val="32"/>
          <w:shd w:val="clear" w:color="auto" w:fill="FFFFFF"/>
          <w:lang w:val="zh-CN"/>
        </w:rPr>
        <w:t>021</w:t>
      </w:r>
      <w:r>
        <w:rPr>
          <w:rFonts w:hint="eastAsia" w:ascii="仿宋_GB2312" w:hAnsi="宋体" w:eastAsia="仿宋_GB2312" w:cs="宋体"/>
          <w:color w:val="000000"/>
          <w:kern w:val="0"/>
          <w:sz w:val="32"/>
          <w:szCs w:val="32"/>
          <w:shd w:val="clear" w:color="auto" w:fill="FFFFFF"/>
          <w:lang w:val="zh-CN"/>
        </w:rPr>
        <w:t>年</w:t>
      </w:r>
      <w:r>
        <w:rPr>
          <w:rFonts w:hint="eastAsia" w:ascii="仿宋_GB2312" w:hAnsi="宋体" w:eastAsia="仿宋_GB2312" w:cs="宋体"/>
          <w:color w:val="000000"/>
          <w:kern w:val="0"/>
          <w:sz w:val="32"/>
          <w:szCs w:val="32"/>
          <w:shd w:val="clear" w:color="auto" w:fill="FFFFFF"/>
          <w:lang w:val="en-US" w:eastAsia="zh-CN"/>
        </w:rPr>
        <w:t>年末，</w:t>
      </w:r>
      <w:r>
        <w:rPr>
          <w:rFonts w:hint="eastAsia" w:ascii="仿宋_GB2312" w:hAnsi="宋体" w:eastAsia="仿宋_GB2312" w:cs="宋体"/>
          <w:color w:val="000000"/>
          <w:kern w:val="0"/>
          <w:sz w:val="32"/>
          <w:szCs w:val="32"/>
          <w:shd w:val="clear" w:color="auto" w:fill="FFFFFF"/>
          <w:lang w:val="zh-CN"/>
        </w:rPr>
        <w:t>在职人数共计3</w:t>
      </w:r>
      <w:r>
        <w:rPr>
          <w:rFonts w:ascii="仿宋_GB2312" w:hAnsi="宋体" w:eastAsia="仿宋_GB2312" w:cs="宋体"/>
          <w:color w:val="000000"/>
          <w:kern w:val="0"/>
          <w:sz w:val="32"/>
          <w:szCs w:val="32"/>
          <w:shd w:val="clear" w:color="auto" w:fill="FFFFFF"/>
          <w:lang w:val="zh-CN"/>
        </w:rPr>
        <w:t>9</w:t>
      </w:r>
      <w:r>
        <w:rPr>
          <w:rFonts w:hint="eastAsia" w:ascii="仿宋_GB2312" w:hAnsi="宋体" w:eastAsia="仿宋_GB2312" w:cs="宋体"/>
          <w:color w:val="000000"/>
          <w:kern w:val="0"/>
          <w:sz w:val="32"/>
          <w:szCs w:val="32"/>
          <w:shd w:val="clear" w:color="auto" w:fill="FFFFFF"/>
          <w:lang w:val="zh-CN"/>
        </w:rPr>
        <w:t>人，</w:t>
      </w:r>
      <w:r>
        <w:rPr>
          <w:rFonts w:hint="eastAsia" w:ascii="仿宋" w:hAnsi="仿宋" w:eastAsia="仿宋" w:cs="仿宋_GB2312"/>
          <w:sz w:val="32"/>
          <w:szCs w:val="32"/>
        </w:rPr>
        <w:t>其中：事业专</w:t>
      </w:r>
      <w:r>
        <w:rPr>
          <w:rFonts w:hint="eastAsia" w:ascii="仿宋" w:hAnsi="仿宋" w:eastAsia="仿宋" w:cs="仿宋_GB2312"/>
          <w:sz w:val="32"/>
          <w:szCs w:val="32"/>
          <w:lang w:eastAsia="zh-CN"/>
        </w:rPr>
        <w:t>技</w:t>
      </w:r>
      <w:r>
        <w:rPr>
          <w:rFonts w:hint="eastAsia" w:ascii="仿宋" w:hAnsi="仿宋" w:eastAsia="仿宋" w:cs="仿宋_GB2312"/>
          <w:sz w:val="32"/>
          <w:szCs w:val="32"/>
        </w:rPr>
        <w:t>人员37名，事业工勤2名</w:t>
      </w:r>
      <w:r>
        <w:rPr>
          <w:rFonts w:hint="eastAsia" w:ascii="仿宋_GB2312" w:hAnsi="宋体" w:eastAsia="仿宋_GB2312" w:cs="宋体"/>
          <w:color w:val="000000"/>
          <w:kern w:val="0"/>
          <w:sz w:val="32"/>
          <w:szCs w:val="32"/>
          <w:shd w:val="clear" w:color="auto" w:fill="FFFFFF"/>
          <w:lang w:val="zh-CN"/>
        </w:rPr>
        <w:t>。</w:t>
      </w:r>
    </w:p>
    <w:p w14:paraId="30F4D65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1839AD3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1C8B3D6C">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1年财政拨款收、支总计</w:t>
      </w:r>
      <w:r>
        <w:rPr>
          <w:rFonts w:ascii="仿宋" w:hAnsi="仿宋" w:eastAsia="仿宋"/>
          <w:color w:val="000000"/>
          <w:sz w:val="32"/>
          <w:szCs w:val="32"/>
        </w:rPr>
        <w:t>1119.85</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20年相比，财政拨款收、支总计各增</w:t>
      </w:r>
      <w:r>
        <w:rPr>
          <w:rFonts w:ascii="仿宋" w:hAnsi="仿宋" w:eastAsia="仿宋"/>
          <w:color w:val="000000"/>
          <w:sz w:val="32"/>
          <w:szCs w:val="32"/>
        </w:rPr>
        <w:t>20</w:t>
      </w:r>
      <w:r>
        <w:rPr>
          <w:rFonts w:hint="eastAsia" w:ascii="仿宋" w:hAnsi="仿宋" w:eastAsia="仿宋"/>
          <w:color w:val="000000"/>
          <w:sz w:val="32"/>
          <w:szCs w:val="32"/>
        </w:rPr>
        <w:t>.</w:t>
      </w:r>
      <w:r>
        <w:rPr>
          <w:rFonts w:ascii="仿宋" w:hAnsi="仿宋" w:eastAsia="仿宋"/>
          <w:color w:val="000000"/>
          <w:sz w:val="32"/>
          <w:szCs w:val="32"/>
        </w:rPr>
        <w:t>48</w:t>
      </w:r>
      <w:r>
        <w:rPr>
          <w:rFonts w:hint="eastAsia" w:ascii="仿宋" w:hAnsi="仿宋" w:eastAsia="仿宋"/>
          <w:color w:val="000000"/>
          <w:sz w:val="32"/>
          <w:szCs w:val="32"/>
        </w:rPr>
        <w:t>万元，增长</w:t>
      </w:r>
      <w:r>
        <w:rPr>
          <w:rFonts w:ascii="仿宋" w:hAnsi="仿宋" w:eastAsia="仿宋"/>
          <w:color w:val="000000"/>
          <w:sz w:val="32"/>
          <w:szCs w:val="32"/>
        </w:rPr>
        <w:t>1.83%</w:t>
      </w:r>
      <w:r>
        <w:rPr>
          <w:rFonts w:hint="eastAsia" w:ascii="仿宋" w:hAnsi="仿宋" w:eastAsia="仿宋"/>
          <w:color w:val="000000"/>
          <w:sz w:val="32"/>
          <w:szCs w:val="32"/>
        </w:rPr>
        <w:t>。主要变动原因是</w:t>
      </w:r>
      <w:r>
        <w:rPr>
          <w:rFonts w:ascii="仿宋" w:hAnsi="仿宋" w:eastAsia="仿宋"/>
          <w:color w:val="000000"/>
          <w:sz w:val="32"/>
          <w:szCs w:val="32"/>
        </w:rPr>
        <w:t>2021</w:t>
      </w:r>
      <w:r>
        <w:rPr>
          <w:rFonts w:hint="eastAsia" w:ascii="仿宋" w:hAnsi="仿宋" w:eastAsia="仿宋"/>
          <w:color w:val="000000"/>
          <w:sz w:val="32"/>
          <w:szCs w:val="32"/>
        </w:rPr>
        <w:t>年当年项目支出增加。</w:t>
      </w:r>
    </w:p>
    <w:p w14:paraId="102F3A2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14:paraId="7142008A">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ascii="仿宋" w:hAnsi="仿宋" w:eastAsia="仿宋"/>
          <w:color w:val="000000"/>
          <w:sz w:val="32"/>
          <w:szCs w:val="32"/>
        </w:rPr>
        <w:t>1119.85</w:t>
      </w:r>
      <w:r>
        <w:rPr>
          <w:rFonts w:hint="eastAsia" w:ascii="仿宋" w:hAnsi="仿宋" w:eastAsia="仿宋"/>
          <w:color w:val="000000"/>
          <w:sz w:val="32"/>
          <w:szCs w:val="32"/>
        </w:rPr>
        <w:t>万元，占本年支出合计的</w:t>
      </w:r>
      <w:r>
        <w:rPr>
          <w:rFonts w:ascii="仿宋" w:hAnsi="仿宋" w:eastAsia="仿宋"/>
          <w:color w:val="000000"/>
          <w:sz w:val="32"/>
          <w:szCs w:val="32"/>
        </w:rPr>
        <w:t>73.82%</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ascii="仿宋" w:hAnsi="仿宋" w:eastAsia="仿宋"/>
          <w:color w:val="000000"/>
          <w:sz w:val="32"/>
          <w:szCs w:val="32"/>
        </w:rPr>
        <w:t>20.48</w:t>
      </w:r>
      <w:r>
        <w:rPr>
          <w:rFonts w:hint="eastAsia" w:ascii="仿宋" w:hAnsi="仿宋" w:eastAsia="仿宋"/>
          <w:color w:val="000000"/>
          <w:sz w:val="32"/>
          <w:szCs w:val="32"/>
        </w:rPr>
        <w:t>万元，增长1</w:t>
      </w:r>
      <w:r>
        <w:rPr>
          <w:rFonts w:ascii="仿宋" w:hAnsi="仿宋" w:eastAsia="仿宋"/>
          <w:color w:val="000000"/>
          <w:sz w:val="32"/>
          <w:szCs w:val="32"/>
        </w:rPr>
        <w:t>.86%</w:t>
      </w:r>
      <w:r>
        <w:rPr>
          <w:rFonts w:hint="eastAsia" w:ascii="仿宋" w:hAnsi="仿宋" w:eastAsia="仿宋"/>
          <w:color w:val="000000"/>
          <w:sz w:val="32"/>
          <w:szCs w:val="32"/>
        </w:rPr>
        <w:t>。主要变动原因是2</w:t>
      </w:r>
      <w:r>
        <w:rPr>
          <w:rFonts w:ascii="仿宋" w:hAnsi="仿宋" w:eastAsia="仿宋"/>
          <w:color w:val="000000"/>
          <w:sz w:val="32"/>
          <w:szCs w:val="32"/>
        </w:rPr>
        <w:t>021</w:t>
      </w:r>
      <w:r>
        <w:rPr>
          <w:rFonts w:hint="eastAsia" w:ascii="仿宋" w:hAnsi="仿宋" w:eastAsia="仿宋"/>
          <w:color w:val="000000"/>
          <w:sz w:val="32"/>
          <w:szCs w:val="32"/>
        </w:rPr>
        <w:t>年当年项目增多，支出增加。</w:t>
      </w:r>
    </w:p>
    <w:p w14:paraId="699D614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0494A54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4FD5B5F3">
      <w:pPr>
        <w:spacing w:line="560"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并结合本单位实际项目安排批准情况填制收支总表及支出项目录入表。单位预算编制工作完成后按“二上二下”的编制程序提交县财政支出管理股室进行审核后下达批复。</w:t>
      </w:r>
    </w:p>
    <w:p w14:paraId="522BF5B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14:paraId="04512B8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2FAE2D73">
      <w:pPr>
        <w:widowControl/>
        <w:adjustRightInd w:val="0"/>
        <w:snapToGrid w:val="0"/>
        <w:spacing w:line="560" w:lineRule="exact"/>
        <w:ind w:firstLine="640" w:firstLineChars="200"/>
        <w:rPr>
          <w:rFonts w:ascii="仿宋" w:hAnsi="仿宋" w:eastAsia="仿宋" w:cs="宋体"/>
          <w:color w:val="000000"/>
          <w:kern w:val="0"/>
          <w:sz w:val="32"/>
          <w:szCs w:val="32"/>
          <w:shd w:val="clear" w:color="auto" w:fill="FFFFFF"/>
          <w:lang w:val="zh-CN"/>
        </w:rPr>
      </w:pPr>
      <w:r>
        <w:rPr>
          <w:rFonts w:hint="eastAsia" w:ascii="仿宋_GB2312" w:hAnsi="仿宋_GB2312" w:eastAsia="仿宋_GB2312" w:cs="仿宋_GB2312"/>
          <w:sz w:val="32"/>
          <w:szCs w:val="32"/>
        </w:rPr>
        <w:t>对部门预算绩效管理工作开展情况认真进行了自查自评。绩效评价自查开展覆盖单位重点基本支出及重点支出，将评价结果作为预算安排的重要依据，参照项目年度预算执行情况“三年滚动规划”执行情况统筹项目支出需求，保障重点支出，调整支出结构，优化财政资金配置，不断强化绩效理念，推动我单位整体绩效管理水平不断提升。</w:t>
      </w:r>
    </w:p>
    <w:p w14:paraId="68BC8BAA">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3D07066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575002FF">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202</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年部门整体支出绩效评价自查自评结果良好，全年基本支出保证了部门的正常运行和日常工作的正常开展，项目支出保障了重点工作的开展，达到预期绩效目标。</w:t>
      </w:r>
    </w:p>
    <w:p w14:paraId="0E013AC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14:paraId="0E42590A">
      <w:pPr>
        <w:widowControl/>
        <w:shd w:val="clear" w:color="auto" w:fill="FFFFFF"/>
        <w:ind w:firstLine="640"/>
        <w:jc w:val="left"/>
        <w:rPr>
          <w:rFonts w:ascii="仿宋_GB2312" w:hAnsi="微软雅黑" w:eastAsia="仿宋_GB2312" w:cs="宋体"/>
          <w:kern w:val="0"/>
          <w:sz w:val="32"/>
          <w:szCs w:val="32"/>
          <w:lang w:bidi="ar"/>
        </w:rPr>
      </w:pPr>
      <w:r>
        <w:rPr>
          <w:rFonts w:hint="eastAsia" w:ascii="仿宋_GB2312" w:hAnsi="微软雅黑" w:eastAsia="仿宋_GB2312" w:cs="宋体"/>
          <w:kern w:val="0"/>
          <w:sz w:val="32"/>
          <w:szCs w:val="32"/>
          <w:lang w:bidi="ar"/>
        </w:rPr>
        <w:t>1、专业技术人才队伍仍然没有摆脱</w:t>
      </w:r>
      <w:r>
        <w:rPr>
          <w:rFonts w:hint="eastAsia" w:ascii="仿宋_GB2312" w:hAnsi="微软雅黑" w:eastAsia="仿宋_GB2312" w:cs="宋体"/>
          <w:kern w:val="0"/>
          <w:sz w:val="32"/>
          <w:szCs w:val="32"/>
          <w:lang w:eastAsia="zh-CN" w:bidi="ar"/>
        </w:rPr>
        <w:t>严重缺乏</w:t>
      </w:r>
      <w:r>
        <w:rPr>
          <w:rFonts w:hint="eastAsia" w:ascii="仿宋_GB2312" w:hAnsi="微软雅黑" w:eastAsia="仿宋_GB2312" w:cs="宋体"/>
          <w:kern w:val="0"/>
          <w:sz w:val="32"/>
          <w:szCs w:val="32"/>
          <w:lang w:bidi="ar"/>
        </w:rPr>
        <w:t>的局面，人员梯队断层现象突出，高层次人才匮乏严重，缺少具有开拓创新能力的</w:t>
      </w:r>
      <w:r>
        <w:rPr>
          <w:rFonts w:hint="eastAsia" w:ascii="仿宋_GB2312" w:hAnsi="微软雅黑" w:eastAsia="仿宋_GB2312" w:cs="宋体"/>
          <w:kern w:val="0"/>
          <w:sz w:val="32"/>
          <w:szCs w:val="32"/>
          <w:lang w:eastAsia="zh-CN" w:bidi="ar"/>
        </w:rPr>
        <w:t>专业</w:t>
      </w:r>
      <w:r>
        <w:rPr>
          <w:rFonts w:hint="eastAsia" w:ascii="仿宋_GB2312" w:hAnsi="微软雅黑" w:eastAsia="仿宋_GB2312" w:cs="宋体"/>
          <w:kern w:val="0"/>
          <w:sz w:val="32"/>
          <w:szCs w:val="32"/>
          <w:lang w:bidi="ar"/>
        </w:rPr>
        <w:t>带头人和</w:t>
      </w:r>
      <w:r>
        <w:rPr>
          <w:rFonts w:hint="eastAsia" w:ascii="仿宋_GB2312" w:hAnsi="微软雅黑" w:eastAsia="仿宋_GB2312" w:cs="宋体"/>
          <w:kern w:val="0"/>
          <w:sz w:val="32"/>
          <w:szCs w:val="32"/>
          <w:lang w:eastAsia="zh-CN" w:bidi="ar"/>
        </w:rPr>
        <w:t>医生</w:t>
      </w:r>
      <w:r>
        <w:rPr>
          <w:rFonts w:hint="eastAsia" w:ascii="仿宋_GB2312" w:hAnsi="微软雅黑" w:eastAsia="仿宋_GB2312" w:cs="宋体"/>
          <w:kern w:val="0"/>
          <w:sz w:val="32"/>
          <w:szCs w:val="32"/>
          <w:lang w:bidi="ar"/>
        </w:rPr>
        <w:t>。</w:t>
      </w:r>
    </w:p>
    <w:p w14:paraId="168854DA">
      <w:pPr>
        <w:widowControl/>
        <w:shd w:val="clear" w:color="auto" w:fill="FFFFFF"/>
        <w:ind w:firstLine="640"/>
        <w:jc w:val="left"/>
        <w:rPr>
          <w:rFonts w:ascii="仿宋_GB2312" w:hAnsi="微软雅黑" w:eastAsia="仿宋_GB2312" w:cs="宋体"/>
          <w:kern w:val="0"/>
          <w:sz w:val="32"/>
          <w:szCs w:val="32"/>
          <w:lang w:bidi="ar"/>
        </w:rPr>
      </w:pPr>
      <w:r>
        <w:rPr>
          <w:rFonts w:hint="eastAsia" w:ascii="仿宋_GB2312" w:hAnsi="微软雅黑" w:eastAsia="仿宋_GB2312" w:cs="宋体"/>
          <w:kern w:val="0"/>
          <w:sz w:val="32"/>
          <w:szCs w:val="32"/>
          <w:lang w:bidi="ar"/>
        </w:rPr>
        <w:t>2、重点专科建设缺乏，中藏医药特色优势不突出。</w:t>
      </w:r>
    </w:p>
    <w:p w14:paraId="0776958C">
      <w:pPr>
        <w:widowControl/>
        <w:shd w:val="clear" w:color="auto" w:fill="FFFFFF"/>
        <w:ind w:firstLine="63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3、人员编制太少导致医院发展慢，无法招聘人员，人才无法引进，导致院内职工身兼数职，增加医疗风险。</w:t>
      </w:r>
    </w:p>
    <w:p w14:paraId="6364A4CF">
      <w:pPr>
        <w:widowControl/>
        <w:shd w:val="clear" w:color="auto" w:fill="FFFFFF"/>
        <w:ind w:firstLine="63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4、信息化建设落后，目前的信息化建设是最初级的设备，随着医院的发展已经不能满足医院信息化的需求。</w:t>
      </w:r>
    </w:p>
    <w:p w14:paraId="07B88A8E">
      <w:pPr>
        <w:widowControl/>
        <w:shd w:val="clear" w:color="auto" w:fill="FFFFFF"/>
        <w:ind w:firstLine="63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5、目前医院大多数职工未解决住房问题，都暂时使用业务用房居住。</w:t>
      </w:r>
    </w:p>
    <w:p w14:paraId="0150546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5D33E68F">
      <w:pPr>
        <w:shd w:val="solid" w:color="FFFFFF" w:fill="auto"/>
        <w:autoSpaceDN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1.进一步做好绩效工资分配制度建设，使其更有激励的作用。</w:t>
      </w:r>
    </w:p>
    <w:p w14:paraId="0CCDA3A7">
      <w:pPr>
        <w:shd w:val="solid" w:color="FFFFFF" w:fill="auto"/>
        <w:autoSpaceDN w:val="0"/>
        <w:spacing w:line="360" w:lineRule="auto"/>
        <w:ind w:firstLine="640" w:firstLineChars="200"/>
        <w:rPr>
          <w:rFonts w:ascii="宋体" w:hAnsi="宋体"/>
          <w:color w:val="0000FF"/>
          <w:sz w:val="32"/>
          <w:shd w:val="clear" w:color="auto" w:fill="FFFFFF"/>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.继续开展健康帮扶活动，</w:t>
      </w:r>
      <w:r>
        <w:rPr>
          <w:rFonts w:hint="eastAsia" w:ascii="仿宋_GB2312" w:hAnsi="仿宋_GB2312" w:eastAsia="仿宋_GB2312"/>
          <w:sz w:val="32"/>
          <w:shd w:val="clear" w:color="auto" w:fill="FFFFFF"/>
        </w:rPr>
        <w:t>进一步强化工作措施，</w:t>
      </w:r>
      <w:r>
        <w:rPr>
          <w:rFonts w:hint="eastAsia" w:ascii="仿宋_GB2312" w:hAnsi="仿宋_GB2312" w:eastAsia="仿宋_GB2312"/>
          <w:sz w:val="32"/>
          <w:shd w:val="clear" w:color="auto" w:fill="FFFFFF"/>
          <w:lang w:eastAsia="zh-CN"/>
        </w:rPr>
        <w:t>加</w:t>
      </w:r>
      <w:r>
        <w:rPr>
          <w:rFonts w:hint="eastAsia" w:ascii="仿宋_GB2312" w:hAnsi="仿宋_GB2312" w:eastAsia="仿宋_GB2312"/>
          <w:sz w:val="32"/>
          <w:shd w:val="clear" w:color="auto" w:fill="FFFFFF"/>
        </w:rPr>
        <w:t>强基层组织，认真开展领导定点联系、干部驻点帮扶工作，深入了解基层群众的需求和困难</w:t>
      </w:r>
      <w:r>
        <w:rPr>
          <w:rFonts w:ascii="仿宋_GB2312" w:hAnsi="仿宋_GB2312" w:eastAsia="仿宋_GB2312"/>
          <w:sz w:val="32"/>
          <w:shd w:val="clear" w:color="auto" w:fill="FFFFFF"/>
        </w:rPr>
        <w:t>。</w:t>
      </w:r>
    </w:p>
    <w:p w14:paraId="6F7B20DB">
      <w:pPr>
        <w:pStyle w:val="10"/>
        <w:widowControl/>
        <w:shd w:val="clear" w:color="auto" w:fill="FFFFFF"/>
        <w:spacing w:before="0" w:beforeAutospacing="0" w:after="150" w:afterAutospacing="0" w:line="360" w:lineRule="auto"/>
        <w:rPr>
          <w:rFonts w:ascii="仿宋_GB2312" w:hAnsi="仿宋_GB2312" w:eastAsia="仿宋_GB2312"/>
          <w:kern w:val="2"/>
          <w:sz w:val="32"/>
          <w:shd w:val="clear" w:color="auto" w:fill="FFFFFF"/>
        </w:rPr>
      </w:pPr>
      <w:r>
        <w:rPr>
          <w:rFonts w:hint="eastAsia" w:ascii="仿宋_GB2312" w:hAnsi="仿宋_GB2312" w:eastAsia="仿宋_GB2312" w:cs="仿宋_GB2312"/>
          <w:color w:val="333333"/>
          <w:sz w:val="32"/>
          <w:szCs w:val="32"/>
        </w:rPr>
        <w:t xml:space="preserve">  </w:t>
      </w:r>
      <w:r>
        <w:rPr>
          <w:rFonts w:hint="eastAsia" w:ascii="仿宋_GB2312" w:hAnsi="仿宋_GB2312" w:eastAsia="仿宋_GB2312"/>
          <w:kern w:val="2"/>
          <w:sz w:val="32"/>
          <w:shd w:val="clear" w:color="auto" w:fill="FFFFFF"/>
        </w:rPr>
        <w:t xml:space="preserve">  </w:t>
      </w:r>
      <w:r>
        <w:rPr>
          <w:rFonts w:hint="eastAsia" w:ascii="仿宋_GB2312" w:hAnsi="仿宋_GB2312" w:eastAsia="仿宋_GB2312"/>
          <w:kern w:val="2"/>
          <w:sz w:val="32"/>
          <w:shd w:val="clear" w:color="auto" w:fill="FFFFFF"/>
          <w:lang w:val="en-US" w:eastAsia="zh-CN"/>
        </w:rPr>
        <w:t>3</w:t>
      </w:r>
      <w:r>
        <w:rPr>
          <w:rFonts w:hint="eastAsia" w:ascii="仿宋_GB2312" w:hAnsi="仿宋_GB2312" w:eastAsia="仿宋_GB2312"/>
          <w:kern w:val="2"/>
          <w:sz w:val="32"/>
          <w:shd w:val="clear" w:color="auto" w:fill="FFFFFF"/>
        </w:rPr>
        <w:t>. 做好人才引进工作，以缓解专业技术人才短缺问题。</w:t>
      </w:r>
    </w:p>
    <w:p w14:paraId="22383481">
      <w:pPr>
        <w:pStyle w:val="10"/>
        <w:widowControl/>
        <w:shd w:val="clear" w:color="auto" w:fill="FFFFFF"/>
        <w:spacing w:before="0" w:beforeAutospacing="0" w:after="150" w:afterAutospacing="0" w:line="360" w:lineRule="auto"/>
        <w:rPr>
          <w:rFonts w:ascii="仿宋_GB2312" w:hAnsi="仿宋_GB2312" w:eastAsia="仿宋_GB2312"/>
          <w:kern w:val="2"/>
          <w:sz w:val="32"/>
          <w:shd w:val="clear" w:color="auto" w:fill="FFFFFF"/>
        </w:rPr>
      </w:pPr>
      <w:r>
        <w:rPr>
          <w:rFonts w:hint="eastAsia" w:ascii="仿宋_GB2312" w:hAnsi="仿宋_GB2312" w:eastAsia="仿宋_GB2312"/>
          <w:kern w:val="2"/>
          <w:sz w:val="32"/>
          <w:shd w:val="clear" w:color="auto" w:fill="FFFFFF"/>
        </w:rPr>
        <w:t xml:space="preserve">    </w:t>
      </w:r>
      <w:r>
        <w:rPr>
          <w:rFonts w:hint="eastAsia" w:ascii="仿宋_GB2312" w:hAnsi="仿宋_GB2312" w:eastAsia="仿宋_GB2312"/>
          <w:kern w:val="2"/>
          <w:sz w:val="32"/>
          <w:shd w:val="clear" w:color="auto" w:fill="FFFFFF"/>
          <w:lang w:val="en-US" w:eastAsia="zh-CN"/>
        </w:rPr>
        <w:t>4</w:t>
      </w:r>
      <w:r>
        <w:rPr>
          <w:rFonts w:hint="eastAsia" w:ascii="仿宋_GB2312" w:hAnsi="仿宋_GB2312" w:eastAsia="仿宋_GB2312"/>
          <w:kern w:val="2"/>
          <w:sz w:val="32"/>
          <w:shd w:val="clear" w:color="auto" w:fill="FFFFFF"/>
        </w:rPr>
        <w:t>. 做好部分医疗设备的更新换代，进一步提高医院的诊疗技术水平。</w:t>
      </w:r>
    </w:p>
    <w:p w14:paraId="388CE7B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p>
    <w:p w14:paraId="237564F5">
      <w:pPr>
        <w:spacing w:line="580" w:lineRule="exact"/>
        <w:ind w:firstLine="640" w:firstLineChars="200"/>
        <w:rPr>
          <w:rFonts w:ascii="仿宋_GB2312" w:hAnsi="仿宋_GB2312" w:eastAsia="仿宋_GB2312" w:cs="仿宋_GB2312"/>
          <w:sz w:val="32"/>
          <w:szCs w:val="32"/>
        </w:rPr>
      </w:pPr>
    </w:p>
    <w:p w14:paraId="3B855AC3">
      <w:pPr>
        <w:spacing w:line="580" w:lineRule="exact"/>
        <w:ind w:firstLine="640" w:firstLineChars="200"/>
        <w:rPr>
          <w:rFonts w:ascii="仿宋_GB2312" w:hAnsi="仿宋_GB2312" w:eastAsia="仿宋_GB2312" w:cs="仿宋_GB2312"/>
          <w:sz w:val="32"/>
          <w:szCs w:val="32"/>
        </w:rPr>
      </w:pPr>
    </w:p>
    <w:p w14:paraId="2546D049">
      <w:pPr>
        <w:spacing w:line="600" w:lineRule="exact"/>
        <w:jc w:val="center"/>
        <w:outlineLvl w:val="0"/>
        <w:rPr>
          <w:rFonts w:ascii="黑体" w:hAnsi="黑体" w:eastAsia="黑体" w:cs="黑体"/>
          <w:sz w:val="32"/>
          <w:szCs w:val="32"/>
        </w:rPr>
      </w:pPr>
      <w:bookmarkStart w:id="116" w:name="_Toc15396618"/>
      <w:bookmarkStart w:id="117" w:name="_Toc79163635"/>
    </w:p>
    <w:p w14:paraId="4B8007B8">
      <w:pPr>
        <w:spacing w:line="600" w:lineRule="exact"/>
        <w:jc w:val="center"/>
        <w:outlineLvl w:val="0"/>
        <w:rPr>
          <w:rFonts w:ascii="黑体" w:hAnsi="黑体" w:eastAsia="黑体" w:cs="黑体"/>
          <w:sz w:val="32"/>
          <w:szCs w:val="32"/>
        </w:rPr>
      </w:pPr>
    </w:p>
    <w:p w14:paraId="79D53C1C">
      <w:pPr>
        <w:spacing w:line="600" w:lineRule="exact"/>
        <w:jc w:val="center"/>
        <w:outlineLvl w:val="0"/>
        <w:rPr>
          <w:rFonts w:ascii="黑体" w:hAnsi="黑体" w:eastAsia="黑体" w:cs="黑体"/>
          <w:sz w:val="32"/>
          <w:szCs w:val="32"/>
        </w:rPr>
      </w:pPr>
    </w:p>
    <w:p w14:paraId="68DCC14B">
      <w:pPr>
        <w:spacing w:line="600" w:lineRule="exact"/>
        <w:jc w:val="center"/>
        <w:outlineLvl w:val="0"/>
        <w:rPr>
          <w:rFonts w:ascii="黑体" w:hAnsi="黑体" w:eastAsia="黑体" w:cs="黑体"/>
          <w:sz w:val="32"/>
          <w:szCs w:val="32"/>
        </w:rPr>
      </w:pPr>
    </w:p>
    <w:p w14:paraId="24E20A9A">
      <w:pPr>
        <w:spacing w:line="600" w:lineRule="exact"/>
        <w:jc w:val="center"/>
        <w:outlineLvl w:val="0"/>
        <w:rPr>
          <w:rFonts w:ascii="黑体" w:hAnsi="黑体" w:eastAsia="黑体" w:cs="黑体"/>
          <w:sz w:val="32"/>
          <w:szCs w:val="32"/>
        </w:rPr>
      </w:pPr>
    </w:p>
    <w:p w14:paraId="0310F0B7">
      <w:pPr>
        <w:spacing w:line="600" w:lineRule="exact"/>
        <w:jc w:val="center"/>
        <w:outlineLvl w:val="0"/>
        <w:rPr>
          <w:rFonts w:ascii="黑体" w:hAnsi="黑体" w:eastAsia="黑体" w:cs="黑体"/>
          <w:sz w:val="32"/>
          <w:szCs w:val="32"/>
        </w:rPr>
      </w:pPr>
    </w:p>
    <w:p w14:paraId="40EAFB71">
      <w:pPr>
        <w:spacing w:line="600" w:lineRule="exact"/>
        <w:jc w:val="center"/>
        <w:outlineLvl w:val="0"/>
        <w:rPr>
          <w:rFonts w:ascii="黑体" w:hAnsi="黑体" w:eastAsia="黑体" w:cs="黑体"/>
          <w:sz w:val="32"/>
          <w:szCs w:val="32"/>
        </w:rPr>
      </w:pPr>
    </w:p>
    <w:p w14:paraId="1B1CB8F4">
      <w:pPr>
        <w:spacing w:line="600" w:lineRule="exact"/>
        <w:jc w:val="center"/>
        <w:outlineLvl w:val="0"/>
        <w:rPr>
          <w:rFonts w:ascii="黑体" w:hAnsi="黑体" w:eastAsia="黑体" w:cs="黑体"/>
          <w:sz w:val="32"/>
          <w:szCs w:val="32"/>
        </w:rPr>
      </w:pPr>
    </w:p>
    <w:p w14:paraId="61B8CD8C">
      <w:pPr>
        <w:spacing w:line="600" w:lineRule="exact"/>
        <w:jc w:val="center"/>
        <w:outlineLvl w:val="0"/>
        <w:rPr>
          <w:rFonts w:ascii="黑体" w:hAnsi="黑体" w:eastAsia="黑体" w:cs="黑体"/>
          <w:sz w:val="32"/>
          <w:szCs w:val="32"/>
        </w:rPr>
      </w:pPr>
    </w:p>
    <w:p w14:paraId="57D6C419">
      <w:pPr>
        <w:spacing w:line="600" w:lineRule="exact"/>
        <w:jc w:val="center"/>
        <w:outlineLvl w:val="0"/>
        <w:rPr>
          <w:rFonts w:ascii="黑体" w:hAnsi="黑体" w:eastAsia="黑体" w:cs="黑体"/>
          <w:sz w:val="32"/>
          <w:szCs w:val="32"/>
        </w:rPr>
      </w:pPr>
    </w:p>
    <w:p w14:paraId="102192B7">
      <w:pPr>
        <w:spacing w:line="600" w:lineRule="exact"/>
        <w:jc w:val="center"/>
        <w:outlineLvl w:val="0"/>
        <w:rPr>
          <w:rFonts w:ascii="黑体" w:hAnsi="黑体" w:eastAsia="黑体"/>
          <w:color w:val="000000"/>
          <w:sz w:val="44"/>
          <w:szCs w:val="44"/>
        </w:rPr>
      </w:pPr>
      <w:bookmarkStart w:id="118" w:name="_Toc24502"/>
    </w:p>
    <w:p w14:paraId="40705BC1">
      <w:pPr>
        <w:spacing w:line="600" w:lineRule="exact"/>
        <w:jc w:val="center"/>
        <w:outlineLvl w:val="0"/>
        <w:rPr>
          <w:rFonts w:ascii="黑体" w:hAnsi="黑体" w:eastAsia="黑体"/>
          <w:color w:val="000000"/>
          <w:sz w:val="44"/>
          <w:szCs w:val="44"/>
        </w:rPr>
      </w:pPr>
    </w:p>
    <w:p w14:paraId="36DD9B70">
      <w:pPr>
        <w:spacing w:line="600" w:lineRule="exact"/>
        <w:jc w:val="center"/>
        <w:outlineLvl w:val="0"/>
        <w:rPr>
          <w:rFonts w:ascii="黑体" w:hAnsi="黑体" w:eastAsia="黑体"/>
          <w:color w:val="000000"/>
          <w:sz w:val="44"/>
          <w:szCs w:val="44"/>
        </w:rPr>
      </w:pPr>
    </w:p>
    <w:p w14:paraId="0D400B9F">
      <w:pPr>
        <w:spacing w:line="600" w:lineRule="exact"/>
        <w:jc w:val="center"/>
        <w:outlineLvl w:val="0"/>
        <w:rPr>
          <w:rFonts w:ascii="黑体" w:hAnsi="黑体" w:eastAsia="黑体"/>
          <w:color w:val="000000"/>
          <w:sz w:val="44"/>
          <w:szCs w:val="44"/>
        </w:rPr>
      </w:pPr>
    </w:p>
    <w:p w14:paraId="52BCCA07">
      <w:pPr>
        <w:spacing w:line="600" w:lineRule="exact"/>
        <w:jc w:val="center"/>
        <w:outlineLvl w:val="0"/>
        <w:rPr>
          <w:rFonts w:hint="eastAsia" w:ascii="黑体" w:hAnsi="黑体" w:eastAsia="黑体"/>
          <w:color w:val="000000"/>
          <w:sz w:val="44"/>
          <w:szCs w:val="44"/>
        </w:rPr>
      </w:pPr>
    </w:p>
    <w:p w14:paraId="4C3FD381">
      <w:pPr>
        <w:spacing w:line="600" w:lineRule="exact"/>
        <w:jc w:val="center"/>
        <w:outlineLvl w:val="0"/>
        <w:rPr>
          <w:rStyle w:val="14"/>
          <w:rFonts w:ascii="黑体" w:hAnsi="黑体" w:eastAsia="黑体"/>
          <w:b w:val="0"/>
        </w:rPr>
      </w:pPr>
      <w:bookmarkStart w:id="160" w:name="_GoBack"/>
      <w:bookmarkEnd w:id="160"/>
      <w:r>
        <w:rPr>
          <w:rFonts w:hint="eastAsia" w:ascii="黑体" w:hAnsi="黑体" w:eastAsia="黑体"/>
          <w:color w:val="000000"/>
          <w:sz w:val="44"/>
          <w:szCs w:val="44"/>
        </w:rPr>
        <w:t>第</w:t>
      </w:r>
      <w:r>
        <w:rPr>
          <w:rStyle w:val="14"/>
          <w:rFonts w:hint="eastAsia" w:ascii="黑体" w:hAnsi="黑体" w:eastAsia="黑体"/>
          <w:b w:val="0"/>
        </w:rPr>
        <w:t>五部分附表</w:t>
      </w:r>
      <w:bookmarkEnd w:id="108"/>
      <w:bookmarkEnd w:id="116"/>
      <w:bookmarkEnd w:id="117"/>
      <w:bookmarkEnd w:id="118"/>
    </w:p>
    <w:p w14:paraId="1A5572C1">
      <w:pPr>
        <w:pStyle w:val="3"/>
        <w:rPr>
          <w:rFonts w:ascii="仿宋" w:hAnsi="仿宋" w:eastAsia="仿宋"/>
          <w:color w:val="000000"/>
        </w:rPr>
      </w:pPr>
      <w:bookmarkStart w:id="119" w:name="_Toc15396619"/>
      <w:bookmarkStart w:id="120" w:name="_Toc79163636"/>
      <w:bookmarkStart w:id="121" w:name="_Toc30685"/>
      <w:r>
        <w:rPr>
          <w:rFonts w:hint="eastAsia" w:ascii="仿宋" w:hAnsi="仿宋" w:eastAsia="仿宋"/>
          <w:b w:val="0"/>
          <w:color w:val="000000"/>
        </w:rPr>
        <w:t>一、收</w:t>
      </w:r>
      <w:r>
        <w:rPr>
          <w:rStyle w:val="15"/>
          <w:rFonts w:hint="eastAsia" w:ascii="仿宋" w:hAnsi="仿宋" w:eastAsia="仿宋"/>
          <w:b w:val="0"/>
          <w:bCs w:val="0"/>
        </w:rPr>
        <w:t>入支出决算总表</w:t>
      </w:r>
      <w:bookmarkEnd w:id="119"/>
      <w:bookmarkEnd w:id="120"/>
      <w:bookmarkEnd w:id="121"/>
    </w:p>
    <w:p w14:paraId="1B787D91">
      <w:pPr>
        <w:pStyle w:val="3"/>
        <w:rPr>
          <w:rFonts w:ascii="仿宋" w:hAnsi="仿宋" w:eastAsia="仿宋"/>
          <w:color w:val="000000"/>
        </w:rPr>
      </w:pPr>
      <w:bookmarkStart w:id="122" w:name="_Toc15396620"/>
      <w:bookmarkStart w:id="123" w:name="_Toc79163637"/>
      <w:bookmarkStart w:id="124" w:name="_Toc7121"/>
      <w:r>
        <w:rPr>
          <w:rFonts w:hint="eastAsia" w:ascii="仿宋" w:hAnsi="仿宋" w:eastAsia="仿宋"/>
          <w:b w:val="0"/>
          <w:color w:val="000000"/>
        </w:rPr>
        <w:t>二、收</w:t>
      </w:r>
      <w:r>
        <w:rPr>
          <w:rStyle w:val="15"/>
          <w:rFonts w:hint="eastAsia" w:ascii="仿宋" w:hAnsi="仿宋" w:eastAsia="仿宋"/>
          <w:b w:val="0"/>
          <w:bCs w:val="0"/>
        </w:rPr>
        <w:t>入决算表</w:t>
      </w:r>
      <w:bookmarkEnd w:id="122"/>
      <w:bookmarkEnd w:id="123"/>
      <w:bookmarkEnd w:id="124"/>
    </w:p>
    <w:p w14:paraId="601FEA95">
      <w:pPr>
        <w:pStyle w:val="3"/>
        <w:rPr>
          <w:rFonts w:ascii="仿宋" w:hAnsi="仿宋" w:eastAsia="仿宋"/>
          <w:color w:val="000000"/>
        </w:rPr>
      </w:pPr>
      <w:bookmarkStart w:id="125" w:name="_Toc15396621"/>
      <w:bookmarkStart w:id="126" w:name="_Toc12138"/>
      <w:bookmarkStart w:id="127" w:name="_Toc79163638"/>
      <w:r>
        <w:rPr>
          <w:rStyle w:val="15"/>
          <w:rFonts w:hint="eastAsia" w:ascii="仿宋" w:hAnsi="仿宋" w:eastAsia="仿宋"/>
          <w:b w:val="0"/>
          <w:bCs w:val="0"/>
        </w:rPr>
        <w:t>三、</w:t>
      </w:r>
      <w:r>
        <w:rPr>
          <w:rFonts w:hint="eastAsia" w:ascii="仿宋" w:hAnsi="仿宋" w:eastAsia="仿宋"/>
          <w:b w:val="0"/>
          <w:color w:val="000000"/>
        </w:rPr>
        <w:t>支</w:t>
      </w:r>
      <w:r>
        <w:rPr>
          <w:rStyle w:val="15"/>
          <w:rFonts w:hint="eastAsia" w:ascii="仿宋" w:hAnsi="仿宋" w:eastAsia="仿宋"/>
          <w:b w:val="0"/>
          <w:bCs w:val="0"/>
        </w:rPr>
        <w:t>出决算表</w:t>
      </w:r>
      <w:bookmarkEnd w:id="125"/>
      <w:bookmarkEnd w:id="126"/>
      <w:bookmarkEnd w:id="127"/>
    </w:p>
    <w:p w14:paraId="76AD9145">
      <w:pPr>
        <w:pStyle w:val="3"/>
        <w:rPr>
          <w:rFonts w:ascii="仿宋" w:hAnsi="仿宋" w:eastAsia="仿宋"/>
          <w:b w:val="0"/>
          <w:color w:val="000000"/>
        </w:rPr>
      </w:pPr>
      <w:bookmarkStart w:id="128" w:name="_Toc79163639"/>
      <w:bookmarkStart w:id="129" w:name="_Toc15396622"/>
      <w:bookmarkStart w:id="130" w:name="_Toc26675"/>
      <w:r>
        <w:rPr>
          <w:rStyle w:val="15"/>
          <w:rFonts w:hint="eastAsia" w:ascii="仿宋" w:hAnsi="仿宋" w:eastAsia="仿宋"/>
          <w:b w:val="0"/>
          <w:bCs w:val="0"/>
        </w:rPr>
        <w:t>四、</w:t>
      </w:r>
      <w:r>
        <w:rPr>
          <w:rFonts w:hint="eastAsia" w:ascii="仿宋" w:hAnsi="仿宋" w:eastAsia="仿宋"/>
          <w:b w:val="0"/>
          <w:color w:val="000000"/>
        </w:rPr>
        <w:t>财</w:t>
      </w:r>
      <w:r>
        <w:rPr>
          <w:rStyle w:val="15"/>
          <w:rFonts w:hint="eastAsia" w:ascii="仿宋" w:hAnsi="仿宋" w:eastAsia="仿宋"/>
          <w:b w:val="0"/>
          <w:bCs w:val="0"/>
        </w:rPr>
        <w:t>政拨款收入支出决算总表</w:t>
      </w:r>
      <w:bookmarkEnd w:id="128"/>
      <w:bookmarkEnd w:id="129"/>
      <w:bookmarkEnd w:id="130"/>
    </w:p>
    <w:p w14:paraId="3EF6D5C8">
      <w:pPr>
        <w:pStyle w:val="3"/>
        <w:rPr>
          <w:rStyle w:val="15"/>
          <w:rFonts w:ascii="仿宋" w:hAnsi="仿宋" w:eastAsia="仿宋"/>
          <w:b w:val="0"/>
          <w:bCs w:val="0"/>
        </w:rPr>
      </w:pPr>
      <w:bookmarkStart w:id="131" w:name="_Toc79163640"/>
      <w:bookmarkStart w:id="132" w:name="_Toc15396623"/>
      <w:bookmarkStart w:id="133" w:name="_Toc19787"/>
      <w:r>
        <w:rPr>
          <w:rStyle w:val="15"/>
          <w:rFonts w:hint="eastAsia" w:ascii="仿宋" w:hAnsi="仿宋" w:eastAsia="仿宋"/>
          <w:b w:val="0"/>
          <w:bCs w:val="0"/>
        </w:rPr>
        <w:t>五、</w:t>
      </w:r>
      <w:r>
        <w:rPr>
          <w:rFonts w:hint="eastAsia" w:ascii="仿宋" w:hAnsi="仿宋" w:eastAsia="仿宋"/>
          <w:b w:val="0"/>
          <w:color w:val="000000"/>
        </w:rPr>
        <w:t>财</w:t>
      </w:r>
      <w:r>
        <w:rPr>
          <w:rStyle w:val="15"/>
          <w:rFonts w:hint="eastAsia" w:ascii="仿宋" w:hAnsi="仿宋" w:eastAsia="仿宋"/>
          <w:b w:val="0"/>
          <w:bCs w:val="0"/>
        </w:rPr>
        <w:t>政拨款支出决算明细表</w:t>
      </w:r>
      <w:bookmarkEnd w:id="131"/>
      <w:bookmarkEnd w:id="132"/>
      <w:bookmarkEnd w:id="133"/>
      <w:bookmarkStart w:id="134" w:name="_Toc15396624"/>
    </w:p>
    <w:p w14:paraId="36934103">
      <w:pPr>
        <w:pStyle w:val="3"/>
        <w:rPr>
          <w:rFonts w:ascii="仿宋" w:hAnsi="仿宋" w:eastAsia="仿宋"/>
          <w:color w:val="000000"/>
        </w:rPr>
      </w:pPr>
      <w:bookmarkStart w:id="135" w:name="_Toc28958"/>
      <w:bookmarkStart w:id="136" w:name="_Toc79163641"/>
      <w:r>
        <w:rPr>
          <w:rStyle w:val="15"/>
          <w:rFonts w:hint="eastAsia" w:ascii="仿宋" w:hAnsi="仿宋" w:eastAsia="仿宋"/>
          <w:b w:val="0"/>
          <w:bCs w:val="0"/>
        </w:rPr>
        <w:t>六、</w:t>
      </w:r>
      <w:r>
        <w:rPr>
          <w:rFonts w:hint="eastAsia" w:ascii="仿宋" w:hAnsi="仿宋" w:eastAsia="仿宋"/>
          <w:b w:val="0"/>
          <w:color w:val="000000"/>
        </w:rPr>
        <w:t>一</w:t>
      </w:r>
      <w:r>
        <w:rPr>
          <w:rStyle w:val="15"/>
          <w:rFonts w:hint="eastAsia" w:ascii="仿宋" w:hAnsi="仿宋" w:eastAsia="仿宋"/>
          <w:b w:val="0"/>
          <w:bCs w:val="0"/>
        </w:rPr>
        <w:t>般公共预算财政拨款支出决算表</w:t>
      </w:r>
      <w:bookmarkEnd w:id="134"/>
      <w:bookmarkEnd w:id="135"/>
      <w:bookmarkEnd w:id="136"/>
    </w:p>
    <w:p w14:paraId="5E605E42">
      <w:pPr>
        <w:pStyle w:val="3"/>
        <w:rPr>
          <w:rFonts w:ascii="仿宋" w:hAnsi="仿宋" w:eastAsia="仿宋"/>
          <w:color w:val="000000"/>
        </w:rPr>
      </w:pPr>
      <w:bookmarkStart w:id="137" w:name="_Toc79163642"/>
      <w:bookmarkStart w:id="138" w:name="_Toc15396625"/>
      <w:bookmarkStart w:id="139" w:name="_Toc18434"/>
      <w:r>
        <w:rPr>
          <w:rStyle w:val="15"/>
          <w:rFonts w:hint="eastAsia" w:ascii="仿宋" w:hAnsi="仿宋" w:eastAsia="仿宋"/>
          <w:b w:val="0"/>
          <w:bCs w:val="0"/>
        </w:rPr>
        <w:t>七、</w:t>
      </w:r>
      <w:r>
        <w:rPr>
          <w:rFonts w:hint="eastAsia" w:ascii="仿宋" w:hAnsi="仿宋" w:eastAsia="仿宋"/>
          <w:b w:val="0"/>
          <w:color w:val="000000"/>
        </w:rPr>
        <w:t>一</w:t>
      </w:r>
      <w:r>
        <w:rPr>
          <w:rStyle w:val="15"/>
          <w:rFonts w:hint="eastAsia" w:ascii="仿宋" w:hAnsi="仿宋" w:eastAsia="仿宋"/>
          <w:b w:val="0"/>
          <w:bCs w:val="0"/>
        </w:rPr>
        <w:t>般公共预算财政拨款支出决算明细表</w:t>
      </w:r>
      <w:bookmarkEnd w:id="137"/>
      <w:bookmarkEnd w:id="138"/>
      <w:bookmarkEnd w:id="139"/>
    </w:p>
    <w:p w14:paraId="684DBDFC">
      <w:pPr>
        <w:pStyle w:val="3"/>
        <w:rPr>
          <w:rFonts w:ascii="仿宋" w:hAnsi="仿宋" w:eastAsia="仿宋"/>
          <w:color w:val="000000"/>
        </w:rPr>
      </w:pPr>
      <w:bookmarkStart w:id="140" w:name="_Toc15396626"/>
      <w:bookmarkStart w:id="141" w:name="_Toc2348"/>
      <w:bookmarkStart w:id="142" w:name="_Toc79163643"/>
      <w:r>
        <w:rPr>
          <w:rStyle w:val="15"/>
          <w:rFonts w:hint="eastAsia" w:ascii="仿宋" w:hAnsi="仿宋" w:eastAsia="仿宋"/>
          <w:b w:val="0"/>
          <w:bCs w:val="0"/>
        </w:rPr>
        <w:t>八、</w:t>
      </w:r>
      <w:r>
        <w:rPr>
          <w:rFonts w:hint="eastAsia" w:ascii="仿宋" w:hAnsi="仿宋" w:eastAsia="仿宋"/>
          <w:b w:val="0"/>
          <w:color w:val="000000"/>
        </w:rPr>
        <w:t>一</w:t>
      </w:r>
      <w:r>
        <w:rPr>
          <w:rStyle w:val="15"/>
          <w:rFonts w:hint="eastAsia" w:ascii="仿宋" w:hAnsi="仿宋" w:eastAsia="仿宋"/>
          <w:b w:val="0"/>
          <w:bCs w:val="0"/>
        </w:rPr>
        <w:t>般公共预算财政拨款基本支出决算表</w:t>
      </w:r>
      <w:bookmarkEnd w:id="140"/>
      <w:bookmarkEnd w:id="141"/>
      <w:bookmarkEnd w:id="142"/>
    </w:p>
    <w:p w14:paraId="4769D8E0">
      <w:pPr>
        <w:pStyle w:val="3"/>
        <w:rPr>
          <w:rFonts w:ascii="仿宋" w:hAnsi="仿宋" w:eastAsia="仿宋"/>
          <w:color w:val="000000"/>
        </w:rPr>
      </w:pPr>
      <w:bookmarkStart w:id="143" w:name="_Toc79163644"/>
      <w:bookmarkStart w:id="144" w:name="_Toc3424"/>
      <w:bookmarkStart w:id="145" w:name="_Toc15396627"/>
      <w:r>
        <w:rPr>
          <w:rStyle w:val="15"/>
          <w:rFonts w:hint="eastAsia" w:ascii="仿宋" w:hAnsi="仿宋" w:eastAsia="仿宋"/>
          <w:b w:val="0"/>
          <w:bCs w:val="0"/>
        </w:rPr>
        <w:t>九、</w:t>
      </w:r>
      <w:r>
        <w:rPr>
          <w:rFonts w:hint="eastAsia" w:ascii="仿宋" w:hAnsi="仿宋" w:eastAsia="仿宋"/>
          <w:b w:val="0"/>
          <w:color w:val="000000"/>
        </w:rPr>
        <w:t>一</w:t>
      </w:r>
      <w:r>
        <w:rPr>
          <w:rStyle w:val="15"/>
          <w:rFonts w:hint="eastAsia" w:ascii="仿宋" w:hAnsi="仿宋" w:eastAsia="仿宋"/>
          <w:b w:val="0"/>
          <w:bCs w:val="0"/>
        </w:rPr>
        <w:t>般公共预算财政拨款项目支出决算表</w:t>
      </w:r>
      <w:bookmarkEnd w:id="143"/>
      <w:bookmarkEnd w:id="144"/>
      <w:bookmarkEnd w:id="145"/>
    </w:p>
    <w:p w14:paraId="155E274A">
      <w:pPr>
        <w:pStyle w:val="3"/>
        <w:rPr>
          <w:rFonts w:ascii="仿宋" w:hAnsi="仿宋" w:eastAsia="仿宋"/>
          <w:color w:val="000000"/>
        </w:rPr>
      </w:pPr>
      <w:bookmarkStart w:id="146" w:name="_Toc15396628"/>
      <w:bookmarkStart w:id="147" w:name="_Toc79163645"/>
      <w:bookmarkStart w:id="148" w:name="_Toc7709"/>
      <w:r>
        <w:rPr>
          <w:rStyle w:val="15"/>
          <w:rFonts w:hint="eastAsia" w:ascii="仿宋" w:hAnsi="仿宋" w:eastAsia="仿宋"/>
          <w:b w:val="0"/>
          <w:bCs w:val="0"/>
        </w:rPr>
        <w:t>十、</w:t>
      </w:r>
      <w:r>
        <w:rPr>
          <w:rFonts w:hint="eastAsia" w:ascii="仿宋" w:hAnsi="仿宋" w:eastAsia="仿宋"/>
          <w:b w:val="0"/>
          <w:color w:val="000000"/>
        </w:rPr>
        <w:t>一</w:t>
      </w:r>
      <w:r>
        <w:rPr>
          <w:rStyle w:val="15"/>
          <w:rFonts w:hint="eastAsia" w:ascii="仿宋" w:hAnsi="仿宋" w:eastAsia="仿宋"/>
          <w:b w:val="0"/>
          <w:bCs w:val="0"/>
        </w:rPr>
        <w:t>般公共预算财政拨款“三公”经费支出决算表</w:t>
      </w:r>
      <w:bookmarkEnd w:id="146"/>
      <w:bookmarkEnd w:id="147"/>
      <w:bookmarkEnd w:id="148"/>
    </w:p>
    <w:p w14:paraId="6BBC3379">
      <w:pPr>
        <w:pStyle w:val="3"/>
        <w:rPr>
          <w:rFonts w:ascii="仿宋" w:hAnsi="仿宋" w:eastAsia="仿宋"/>
          <w:color w:val="000000"/>
        </w:rPr>
      </w:pPr>
      <w:bookmarkStart w:id="149" w:name="_Toc15396629"/>
      <w:bookmarkStart w:id="150" w:name="_Toc30346"/>
      <w:bookmarkStart w:id="151" w:name="_Toc79163646"/>
      <w:r>
        <w:rPr>
          <w:rStyle w:val="15"/>
          <w:rFonts w:hint="eastAsia" w:ascii="仿宋" w:hAnsi="仿宋" w:eastAsia="仿宋"/>
          <w:b w:val="0"/>
          <w:bCs w:val="0"/>
        </w:rPr>
        <w:t>十一、</w:t>
      </w:r>
      <w:r>
        <w:rPr>
          <w:rFonts w:hint="eastAsia" w:ascii="仿宋" w:hAnsi="仿宋" w:eastAsia="仿宋"/>
          <w:b w:val="0"/>
          <w:color w:val="000000"/>
        </w:rPr>
        <w:t>政</w:t>
      </w:r>
      <w:r>
        <w:rPr>
          <w:rStyle w:val="15"/>
          <w:rFonts w:hint="eastAsia" w:ascii="仿宋" w:hAnsi="仿宋" w:eastAsia="仿宋"/>
          <w:b w:val="0"/>
          <w:bCs w:val="0"/>
        </w:rPr>
        <w:t>府性基金预算财政拨款收入支出决算表</w:t>
      </w:r>
      <w:bookmarkEnd w:id="149"/>
      <w:bookmarkEnd w:id="150"/>
      <w:bookmarkEnd w:id="151"/>
    </w:p>
    <w:p w14:paraId="2E273ED3">
      <w:pPr>
        <w:pStyle w:val="3"/>
        <w:rPr>
          <w:rFonts w:ascii="仿宋" w:hAnsi="仿宋" w:eastAsia="仿宋"/>
          <w:color w:val="000000"/>
        </w:rPr>
      </w:pPr>
      <w:bookmarkStart w:id="152" w:name="_Toc25925"/>
      <w:bookmarkStart w:id="153" w:name="_Toc79163647"/>
      <w:bookmarkStart w:id="154" w:name="_Toc15396630"/>
      <w:r>
        <w:rPr>
          <w:rStyle w:val="15"/>
          <w:rFonts w:hint="eastAsia" w:ascii="仿宋" w:hAnsi="仿宋" w:eastAsia="仿宋"/>
          <w:b w:val="0"/>
          <w:bCs w:val="0"/>
        </w:rPr>
        <w:t>十二、</w:t>
      </w:r>
      <w:r>
        <w:rPr>
          <w:rFonts w:hint="eastAsia" w:ascii="仿宋" w:hAnsi="仿宋" w:eastAsia="仿宋"/>
          <w:b w:val="0"/>
          <w:color w:val="000000"/>
        </w:rPr>
        <w:t>政</w:t>
      </w:r>
      <w:r>
        <w:rPr>
          <w:rStyle w:val="15"/>
          <w:rFonts w:hint="eastAsia" w:ascii="仿宋" w:hAnsi="仿宋" w:eastAsia="仿宋"/>
          <w:b w:val="0"/>
          <w:bCs w:val="0"/>
        </w:rPr>
        <w:t>府性基金预算财政拨款“三公”经费支出决算表</w:t>
      </w:r>
      <w:bookmarkEnd w:id="152"/>
      <w:bookmarkEnd w:id="153"/>
      <w:bookmarkEnd w:id="154"/>
    </w:p>
    <w:p w14:paraId="509A481A">
      <w:pPr>
        <w:pStyle w:val="3"/>
        <w:rPr>
          <w:rStyle w:val="15"/>
          <w:rFonts w:ascii="仿宋" w:hAnsi="仿宋" w:eastAsia="仿宋"/>
          <w:b w:val="0"/>
          <w:bCs w:val="0"/>
        </w:rPr>
      </w:pPr>
      <w:bookmarkStart w:id="155" w:name="_Toc79163648"/>
      <w:bookmarkStart w:id="156" w:name="_Toc15396631"/>
      <w:bookmarkStart w:id="157" w:name="_Toc10564"/>
      <w:r>
        <w:rPr>
          <w:rStyle w:val="15"/>
          <w:rFonts w:hint="eastAsia" w:ascii="仿宋" w:hAnsi="仿宋" w:eastAsia="仿宋"/>
          <w:b w:val="0"/>
          <w:bCs w:val="0"/>
        </w:rPr>
        <w:t>十三、</w:t>
      </w:r>
      <w:r>
        <w:rPr>
          <w:rFonts w:hint="eastAsia" w:ascii="仿宋" w:hAnsi="仿宋" w:eastAsia="仿宋"/>
          <w:b w:val="0"/>
          <w:color w:val="000000"/>
        </w:rPr>
        <w:t>国</w:t>
      </w:r>
      <w:r>
        <w:rPr>
          <w:rStyle w:val="15"/>
          <w:rFonts w:hint="eastAsia" w:ascii="仿宋" w:hAnsi="仿宋" w:eastAsia="仿宋"/>
          <w:b w:val="0"/>
          <w:bCs w:val="0"/>
        </w:rPr>
        <w:t>有资本经营预算财政拨款支出决算表</w:t>
      </w:r>
      <w:bookmarkEnd w:id="155"/>
      <w:bookmarkEnd w:id="156"/>
      <w:bookmarkEnd w:id="157"/>
    </w:p>
    <w:p w14:paraId="246B2612">
      <w:pPr>
        <w:pStyle w:val="3"/>
        <w:rPr>
          <w:rStyle w:val="15"/>
          <w:rFonts w:ascii="仿宋" w:hAnsi="仿宋" w:eastAsia="仿宋"/>
          <w:b w:val="0"/>
          <w:bCs w:val="0"/>
        </w:rPr>
      </w:pPr>
      <w:bookmarkStart w:id="158" w:name="_Toc79163649"/>
      <w:bookmarkStart w:id="159" w:name="_Toc1065"/>
      <w:r>
        <w:rPr>
          <w:rStyle w:val="15"/>
          <w:rFonts w:hint="eastAsia" w:ascii="仿宋" w:hAnsi="仿宋" w:eastAsia="仿宋"/>
          <w:b w:val="0"/>
          <w:bCs w:val="0"/>
        </w:rPr>
        <w:t>十四、国有资本经营预算财政拨款支出决算表</w:t>
      </w:r>
      <w:bookmarkEnd w:id="158"/>
      <w:bookmarkEnd w:id="159"/>
    </w:p>
    <w:p w14:paraId="4661CD42"/>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C8EF2">
    <w:pPr>
      <w:pStyle w:val="6"/>
      <w:jc w:val="center"/>
    </w:pPr>
  </w:p>
  <w:p w14:paraId="610FE93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53D64">
    <w:pPr>
      <w:pStyle w:val="6"/>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2D1AF">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2E2D1AF">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C2B19">
    <w:pPr>
      <w:pStyle w:val="6"/>
      <w:jc w:val="center"/>
    </w:pP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BA4D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D3BA4D0">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45A3E2E9">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9626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1OWFkMDc4OTZlMmZlN2JjYWVlNzg0ZmE1NTAxYjMifQ=="/>
  </w:docVars>
  <w:rsids>
    <w:rsidRoot w:val="774B27DB"/>
    <w:rsid w:val="00223755"/>
    <w:rsid w:val="00726C0B"/>
    <w:rsid w:val="007903DE"/>
    <w:rsid w:val="007E7E00"/>
    <w:rsid w:val="00896067"/>
    <w:rsid w:val="00B95084"/>
    <w:rsid w:val="00F3319D"/>
    <w:rsid w:val="0B92438B"/>
    <w:rsid w:val="12121FD1"/>
    <w:rsid w:val="151A31FF"/>
    <w:rsid w:val="2EFD4DC2"/>
    <w:rsid w:val="65FD4F00"/>
    <w:rsid w:val="774B2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24"/>
      <w:szCs w:val="20"/>
      <w:lang w:val="zh-CN"/>
    </w:rPr>
  </w:style>
  <w:style w:type="paragraph" w:styleId="5">
    <w:name w:val="toc 3"/>
    <w:basedOn w:val="1"/>
    <w:next w:val="1"/>
    <w:unhideWhenUsed/>
    <w:qFormat/>
    <w:uiPriority w:val="39"/>
    <w:pPr>
      <w:ind w:left="420"/>
      <w:jc w:val="left"/>
    </w:pPr>
    <w:rPr>
      <w:rFonts w:asciiTheme="minorHAnsi" w:eastAsiaTheme="minorHAnsi"/>
      <w:i/>
      <w:iCs/>
      <w:sz w:val="20"/>
      <w:szCs w:val="20"/>
    </w:rPr>
  </w:style>
  <w:style w:type="paragraph" w:styleId="6">
    <w:name w:val="footer"/>
    <w:basedOn w:val="1"/>
    <w:qFormat/>
    <w:uiPriority w:val="99"/>
    <w:pPr>
      <w:tabs>
        <w:tab w:val="center" w:pos="4153"/>
        <w:tab w:val="right" w:pos="8306"/>
      </w:tabs>
      <w:snapToGrid w:val="0"/>
      <w:jc w:val="left"/>
    </w:pPr>
    <w:rPr>
      <w:rFonts w:ascii="Calibri" w:hAnsi="Calibri"/>
      <w:kern w:val="0"/>
      <w:sz w:val="18"/>
      <w:szCs w:val="20"/>
      <w:lang w:val="zh-CN"/>
    </w:rPr>
  </w:style>
  <w:style w:type="paragraph" w:styleId="7">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8">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9">
    <w:name w:val="toc 2"/>
    <w:basedOn w:val="1"/>
    <w:next w:val="1"/>
    <w:unhideWhenUsed/>
    <w:qFormat/>
    <w:uiPriority w:val="39"/>
    <w:pPr>
      <w:ind w:left="210"/>
      <w:jc w:val="left"/>
    </w:pPr>
    <w:rPr>
      <w:rFonts w:asciiTheme="minorHAnsi" w:eastAsiaTheme="minorHAnsi"/>
      <w:smallCaps/>
      <w:sz w:val="20"/>
      <w:szCs w:val="20"/>
    </w:rPr>
  </w:style>
  <w:style w:type="paragraph" w:styleId="10">
    <w:name w:val="Normal (Web)"/>
    <w:basedOn w:val="1"/>
    <w:qFormat/>
    <w:uiPriority w:val="0"/>
    <w:pPr>
      <w:spacing w:before="100" w:beforeAutospacing="1" w:after="100" w:afterAutospacing="1"/>
      <w:jc w:val="left"/>
    </w:pPr>
    <w:rPr>
      <w:rFonts w:ascii="Calibri" w:hAnsi="Calibri"/>
      <w:kern w:val="0"/>
      <w:sz w:val="24"/>
    </w:rPr>
  </w:style>
  <w:style w:type="character" w:styleId="13">
    <w:name w:val="Strong"/>
    <w:basedOn w:val="12"/>
    <w:qFormat/>
    <w:uiPriority w:val="99"/>
    <w:rPr>
      <w:rFonts w:cs="Times New Roman"/>
      <w:b/>
    </w:rPr>
  </w:style>
  <w:style w:type="character" w:customStyle="1" w:styleId="14">
    <w:name w:val="标题 1 Char"/>
    <w:basedOn w:val="12"/>
    <w:link w:val="2"/>
    <w:qFormat/>
    <w:locked/>
    <w:uiPriority w:val="9"/>
    <w:rPr>
      <w:b/>
      <w:bCs/>
      <w:kern w:val="44"/>
      <w:sz w:val="44"/>
      <w:szCs w:val="44"/>
    </w:rPr>
  </w:style>
  <w:style w:type="character" w:customStyle="1" w:styleId="15">
    <w:name w:val="标题 2 Char"/>
    <w:basedOn w:val="12"/>
    <w:link w:val="3"/>
    <w:qFormat/>
    <w:locked/>
    <w:uiPriority w:val="9"/>
    <w:rPr>
      <w:rFonts w:ascii="Cambria" w:hAnsi="Cambria"/>
      <w:b/>
      <w:bCs/>
      <w:sz w:val="32"/>
      <w:szCs w:val="32"/>
    </w:rPr>
  </w:style>
  <w:style w:type="paragraph" w:customStyle="1" w:styleId="16">
    <w:name w:val="列表段落1"/>
    <w:basedOn w:val="1"/>
    <w:qFormat/>
    <w:uiPriority w:val="34"/>
    <w:pPr>
      <w:ind w:firstLine="420" w:firstLineChars="200"/>
    </w:p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#,##0.00</c:formatCode>
                <c:ptCount val="2"/>
                <c:pt idx="0">
                  <c:v>1516.95</c:v>
                </c:pt>
                <c:pt idx="1">
                  <c:v>1516.95</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#,##0.00</c:formatCode>
                <c:ptCount val="2"/>
                <c:pt idx="0">
                  <c:v>1580.14</c:v>
                </c:pt>
                <c:pt idx="1">
                  <c:v>1580.14</c:v>
                </c:pt>
              </c:numCache>
            </c:numRef>
          </c:val>
        </c:ser>
        <c:dLbls>
          <c:showLegendKey val="0"/>
          <c:showVal val="0"/>
          <c:showCatName val="0"/>
          <c:showSerName val="0"/>
          <c:showPercent val="0"/>
          <c:showBubbleSize val="0"/>
        </c:dLbls>
        <c:gapWidth val="219"/>
        <c:overlap val="-27"/>
        <c:axId val="238578688"/>
        <c:axId val="195302912"/>
      </c:barChart>
      <c:catAx>
        <c:axId val="23857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5302912"/>
        <c:crosses val="autoZero"/>
        <c:auto val="1"/>
        <c:lblAlgn val="ctr"/>
        <c:lblOffset val="100"/>
        <c:noMultiLvlLbl val="0"/>
      </c:catAx>
      <c:valAx>
        <c:axId val="195302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8578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49f3bc-1a86-4206-b63b-3b49254b984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9973513123044"/>
          <c:y val="0.0330237358101135"/>
        </c:manualLayout>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事业收入</c:v>
                </c:pt>
              </c:strCache>
            </c:strRef>
          </c:cat>
          <c:val>
            <c:numRef>
              <c:f>Sheet1!$B$2:$B$3</c:f>
              <c:numCache>
                <c:formatCode>#,##0.00</c:formatCode>
                <c:ptCount val="2"/>
                <c:pt idx="0">
                  <c:v>828.86</c:v>
                </c:pt>
                <c:pt idx="1">
                  <c:v>397.09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484fb3b-7d38-46ae-9dac-4f4132704e8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1098.88</c:v>
                </c:pt>
                <c:pt idx="1">
                  <c:v>328.15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90a0666-5a95-4c4c-ae76-e1c163e3adb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1119.85</c:v>
                </c:pt>
                <c:pt idx="1">
                  <c:v>1119.85</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1099.37</c:v>
                </c:pt>
                <c:pt idx="1">
                  <c:v>1099.37</c:v>
                </c:pt>
              </c:numCache>
            </c:numRef>
          </c:val>
        </c:ser>
        <c:dLbls>
          <c:showLegendKey val="0"/>
          <c:showVal val="0"/>
          <c:showCatName val="0"/>
          <c:showSerName val="0"/>
          <c:showPercent val="0"/>
          <c:showBubbleSize val="0"/>
        </c:dLbls>
        <c:gapWidth val="219"/>
        <c:overlap val="-27"/>
        <c:axId val="260438656"/>
        <c:axId val="260440448"/>
      </c:barChart>
      <c:catAx>
        <c:axId val="26043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440448"/>
        <c:crosses val="autoZero"/>
        <c:auto val="1"/>
        <c:lblAlgn val="ctr"/>
        <c:lblOffset val="100"/>
        <c:noMultiLvlLbl val="0"/>
      </c:catAx>
      <c:valAx>
        <c:axId val="260440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438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16b6b63-d7fb-4b70-a1d6-91e15412f30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1099.37</c:v>
                </c:pt>
                <c:pt idx="1">
                  <c:v>1119.85</c:v>
                </c:pt>
              </c:numCache>
            </c:numRef>
          </c:val>
        </c:ser>
        <c:dLbls>
          <c:showLegendKey val="0"/>
          <c:showVal val="0"/>
          <c:showCatName val="0"/>
          <c:showSerName val="0"/>
          <c:showPercent val="0"/>
          <c:showBubbleSize val="0"/>
        </c:dLbls>
        <c:gapWidth val="219"/>
        <c:overlap val="-27"/>
        <c:axId val="260473216"/>
        <c:axId val="260474752"/>
      </c:barChart>
      <c:catAx>
        <c:axId val="26047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474752"/>
        <c:crosses val="autoZero"/>
        <c:auto val="1"/>
        <c:lblAlgn val="ctr"/>
        <c:lblOffset val="100"/>
        <c:noMultiLvlLbl val="0"/>
      </c:catAx>
      <c:valAx>
        <c:axId val="26047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473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0a46fc-11a1-42aa-bedb-5bfb6e6ecd6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社会保障和就业</c:v>
                </c:pt>
                <c:pt idx="1">
                  <c:v>卫生健康</c:v>
                </c:pt>
                <c:pt idx="2">
                  <c:v>住房保障</c:v>
                </c:pt>
              </c:strCache>
            </c:strRef>
          </c:cat>
          <c:val>
            <c:numRef>
              <c:f>Sheet1!$B$2:$B$4</c:f>
              <c:numCache>
                <c:formatCode>General</c:formatCode>
                <c:ptCount val="3"/>
                <c:pt idx="0">
                  <c:v>92.22</c:v>
                </c:pt>
                <c:pt idx="1">
                  <c:v>961.94</c:v>
                </c:pt>
                <c:pt idx="2">
                  <c:v>65.7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d5a603-5495-4b60-9a83-b110e8cc47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2361</Words>
  <Characters>2686</Characters>
  <Lines>19</Lines>
  <Paragraphs>19</Paragraphs>
  <TotalTime>44</TotalTime>
  <ScaleCrop>false</ScaleCrop>
  <LinksUpToDate>false</LinksUpToDate>
  <CharactersWithSpaces>2736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2023-09-13T08:16:00Z</dcterms:created>
  <dc:creator>雪域医者༼བོད༽</dc:creator>
  <cp:lastModifiedBy>沐晴つ</cp:lastModifiedBy>
  <dcterms:modified xsi:type="dcterms:W3CDTF">2026-07-30T09:02:20Z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EFAFD4FF2BA7404FB0D7F603D2C60AA2_13</vt:lpwstr>
  </property>
  <property fmtid="{D5CDD505-2E9C-101B-9397-08002B2CF9AE}" pid="4" name="KSOTemplateDocerSaveRecord">
    <vt:lpwstr>eyJoZGlkIjoiM2Y2MjgwOThiZTJhZWRmZTFkYTQ3ZTIxMjA3ZjNiYmEiLCJ1c2VySWQiOiI3NTgwODA2OTQifQ==</vt:lpwstr>
  </property>
</Properties>
</file>