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5C50B">
      <w:pPr>
        <w:pStyle w:val="10"/>
      </w:pPr>
      <w:r>
        <w:t>窗体顶端</w:t>
      </w:r>
    </w:p>
    <w:p w14:paraId="3D562C7F">
      <w:pPr>
        <w:pStyle w:val="10"/>
      </w:pPr>
      <w:r>
        <w:t>窗体顶端</w:t>
      </w:r>
    </w:p>
    <w:p w14:paraId="652F5F0F">
      <w:pPr>
        <w:pStyle w:val="10"/>
      </w:pPr>
      <w:r>
        <w:t>窗体顶端</w:t>
      </w:r>
    </w:p>
    <w:p w14:paraId="32FF7E6E">
      <w:pPr>
        <w:pStyle w:val="10"/>
      </w:pPr>
      <w:r>
        <w:t>窗体顶端</w:t>
      </w:r>
    </w:p>
    <w:p w14:paraId="1B9775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黑体" w:hAnsi="宋体" w:eastAsia="黑体" w:cs="Times New Roman"/>
          <w:kern w:val="2"/>
          <w:sz w:val="44"/>
          <w:szCs w:val="44"/>
          <w:lang w:val="en-US" w:eastAsia="zh-CN" w:bidi="ar"/>
        </w:rPr>
        <w:t> </w:t>
      </w:r>
    </w:p>
    <w:p w14:paraId="70E900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64A1E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219C37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32A6DD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黑体" w:hAnsi="宋体" w:eastAsia="黑体" w:cs="黑体"/>
          <w:kern w:val="2"/>
          <w:sz w:val="72"/>
          <w:szCs w:val="72"/>
          <w:lang w:val="en-US" w:eastAsia="zh-CN" w:bidi="ar"/>
        </w:rPr>
        <w:t>壤塘县藏医院</w:t>
      </w:r>
    </w:p>
    <w:p w14:paraId="18177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2"/>
          <w:sz w:val="72"/>
          <w:szCs w:val="72"/>
          <w:lang w:val="en-US" w:eastAsia="zh-CN" w:bidi="ar"/>
        </w:rPr>
        <w:t>2022年部门预算</w:t>
      </w:r>
    </w:p>
    <w:p w14:paraId="222B7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75EDA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3D84C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31DF12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35048A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470E7E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1618E5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237A8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116401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38621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7995B2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2"/>
          <w:sz w:val="52"/>
          <w:szCs w:val="52"/>
          <w:lang w:val="en-US" w:eastAsia="zh-CN" w:bidi="ar"/>
        </w:rPr>
        <w:t>2022年 01 月 21日</w:t>
      </w:r>
    </w:p>
    <w:p w14:paraId="54B4A0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1F5C6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3E96C4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6D733A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2337B2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120" w:firstLineChars="600"/>
        <w:jc w:val="left"/>
      </w:pPr>
      <w:r>
        <w:rPr>
          <w:rFonts w:hint="eastAsia" w:ascii="黑体" w:hAnsi="宋体" w:eastAsia="黑体" w:cs="黑体"/>
          <w:kern w:val="2"/>
          <w:sz w:val="52"/>
          <w:szCs w:val="52"/>
          <w:lang w:val="en-US" w:eastAsia="zh-CN" w:bidi="ar"/>
        </w:rPr>
        <w:t>目 录</w:t>
      </w:r>
    </w:p>
    <w:p w14:paraId="1C659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080" w:firstLineChars="700"/>
        <w:jc w:val="left"/>
      </w:pPr>
      <w:r>
        <w:rPr>
          <w:rFonts w:hint="eastAsia" w:ascii="黑体" w:hAnsi="宋体" w:eastAsia="黑体" w:cs="Times New Roman"/>
          <w:kern w:val="2"/>
          <w:sz w:val="44"/>
          <w:szCs w:val="44"/>
          <w:lang w:val="en-US" w:eastAsia="zh-CN" w:bidi="ar"/>
        </w:rPr>
        <w:t> </w:t>
      </w:r>
    </w:p>
    <w:p w14:paraId="39A0186F">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880" w:right="0" w:hanging="880" w:firstLineChars="0"/>
      </w:pPr>
      <w:r>
        <w:rPr>
          <w:rFonts w:hint="eastAsia" w:ascii="黑体" w:hAnsi="宋体" w:eastAsia="黑体" w:cs="黑体"/>
          <w:kern w:val="2"/>
          <w:sz w:val="32"/>
          <w:szCs w:val="32"/>
        </w:rPr>
        <w:t>一、 基本职能及主要工作</w:t>
      </w:r>
    </w:p>
    <w:p w14:paraId="74BE97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仿宋_GB2312" w:hAnsi="宋体" w:eastAsia="仿宋_GB2312" w:cs="仿宋_GB2312"/>
          <w:kern w:val="2"/>
          <w:sz w:val="32"/>
          <w:szCs w:val="32"/>
          <w:lang w:val="en-US" w:eastAsia="zh-CN" w:bidi="ar"/>
        </w:rPr>
        <w:t>（一）部门职能简介</w:t>
      </w:r>
    </w:p>
    <w:p w14:paraId="6798D5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（二）2022年重点工作</w:t>
      </w:r>
    </w:p>
    <w:p w14:paraId="5B1A3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二、部门预算单位构成</w:t>
      </w:r>
    </w:p>
    <w:p w14:paraId="602B07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三、收支预算情况说明</w:t>
      </w:r>
    </w:p>
    <w:p w14:paraId="5D989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w:t>
      </w:r>
      <w:r>
        <w:rPr>
          <w:rFonts w:hint="eastAsia" w:ascii="仿宋_GB2312" w:hAnsi="宋体" w:eastAsia="仿宋_GB2312" w:cs="仿宋_GB2312"/>
          <w:kern w:val="2"/>
          <w:sz w:val="32"/>
          <w:szCs w:val="32"/>
          <w:lang w:val="en-US" w:eastAsia="zh-CN" w:bidi="ar"/>
        </w:rPr>
        <w:t>一）收入预算情况</w:t>
      </w:r>
    </w:p>
    <w:p w14:paraId="2B3859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（二）支出预算情况</w:t>
      </w:r>
    </w:p>
    <w:p w14:paraId="1F57A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四、财政拨款收支预算情况说明</w:t>
      </w:r>
    </w:p>
    <w:p w14:paraId="4FCF6F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五、一般公共预算当年拨款情况说明</w:t>
      </w:r>
    </w:p>
    <w:p w14:paraId="711A14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（一）一般公共预算当年拨款规模变化情况</w:t>
      </w:r>
      <w:r>
        <w:rPr>
          <w:rFonts w:hint="eastAsia" w:ascii="仿宋_GB2312" w:hAnsi="宋体" w:eastAsia="仿宋_GB2312" w:cs="Times New Roman"/>
          <w:kern w:val="2"/>
          <w:sz w:val="32"/>
          <w:szCs w:val="32"/>
          <w:lang w:val="en-US" w:eastAsia="zh-CN" w:bidi="ar"/>
        </w:rPr>
        <w:br w:type="textWrapping"/>
      </w:r>
      <w:r>
        <w:rPr>
          <w:rFonts w:hint="eastAsia" w:ascii="仿宋_GB2312" w:hAnsi="宋体" w:eastAsia="仿宋_GB2312" w:cs="仿宋_GB2312"/>
          <w:kern w:val="2"/>
          <w:sz w:val="32"/>
          <w:szCs w:val="32"/>
          <w:lang w:val="en-US" w:eastAsia="zh-CN" w:bidi="ar"/>
        </w:rPr>
        <w:t>（二）一般公共预算当年拨款结构情况</w:t>
      </w:r>
      <w:r>
        <w:rPr>
          <w:rFonts w:hint="eastAsia" w:ascii="仿宋_GB2312" w:hAnsi="宋体" w:eastAsia="仿宋_GB2312" w:cs="Times New Roman"/>
          <w:kern w:val="2"/>
          <w:sz w:val="32"/>
          <w:szCs w:val="32"/>
          <w:lang w:val="en-US" w:eastAsia="zh-CN" w:bidi="ar"/>
        </w:rPr>
        <w:br w:type="textWrapping"/>
      </w:r>
      <w:r>
        <w:rPr>
          <w:rFonts w:hint="eastAsia" w:ascii="仿宋_GB2312" w:hAnsi="宋体" w:eastAsia="仿宋_GB2312" w:cs="仿宋_GB2312"/>
          <w:kern w:val="2"/>
          <w:sz w:val="32"/>
          <w:szCs w:val="32"/>
          <w:lang w:val="en-US" w:eastAsia="zh-CN" w:bidi="ar"/>
        </w:rPr>
        <w:t>（三）一般公共预算当年拨款具体使用情况</w:t>
      </w:r>
      <w:r>
        <w:rPr>
          <w:rFonts w:hint="eastAsia" w:ascii="宋体" w:hAnsi="宋体" w:eastAsia="宋体" w:cs="宋体"/>
          <w:kern w:val="0"/>
          <w:sz w:val="16"/>
          <w:szCs w:val="16"/>
          <w:lang w:val="en-US" w:eastAsia="zh-CN" w:bidi="ar"/>
        </w:rPr>
        <w:br w:type="textWrapping"/>
      </w:r>
      <w:r>
        <w:rPr>
          <w:rFonts w:hint="eastAsia" w:ascii="黑体" w:hAnsi="宋体" w:eastAsia="黑体" w:cs="黑体"/>
          <w:kern w:val="2"/>
          <w:sz w:val="32"/>
          <w:szCs w:val="32"/>
          <w:lang w:val="en-US" w:eastAsia="zh-CN" w:bidi="ar"/>
        </w:rPr>
        <w:t>六、一般公共预算基本支出情况说明</w:t>
      </w:r>
      <w:r>
        <w:rPr>
          <w:rFonts w:hint="eastAsia" w:ascii="黑体" w:hAnsi="宋体" w:eastAsia="黑体" w:cs="Times New Roman"/>
          <w:kern w:val="2"/>
          <w:sz w:val="32"/>
          <w:szCs w:val="32"/>
          <w:lang w:val="en-US" w:eastAsia="zh-CN" w:bidi="ar"/>
        </w:rPr>
        <w:br w:type="textWrapping"/>
      </w:r>
      <w:r>
        <w:rPr>
          <w:rFonts w:hint="eastAsia" w:ascii="黑体" w:hAnsi="宋体" w:eastAsia="黑体" w:cs="黑体"/>
          <w:kern w:val="2"/>
          <w:sz w:val="32"/>
          <w:szCs w:val="32"/>
          <w:lang w:val="en-US" w:eastAsia="zh-CN" w:bidi="ar"/>
        </w:rPr>
        <w:t>七、“三公”经费财政拨款预算安排情况说明</w:t>
      </w:r>
      <w:r>
        <w:rPr>
          <w:rFonts w:hint="eastAsia" w:ascii="黑体" w:hAnsi="宋体" w:eastAsia="黑体" w:cs="Times New Roman"/>
          <w:kern w:val="2"/>
          <w:sz w:val="32"/>
          <w:szCs w:val="32"/>
          <w:lang w:val="en-US" w:eastAsia="zh-CN" w:bidi="ar"/>
        </w:rPr>
        <w:br w:type="textWrapping"/>
      </w:r>
      <w:r>
        <w:rPr>
          <w:rFonts w:hint="eastAsia" w:ascii="黑体" w:hAnsi="宋体" w:eastAsia="黑体" w:cs="黑体"/>
          <w:kern w:val="2"/>
          <w:sz w:val="32"/>
          <w:szCs w:val="32"/>
          <w:lang w:val="en-US" w:eastAsia="zh-CN" w:bidi="ar"/>
        </w:rPr>
        <w:t>八、政府性基金预算支出情况说明</w:t>
      </w:r>
      <w:r>
        <w:rPr>
          <w:rFonts w:hint="eastAsia" w:ascii="黑体" w:hAnsi="宋体" w:eastAsia="黑体" w:cs="Times New Roman"/>
          <w:kern w:val="2"/>
          <w:sz w:val="32"/>
          <w:szCs w:val="32"/>
          <w:lang w:val="en-US" w:eastAsia="zh-CN" w:bidi="ar"/>
        </w:rPr>
        <w:br w:type="textWrapping"/>
      </w:r>
      <w:r>
        <w:rPr>
          <w:rFonts w:hint="eastAsia" w:ascii="黑体" w:hAnsi="宋体" w:eastAsia="黑体" w:cs="黑体"/>
          <w:kern w:val="2"/>
          <w:sz w:val="32"/>
          <w:szCs w:val="32"/>
          <w:lang w:val="en-US" w:eastAsia="zh-CN" w:bidi="ar"/>
        </w:rPr>
        <w:t>九、其他重要事项的情况说明</w:t>
      </w:r>
      <w:r>
        <w:rPr>
          <w:rFonts w:hint="eastAsia" w:ascii="黑体" w:hAnsi="宋体" w:eastAsia="黑体" w:cs="Times New Roman"/>
          <w:kern w:val="2"/>
          <w:sz w:val="32"/>
          <w:szCs w:val="32"/>
          <w:lang w:val="en-US" w:eastAsia="zh-CN" w:bidi="ar"/>
        </w:rPr>
        <w:br w:type="textWrapping"/>
      </w:r>
      <w:r>
        <w:rPr>
          <w:rFonts w:hint="eastAsia" w:ascii="黑体" w:hAnsi="宋体" w:eastAsia="黑体" w:cs="黑体"/>
          <w:kern w:val="2"/>
          <w:sz w:val="32"/>
          <w:szCs w:val="32"/>
          <w:lang w:val="en-US" w:eastAsia="zh-CN" w:bidi="ar"/>
        </w:rPr>
        <w:t>十、名称解释</w:t>
      </w:r>
    </w:p>
    <w:p w14:paraId="5893F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32"/>
          <w:szCs w:val="32"/>
          <w:lang w:val="en-US" w:eastAsia="zh-CN" w:bidi="ar"/>
        </w:rPr>
        <w:t> </w:t>
      </w:r>
    </w:p>
    <w:p w14:paraId="702923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90" w:lineRule="atLeast"/>
        <w:ind w:left="0" w:right="300"/>
        <w:jc w:val="left"/>
      </w:pPr>
      <w:r>
        <w:rPr>
          <w:rFonts w:hint="eastAsia" w:ascii="宋体" w:hAnsi="宋体" w:eastAsia="宋体" w:cs="宋体"/>
          <w:kern w:val="0"/>
          <w:sz w:val="12"/>
          <w:szCs w:val="12"/>
          <w:shd w:val="clear" w:fill="FFFFFF"/>
          <w:lang w:val="en-US" w:eastAsia="zh-CN" w:bidi="ar"/>
        </w:rPr>
        <w:t> </w:t>
      </w:r>
    </w:p>
    <w:p w14:paraId="1F7061D9">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一、基本职能及主要工作</w:t>
      </w:r>
      <w:r>
        <w:rPr>
          <w:rFonts w:hint="eastAsia" w:ascii="宋体" w:hAnsi="宋体" w:eastAsia="宋体" w:cs="Times New Roman"/>
          <w:kern w:val="0"/>
          <w:sz w:val="16"/>
          <w:szCs w:val="16"/>
        </w:rPr>
        <w:br w:type="textWrapping"/>
      </w:r>
      <w:r>
        <w:rPr>
          <w:rFonts w:hint="eastAsia" w:ascii="宋体" w:hAnsi="宋体" w:eastAsia="宋体" w:cs="宋体"/>
          <w:kern w:val="0"/>
          <w:sz w:val="16"/>
          <w:szCs w:val="16"/>
        </w:rPr>
        <w:t xml:space="preserve">      </w:t>
      </w:r>
      <w:r>
        <w:rPr>
          <w:rFonts w:ascii="楷体_GB2312" w:hAnsi="宋体" w:eastAsia="楷体_GB2312" w:cs="楷体_GB2312"/>
          <w:b/>
          <w:kern w:val="2"/>
          <w:sz w:val="32"/>
          <w:szCs w:val="32"/>
        </w:rPr>
        <w:t>（一）</w:t>
      </w:r>
      <w:r>
        <w:rPr>
          <w:rFonts w:hint="eastAsia" w:ascii="楷体_GB2312" w:hAnsi="宋体" w:eastAsia="楷体_GB2312" w:cs="楷体_GB2312"/>
          <w:b/>
          <w:kern w:val="2"/>
          <w:sz w:val="32"/>
          <w:szCs w:val="32"/>
        </w:rPr>
        <w:t>壤塘县藏医院职能简介</w:t>
      </w:r>
    </w:p>
    <w:p w14:paraId="3A3DA8A7">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1、为人民群众提供中藏医西医医疗、预防、保健、计划生育、康复等医疗卫生服务。</w:t>
      </w:r>
    </w:p>
    <w:p w14:paraId="459AEAB2">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33BDA36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3、确保全县人民中藏西医疗健康需求，建立与地方经济发展相适应的中藏西医结合医疗环境。加强中医医院标准化管理。</w:t>
      </w:r>
    </w:p>
    <w:p w14:paraId="13AF4A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4、贯彻落实国家基本药物制度和药品集中采购工作，执行医用耗材集中采购工作；负责医院内部的药品和医疗器械管理工作。</w:t>
      </w:r>
    </w:p>
    <w:p w14:paraId="4292578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5、承担意外灾害事故、疫情等突发公共卫生事件的医疗急救及社区预防、保健和康复医疗服务工作，开展各种医疗保健卫生知识宣传普及。</w:t>
      </w:r>
    </w:p>
    <w:p w14:paraId="62F6D32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6、充分发挥中医药在国家基本公共卫生服务中的优势和作用，负责全县基本公共卫生服务中医药健康管理项目</w:t>
      </w:r>
    </w:p>
    <w:p w14:paraId="031A6575">
      <w:pPr>
        <w:widowControl/>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的实施和日常管理。</w:t>
      </w:r>
    </w:p>
    <w:p w14:paraId="47154164">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7、组织实施中藏西医药科学研究，推进医学科技成果转化和推广应用；承担中藏医药人才培养，中医药继续医学教育工作。</w:t>
      </w:r>
    </w:p>
    <w:p w14:paraId="03C807A9">
      <w:pPr>
        <w:widowControl/>
        <w:spacing w:line="360" w:lineRule="auto"/>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color w:val="000000"/>
          <w:sz w:val="32"/>
          <w:szCs w:val="32"/>
        </w:rPr>
        <w:t>做好城镇居民基本医疗保险和定点医疗机构的各项工作。</w:t>
      </w:r>
    </w:p>
    <w:p w14:paraId="13BE768D">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pPr>
      <w:r>
        <w:rPr>
          <w:rFonts w:hint="eastAsia" w:ascii="楷体_GB2312" w:hAnsi="宋体" w:eastAsia="楷体_GB2312" w:cs="楷体_GB2312"/>
          <w:b/>
          <w:kern w:val="2"/>
          <w:sz w:val="32"/>
          <w:szCs w:val="32"/>
        </w:rPr>
        <w:t>（二）壤塘县藏医院2022年重点工作</w:t>
      </w:r>
    </w:p>
    <w:p w14:paraId="05B49C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640" w:firstLineChars="200"/>
        <w:jc w:val="left"/>
      </w:pPr>
      <w:r>
        <w:rPr>
          <w:rFonts w:hint="eastAsia" w:ascii="仿宋_GB2312" w:hAnsi="宋体" w:eastAsia="仿宋_GB2312" w:cs="仿宋_GB2312"/>
          <w:b w:val="0"/>
          <w:caps w:val="0"/>
          <w:spacing w:val="0"/>
          <w:kern w:val="2"/>
          <w:sz w:val="32"/>
          <w:szCs w:val="32"/>
          <w:shd w:val="clear" w:fill="FFFFFF"/>
          <w:lang w:val="en-US" w:eastAsia="zh-CN" w:bidi="ar"/>
        </w:rPr>
        <w:t>紧紧围绕公立医院改革，落实各项工作措施，强力推进医院建设和发展。</w:t>
      </w:r>
      <w:r>
        <w:rPr>
          <w:rFonts w:hint="eastAsia" w:ascii="仿宋_GB2312" w:hAnsi="宋体" w:eastAsia="仿宋_GB2312" w:cs="仿宋_GB2312"/>
          <w:b w:val="0"/>
          <w:caps w:val="0"/>
          <w:color w:val="0000FF"/>
          <w:spacing w:val="0"/>
          <w:kern w:val="2"/>
          <w:sz w:val="32"/>
          <w:szCs w:val="32"/>
          <w:shd w:val="clear" w:fill="FFFFFF"/>
          <w:lang w:val="en-US" w:eastAsia="zh-CN" w:bidi="ar"/>
        </w:rPr>
        <w:br w:type="textWrapping"/>
      </w:r>
      <w:r>
        <w:rPr>
          <w:rFonts w:hint="eastAsia" w:ascii="仿宋_GB2312" w:hAnsi="宋体" w:eastAsia="仿宋_GB2312" w:cs="仿宋_GB2312"/>
          <w:b w:val="0"/>
          <w:caps w:val="0"/>
          <w:color w:val="0000FF"/>
          <w:spacing w:val="0"/>
          <w:kern w:val="2"/>
          <w:sz w:val="32"/>
          <w:szCs w:val="32"/>
          <w:shd w:val="clear" w:fill="FFFFFF"/>
          <w:lang w:val="en-US" w:eastAsia="zh-CN" w:bidi="ar"/>
        </w:rPr>
        <w:t>  </w:t>
      </w:r>
      <w:r>
        <w:rPr>
          <w:rFonts w:hint="eastAsia" w:ascii="仿宋_GB2312" w:hAnsi="宋体" w:eastAsia="仿宋_GB2312" w:cs="仿宋_GB2312"/>
          <w:b w:val="0"/>
          <w:caps w:val="0"/>
          <w:spacing w:val="0"/>
          <w:kern w:val="2"/>
          <w:sz w:val="32"/>
          <w:szCs w:val="32"/>
          <w:shd w:val="clear" w:fill="FFFFFF"/>
          <w:lang w:val="en-US" w:eastAsia="zh-CN" w:bidi="ar"/>
        </w:rPr>
        <w:t>  1.进一步做好绩效工资分配制度建设。</w:t>
      </w:r>
      <w:r>
        <w:rPr>
          <w:rFonts w:hint="eastAsia" w:ascii="仿宋_GB2312" w:hAnsi="宋体" w:eastAsia="仿宋_GB2312" w:cs="仿宋_GB2312"/>
          <w:b w:val="0"/>
          <w:caps w:val="0"/>
          <w:spacing w:val="0"/>
          <w:kern w:val="2"/>
          <w:sz w:val="32"/>
          <w:szCs w:val="32"/>
          <w:shd w:val="clear" w:fill="FFFFFF"/>
          <w:lang w:val="en-US" w:eastAsia="zh-CN" w:bidi="ar"/>
        </w:rPr>
        <w:br w:type="textWrapping"/>
      </w:r>
      <w:r>
        <w:rPr>
          <w:rFonts w:hint="eastAsia" w:ascii="仿宋_GB2312" w:hAnsi="宋体" w:eastAsia="仿宋_GB2312" w:cs="仿宋_GB2312"/>
          <w:b w:val="0"/>
          <w:caps w:val="0"/>
          <w:spacing w:val="0"/>
          <w:kern w:val="2"/>
          <w:sz w:val="32"/>
          <w:szCs w:val="32"/>
          <w:shd w:val="clear" w:fill="FFFFFF"/>
          <w:lang w:val="en-US" w:eastAsia="zh-CN" w:bidi="ar"/>
        </w:rPr>
        <w:t>    2.继续开展健康帮扶活动，</w:t>
      </w:r>
      <w:r>
        <w:rPr>
          <w:rFonts w:hint="eastAsia" w:ascii="仿宋_GB2312" w:hAnsi="宋体" w:eastAsia="仿宋_GB2312" w:cs="仿宋_GB2312"/>
          <w:kern w:val="2"/>
          <w:sz w:val="32"/>
          <w:szCs w:val="32"/>
          <w:shd w:val="clear" w:fill="FFFFFF"/>
          <w:lang w:val="en-US" w:eastAsia="zh-CN" w:bidi="ar"/>
        </w:rPr>
        <w:t>进一步强化工作措施，认真开展领导定点联系、干部帮扶工作，深入了解基层群众的需求和困难。</w:t>
      </w:r>
    </w:p>
    <w:p w14:paraId="4EA3D23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360" w:lineRule="auto"/>
        <w:ind w:left="0" w:right="0" w:rightChars="0"/>
        <w:jc w:val="left"/>
      </w:pPr>
      <w:r>
        <w:rPr>
          <w:rFonts w:hint="eastAsia" w:ascii="仿宋_GB2312" w:hAnsi="宋体" w:eastAsia="仿宋_GB2312" w:cs="仿宋_GB2312"/>
          <w:b w:val="0"/>
          <w:caps w:val="0"/>
          <w:color w:val="333333"/>
          <w:spacing w:val="0"/>
          <w:kern w:val="0"/>
          <w:sz w:val="32"/>
          <w:szCs w:val="32"/>
          <w:shd w:val="clear" w:fill="FFFFFF"/>
          <w:lang w:val="en-US" w:eastAsia="zh-CN" w:bidi="ar"/>
        </w:rPr>
        <w:t>  </w:t>
      </w:r>
      <w:r>
        <w:rPr>
          <w:rFonts w:hint="eastAsia" w:ascii="仿宋_GB2312" w:hAnsi="宋体" w:eastAsia="仿宋_GB2312" w:cs="Times New Roman"/>
          <w:kern w:val="2"/>
          <w:sz w:val="32"/>
          <w:szCs w:val="32"/>
          <w:shd w:val="clear" w:fill="FFFFFF"/>
          <w:lang w:val="en-US" w:eastAsia="zh-CN" w:bidi="ar"/>
        </w:rPr>
        <w:t>  </w:t>
      </w:r>
      <w:r>
        <w:rPr>
          <w:rFonts w:hint="eastAsia" w:ascii="仿宋_GB2312" w:hAnsi="宋体" w:eastAsia="仿宋_GB2312" w:cs="仿宋_GB2312"/>
          <w:kern w:val="2"/>
          <w:sz w:val="32"/>
          <w:szCs w:val="32"/>
          <w:shd w:val="clear" w:fill="FFFFFF"/>
          <w:lang w:val="en-US" w:eastAsia="zh-CN" w:bidi="ar"/>
        </w:rPr>
        <w:t>3. 做好人才引进工作，以缓解专业技术人才短缺问题。</w:t>
      </w:r>
      <w:r>
        <w:rPr>
          <w:rFonts w:hint="eastAsia" w:ascii="仿宋_GB2312" w:hAnsi="宋体" w:eastAsia="仿宋_GB2312" w:cs="Times New Roman"/>
          <w:kern w:val="2"/>
          <w:sz w:val="32"/>
          <w:szCs w:val="32"/>
          <w:shd w:val="clear" w:fill="FFFFFF"/>
          <w:lang w:val="en-US" w:eastAsia="zh-CN" w:bidi="ar"/>
        </w:rPr>
        <w:br w:type="textWrapping"/>
      </w:r>
      <w:r>
        <w:rPr>
          <w:rFonts w:hint="eastAsia" w:ascii="仿宋_GB2312" w:hAnsi="宋体" w:eastAsia="仿宋_GB2312" w:cs="Times New Roman"/>
          <w:kern w:val="2"/>
          <w:sz w:val="32"/>
          <w:szCs w:val="32"/>
          <w:shd w:val="clear" w:fill="FFFFFF"/>
          <w:lang w:val="en-US" w:eastAsia="zh-CN" w:bidi="ar"/>
        </w:rPr>
        <w:t>    </w:t>
      </w:r>
      <w:r>
        <w:rPr>
          <w:rFonts w:hint="eastAsia" w:ascii="仿宋_GB2312" w:hAnsi="宋体" w:eastAsia="仿宋_GB2312" w:cs="仿宋_GB2312"/>
          <w:kern w:val="2"/>
          <w:sz w:val="32"/>
          <w:szCs w:val="32"/>
          <w:shd w:val="clear" w:fill="FFFFFF"/>
          <w:lang w:val="en-US" w:eastAsia="zh-CN" w:bidi="ar"/>
        </w:rPr>
        <w:t>4. 做好部分医疗设备的更新换代，进一步提高医院的诊疗技术水平。</w:t>
      </w:r>
    </w:p>
    <w:p w14:paraId="48004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黑体" w:hAnsi="宋体" w:eastAsia="黑体" w:cs="黑体"/>
          <w:kern w:val="2"/>
          <w:sz w:val="32"/>
          <w:szCs w:val="32"/>
          <w:lang w:val="en-US" w:eastAsia="zh-CN" w:bidi="ar"/>
        </w:rPr>
      </w:pPr>
      <w:r>
        <w:rPr>
          <w:rFonts w:hint="eastAsia" w:ascii="黑体" w:hAnsi="宋体" w:eastAsia="黑体" w:cs="黑体"/>
          <w:kern w:val="2"/>
          <w:sz w:val="32"/>
          <w:szCs w:val="32"/>
          <w:lang w:val="en-US" w:eastAsia="zh-CN" w:bidi="ar"/>
        </w:rPr>
        <w:t>二、部门预算单位构成</w:t>
      </w:r>
    </w:p>
    <w:p w14:paraId="318312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pPr>
      <w:r>
        <w:rPr>
          <w:rFonts w:hint="eastAsia" w:ascii="仿宋_GB2312" w:hAnsi="宋体" w:eastAsia="仿宋_GB2312" w:cs="仿宋_GB2312"/>
          <w:kern w:val="0"/>
          <w:sz w:val="32"/>
          <w:szCs w:val="32"/>
          <w:lang w:val="en-US" w:eastAsia="zh-CN" w:bidi="ar"/>
        </w:rPr>
        <w:t>壤塘县藏医院成立于</w:t>
      </w:r>
      <w:r>
        <w:rPr>
          <w:rFonts w:hint="eastAsia" w:ascii="仿宋_GB2312" w:hAnsi="宋体" w:eastAsia="仿宋_GB2312" w:cs="宋体"/>
          <w:kern w:val="0"/>
          <w:sz w:val="32"/>
          <w:szCs w:val="32"/>
          <w:lang w:val="en-US" w:eastAsia="zh-CN" w:bidi="ar"/>
        </w:rPr>
        <w:t>2010年1</w:t>
      </w:r>
      <w:r>
        <w:rPr>
          <w:rFonts w:hint="eastAsia" w:ascii="仿宋_GB2312" w:hAnsi="宋体" w:eastAsia="仿宋_GB2312" w:cs="仿宋_GB2312"/>
          <w:color w:val="000000"/>
          <w:kern w:val="0"/>
          <w:sz w:val="32"/>
          <w:szCs w:val="32"/>
          <w:lang w:val="en-US" w:eastAsia="zh-CN" w:bidi="ar"/>
        </w:rPr>
        <w:t>0月</w:t>
      </w:r>
      <w:r>
        <w:rPr>
          <w:rFonts w:hint="eastAsia" w:ascii="仿宋_GB2312" w:hAnsi="宋体" w:eastAsia="仿宋_GB2312" w:cs="仿宋_GB2312"/>
          <w:kern w:val="0"/>
          <w:sz w:val="32"/>
          <w:szCs w:val="32"/>
          <w:lang w:val="en-US" w:eastAsia="zh-CN" w:bidi="ar"/>
        </w:rPr>
        <w:t>，机构性质：事业机构，机构级别：属壤塘县卫生健康局下属二级预算单位。</w:t>
      </w:r>
    </w:p>
    <w:p w14:paraId="2DADBA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黑体" w:hAnsi="宋体" w:eastAsia="黑体" w:cs="黑体"/>
          <w:kern w:val="2"/>
          <w:sz w:val="32"/>
          <w:szCs w:val="32"/>
        </w:rPr>
        <w:t>三、收支预算情况说明</w:t>
      </w:r>
      <w:r>
        <w:rPr>
          <w:rFonts w:hint="eastAsia" w:ascii="宋体" w:hAnsi="宋体" w:eastAsia="宋体" w:cs="Times New Roman"/>
          <w:kern w:val="0"/>
          <w:sz w:val="16"/>
          <w:szCs w:val="16"/>
        </w:rPr>
        <w:br w:type="textWrapping"/>
      </w:r>
      <w:r>
        <w:rPr>
          <w:rFonts w:hint="eastAsia" w:ascii="宋体" w:hAnsi="宋体" w:eastAsia="宋体" w:cs="宋体"/>
          <w:kern w:val="0"/>
          <w:sz w:val="16"/>
          <w:szCs w:val="16"/>
        </w:rPr>
        <w:t xml:space="preserve">    </w:t>
      </w:r>
      <w:r>
        <w:rPr>
          <w:rFonts w:hint="eastAsia" w:ascii="仿宋_GB2312" w:hAnsi="宋体" w:eastAsia="仿宋_GB2312" w:cs="仿宋_GB2312"/>
          <w:kern w:val="0"/>
          <w:sz w:val="32"/>
          <w:szCs w:val="32"/>
          <w:lang w:val="en-US" w:eastAsia="zh-CN" w:bidi="ar"/>
        </w:rPr>
        <w:t>  按照综合预</w:t>
      </w:r>
      <w:r>
        <w:rPr>
          <w:rFonts w:hint="eastAsia" w:ascii="仿宋_GB2312" w:hAnsi="宋体" w:eastAsia="仿宋_GB2312" w:cs="仿宋_GB2312"/>
          <w:kern w:val="2"/>
          <w:sz w:val="32"/>
          <w:szCs w:val="32"/>
        </w:rPr>
        <w:t>算的原则，壤塘县藏医院所有收入和支出均纳入部门预算管理。收入包括：一般公共预算拨款收入643.01万元，事业收入0万元，其他收入0万元，上年结转0万元；支出包括：一般公共服务支出0万元，教育支出0万元，文化体育与传媒支出0万元，社会保障和就业支出94.65万元，医疗卫生与计划生育支出482.52万元，住房保障支出65.83万元。壤塘县藏医院2022年收支总预算643.01万元, 比2021年收支预算总数增加7.07万元，主要原因:住房公积金、单位职工保险的增加及工资调整。</w:t>
      </w:r>
      <w:r>
        <w:rPr>
          <w:rFonts w:hint="eastAsia" w:ascii="仿宋_GB2312" w:hAnsi="宋体" w:eastAsia="仿宋_GB2312" w:cs="仿宋_GB2312"/>
          <w:kern w:val="2"/>
          <w:sz w:val="32"/>
          <w:szCs w:val="32"/>
        </w:rPr>
        <w:br w:type="textWrapping"/>
      </w:r>
      <w:r>
        <w:rPr>
          <w:rFonts w:hint="eastAsia" w:ascii="仿宋_GB2312" w:hAnsi="宋体" w:eastAsia="仿宋_GB2312" w:cs="仿宋_GB2312"/>
          <w:kern w:val="2"/>
          <w:sz w:val="32"/>
          <w:szCs w:val="32"/>
        </w:rPr>
        <w:t xml:space="preserve">  </w:t>
      </w:r>
      <w:r>
        <w:rPr>
          <w:rFonts w:hint="eastAsia" w:ascii="楷体_GB2312" w:hAnsi="宋体" w:eastAsia="楷体_GB2312" w:cs="楷体_GB2312"/>
          <w:b/>
          <w:kern w:val="2"/>
          <w:sz w:val="32"/>
          <w:szCs w:val="32"/>
        </w:rPr>
        <w:t>（一）收入预算情况</w:t>
      </w:r>
      <w:r>
        <w:rPr>
          <w:rFonts w:hint="eastAsia" w:ascii="仿宋_GB2312" w:hAnsi="宋体" w:eastAsia="仿宋_GB2312" w:cs="Times New Roman"/>
          <w:kern w:val="2"/>
          <w:sz w:val="32"/>
          <w:szCs w:val="32"/>
        </w:rPr>
        <w:br w:type="textWrapping"/>
      </w:r>
      <w:r>
        <w:rPr>
          <w:rFonts w:hint="eastAsia" w:ascii="仿宋_GB2312" w:hAnsi="宋体" w:eastAsia="仿宋_GB2312" w:cs="Times New Roman"/>
          <w:kern w:val="2"/>
          <w:sz w:val="32"/>
          <w:szCs w:val="32"/>
          <w:lang w:val="en-US" w:eastAsia="zh-CN"/>
        </w:rPr>
        <w:t xml:space="preserve">   </w:t>
      </w:r>
      <w:r>
        <w:rPr>
          <w:rFonts w:hint="eastAsia" w:ascii="仿宋_GB2312" w:hAnsi="宋体" w:eastAsia="仿宋_GB2312" w:cs="仿宋_GB2312"/>
          <w:kern w:val="2"/>
          <w:sz w:val="32"/>
          <w:szCs w:val="32"/>
        </w:rPr>
        <w:t>壤塘县藏医院2022年收入预算643.01万元，其中：上年结转0万元，占0%；一般公共预算拨款收入643.01万元，占100%；事业收入0万元，占0%；其他收入0万元，占0%。</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（二）支出预算情况</w:t>
      </w:r>
    </w:p>
    <w:p w14:paraId="3BD52E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仿宋_GB2312" w:hAnsi="宋体" w:eastAsia="仿宋_GB2312" w:cs="仿宋_GB2312"/>
          <w:kern w:val="2"/>
          <w:sz w:val="32"/>
          <w:szCs w:val="32"/>
        </w:rPr>
        <w:t>壤塘县藏医院2022年支出预算643.01万元，其中：基本支出641.88万元，占99%；项目支出1.12万元，占1% 。</w:t>
      </w:r>
    </w:p>
    <w:p w14:paraId="7F92CA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黑体" w:hAnsi="宋体" w:eastAsia="黑体" w:cs="黑体"/>
          <w:kern w:val="2"/>
          <w:sz w:val="32"/>
          <w:szCs w:val="32"/>
        </w:rPr>
        <w:t>四、财政拨款收支预算情况说明</w:t>
      </w:r>
      <w:r>
        <w:rPr>
          <w:rFonts w:hint="eastAsia" w:ascii="宋体" w:hAnsi="宋体" w:eastAsia="宋体" w:cs="Times New Roman"/>
          <w:kern w:val="0"/>
          <w:sz w:val="16"/>
          <w:szCs w:val="16"/>
        </w:rPr>
        <w:br w:type="textWrapping"/>
      </w:r>
      <w:r>
        <w:rPr>
          <w:rFonts w:hint="eastAsia" w:ascii="宋体" w:hAnsi="宋体" w:eastAsia="宋体" w:cs="宋体"/>
          <w:kern w:val="0"/>
          <w:sz w:val="16"/>
          <w:szCs w:val="16"/>
        </w:rPr>
        <w:t xml:space="preserve">     </w:t>
      </w:r>
      <w:r>
        <w:rPr>
          <w:rFonts w:hint="eastAsia" w:ascii="宋体" w:hAnsi="宋体" w:eastAsia="宋体" w:cs="宋体"/>
          <w:kern w:val="0"/>
          <w:sz w:val="16"/>
          <w:szCs w:val="16"/>
          <w:lang w:val="en-US" w:eastAsia="zh-CN"/>
        </w:rPr>
        <w:t xml:space="preserve"> </w:t>
      </w:r>
      <w:r>
        <w:rPr>
          <w:rFonts w:hint="eastAsia" w:ascii="宋体" w:hAnsi="宋体" w:eastAsia="宋体" w:cs="宋体"/>
          <w:kern w:val="0"/>
          <w:sz w:val="16"/>
          <w:szCs w:val="16"/>
        </w:rPr>
        <w:t xml:space="preserve"> </w:t>
      </w:r>
      <w:r>
        <w:rPr>
          <w:rFonts w:hint="eastAsia" w:ascii="仿宋_GB2312" w:hAnsi="宋体" w:eastAsia="仿宋_GB2312" w:cs="仿宋_GB2312"/>
          <w:kern w:val="2"/>
          <w:sz w:val="32"/>
          <w:szCs w:val="32"/>
        </w:rPr>
        <w:t>壤塘县藏医院2022年财政拨款收支总预算643.01万元,比2021年财政拨款收支总预算增加7.07万元，主要原因:住房公积金、单位职工保险的增加及工资调整。</w:t>
      </w:r>
      <w:r>
        <w:rPr>
          <w:rFonts w:hint="eastAsia" w:ascii="仿宋_GB2312" w:hAnsi="宋体" w:eastAsia="仿宋_GB2312" w:cs="仿宋_GB2312"/>
          <w:kern w:val="2"/>
          <w:sz w:val="32"/>
          <w:szCs w:val="32"/>
        </w:rPr>
        <w:br w:type="textWrapping"/>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收入包括：本年一般公共预算拨款收入643.01万元，上年结转一般公共预算收入0万元，上年结转财政拨款资金0万元 ；</w:t>
      </w:r>
      <w:r>
        <w:rPr>
          <w:rFonts w:hint="eastAsia" w:ascii="仿宋_GB2312" w:hAnsi="宋体" w:eastAsia="仿宋_GB2312" w:cs="Times New Roman"/>
          <w:kern w:val="2"/>
          <w:sz w:val="32"/>
          <w:szCs w:val="32"/>
        </w:rPr>
        <w:br w:type="textWrapping"/>
      </w:r>
      <w:r>
        <w:rPr>
          <w:rFonts w:hint="eastAsia" w:ascii="仿宋_GB2312" w:hAnsi="宋体" w:eastAsia="仿宋_GB2312" w:cs="Times New Roman"/>
          <w:kern w:val="2"/>
          <w:sz w:val="32"/>
          <w:szCs w:val="32"/>
          <w:lang w:val="en-US" w:eastAsia="zh-CN"/>
        </w:rPr>
        <w:t xml:space="preserve">    </w:t>
      </w:r>
      <w:r>
        <w:rPr>
          <w:rFonts w:hint="eastAsia" w:ascii="仿宋_GB2312" w:hAnsi="宋体" w:eastAsia="仿宋_GB2312" w:cs="仿宋_GB2312"/>
          <w:kern w:val="2"/>
          <w:sz w:val="32"/>
          <w:szCs w:val="32"/>
        </w:rPr>
        <w:t>支出包括：一般公共服务支出0万元，教育支出0万元，文化体育与传媒支出0万元，社会保障和就业支出94.65万元，医疗卫生与计划生育支出482.52万元，住房保障支出65.83万元。</w:t>
      </w:r>
    </w:p>
    <w:p w14:paraId="287C35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五、一般公共预算当年拨款情况说明</w:t>
      </w:r>
    </w:p>
    <w:p w14:paraId="129063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30" w:firstLineChars="196"/>
      </w:pPr>
      <w:r>
        <w:rPr>
          <w:rFonts w:hint="eastAsia" w:ascii="楷体_GB2312" w:hAnsi="宋体" w:eastAsia="楷体_GB2312" w:cs="楷体_GB2312"/>
          <w:b/>
          <w:kern w:val="2"/>
          <w:sz w:val="32"/>
          <w:szCs w:val="32"/>
        </w:rPr>
        <w:t>（一）一般公共预算当年拨款规模变化情况</w:t>
      </w:r>
    </w:p>
    <w:p w14:paraId="6837B1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firstLineChars="200"/>
      </w:pPr>
      <w:r>
        <w:rPr>
          <w:rFonts w:hint="eastAsia" w:ascii="宋体" w:hAnsi="宋体" w:eastAsia="宋体" w:cs="宋体"/>
          <w:kern w:val="0"/>
          <w:sz w:val="16"/>
          <w:szCs w:val="16"/>
        </w:rPr>
        <w:t xml:space="preserve"> </w:t>
      </w:r>
      <w:r>
        <w:rPr>
          <w:rFonts w:hint="eastAsia" w:ascii="宋体" w:hAnsi="宋体" w:eastAsia="宋体" w:cs="宋体"/>
          <w:kern w:val="0"/>
          <w:sz w:val="16"/>
          <w:szCs w:val="16"/>
          <w:lang w:val="en-US" w:eastAsia="zh-CN"/>
        </w:rPr>
        <w:t xml:space="preserve">   </w:t>
      </w:r>
      <w:r>
        <w:rPr>
          <w:rFonts w:hint="eastAsia" w:ascii="仿宋_GB2312" w:hAnsi="宋体" w:eastAsia="仿宋_GB2312" w:cs="仿宋_GB2312"/>
          <w:kern w:val="2"/>
          <w:sz w:val="32"/>
          <w:szCs w:val="32"/>
        </w:rPr>
        <w:t>壤塘县藏医院2022年一般公共预算当年拨款643.01万元，比2021年预算数增加7.07万元，主要是基本支出增加7.07万元，主要原因:住房公积金、单位职工保险的增加及工资调整。</w:t>
      </w:r>
    </w:p>
    <w:p w14:paraId="7AA98AF0">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3" w:firstLineChars="200"/>
        <w:rPr>
          <w:rFonts w:hint="eastAsia" w:ascii="楷体_GB2312" w:hAnsi="宋体" w:eastAsia="楷体_GB2312" w:cs="楷体_GB2312"/>
          <w:b/>
          <w:kern w:val="2"/>
          <w:sz w:val="32"/>
          <w:szCs w:val="32"/>
        </w:rPr>
      </w:pPr>
      <w:r>
        <w:rPr>
          <w:rFonts w:hint="eastAsia" w:ascii="楷体_GB2312" w:hAnsi="宋体" w:eastAsia="楷体_GB2312" w:cs="楷体_GB2312"/>
          <w:b/>
          <w:kern w:val="2"/>
          <w:sz w:val="32"/>
          <w:szCs w:val="32"/>
        </w:rPr>
        <w:t>一般公共预算当年拨款结构情况</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一般公共服务支出0万元，占0%；教育支出0万元，占0%；文化体育与传媒支出0万元，占0%；社会保障和就业支出94.65万元，占14%；医疗卫生与计划生育支出482.52万元，占75%；住房保障支出65.83万元，占11%。</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楷体_GB2312" w:hAnsi="宋体" w:eastAsia="楷体_GB2312" w:cs="楷体_GB2312"/>
          <w:b/>
          <w:kern w:val="2"/>
          <w:sz w:val="32"/>
          <w:szCs w:val="32"/>
        </w:rPr>
        <w:t>（三）一般公共预算当年拨款具体使用情况</w:t>
      </w:r>
    </w:p>
    <w:p w14:paraId="7C0C96AA">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rPr>
        <w:t>社会保障和就业支出（208）行政事业单位离退休（05）机关事业单位基本养老保险缴费支出（05）；2022年预算数为:63.10万元，主要用于：单位人员的养老保险。   </w:t>
      </w:r>
    </w:p>
    <w:p w14:paraId="694C913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pPr>
      <w:r>
        <w:rPr>
          <w:rFonts w:hint="eastAsia" w:ascii="仿宋_GB2312" w:hAnsi="宋体" w:eastAsia="仿宋_GB2312" w:cs="仿宋_GB2312"/>
          <w:kern w:val="2"/>
          <w:sz w:val="32"/>
          <w:szCs w:val="32"/>
        </w:rPr>
        <w:t>2.社会保障和就业支出（208）行政事业单位离退休（05）机关事业单位职业年金缴费支出（06）；2022年预算数为:31.55万元，主要用于：单位人员的职业年金缴费。</w:t>
      </w:r>
    </w:p>
    <w:p w14:paraId="773E8F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仿宋_GB2312" w:hAnsi="宋体" w:eastAsia="仿宋_GB2312" w:cs="仿宋_GB2312"/>
          <w:kern w:val="2"/>
          <w:sz w:val="32"/>
          <w:szCs w:val="32"/>
          <w:lang w:val="en-US" w:eastAsia="zh-CN"/>
        </w:rPr>
        <w:t>3.</w:t>
      </w:r>
      <w:r>
        <w:rPr>
          <w:rFonts w:hint="eastAsia" w:ascii="仿宋_GB2312" w:hAnsi="宋体" w:eastAsia="仿宋_GB2312" w:cs="仿宋_GB2312"/>
          <w:kern w:val="2"/>
          <w:sz w:val="32"/>
          <w:szCs w:val="32"/>
        </w:rPr>
        <w:t>卫生健康支出（210）公立医院（02）中医（民族）医院(02):2022年预算数为447.61万元，主要用于：单位人员工资费用。</w:t>
      </w:r>
    </w:p>
    <w:p w14:paraId="7998F4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4.卫生健康支出（210）行政事业单位医疗（11）事业单位医疗（02）:2022年预算数为27.61万元主要用于：事业单位人员的</w:t>
      </w:r>
      <w:r>
        <w:rPr>
          <w:rFonts w:hint="eastAsia" w:ascii="仿宋_GB2312" w:hAnsi="宋体" w:eastAsia="仿宋_GB2312" w:cs="仿宋_GB2312"/>
          <w:kern w:val="2"/>
          <w:sz w:val="32"/>
          <w:szCs w:val="32"/>
          <w:lang w:val="en-US" w:eastAsia="zh-CN"/>
        </w:rPr>
        <w:t>基本医疗保险</w:t>
      </w:r>
      <w:r>
        <w:rPr>
          <w:rFonts w:hint="eastAsia" w:ascii="仿宋_GB2312" w:hAnsi="宋体" w:eastAsia="仿宋_GB2312" w:cs="仿宋_GB2312"/>
          <w:kern w:val="2"/>
          <w:sz w:val="32"/>
          <w:szCs w:val="32"/>
        </w:rPr>
        <w:t>。</w:t>
      </w:r>
    </w:p>
    <w:p w14:paraId="1C17A9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5.卫生健康支出（210）行政事业单位医疗（11）其他行政事业单位医疗支出（99）:2022年预算数为7.31万元主要用于：事业单位人员公务员医疗补助。</w:t>
      </w:r>
    </w:p>
    <w:p w14:paraId="0D6E7D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仿宋_GB2312" w:hAnsi="宋体" w:eastAsia="仿宋_GB2312" w:cs="仿宋_GB2312"/>
          <w:kern w:val="2"/>
          <w:sz w:val="32"/>
          <w:szCs w:val="32"/>
        </w:rPr>
        <w:t>6.住房保障支出（221）住房改革支出（02）住房公积金（01）:2022年预算数为65.83万元，主要用于：事业单位人员住房公积金。</w:t>
      </w:r>
    </w:p>
    <w:p w14:paraId="75E5C2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pPr>
      <w:r>
        <w:rPr>
          <w:rFonts w:hint="eastAsia" w:ascii="宋体" w:hAnsi="宋体" w:eastAsia="宋体" w:cs="宋体"/>
          <w:kern w:val="0"/>
          <w:sz w:val="16"/>
          <w:szCs w:val="16"/>
        </w:rPr>
        <w:t xml:space="preserve"> </w:t>
      </w:r>
      <w:r>
        <w:rPr>
          <w:rFonts w:hint="eastAsia" w:ascii="宋体" w:hAnsi="宋体" w:eastAsia="宋体" w:cs="宋体"/>
          <w:b/>
          <w:kern w:val="0"/>
          <w:sz w:val="16"/>
          <w:szCs w:val="16"/>
        </w:rPr>
        <w:t xml:space="preserve">    </w:t>
      </w:r>
      <w:r>
        <w:rPr>
          <w:rFonts w:hint="eastAsia" w:ascii="宋体" w:hAnsi="宋体" w:eastAsia="宋体" w:cs="宋体"/>
          <w:b/>
          <w:kern w:val="0"/>
          <w:sz w:val="16"/>
          <w:szCs w:val="16"/>
          <w:lang w:val="en-US" w:eastAsia="zh-CN"/>
        </w:rPr>
        <w:t xml:space="preserve"> </w:t>
      </w:r>
      <w:r>
        <w:rPr>
          <w:rFonts w:hint="eastAsia" w:ascii="宋体" w:hAnsi="宋体" w:eastAsia="宋体" w:cs="宋体"/>
          <w:b/>
          <w:kern w:val="0"/>
          <w:sz w:val="16"/>
          <w:szCs w:val="16"/>
        </w:rPr>
        <w:t> </w:t>
      </w:r>
      <w:r>
        <w:rPr>
          <w:rFonts w:hint="eastAsia" w:ascii="黑体" w:hAnsi="宋体" w:eastAsia="黑体" w:cs="黑体"/>
          <w:kern w:val="2"/>
          <w:sz w:val="32"/>
          <w:szCs w:val="32"/>
        </w:rPr>
        <w:t>六、一般公共预算基本支出情况说明</w:t>
      </w:r>
    </w:p>
    <w:p w14:paraId="14911A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壤塘县藏医院2022年一般公共预算基本支出641.88万元，其中：人员经费634万元，主要包括：基本工资、津贴补贴、奖金、其他社会保障缴费、绩效工资、机关事业单位基本养老保险缴费、职业年金缴费、其他工资福利支出、离休费、奖励金、住房公积金、其他对个人和家庭的补助支出。公用经费7.89万元，主要包括：工会经费。</w:t>
      </w:r>
    </w:p>
    <w:p w14:paraId="761087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黑体" w:hAnsi="宋体" w:eastAsia="黑体" w:cs="黑体"/>
          <w:kern w:val="2"/>
          <w:sz w:val="32"/>
          <w:szCs w:val="32"/>
        </w:rPr>
        <w:t>七、</w:t>
      </w:r>
      <w:r>
        <w:rPr>
          <w:rFonts w:hint="eastAsia" w:ascii="黑体" w:hAnsi="宋体" w:eastAsia="黑体" w:cs="Times New Roman"/>
          <w:kern w:val="2"/>
          <w:sz w:val="32"/>
          <w:szCs w:val="32"/>
        </w:rPr>
        <w:t>“</w:t>
      </w:r>
      <w:r>
        <w:rPr>
          <w:rFonts w:hint="eastAsia" w:ascii="黑体" w:hAnsi="宋体" w:eastAsia="黑体" w:cs="黑体"/>
          <w:kern w:val="2"/>
          <w:sz w:val="32"/>
          <w:szCs w:val="32"/>
        </w:rPr>
        <w:t>三公</w:t>
      </w:r>
      <w:r>
        <w:rPr>
          <w:rFonts w:hint="eastAsia" w:ascii="黑体" w:hAnsi="宋体" w:eastAsia="黑体" w:cs="Times New Roman"/>
          <w:kern w:val="2"/>
          <w:sz w:val="32"/>
          <w:szCs w:val="32"/>
        </w:rPr>
        <w:t>”</w:t>
      </w:r>
      <w:r>
        <w:rPr>
          <w:rFonts w:hint="eastAsia" w:ascii="黑体" w:hAnsi="宋体" w:eastAsia="黑体" w:cs="黑体"/>
          <w:kern w:val="2"/>
          <w:sz w:val="32"/>
          <w:szCs w:val="32"/>
        </w:rPr>
        <w:t>经费财政拨款预算安排情况说明</w:t>
      </w:r>
    </w:p>
    <w:p w14:paraId="722F91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壤塘县藏医院2022年</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三公</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经费财政拨款预算数0万元，其中：因公出国（境）经费0万元，公务接待费0万元，公务用车购置及运行维护费0万元。</w:t>
      </w:r>
    </w:p>
    <w:p w14:paraId="3DDE28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rPr>
        <w:t>（一）2022年因公出国（境）经费0万元。较2021年预算经费0万元增长0%，主要原因：我单位无因公出国人员。</w:t>
      </w:r>
    </w:p>
    <w:p w14:paraId="2C870E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（二）2022年公务接待费0万元。较2021年预算经费0万元增长0%。</w:t>
      </w:r>
    </w:p>
    <w:p w14:paraId="5C9E3C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rPr>
          <w:rFonts w:hint="eastAsia" w:ascii="宋体" w:hAnsi="宋体" w:eastAsia="宋体" w:cs="宋体"/>
          <w:b/>
          <w:kern w:val="0"/>
          <w:sz w:val="16"/>
          <w:szCs w:val="16"/>
        </w:rPr>
      </w:pPr>
      <w:r>
        <w:rPr>
          <w:rFonts w:hint="eastAsia" w:ascii="仿宋_GB2312" w:hAnsi="宋体" w:eastAsia="仿宋_GB2312" w:cs="仿宋_GB2312"/>
          <w:kern w:val="2"/>
          <w:sz w:val="32"/>
          <w:szCs w:val="32"/>
        </w:rPr>
        <w:t>（三）2022年公务用车购置及运行维护费0万元。较2021年预算经费0万元增长0%。</w:t>
      </w:r>
      <w:r>
        <w:rPr>
          <w:rFonts w:hint="eastAsia" w:ascii="宋体" w:hAnsi="宋体" w:eastAsia="宋体" w:cs="宋体"/>
          <w:kern w:val="0"/>
          <w:sz w:val="16"/>
          <w:szCs w:val="16"/>
        </w:rPr>
        <w:t xml:space="preserve"> </w:t>
      </w:r>
      <w:r>
        <w:rPr>
          <w:rFonts w:hint="eastAsia" w:ascii="宋体" w:hAnsi="宋体" w:eastAsia="宋体" w:cs="宋体"/>
          <w:b/>
          <w:kern w:val="0"/>
          <w:sz w:val="16"/>
          <w:szCs w:val="16"/>
        </w:rPr>
        <w:t xml:space="preserve">  </w:t>
      </w:r>
    </w:p>
    <w:p w14:paraId="7207A16B">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仿宋_GB2312" w:hAnsi="宋体" w:eastAsia="仿宋_GB2312" w:cs="仿宋_GB2312"/>
          <w:kern w:val="2"/>
          <w:sz w:val="32"/>
          <w:szCs w:val="32"/>
        </w:rPr>
      </w:pPr>
      <w:r>
        <w:rPr>
          <w:rFonts w:hint="eastAsia" w:ascii="黑体" w:hAnsi="宋体" w:eastAsia="黑体" w:cs="黑体"/>
          <w:kern w:val="2"/>
          <w:sz w:val="32"/>
          <w:szCs w:val="32"/>
        </w:rPr>
        <w:t>政府性基金预算支出情况说明</w:t>
      </w:r>
      <w:r>
        <w:rPr>
          <w:rFonts w:hint="eastAsia" w:ascii="宋体" w:hAnsi="宋体" w:eastAsia="宋体" w:cs="Times New Roman"/>
          <w:kern w:val="0"/>
          <w:sz w:val="16"/>
          <w:szCs w:val="16"/>
        </w:rPr>
        <w:br w:type="textWrapping"/>
      </w:r>
      <w:r>
        <w:rPr>
          <w:rFonts w:hint="eastAsia" w:ascii="宋体" w:hAnsi="宋体" w:eastAsia="宋体" w:cs="宋体"/>
          <w:kern w:val="0"/>
          <w:sz w:val="16"/>
          <w:szCs w:val="16"/>
        </w:rPr>
        <w:t xml:space="preserve">  </w:t>
      </w:r>
      <w:r>
        <w:rPr>
          <w:rFonts w:hint="eastAsia" w:ascii="仿宋_GB2312" w:hAnsi="宋体" w:eastAsia="仿宋_GB2312" w:cs="仿宋_GB2312"/>
          <w:kern w:val="2"/>
          <w:sz w:val="32"/>
          <w:szCs w:val="32"/>
        </w:rPr>
        <w:t>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壤塘县藏医院2022年政府性基金预算拨款安排的支出0万元。较2021年预算经费0万元增长0%，主要原因</w:t>
      </w:r>
      <w:bookmarkStart w:id="0" w:name="_GoBack"/>
      <w:bookmarkEnd w:id="0"/>
      <w:r>
        <w:rPr>
          <w:rFonts w:hint="eastAsia" w:ascii="仿宋_GB2312" w:hAnsi="宋体" w:eastAsia="仿宋_GB2312" w:cs="仿宋_GB2312"/>
          <w:kern w:val="2"/>
          <w:sz w:val="32"/>
          <w:szCs w:val="32"/>
        </w:rPr>
        <w:t>：我单位不涉及政府性基金预算。</w:t>
      </w:r>
    </w:p>
    <w:p w14:paraId="1BEED88D">
      <w:pPr>
        <w:pStyle w:val="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rPr>
          <w:rFonts w:hint="eastAsia" w:ascii="楷体_GB2312" w:hAnsi="宋体" w:eastAsia="楷体_GB2312" w:cs="楷体_GB2312"/>
          <w:b/>
          <w:kern w:val="2"/>
          <w:sz w:val="32"/>
          <w:szCs w:val="32"/>
        </w:rPr>
      </w:pPr>
      <w:r>
        <w:rPr>
          <w:rFonts w:hint="eastAsia" w:ascii="黑体" w:hAnsi="宋体" w:eastAsia="黑体" w:cs="黑体"/>
          <w:kern w:val="2"/>
          <w:sz w:val="32"/>
          <w:szCs w:val="32"/>
        </w:rPr>
        <w:t>其他重要事项的情况说明</w:t>
      </w:r>
    </w:p>
    <w:p w14:paraId="30D1DFE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eastAsia" w:ascii="楷体_GB2312" w:hAnsi="宋体" w:eastAsia="楷体_GB2312" w:cs="楷体_GB2312"/>
          <w:b/>
          <w:kern w:val="2"/>
          <w:sz w:val="32"/>
          <w:szCs w:val="32"/>
        </w:rPr>
      </w:pPr>
      <w:r>
        <w:rPr>
          <w:rFonts w:hint="eastAsia" w:ascii="楷体_GB2312" w:hAnsi="宋体" w:eastAsia="楷体_GB2312" w:cs="楷体_GB2312"/>
          <w:b/>
          <w:kern w:val="2"/>
          <w:sz w:val="32"/>
          <w:szCs w:val="32"/>
        </w:rPr>
        <w:t>（一）机关运行经费</w:t>
      </w:r>
    </w:p>
    <w:p w14:paraId="4B11767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textAlignment w:val="auto"/>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rPr>
        <w:t>壤塘县藏医院2022年机关运行经费财政拨款预算为0万元，比2021年预算增加0万元，增长0%。</w:t>
      </w:r>
    </w:p>
    <w:p w14:paraId="11BA242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3" w:firstLineChars="200"/>
        <w:textAlignment w:val="auto"/>
      </w:pPr>
      <w:r>
        <w:rPr>
          <w:rFonts w:hint="eastAsia" w:ascii="楷体_GB2312" w:hAnsi="宋体" w:eastAsia="楷体_GB2312" w:cs="楷体_GB2312"/>
          <w:b/>
          <w:kern w:val="2"/>
          <w:sz w:val="32"/>
          <w:szCs w:val="32"/>
        </w:rPr>
        <w:t>（二）政府采购情况</w:t>
      </w:r>
    </w:p>
    <w:p w14:paraId="140614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rPr>
        <w:t>2022年壤塘县藏医院安排政府采购预算0万元。</w:t>
      </w:r>
    </w:p>
    <w:p w14:paraId="72A96DDA">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643" w:firstLineChars="200"/>
        <w:rPr>
          <w:rFonts w:hint="eastAsia" w:ascii="楷体_GB2312" w:hAnsi="宋体" w:eastAsia="楷体_GB2312" w:cs="楷体_GB2312"/>
          <w:b/>
          <w:kern w:val="2"/>
          <w:sz w:val="32"/>
          <w:szCs w:val="32"/>
        </w:rPr>
      </w:pPr>
      <w:r>
        <w:rPr>
          <w:rFonts w:hint="eastAsia" w:ascii="楷体_GB2312" w:hAnsi="宋体" w:eastAsia="楷体_GB2312" w:cs="楷体_GB2312"/>
          <w:b/>
          <w:kern w:val="2"/>
          <w:sz w:val="32"/>
          <w:szCs w:val="32"/>
        </w:rPr>
        <w:t>国有资产占有使用情况:无</w:t>
      </w:r>
    </w:p>
    <w:p w14:paraId="7CDC5CED">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643" w:firstLineChars="200"/>
        <w:textAlignment w:val="auto"/>
        <w:rPr>
          <w:rFonts w:hint="eastAsia" w:ascii="楷体_GB2312" w:hAnsi="宋体" w:eastAsia="楷体_GB2312" w:cs="楷体_GB2312"/>
          <w:b/>
          <w:kern w:val="2"/>
          <w:sz w:val="32"/>
          <w:szCs w:val="32"/>
        </w:rPr>
      </w:pPr>
      <w:r>
        <w:rPr>
          <w:rFonts w:hint="eastAsia" w:ascii="楷体_GB2312" w:hAnsi="宋体" w:eastAsia="楷体_GB2312" w:cs="楷体_GB2312"/>
          <w:b/>
          <w:kern w:val="2"/>
          <w:sz w:val="32"/>
          <w:szCs w:val="32"/>
        </w:rPr>
        <w:t>绩效目标设置情况</w:t>
      </w:r>
    </w:p>
    <w:p w14:paraId="766CC09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0" w:right="0" w:rightChars="0" w:firstLine="640" w:firstLineChars="200"/>
        <w:textAlignment w:val="auto"/>
      </w:pPr>
      <w:r>
        <w:rPr>
          <w:rFonts w:hint="eastAsia" w:ascii="仿宋_GB2312" w:hAnsi="宋体" w:eastAsia="仿宋_GB2312" w:cs="仿宋_GB2312"/>
          <w:kern w:val="2"/>
          <w:sz w:val="32"/>
          <w:szCs w:val="32"/>
        </w:rPr>
        <w:t xml:space="preserve"> 2022年壤塘县藏医院通用项目和专用项目均按要求实行绩效目标管理，一般公共预算当年拨款643.01万元。</w:t>
      </w:r>
    </w:p>
    <w:p w14:paraId="758E38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黑体" w:hAnsi="宋体" w:eastAsia="黑体" w:cs="黑体"/>
          <w:kern w:val="2"/>
          <w:sz w:val="32"/>
          <w:szCs w:val="32"/>
        </w:rPr>
        <w:t>十、名词解释</w:t>
      </w:r>
    </w:p>
    <w:p w14:paraId="55CA16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（一）财政拨款收入：指由财政拨款形成的部门收入。按现行管理制度，部门预算中反映的财政拨款仅包括一般公共预算拨款和政府性基金预算拨款。</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（二）事业收入：指所属事业单位开展专业业务活动及辅助活动所取得的收入。</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（三）事业单位经营收入：指所属事业单位在专业业务活动及其辅助活动之外开展非独立核算经营活动取得的收入。</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（四）其他收入：指除上述</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财政拨款收入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事业单位经营收入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等以外的收入，主要是所属行政事业单位按规定动用的售房收入、存款利息收入等。</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r>
        <w:rPr>
          <w:rFonts w:hint="eastAsia" w:ascii="仿宋_GB2312" w:hAnsi="宋体" w:eastAsia="仿宋_GB2312" w:cs="仿宋_GB2312"/>
          <w:kern w:val="2"/>
          <w:sz w:val="32"/>
          <w:szCs w:val="32"/>
          <w:lang w:val="en-US" w:eastAsia="zh-CN"/>
        </w:rPr>
        <w:t xml:space="preserve"> </w:t>
      </w:r>
      <w:r>
        <w:rPr>
          <w:rFonts w:hint="eastAsia" w:ascii="仿宋_GB2312" w:hAnsi="宋体" w:eastAsia="仿宋_GB2312" w:cs="仿宋_GB2312"/>
          <w:kern w:val="2"/>
          <w:sz w:val="32"/>
          <w:szCs w:val="32"/>
        </w:rPr>
        <w:t>（五）用事业基金弥补收支差额：指所属事业单位在预计用当年的</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财政拨款收入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事业单位经营收入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其他收入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不足以安排当年支出的情况下，使用以前年度积累的事业基金弥补本年度收支缺口的资金。</w:t>
      </w:r>
      <w:r>
        <w:rPr>
          <w:rFonts w:hint="eastAsia" w:ascii="仿宋_GB2312" w:hAnsi="宋体" w:eastAsia="仿宋_GB2312" w:cs="Times New Roman"/>
          <w:kern w:val="2"/>
          <w:sz w:val="32"/>
          <w:szCs w:val="32"/>
        </w:rPr>
        <w:br w:type="textWrapping"/>
      </w:r>
      <w:r>
        <w:rPr>
          <w:rFonts w:hint="eastAsia" w:ascii="仿宋_GB2312" w:hAnsi="宋体" w:eastAsia="仿宋_GB2312" w:cs="仿宋_GB2312"/>
          <w:kern w:val="2"/>
          <w:sz w:val="32"/>
          <w:szCs w:val="32"/>
        </w:rPr>
        <w:t xml:space="preserve">  </w:t>
      </w:r>
    </w:p>
    <w:p w14:paraId="055FD2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5F08A"/>
    <w:multiLevelType w:val="singleLevel"/>
    <w:tmpl w:val="BF95F08A"/>
    <w:lvl w:ilvl="0" w:tentative="0">
      <w:start w:val="1"/>
      <w:numFmt w:val="decimal"/>
      <w:suff w:val="nothing"/>
      <w:lvlText w:val="%1．"/>
      <w:lvlJc w:val="left"/>
      <w:pPr>
        <w:ind w:left="580" w:leftChars="0" w:firstLine="0" w:firstLineChars="0"/>
      </w:pPr>
    </w:lvl>
  </w:abstractNum>
  <w:abstractNum w:abstractNumId="1">
    <w:nsid w:val="EC4C01D0"/>
    <w:multiLevelType w:val="singleLevel"/>
    <w:tmpl w:val="EC4C01D0"/>
    <w:lvl w:ilvl="0" w:tentative="0">
      <w:start w:val="8"/>
      <w:numFmt w:val="chineseCounting"/>
      <w:suff w:val="nothing"/>
      <w:lvlText w:val="%1、"/>
      <w:lvlJc w:val="left"/>
      <w:rPr>
        <w:rFonts w:hint="eastAsia"/>
      </w:rPr>
    </w:lvl>
  </w:abstractNum>
  <w:abstractNum w:abstractNumId="2">
    <w:nsid w:val="1EED5653"/>
    <w:multiLevelType w:val="singleLevel"/>
    <w:tmpl w:val="1EED5653"/>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5D05969"/>
    <w:rsid w:val="0D1240BD"/>
    <w:rsid w:val="1D077978"/>
    <w:rsid w:val="21DD5905"/>
    <w:rsid w:val="266D2F42"/>
    <w:rsid w:val="2DEC6E42"/>
    <w:rsid w:val="3CD70CBD"/>
    <w:rsid w:val="3D8B6CA7"/>
    <w:rsid w:val="3E541399"/>
    <w:rsid w:val="449F3674"/>
    <w:rsid w:val="4C9444D5"/>
    <w:rsid w:val="4E7823DD"/>
    <w:rsid w:val="50EB5C41"/>
    <w:rsid w:val="54051103"/>
    <w:rsid w:val="58877149"/>
    <w:rsid w:val="5BC052E6"/>
    <w:rsid w:val="5C2A6C04"/>
    <w:rsid w:val="5C5F065B"/>
    <w:rsid w:val="60973B6E"/>
    <w:rsid w:val="611B1D8D"/>
    <w:rsid w:val="69A53CA3"/>
    <w:rsid w:val="6BC72AD5"/>
    <w:rsid w:val="708F1735"/>
    <w:rsid w:val="709F1517"/>
    <w:rsid w:val="731955B0"/>
    <w:rsid w:val="78AA0A60"/>
    <w:rsid w:val="78BA106A"/>
    <w:rsid w:val="7CC12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3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llowedHyperlink"/>
    <w:basedOn w:val="7"/>
    <w:qFormat/>
    <w:uiPriority w:val="0"/>
    <w:rPr>
      <w:color w:val="000000"/>
      <w:u w:val="none"/>
    </w:rPr>
  </w:style>
  <w:style w:type="character" w:styleId="9">
    <w:name w:val="Hyperlink"/>
    <w:basedOn w:val="7"/>
    <w:qFormat/>
    <w:uiPriority w:val="0"/>
    <w:rPr>
      <w:color w:val="000000"/>
      <w:u w:val="non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3273</Words>
  <Characters>3618</Characters>
  <Lines>0</Lines>
  <Paragraphs>0</Paragraphs>
  <TotalTime>68</TotalTime>
  <ScaleCrop>false</ScaleCrop>
  <LinksUpToDate>false</LinksUpToDate>
  <CharactersWithSpaces>3685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沐晴つ</cp:lastModifiedBy>
  <dcterms:modified xsi:type="dcterms:W3CDTF">2026-07-28T09:17:39Z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eyJoZGlkIjoiM2Y2MjgwOThiZTJhZWRmZTFkYTQ3ZTIxMjA3ZjNiYmEiLCJ1c2VySWQiOiI3NTgwODA2OTQifQ==</vt:lpwstr>
  </property>
  <property fmtid="{D5CDD505-2E9C-101B-9397-08002B2CF9AE}" pid="4" name="ICV">
    <vt:lpwstr>84557A1E55F54633A4B463B302CC71F9_12</vt:lpwstr>
  </property>
</Properties>
</file>