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DD1F6">
      <w:pPr>
        <w:spacing w:line="600" w:lineRule="exact"/>
        <w:jc w:val="center"/>
        <w:outlineLvl w:val="9"/>
        <w:rPr>
          <w:rFonts w:hint="default" w:ascii="Times New Roman" w:hAnsi="Times New Roman" w:eastAsia="方正仿宋_GBK" w:cs="Times New Roman"/>
          <w:sz w:val="72"/>
          <w:szCs w:val="72"/>
        </w:rPr>
      </w:pPr>
      <w:bookmarkStart w:id="0" w:name="_Toc15377193"/>
      <w:bookmarkStart w:id="1" w:name="_Toc15377425"/>
      <w:bookmarkStart w:id="2" w:name="_Toc15396597"/>
      <w:bookmarkStart w:id="3" w:name="_Toc15378441"/>
      <w:bookmarkStart w:id="4" w:name="_Toc15396475"/>
      <w:bookmarkStart w:id="5" w:name="_Toc15306267"/>
    </w:p>
    <w:p w14:paraId="13054E98">
      <w:pPr>
        <w:spacing w:line="600" w:lineRule="exact"/>
        <w:jc w:val="center"/>
        <w:outlineLvl w:val="9"/>
        <w:rPr>
          <w:rFonts w:hint="default" w:ascii="Times New Roman" w:hAnsi="Times New Roman" w:eastAsia="方正仿宋_GBK" w:cs="Times New Roman"/>
          <w:sz w:val="72"/>
          <w:szCs w:val="72"/>
        </w:rPr>
      </w:pPr>
    </w:p>
    <w:p w14:paraId="11763E06">
      <w:pPr>
        <w:spacing w:line="600" w:lineRule="exact"/>
        <w:jc w:val="center"/>
        <w:outlineLvl w:val="9"/>
        <w:rPr>
          <w:rFonts w:hint="default" w:ascii="Times New Roman" w:hAnsi="Times New Roman" w:eastAsia="方正仿宋_GBK" w:cs="Times New Roman"/>
          <w:sz w:val="72"/>
          <w:szCs w:val="72"/>
        </w:rPr>
      </w:pPr>
    </w:p>
    <w:p w14:paraId="6FF40CFA">
      <w:pPr>
        <w:spacing w:line="600" w:lineRule="exact"/>
        <w:jc w:val="center"/>
        <w:outlineLvl w:val="9"/>
        <w:rPr>
          <w:rFonts w:hint="default" w:ascii="Times New Roman" w:hAnsi="Times New Roman" w:eastAsia="方正仿宋_GBK" w:cs="Times New Roman"/>
          <w:sz w:val="72"/>
          <w:szCs w:val="72"/>
        </w:rPr>
      </w:pPr>
    </w:p>
    <w:bookmarkEnd w:id="0"/>
    <w:bookmarkEnd w:id="1"/>
    <w:bookmarkEnd w:id="2"/>
    <w:bookmarkEnd w:id="3"/>
    <w:bookmarkEnd w:id="4"/>
    <w:p w14:paraId="4FEBEF0B">
      <w:pPr>
        <w:adjustRightInd w:val="0"/>
        <w:snapToGrid w:val="0"/>
        <w:spacing w:line="360" w:lineRule="auto"/>
        <w:jc w:val="center"/>
        <w:outlineLvl w:val="9"/>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202</w:t>
      </w: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b/>
          <w:bCs/>
          <w:sz w:val="32"/>
          <w:szCs w:val="32"/>
        </w:rPr>
        <w:t>年度</w:t>
      </w:r>
    </w:p>
    <w:bookmarkEnd w:id="5"/>
    <w:p w14:paraId="46AAE80B">
      <w:pPr>
        <w:jc w:val="center"/>
        <w:outlineLvl w:val="9"/>
        <w:rPr>
          <w:rFonts w:hint="default" w:ascii="Times New Roman" w:hAnsi="Times New Roman" w:eastAsia="方正仿宋_GBK" w:cs="Times New Roman"/>
          <w:b/>
          <w:bCs/>
          <w:sz w:val="32"/>
          <w:szCs w:val="32"/>
          <w:lang w:val="en-US" w:eastAsia="zh-CN"/>
        </w:rPr>
      </w:pPr>
      <w:bookmarkStart w:id="6" w:name="_Toc15396598"/>
      <w:bookmarkStart w:id="7" w:name="_Toc15377194"/>
      <w:bookmarkStart w:id="8" w:name="_Toc15378442"/>
      <w:bookmarkStart w:id="9" w:name="_Toc15396476"/>
      <w:bookmarkStart w:id="10" w:name="_Toc15306268"/>
      <w:bookmarkStart w:id="11" w:name="_Toc15377426"/>
      <w:r>
        <w:rPr>
          <w:rFonts w:hint="default" w:ascii="Times New Roman" w:hAnsi="Times New Roman" w:eastAsia="方正仿宋_GBK" w:cs="Times New Roman"/>
          <w:b/>
          <w:bCs/>
          <w:sz w:val="32"/>
          <w:szCs w:val="32"/>
        </w:rPr>
        <w:t>阿坝州壤塘县粮食和物资储备中心</w:t>
      </w:r>
    </w:p>
    <w:p w14:paraId="31286D76">
      <w:pPr>
        <w:adjustRightInd w:val="0"/>
        <w:snapToGrid w:val="0"/>
        <w:spacing w:line="360" w:lineRule="auto"/>
        <w:jc w:val="center"/>
        <w:outlineLvl w:val="9"/>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部门决算</w:t>
      </w:r>
      <w:bookmarkEnd w:id="6"/>
      <w:bookmarkEnd w:id="7"/>
      <w:bookmarkEnd w:id="8"/>
      <w:bookmarkEnd w:id="9"/>
      <w:bookmarkEnd w:id="10"/>
      <w:bookmarkEnd w:id="11"/>
    </w:p>
    <w:p w14:paraId="4FD24F1F">
      <w:pPr>
        <w:pStyle w:val="14"/>
        <w:outlineLvl w:val="9"/>
        <w:rPr>
          <w:rFonts w:hint="default" w:ascii="Times New Roman" w:hAnsi="Times New Roman" w:eastAsia="方正仿宋_GBK" w:cs="Times New Roman"/>
        </w:rPr>
      </w:pPr>
      <w:r>
        <w:rPr>
          <w:rFonts w:hint="default" w:ascii="Times New Roman" w:hAnsi="Times New Roman" w:eastAsia="方正仿宋_GBK" w:cs="Times New Roman"/>
          <w:sz w:val="36"/>
          <w:szCs w:val="36"/>
        </w:rPr>
        <w:br w:type="page"/>
      </w:r>
    </w:p>
    <w:sdt>
      <w:sdtPr>
        <w:rPr>
          <w:rFonts w:hint="default" w:ascii="Times New Roman" w:hAnsi="Times New Roman" w:eastAsia="方正小标宋_GBK" w:cs="Times New Roman"/>
          <w:kern w:val="2"/>
          <w:sz w:val="21"/>
          <w:szCs w:val="24"/>
          <w:lang w:val="en-US" w:eastAsia="zh-CN" w:bidi="ar-SA"/>
        </w:rPr>
        <w:id w:val="147477636"/>
        <w15:color w:val="DBDBDB"/>
        <w:docPartObj>
          <w:docPartGallery w:val="Table of Contents"/>
          <w:docPartUnique/>
        </w:docPartObj>
      </w:sdtPr>
      <w:sdtEndPr>
        <w:rPr>
          <w:rFonts w:hint="default" w:ascii="Times New Roman" w:hAnsi="Times New Roman" w:eastAsia="方正仿宋_GBK" w:cs="Times New Roman"/>
          <w:b/>
          <w:bCs/>
          <w:kern w:val="44"/>
          <w:sz w:val="44"/>
          <w:szCs w:val="44"/>
          <w:lang w:val="en-US" w:eastAsia="zh-CN" w:bidi="ar-SA"/>
        </w:rPr>
      </w:sdtEndPr>
      <w:sdtContent>
        <w:p w14:paraId="1B63BE3F">
          <w:pPr>
            <w:widowControl/>
            <w:jc w:val="center"/>
            <w:rPr>
              <w:rFonts w:hint="default" w:ascii="Times New Roman" w:hAnsi="Times New Roman" w:eastAsia="方正小标宋_GBK" w:cs="Times New Roman"/>
              <w:sz w:val="48"/>
              <w:szCs w:val="48"/>
            </w:rPr>
          </w:pPr>
          <w:bookmarkStart w:id="12" w:name="_Toc15377196"/>
          <w:bookmarkStart w:id="13" w:name="_Toc15396599"/>
          <w:r>
            <w:rPr>
              <w:rFonts w:hint="default" w:ascii="Times New Roman" w:hAnsi="Times New Roman" w:eastAsia="方正小标宋_GBK" w:cs="Times New Roman"/>
              <w:sz w:val="48"/>
              <w:szCs w:val="48"/>
            </w:rPr>
            <w:t>目</w:t>
          </w:r>
          <w:r>
            <w:rPr>
              <w:rFonts w:hint="default" w:ascii="Times New Roman" w:hAnsi="Times New Roman" w:eastAsia="方正小标宋_GBK" w:cs="Times New Roman"/>
              <w:sz w:val="48"/>
              <w:szCs w:val="48"/>
              <w:lang w:val="en-US" w:eastAsia="zh-CN"/>
            </w:rPr>
            <w:t xml:space="preserve">   </w:t>
          </w:r>
          <w:r>
            <w:rPr>
              <w:rFonts w:hint="default" w:ascii="Times New Roman" w:hAnsi="Times New Roman" w:eastAsia="方正小标宋_GBK" w:cs="Times New Roman"/>
              <w:sz w:val="48"/>
              <w:szCs w:val="48"/>
            </w:rPr>
            <w:t>录</w:t>
          </w:r>
        </w:p>
        <w:p w14:paraId="2759D86B">
          <w:pPr>
            <w:pageBreakBefore w:val="0"/>
            <w:widowControl/>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仿宋_GBK" w:cs="Times New Roman"/>
              <w:sz w:val="28"/>
              <w:szCs w:val="28"/>
            </w:rPr>
          </w:pPr>
        </w:p>
        <w:p w14:paraId="1B8506CB">
          <w:pPr>
            <w:pStyle w:val="14"/>
            <w:pageBreakBefore w:val="0"/>
            <w:kinsoku/>
            <w:wordWrap/>
            <w:overflowPunct/>
            <w:topLinePunct w:val="0"/>
            <w:autoSpaceDE/>
            <w:autoSpaceDN/>
            <w:bidi w:val="0"/>
            <w:adjustRightInd/>
            <w:snapToGrid/>
            <w:spacing w:before="0" w:line="560" w:lineRule="exact"/>
            <w:ind w:left="0" w:leftChars="0"/>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rPr>
            <w:t>公开时间：</w:t>
          </w:r>
          <w:r>
            <w:rPr>
              <w:rFonts w:hint="default" w:ascii="Times New Roman" w:hAnsi="Times New Roman" w:eastAsia="方正仿宋_GBK" w:cs="Times New Roman"/>
              <w:sz w:val="28"/>
              <w:szCs w:val="28"/>
              <w:highlight w:val="none"/>
            </w:rPr>
            <w:t>2022年</w:t>
          </w:r>
          <w:r>
            <w:rPr>
              <w:rFonts w:hint="default" w:ascii="Times New Roman" w:hAnsi="Times New Roman" w:eastAsia="方正仿宋_GBK" w:cs="Times New Roman"/>
              <w:sz w:val="28"/>
              <w:szCs w:val="28"/>
              <w:highlight w:val="none"/>
              <w:lang w:val="en-US" w:eastAsia="zh-CN"/>
            </w:rPr>
            <w:t>10</w:t>
          </w:r>
          <w:r>
            <w:rPr>
              <w:rFonts w:hint="default" w:ascii="Times New Roman" w:hAnsi="Times New Roman" w:eastAsia="方正仿宋_GBK" w:cs="Times New Roman"/>
              <w:sz w:val="28"/>
              <w:szCs w:val="28"/>
              <w:highlight w:val="none"/>
            </w:rPr>
            <w:t>月</w:t>
          </w:r>
          <w:r>
            <w:rPr>
              <w:rFonts w:hint="default" w:ascii="Times New Roman" w:hAnsi="Times New Roman" w:eastAsia="方正仿宋_GBK" w:cs="Times New Roman"/>
              <w:sz w:val="28"/>
              <w:szCs w:val="28"/>
              <w:highlight w:val="none"/>
              <w:lang w:val="en-US" w:eastAsia="zh-CN"/>
            </w:rPr>
            <w:t>27</w:t>
          </w:r>
          <w:r>
            <w:rPr>
              <w:rFonts w:hint="default" w:ascii="Times New Roman" w:hAnsi="Times New Roman" w:eastAsia="方正仿宋_GBK" w:cs="Times New Roman"/>
              <w:sz w:val="28"/>
              <w:szCs w:val="28"/>
              <w:highlight w:val="none"/>
            </w:rPr>
            <w:t>日</w:t>
          </w:r>
        </w:p>
        <w:p w14:paraId="6518C828">
          <w:pPr>
            <w:pStyle w:val="14"/>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b w:val="0"/>
              <w:sz w:val="28"/>
              <w:szCs w:val="28"/>
            </w:rPr>
            <w:fldChar w:fldCharType="begin"/>
          </w:r>
          <w:r>
            <w:rPr>
              <w:rFonts w:hint="default" w:ascii="Times New Roman" w:hAnsi="Times New Roman" w:eastAsia="方正仿宋_GBK" w:cs="Times New Roman"/>
              <w:b w:val="0"/>
              <w:sz w:val="28"/>
              <w:szCs w:val="28"/>
            </w:rPr>
            <w:instrText xml:space="preserve">TOC \o "1-2" \h \u </w:instrText>
          </w:r>
          <w:r>
            <w:rPr>
              <w:rFonts w:hint="default" w:ascii="Times New Roman" w:hAnsi="Times New Roman" w:eastAsia="方正仿宋_GBK" w:cs="Times New Roman"/>
              <w:b w:val="0"/>
              <w:sz w:val="28"/>
              <w:szCs w:val="28"/>
            </w:rPr>
            <w:fldChar w:fldCharType="separate"/>
          </w: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_Toc17016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6"/>
            </w:rPr>
            <w:t>第一部分 部门概况</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_Toc17016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7ABCF210">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_Toc2022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2"/>
            </w:rPr>
            <w:t>一、基本职能</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_Toc2022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5B180C8B">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_Toc32122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2"/>
            </w:rPr>
            <w:t>二、机构设置</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_Toc32122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4</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0C9D2696">
          <w:pPr>
            <w:pStyle w:val="14"/>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_Toc25878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6"/>
            </w:rPr>
            <w:t>第二部分 202</w:t>
          </w:r>
          <w:r>
            <w:rPr>
              <w:rFonts w:hint="default" w:ascii="Times New Roman" w:hAnsi="Times New Roman" w:eastAsia="方正仿宋_GBK" w:cs="Times New Roman"/>
              <w:bCs/>
              <w:szCs w:val="36"/>
              <w:lang w:val="en-US" w:eastAsia="zh-CN"/>
            </w:rPr>
            <w:t>2</w:t>
          </w:r>
          <w:r>
            <w:rPr>
              <w:rFonts w:hint="default" w:ascii="Times New Roman" w:hAnsi="Times New Roman" w:eastAsia="方正仿宋_GBK" w:cs="Times New Roman"/>
              <w:bCs/>
              <w:szCs w:val="36"/>
            </w:rPr>
            <w:t>年度部门决算情况说明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_Toc25878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5</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28185472">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_Toc18286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2"/>
            </w:rPr>
            <w:t>一、收入支出决算总体情况说明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_Toc18286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5</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2EE6412A">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_Toc15954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2"/>
            </w:rPr>
            <w:t>二、收入决算情况说明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_Toc15954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5</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1766AE4D">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_Toc910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2"/>
            </w:rPr>
            <w:t>三、支出决算情况说明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_Toc910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6</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05266C40">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_Toc27408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2"/>
            </w:rPr>
            <w:t>四、财政拨款收入支出决算总体情况说明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_Toc27408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7</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6BA56C55">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_Toc12312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2"/>
            </w:rPr>
            <w:t>五、一般公共预算财政拨款支出决算情况说明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_Toc12312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7</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2C461508">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_Toc19146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2"/>
            </w:rPr>
            <w:t>六、一般公共预算财政拨款基本支出决算情况说明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_Toc19146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11</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3A24608C">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_Toc26627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32"/>
            </w:rPr>
            <w:t>七、</w:t>
          </w:r>
          <w:r>
            <w:rPr>
              <w:rFonts w:hint="eastAsia" w:eastAsia="方正仿宋_GBK" w:cs="Times New Roman"/>
              <w:bCs w:val="0"/>
              <w:szCs w:val="32"/>
              <w:lang w:eastAsia="zh-CN"/>
            </w:rPr>
            <w:t>“</w:t>
          </w:r>
          <w:r>
            <w:rPr>
              <w:rFonts w:hint="default" w:ascii="Times New Roman" w:hAnsi="Times New Roman" w:eastAsia="方正仿宋_GBK" w:cs="Times New Roman"/>
              <w:bCs w:val="0"/>
              <w:szCs w:val="32"/>
            </w:rPr>
            <w:t>三公</w:t>
          </w:r>
          <w:r>
            <w:rPr>
              <w:rFonts w:hint="eastAsia" w:eastAsia="方正仿宋_GBK" w:cs="Times New Roman"/>
              <w:bCs w:val="0"/>
              <w:szCs w:val="32"/>
              <w:lang w:eastAsia="zh-CN"/>
            </w:rPr>
            <w:t>”</w:t>
          </w:r>
          <w:r>
            <w:rPr>
              <w:rFonts w:hint="default" w:ascii="Times New Roman" w:hAnsi="Times New Roman" w:eastAsia="方正仿宋_GBK" w:cs="Times New Roman"/>
              <w:bCs w:val="0"/>
              <w:szCs w:val="32"/>
            </w:rPr>
            <w:t>经费财政拨款支出决算情况说明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_Toc26627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11</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43A68475">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_Toc2139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32"/>
            </w:rPr>
            <w:t>八、政府性基金预算支出决算情况说明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_Toc2139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13</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2418EC0D">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_Toc16251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32"/>
            </w:rPr>
            <w:t>九、国有资本经营预算支出决算情况说明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_Toc16251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13</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69B49DDD">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_Toc4368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32"/>
            </w:rPr>
            <w:t>十、其他重要事项的情况说明</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_Toc4368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13</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7A91376E">
          <w:pPr>
            <w:pStyle w:val="14"/>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_Toc14628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6"/>
            </w:rPr>
            <w:t>第三部分 名词解释</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_Toc14628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15</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3742915B">
          <w:pPr>
            <w:pStyle w:val="14"/>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_Toc9570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6"/>
            </w:rPr>
            <w:t>第四部分 附件</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_Toc9570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2C64856B">
          <w:pPr>
            <w:pStyle w:val="14"/>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_Toc17001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2"/>
            </w:rPr>
            <w:t>附件</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_Toc17001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58909C1D">
          <w:pPr>
            <w:pStyle w:val="14"/>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_Toc22655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kern w:val="0"/>
              <w:szCs w:val="32"/>
            </w:rPr>
            <w:t>202</w:t>
          </w:r>
          <w:r>
            <w:rPr>
              <w:rFonts w:hint="default" w:ascii="Times New Roman" w:hAnsi="Times New Roman" w:eastAsia="方正仿宋_GBK" w:cs="Times New Roman"/>
              <w:bCs/>
              <w:kern w:val="0"/>
              <w:szCs w:val="32"/>
              <w:lang w:val="en-US" w:eastAsia="zh-CN"/>
            </w:rPr>
            <w:t>2</w:t>
          </w:r>
          <w:r>
            <w:rPr>
              <w:rFonts w:hint="default" w:ascii="Times New Roman" w:hAnsi="Times New Roman" w:eastAsia="方正仿宋_GBK" w:cs="Times New Roman"/>
              <w:bCs/>
              <w:kern w:val="0"/>
              <w:szCs w:val="32"/>
            </w:rPr>
            <w:t>年部门整体绩效评价报告</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_Toc22655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1E841D46">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_Toc22380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kern w:val="0"/>
              <w:szCs w:val="32"/>
              <w:shd w:val="clear" w:color="auto" w:fill="FFFFFF"/>
            </w:rPr>
            <w:t>一、</w:t>
          </w:r>
          <w:r>
            <w:rPr>
              <w:rFonts w:hint="default" w:ascii="Times New Roman" w:hAnsi="Times New Roman" w:eastAsia="方正仿宋_GBK" w:cs="Times New Roman"/>
              <w:bCs/>
              <w:kern w:val="0"/>
              <w:szCs w:val="32"/>
              <w:shd w:val="clear" w:color="auto" w:fill="FFFFFF"/>
              <w:lang w:val="zh-CN"/>
            </w:rPr>
            <w:t>部门</w:t>
          </w:r>
          <w:r>
            <w:rPr>
              <w:rFonts w:hint="eastAsia" w:eastAsia="方正仿宋_GBK" w:cs="Times New Roman"/>
              <w:bCs/>
              <w:kern w:val="0"/>
              <w:szCs w:val="32"/>
              <w:shd w:val="clear" w:color="auto" w:fill="FFFFFF"/>
              <w:lang w:val="zh-CN"/>
            </w:rPr>
            <w:t>（</w:t>
          </w:r>
          <w:r>
            <w:rPr>
              <w:rFonts w:hint="default" w:ascii="Times New Roman" w:hAnsi="Times New Roman" w:eastAsia="方正仿宋_GBK" w:cs="Times New Roman"/>
              <w:bCs/>
              <w:kern w:val="0"/>
              <w:szCs w:val="32"/>
              <w:shd w:val="clear" w:color="auto" w:fill="FFFFFF"/>
              <w:lang w:val="zh-CN"/>
            </w:rPr>
            <w:t>单位</w:t>
          </w:r>
          <w:r>
            <w:rPr>
              <w:rFonts w:hint="eastAsia" w:eastAsia="方正仿宋_GBK" w:cs="Times New Roman"/>
              <w:bCs/>
              <w:kern w:val="0"/>
              <w:szCs w:val="32"/>
              <w:shd w:val="clear" w:color="auto" w:fill="FFFFFF"/>
              <w:lang w:val="zh-CN"/>
            </w:rPr>
            <w:t>）</w:t>
          </w:r>
          <w:r>
            <w:rPr>
              <w:rFonts w:hint="default" w:ascii="Times New Roman" w:hAnsi="Times New Roman" w:eastAsia="方正仿宋_GBK" w:cs="Times New Roman"/>
              <w:bCs/>
              <w:kern w:val="0"/>
              <w:szCs w:val="32"/>
              <w:shd w:val="clear" w:color="auto" w:fill="FFFFFF"/>
              <w:lang w:val="zh-CN"/>
            </w:rPr>
            <w:t>概况</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_Toc22380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19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319A7E38">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_Toc15620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kern w:val="0"/>
              <w:szCs w:val="32"/>
              <w:shd w:val="clear" w:fill="FFFFFF"/>
            </w:rPr>
            <w:t>二、</w:t>
          </w:r>
          <w:r>
            <w:rPr>
              <w:rFonts w:hint="default" w:ascii="Times New Roman" w:hAnsi="Times New Roman" w:eastAsia="方正仿宋_GBK" w:cs="Times New Roman"/>
              <w:bCs/>
              <w:kern w:val="0"/>
              <w:szCs w:val="32"/>
              <w:shd w:val="clear" w:color="auto" w:fill="FFFFFF"/>
            </w:rPr>
            <w:t>部门财政资金收支情况</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_Toc15620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21</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0B792679">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_Toc13138 </w:instrText>
          </w:r>
          <w:r>
            <w:rPr>
              <w:rFonts w:hint="default" w:ascii="Times New Roman" w:hAnsi="Times New Roman" w:eastAsia="方正仿宋_GBK" w:cs="Times New Roman"/>
              <w:szCs w:val="28"/>
            </w:rPr>
            <w:fldChar w:fldCharType="separate"/>
          </w:r>
          <w:r>
            <w:rPr>
              <w:rFonts w:hint="eastAsia" w:eastAsia="方正仿宋_GBK" w:cs="Times New Roman"/>
              <w:bCs/>
              <w:kern w:val="0"/>
              <w:szCs w:val="32"/>
              <w:shd w:val="clear" w:color="auto" w:fill="FFFFFF"/>
              <w:lang w:val="zh-CN"/>
            </w:rPr>
            <w:t>（</w:t>
          </w:r>
          <w:r>
            <w:rPr>
              <w:rFonts w:hint="default" w:ascii="Times New Roman" w:hAnsi="Times New Roman" w:eastAsia="方正仿宋_GBK" w:cs="Times New Roman"/>
              <w:bCs/>
              <w:kern w:val="0"/>
              <w:szCs w:val="32"/>
              <w:shd w:val="clear" w:color="auto" w:fill="FFFFFF"/>
              <w:lang w:val="en-US" w:eastAsia="zh-CN"/>
            </w:rPr>
            <w:t>一</w:t>
          </w:r>
          <w:r>
            <w:rPr>
              <w:rFonts w:hint="eastAsia" w:eastAsia="方正仿宋_GBK" w:cs="Times New Roman"/>
              <w:bCs/>
              <w:kern w:val="0"/>
              <w:szCs w:val="32"/>
              <w:shd w:val="clear" w:color="auto" w:fill="FFFFFF"/>
              <w:lang w:val="zh-CN"/>
            </w:rPr>
            <w:t>）</w:t>
          </w:r>
          <w:r>
            <w:rPr>
              <w:rFonts w:hint="default" w:ascii="Times New Roman" w:hAnsi="Times New Roman" w:eastAsia="方正仿宋_GBK" w:cs="Times New Roman"/>
              <w:bCs/>
              <w:kern w:val="0"/>
              <w:szCs w:val="32"/>
              <w:shd w:val="clear" w:color="auto" w:fill="FFFFFF"/>
              <w:lang w:val="zh-CN"/>
            </w:rPr>
            <w:t>部门总体收支情况。</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_Toc13138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21</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7CB7E264">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_Toc12437 </w:instrText>
          </w:r>
          <w:r>
            <w:rPr>
              <w:rFonts w:hint="default" w:ascii="Times New Roman" w:hAnsi="Times New Roman" w:eastAsia="方正仿宋_GBK" w:cs="Times New Roman"/>
              <w:szCs w:val="28"/>
            </w:rPr>
            <w:fldChar w:fldCharType="separate"/>
          </w:r>
          <w:r>
            <w:rPr>
              <w:rFonts w:hint="eastAsia" w:eastAsia="方正仿宋_GBK" w:cs="Times New Roman"/>
              <w:bCs/>
              <w:kern w:val="0"/>
              <w:szCs w:val="32"/>
              <w:shd w:val="clear" w:color="auto" w:fill="FFFFFF"/>
              <w:lang w:val="zh-CN"/>
            </w:rPr>
            <w:t>（</w:t>
          </w:r>
          <w:r>
            <w:rPr>
              <w:rFonts w:hint="default" w:ascii="Times New Roman" w:hAnsi="Times New Roman" w:eastAsia="方正仿宋_GBK" w:cs="Times New Roman"/>
              <w:bCs/>
              <w:kern w:val="0"/>
              <w:szCs w:val="32"/>
              <w:shd w:val="clear" w:color="auto" w:fill="FFFFFF"/>
              <w:lang w:val="en-US" w:eastAsia="zh-CN"/>
            </w:rPr>
            <w:t>二</w:t>
          </w:r>
          <w:r>
            <w:rPr>
              <w:rFonts w:hint="eastAsia" w:eastAsia="方正仿宋_GBK" w:cs="Times New Roman"/>
              <w:bCs/>
              <w:kern w:val="0"/>
              <w:szCs w:val="32"/>
              <w:shd w:val="clear" w:color="auto" w:fill="FFFFFF"/>
              <w:lang w:val="zh-CN"/>
            </w:rPr>
            <w:t>）</w:t>
          </w:r>
          <w:r>
            <w:rPr>
              <w:rFonts w:hint="default" w:ascii="Times New Roman" w:hAnsi="Times New Roman" w:eastAsia="方正仿宋_GBK" w:cs="Times New Roman"/>
              <w:bCs/>
              <w:kern w:val="0"/>
              <w:szCs w:val="32"/>
              <w:shd w:val="clear" w:color="auto" w:fill="FFFFFF"/>
              <w:lang w:val="zh-CN"/>
            </w:rPr>
            <w:t>部门财政拨款收支情况。</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_Toc12437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22</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6411DBBC">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_Toc22521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kern w:val="0"/>
              <w:szCs w:val="32"/>
              <w:shd w:val="clear" w:color="auto" w:fill="FFFFFF"/>
            </w:rPr>
            <w:t>三、部门整体绩效分析</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_Toc22521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22</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12E7C9ED">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_Toc1338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kern w:val="0"/>
              <w:szCs w:val="32"/>
              <w:shd w:val="clear" w:color="auto" w:fill="FFFFFF"/>
            </w:rPr>
            <w:t>四、评价结论及建议</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_Toc1338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27</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513D575D">
          <w:pPr>
            <w:pStyle w:val="14"/>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_Toc20573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szCs w:val="36"/>
            </w:rPr>
            <w:t>第五部分 附表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_Toc20573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115C48D4">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_Toc32430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szCs w:val="28"/>
            </w:rPr>
            <w:t>一、收</w:t>
          </w:r>
          <w:r>
            <w:rPr>
              <w:rFonts w:hint="default" w:ascii="Times New Roman" w:hAnsi="Times New Roman" w:eastAsia="方正仿宋_GBK" w:cs="Times New Roman"/>
              <w:bCs w:val="0"/>
              <w:szCs w:val="28"/>
            </w:rPr>
            <w:t>入支出决算总表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_Toc32430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3F153680">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_Toc27453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szCs w:val="28"/>
            </w:rPr>
            <w:t>二、收</w:t>
          </w:r>
          <w:r>
            <w:rPr>
              <w:rFonts w:hint="default" w:ascii="Times New Roman" w:hAnsi="Times New Roman" w:eastAsia="方正仿宋_GBK" w:cs="Times New Roman"/>
              <w:bCs w:val="0"/>
              <w:szCs w:val="28"/>
            </w:rPr>
            <w:t>入决算表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_Toc27453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4BD8EE81">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_Toc2810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三、</w:t>
          </w:r>
          <w:r>
            <w:rPr>
              <w:rFonts w:hint="default" w:ascii="Times New Roman" w:hAnsi="Times New Roman" w:eastAsia="方正仿宋_GBK" w:cs="Times New Roman"/>
              <w:szCs w:val="28"/>
            </w:rPr>
            <w:t>支</w:t>
          </w:r>
          <w:r>
            <w:rPr>
              <w:rFonts w:hint="default" w:ascii="Times New Roman" w:hAnsi="Times New Roman" w:eastAsia="方正仿宋_GBK" w:cs="Times New Roman"/>
              <w:bCs w:val="0"/>
              <w:szCs w:val="28"/>
            </w:rPr>
            <w:t>出决算表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_Toc2810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6E223DC6">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_Toc22455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四、</w:t>
          </w:r>
          <w:r>
            <w:rPr>
              <w:rFonts w:hint="default" w:ascii="Times New Roman" w:hAnsi="Times New Roman" w:eastAsia="方正仿宋_GBK" w:cs="Times New Roman"/>
              <w:szCs w:val="28"/>
            </w:rPr>
            <w:t>财</w:t>
          </w:r>
          <w:r>
            <w:rPr>
              <w:rFonts w:hint="default" w:ascii="Times New Roman" w:hAnsi="Times New Roman" w:eastAsia="方正仿宋_GBK" w:cs="Times New Roman"/>
              <w:bCs w:val="0"/>
              <w:szCs w:val="28"/>
            </w:rPr>
            <w:t>政拨款收入支出决算总表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_Toc22455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3C2BFCB3">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_Toc6418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五、</w:t>
          </w:r>
          <w:r>
            <w:rPr>
              <w:rFonts w:hint="default" w:ascii="Times New Roman" w:hAnsi="Times New Roman" w:eastAsia="方正仿宋_GBK" w:cs="Times New Roman"/>
              <w:szCs w:val="28"/>
            </w:rPr>
            <w:t>财</w:t>
          </w:r>
          <w:r>
            <w:rPr>
              <w:rFonts w:hint="default" w:ascii="Times New Roman" w:hAnsi="Times New Roman" w:eastAsia="方正仿宋_GBK" w:cs="Times New Roman"/>
              <w:bCs w:val="0"/>
              <w:szCs w:val="28"/>
            </w:rPr>
            <w:t>政拨款支出决算明细表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_Toc6418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4993AD10">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_Toc7159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六、</w:t>
          </w:r>
          <w:r>
            <w:rPr>
              <w:rFonts w:hint="default" w:ascii="Times New Roman" w:hAnsi="Times New Roman" w:eastAsia="方正仿宋_GBK" w:cs="Times New Roman"/>
              <w:szCs w:val="28"/>
            </w:rPr>
            <w:t>一</w:t>
          </w:r>
          <w:r>
            <w:rPr>
              <w:rFonts w:hint="default" w:ascii="Times New Roman" w:hAnsi="Times New Roman" w:eastAsia="方正仿宋_GBK" w:cs="Times New Roman"/>
              <w:bCs w:val="0"/>
              <w:szCs w:val="28"/>
            </w:rPr>
            <w:t>般公共预算财政拨款支出决算表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_Toc7159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5AA894BF">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_Toc17755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七、</w:t>
          </w:r>
          <w:r>
            <w:rPr>
              <w:rFonts w:hint="default" w:ascii="Times New Roman" w:hAnsi="Times New Roman" w:eastAsia="方正仿宋_GBK" w:cs="Times New Roman"/>
              <w:szCs w:val="28"/>
            </w:rPr>
            <w:t>一</w:t>
          </w:r>
          <w:r>
            <w:rPr>
              <w:rFonts w:hint="default" w:ascii="Times New Roman" w:hAnsi="Times New Roman" w:eastAsia="方正仿宋_GBK" w:cs="Times New Roman"/>
              <w:bCs w:val="0"/>
              <w:szCs w:val="28"/>
            </w:rPr>
            <w:t>般公共预算财政拨款支出决算明细表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_Toc17755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5C428931">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_Toc24107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八、</w:t>
          </w:r>
          <w:r>
            <w:rPr>
              <w:rFonts w:hint="default" w:ascii="Times New Roman" w:hAnsi="Times New Roman" w:eastAsia="方正仿宋_GBK" w:cs="Times New Roman"/>
              <w:szCs w:val="28"/>
            </w:rPr>
            <w:t>一</w:t>
          </w:r>
          <w:r>
            <w:rPr>
              <w:rFonts w:hint="default" w:ascii="Times New Roman" w:hAnsi="Times New Roman" w:eastAsia="方正仿宋_GBK" w:cs="Times New Roman"/>
              <w:bCs w:val="0"/>
              <w:szCs w:val="28"/>
            </w:rPr>
            <w:t>般公共预算财政拨款基本支出决算表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_Toc24107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5905EFDC">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_Toc4914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九、</w:t>
          </w:r>
          <w:r>
            <w:rPr>
              <w:rFonts w:hint="default" w:ascii="Times New Roman" w:hAnsi="Times New Roman" w:eastAsia="方正仿宋_GBK" w:cs="Times New Roman"/>
              <w:szCs w:val="28"/>
            </w:rPr>
            <w:t>一</w:t>
          </w:r>
          <w:r>
            <w:rPr>
              <w:rFonts w:hint="default" w:ascii="Times New Roman" w:hAnsi="Times New Roman" w:eastAsia="方正仿宋_GBK" w:cs="Times New Roman"/>
              <w:bCs w:val="0"/>
              <w:szCs w:val="28"/>
            </w:rPr>
            <w:t>般公共预算财政拨款项目支出决算表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_Toc4914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6F129EF2">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_Toc31329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十、</w:t>
          </w:r>
          <w:r>
            <w:rPr>
              <w:rFonts w:hint="default" w:ascii="Times New Roman" w:hAnsi="Times New Roman" w:eastAsia="方正仿宋_GBK" w:cs="Times New Roman"/>
              <w:szCs w:val="28"/>
            </w:rPr>
            <w:t>一</w:t>
          </w:r>
          <w:r>
            <w:rPr>
              <w:rFonts w:hint="default" w:ascii="Times New Roman" w:hAnsi="Times New Roman" w:eastAsia="方正仿宋_GBK" w:cs="Times New Roman"/>
              <w:bCs w:val="0"/>
              <w:szCs w:val="28"/>
            </w:rPr>
            <w:t>般公共预算财政拨款</w:t>
          </w:r>
          <w:r>
            <w:rPr>
              <w:rFonts w:hint="eastAsia" w:eastAsia="方正仿宋_GBK" w:cs="Times New Roman"/>
              <w:bCs w:val="0"/>
              <w:szCs w:val="28"/>
              <w:lang w:eastAsia="zh-CN"/>
            </w:rPr>
            <w:t>“</w:t>
          </w:r>
          <w:r>
            <w:rPr>
              <w:rFonts w:hint="default" w:ascii="Times New Roman" w:hAnsi="Times New Roman" w:eastAsia="方正仿宋_GBK" w:cs="Times New Roman"/>
              <w:bCs w:val="0"/>
              <w:szCs w:val="28"/>
            </w:rPr>
            <w:t>三公</w:t>
          </w:r>
          <w:r>
            <w:rPr>
              <w:rFonts w:hint="eastAsia" w:eastAsia="方正仿宋_GBK" w:cs="Times New Roman"/>
              <w:bCs w:val="0"/>
              <w:szCs w:val="28"/>
              <w:lang w:eastAsia="zh-CN"/>
            </w:rPr>
            <w:t>”</w:t>
          </w:r>
          <w:r>
            <w:rPr>
              <w:rFonts w:hint="default" w:ascii="Times New Roman" w:hAnsi="Times New Roman" w:eastAsia="方正仿宋_GBK" w:cs="Times New Roman"/>
              <w:bCs w:val="0"/>
              <w:szCs w:val="28"/>
            </w:rPr>
            <w:t>经费支出决算表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_Toc31329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3A7A54DC">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_Toc25593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十一、</w:t>
          </w:r>
          <w:r>
            <w:rPr>
              <w:rFonts w:hint="default" w:ascii="Times New Roman" w:hAnsi="Times New Roman" w:eastAsia="方正仿宋_GBK" w:cs="Times New Roman"/>
              <w:szCs w:val="28"/>
            </w:rPr>
            <w:t>政</w:t>
          </w:r>
          <w:r>
            <w:rPr>
              <w:rFonts w:hint="default" w:ascii="Times New Roman" w:hAnsi="Times New Roman" w:eastAsia="方正仿宋_GBK" w:cs="Times New Roman"/>
              <w:bCs w:val="0"/>
              <w:szCs w:val="28"/>
            </w:rPr>
            <w:t>府性基金预算财政拨款收入支出决算表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_Toc25593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6F244D1B">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_Toc29684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十二、</w:t>
          </w:r>
          <w:r>
            <w:rPr>
              <w:rFonts w:hint="default" w:ascii="Times New Roman" w:hAnsi="Times New Roman" w:eastAsia="方正仿宋_GBK" w:cs="Times New Roman"/>
              <w:szCs w:val="28"/>
            </w:rPr>
            <w:t>政</w:t>
          </w:r>
          <w:r>
            <w:rPr>
              <w:rFonts w:hint="default" w:ascii="Times New Roman" w:hAnsi="Times New Roman" w:eastAsia="方正仿宋_GBK" w:cs="Times New Roman"/>
              <w:bCs w:val="0"/>
              <w:szCs w:val="28"/>
            </w:rPr>
            <w:t>府性基金预算财政拨款</w:t>
          </w:r>
          <w:r>
            <w:rPr>
              <w:rFonts w:hint="eastAsia" w:eastAsia="方正仿宋_GBK" w:cs="Times New Roman"/>
              <w:bCs w:val="0"/>
              <w:szCs w:val="28"/>
              <w:lang w:eastAsia="zh-CN"/>
            </w:rPr>
            <w:t>“</w:t>
          </w:r>
          <w:r>
            <w:rPr>
              <w:rFonts w:hint="default" w:ascii="Times New Roman" w:hAnsi="Times New Roman" w:eastAsia="方正仿宋_GBK" w:cs="Times New Roman"/>
              <w:bCs w:val="0"/>
              <w:szCs w:val="28"/>
            </w:rPr>
            <w:t>三公</w:t>
          </w:r>
          <w:r>
            <w:rPr>
              <w:rFonts w:hint="eastAsia" w:eastAsia="方正仿宋_GBK" w:cs="Times New Roman"/>
              <w:bCs w:val="0"/>
              <w:szCs w:val="28"/>
              <w:lang w:eastAsia="zh-CN"/>
            </w:rPr>
            <w:t>”</w:t>
          </w:r>
          <w:r>
            <w:rPr>
              <w:rFonts w:hint="default" w:ascii="Times New Roman" w:hAnsi="Times New Roman" w:eastAsia="方正仿宋_GBK" w:cs="Times New Roman"/>
              <w:bCs w:val="0"/>
              <w:szCs w:val="28"/>
            </w:rPr>
            <w:t>经费支出决算表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_Toc29684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6BA75324">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_Toc7983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十三、</w:t>
          </w:r>
          <w:r>
            <w:rPr>
              <w:rFonts w:hint="default" w:ascii="Times New Roman" w:hAnsi="Times New Roman" w:eastAsia="方正仿宋_GBK" w:cs="Times New Roman"/>
              <w:szCs w:val="28"/>
            </w:rPr>
            <w:t>国</w:t>
          </w:r>
          <w:r>
            <w:rPr>
              <w:rFonts w:hint="default" w:ascii="Times New Roman" w:hAnsi="Times New Roman" w:eastAsia="方正仿宋_GBK" w:cs="Times New Roman"/>
              <w:bCs w:val="0"/>
              <w:szCs w:val="28"/>
            </w:rPr>
            <w:t>有资本经营预算财政拨款收入支出决算表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_Toc7983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46855D0A">
          <w:pPr>
            <w:pStyle w:val="16"/>
            <w:tabs>
              <w:tab w:val="right" w:leader="dot" w:pos="8306"/>
              <w:tab w:val="clear" w:pos="8296"/>
            </w:tabs>
            <w:rPr>
              <w:rFonts w:hint="default" w:ascii="Times New Roman" w:hAnsi="Times New Roman" w:eastAsia="方正仿宋_GBK" w:cs="Times New Roman"/>
            </w:rPr>
          </w:pPr>
          <w:r>
            <w:rPr>
              <w:rFonts w:hint="default" w:ascii="Times New Roman" w:hAnsi="Times New Roman" w:eastAsia="方正仿宋_GBK" w:cs="Times New Roman"/>
              <w:szCs w:val="28"/>
            </w:rPr>
            <w:fldChar w:fldCharType="begin"/>
          </w:r>
          <w:r>
            <w:rPr>
              <w:rFonts w:hint="default" w:ascii="Times New Roman" w:hAnsi="Times New Roman" w:eastAsia="方正仿宋_GBK" w:cs="Times New Roman"/>
              <w:szCs w:val="28"/>
            </w:rPr>
            <w:instrText xml:space="preserve"> HYPERLINK \l _Toc1963 </w:instrText>
          </w:r>
          <w:r>
            <w:rPr>
              <w:rFonts w:hint="default" w:ascii="Times New Roman" w:hAnsi="Times New Roman" w:eastAsia="方正仿宋_GBK" w:cs="Times New Roman"/>
              <w:szCs w:val="28"/>
            </w:rPr>
            <w:fldChar w:fldCharType="separate"/>
          </w:r>
          <w:r>
            <w:rPr>
              <w:rFonts w:hint="default" w:ascii="Times New Roman" w:hAnsi="Times New Roman" w:eastAsia="方正仿宋_GBK" w:cs="Times New Roman"/>
              <w:bCs w:val="0"/>
              <w:szCs w:val="28"/>
            </w:rPr>
            <w:t>十四、国有资本经营预算财政拨款支出决算表</w:t>
          </w:r>
          <w:r>
            <w:rPr>
              <w:rFonts w:hint="default" w:ascii="Times New Roman" w:hAnsi="Times New Roman" w:eastAsia="方正仿宋_GBK" w:cs="Times New Roman"/>
            </w:rPr>
            <w:tab/>
          </w:r>
          <w:r>
            <w:rPr>
              <w:rFonts w:hint="default" w:ascii="Times New Roman" w:hAnsi="Times New Roman" w:eastAsia="方正仿宋_GBK" w:cs="Times New Roman"/>
            </w:rPr>
            <w:fldChar w:fldCharType="begin"/>
          </w:r>
          <w:r>
            <w:rPr>
              <w:rFonts w:hint="default" w:ascii="Times New Roman" w:hAnsi="Times New Roman" w:eastAsia="方正仿宋_GBK" w:cs="Times New Roman"/>
            </w:rPr>
            <w:instrText xml:space="preserve"> PAGEREF _Toc1963 \h </w:instrText>
          </w:r>
          <w:r>
            <w:rPr>
              <w:rFonts w:hint="default" w:ascii="Times New Roman" w:hAnsi="Times New Roman" w:eastAsia="方正仿宋_GBK" w:cs="Times New Roman"/>
            </w:rPr>
            <w:fldChar w:fldCharType="separate"/>
          </w:r>
          <w:r>
            <w:rPr>
              <w:rFonts w:hint="default" w:ascii="Times New Roman" w:hAnsi="Times New Roman" w:eastAsia="方正仿宋_GBK" w:cs="Times New Roman"/>
            </w:rPr>
            <w:t>29</w:t>
          </w:r>
          <w:r>
            <w:rPr>
              <w:rFonts w:hint="default" w:ascii="Times New Roman" w:hAnsi="Times New Roman" w:eastAsia="方正仿宋_GBK" w:cs="Times New Roman"/>
            </w:rPr>
            <w:fldChar w:fldCharType="end"/>
          </w:r>
          <w:r>
            <w:rPr>
              <w:rFonts w:hint="default" w:ascii="Times New Roman" w:hAnsi="Times New Roman" w:eastAsia="方正仿宋_GBK" w:cs="Times New Roman"/>
              <w:szCs w:val="28"/>
            </w:rPr>
            <w:fldChar w:fldCharType="end"/>
          </w:r>
        </w:p>
        <w:p w14:paraId="28E432DA">
          <w:pPr>
            <w:pageBreakBefore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仿宋_GBK" w:cs="Times New Roman"/>
              <w:b w:val="0"/>
            </w:r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方正仿宋_GBK" w:cs="Times New Roman"/>
              <w:szCs w:val="28"/>
            </w:rPr>
            <w:fldChar w:fldCharType="end"/>
          </w:r>
        </w:p>
      </w:sdtContent>
    </w:sdt>
    <w:p w14:paraId="2A05F4FF">
      <w:pPr>
        <w:pStyle w:val="4"/>
        <w:numPr>
          <w:ilvl w:val="0"/>
          <w:numId w:val="0"/>
        </w:numPr>
        <w:spacing w:before="0" w:after="0" w:line="240" w:lineRule="auto"/>
        <w:jc w:val="center"/>
        <w:outlineLvl w:val="0"/>
        <w:rPr>
          <w:rStyle w:val="32"/>
          <w:rFonts w:hint="eastAsia" w:ascii="方正小标宋_GBK" w:hAnsi="方正小标宋_GBK" w:eastAsia="方正小标宋_GBK" w:cs="方正小标宋_GBK"/>
          <w:b w:val="0"/>
          <w:bCs w:val="0"/>
          <w:sz w:val="44"/>
          <w:szCs w:val="44"/>
        </w:rPr>
      </w:pPr>
      <w:bookmarkStart w:id="14" w:name="_Toc17016"/>
      <w:r>
        <w:rPr>
          <w:rFonts w:hint="eastAsia" w:ascii="方正小标宋_GBK" w:hAnsi="方正小标宋_GBK" w:eastAsia="方正小标宋_GBK" w:cs="方正小标宋_GBK"/>
          <w:b w:val="0"/>
          <w:bCs w:val="0"/>
          <w:kern w:val="44"/>
          <w:sz w:val="44"/>
          <w:szCs w:val="44"/>
          <w:lang w:val="en-US" w:eastAsia="zh-CN" w:bidi="ar-SA"/>
        </w:rPr>
        <w:t xml:space="preserve">第一部分 </w:t>
      </w:r>
      <w:r>
        <w:rPr>
          <w:rStyle w:val="32"/>
          <w:rFonts w:hint="eastAsia" w:ascii="方正小标宋_GBK" w:hAnsi="方正小标宋_GBK" w:eastAsia="方正小标宋_GBK" w:cs="方正小标宋_GBK"/>
          <w:b w:val="0"/>
          <w:bCs w:val="0"/>
          <w:sz w:val="44"/>
          <w:szCs w:val="44"/>
        </w:rPr>
        <w:t>部门概况</w:t>
      </w:r>
      <w:bookmarkEnd w:id="12"/>
      <w:bookmarkEnd w:id="13"/>
      <w:bookmarkEnd w:id="14"/>
    </w:p>
    <w:p w14:paraId="54478464">
      <w:pPr>
        <w:widowControl w:val="0"/>
        <w:numPr>
          <w:ilvl w:val="0"/>
          <w:numId w:val="0"/>
        </w:numPr>
        <w:jc w:val="both"/>
        <w:rPr>
          <w:rFonts w:hint="default" w:ascii="Times New Roman" w:hAnsi="Times New Roman" w:eastAsia="方正仿宋_GBK" w:cs="Times New Roman"/>
        </w:rPr>
      </w:pPr>
    </w:p>
    <w:p w14:paraId="3489FE7B">
      <w:pPr>
        <w:pStyle w:val="5"/>
        <w:spacing w:before="0" w:after="0" w:line="240" w:lineRule="auto"/>
        <w:ind w:firstLine="640" w:firstLineChars="200"/>
        <w:outlineLvl w:val="1"/>
        <w:rPr>
          <w:rStyle w:val="33"/>
          <w:rFonts w:hint="eastAsia" w:ascii="方正黑体_GBK" w:hAnsi="方正黑体_GBK" w:eastAsia="方正黑体_GBK" w:cs="方正黑体_GBK"/>
          <w:b w:val="0"/>
          <w:bCs w:val="0"/>
          <w:sz w:val="32"/>
          <w:szCs w:val="32"/>
        </w:rPr>
      </w:pPr>
      <w:bookmarkStart w:id="15" w:name="_Toc2022"/>
      <w:bookmarkStart w:id="16" w:name="_Toc15377197"/>
      <w:bookmarkStart w:id="17" w:name="_Toc15396600"/>
      <w:r>
        <w:rPr>
          <w:rFonts w:hint="eastAsia" w:ascii="方正黑体_GBK" w:hAnsi="方正黑体_GBK" w:eastAsia="方正黑体_GBK" w:cs="方正黑体_GBK"/>
          <w:b w:val="0"/>
          <w:bCs w:val="0"/>
          <w:sz w:val="32"/>
          <w:szCs w:val="32"/>
        </w:rPr>
        <w:t>一、基</w:t>
      </w:r>
      <w:r>
        <w:rPr>
          <w:rStyle w:val="33"/>
          <w:rFonts w:hint="eastAsia" w:ascii="方正黑体_GBK" w:hAnsi="方正黑体_GBK" w:eastAsia="方正黑体_GBK" w:cs="方正黑体_GBK"/>
          <w:b w:val="0"/>
          <w:bCs w:val="0"/>
          <w:sz w:val="32"/>
          <w:szCs w:val="32"/>
        </w:rPr>
        <w:t>本职能</w:t>
      </w:r>
      <w:bookmarkEnd w:id="15"/>
      <w:bookmarkEnd w:id="16"/>
      <w:bookmarkEnd w:id="17"/>
    </w:p>
    <w:p w14:paraId="186BC073">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Style w:val="44"/>
          <w:rFonts w:hint="default" w:ascii="Times New Roman" w:hAnsi="Times New Roman" w:eastAsia="方正仿宋_GBK" w:cs="Times New Roman"/>
          <w:sz w:val="32"/>
          <w:szCs w:val="32"/>
          <w:lang w:val="en-US" w:eastAsia="zh-CN"/>
        </w:rPr>
      </w:pPr>
      <w:bookmarkStart w:id="18" w:name="_Toc15377200"/>
      <w:bookmarkStart w:id="19" w:name="_Toc15396601"/>
      <w:r>
        <w:rPr>
          <w:rStyle w:val="44"/>
          <w:rFonts w:hint="default" w:ascii="Times New Roman" w:hAnsi="Times New Roman" w:eastAsia="方正仿宋_GBK" w:cs="Times New Roman"/>
          <w:color w:val="auto"/>
          <w:sz w:val="32"/>
          <w:szCs w:val="32"/>
          <w:lang w:val="en-US"/>
        </w:rPr>
        <w:t>壤塘县粮食和物资储备中心负责省、州、县储备粮管理，指导全县粮食储备体系建设；制定县级储备粮管理的技术规范并监督执行；监督检查州、县储备粮库存数量和质量；研究提出县级储备粮的收购、轮换、抛售计划，并组织实施。管理社会粮食流通，保障军队、城镇居民、救灾济粮和国家重点建设项目的粮食供应。负责全县粮食余缺调剂，组织和协调县内粮油调剂工作和对外经济技术合作交流。协助做好救灾物资储备规划、品种目录和标准、年度购置计划，负责州级救灾物资的收储、轮换和日常管理，根据动用指令按程序组织调拨</w:t>
      </w:r>
      <w:r>
        <w:rPr>
          <w:rStyle w:val="44"/>
          <w:rFonts w:hint="default" w:ascii="Times New Roman" w:hAnsi="Times New Roman" w:eastAsia="方正仿宋_GBK" w:cs="Times New Roman"/>
          <w:color w:val="auto"/>
          <w:sz w:val="32"/>
          <w:szCs w:val="32"/>
        </w:rPr>
        <w:t>。</w:t>
      </w:r>
    </w:p>
    <w:p w14:paraId="6C9CF2A6">
      <w:pPr>
        <w:pStyle w:val="5"/>
        <w:spacing w:before="0" w:after="0" w:line="240" w:lineRule="auto"/>
        <w:ind w:firstLine="640" w:firstLineChars="200"/>
        <w:outlineLvl w:val="1"/>
        <w:rPr>
          <w:rFonts w:hint="default" w:ascii="方正黑体_GBK" w:hAnsi="方正黑体_GBK" w:eastAsia="方正黑体_GBK" w:cs="方正黑体_GBK"/>
          <w:b w:val="0"/>
          <w:bCs w:val="0"/>
          <w:sz w:val="32"/>
          <w:szCs w:val="32"/>
        </w:rPr>
      </w:pPr>
      <w:bookmarkStart w:id="20" w:name="_Toc32122"/>
      <w:r>
        <w:rPr>
          <w:rFonts w:hint="default" w:ascii="方正黑体_GBK" w:hAnsi="方正黑体_GBK" w:eastAsia="方正黑体_GBK" w:cs="方正黑体_GBK"/>
          <w:b w:val="0"/>
          <w:bCs w:val="0"/>
          <w:sz w:val="32"/>
          <w:szCs w:val="32"/>
        </w:rPr>
        <w:t>二、机构设置</w:t>
      </w:r>
      <w:bookmarkEnd w:id="18"/>
      <w:bookmarkEnd w:id="19"/>
      <w:bookmarkEnd w:id="20"/>
    </w:p>
    <w:p w14:paraId="3C374FC9">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Style w:val="44"/>
          <w:rFonts w:hint="default" w:ascii="Times New Roman" w:hAnsi="Times New Roman" w:eastAsia="方正仿宋_GBK" w:cs="Times New Roman"/>
          <w:color w:val="auto"/>
          <w:sz w:val="32"/>
          <w:szCs w:val="32"/>
          <w:lang w:val="en-US"/>
        </w:rPr>
      </w:pPr>
      <w:r>
        <w:rPr>
          <w:rStyle w:val="44"/>
          <w:rFonts w:hint="default" w:ascii="Times New Roman" w:hAnsi="Times New Roman" w:eastAsia="方正仿宋_GBK" w:cs="Times New Roman"/>
          <w:color w:val="auto"/>
          <w:sz w:val="32"/>
          <w:szCs w:val="32"/>
          <w:lang w:val="zh-CN"/>
        </w:rPr>
        <w:t>壤塘县粮食和物资储备中心由办公室、业务股及财会统计股组成。</w:t>
      </w:r>
    </w:p>
    <w:p w14:paraId="44C150BB">
      <w:pPr>
        <w:widowControl/>
        <w:jc w:val="left"/>
        <w:rPr>
          <w:rFonts w:hint="default" w:ascii="Times New Roman" w:hAnsi="Times New Roman" w:eastAsia="方正仿宋_GBK" w:cs="Times New Roman"/>
          <w:color w:val="FF0000"/>
          <w:kern w:val="0"/>
          <w:sz w:val="32"/>
          <w:szCs w:val="32"/>
        </w:rPr>
      </w:pPr>
      <w:r>
        <w:rPr>
          <w:rFonts w:hint="default" w:ascii="Times New Roman" w:hAnsi="Times New Roman" w:eastAsia="方正仿宋_GBK" w:cs="Times New Roman"/>
          <w:color w:val="FF0000"/>
          <w:sz w:val="32"/>
          <w:szCs w:val="32"/>
        </w:rPr>
        <w:br w:type="page"/>
      </w:r>
    </w:p>
    <w:p w14:paraId="644517D8">
      <w:pPr>
        <w:pStyle w:val="4"/>
        <w:spacing w:before="0" w:after="0" w:line="240" w:lineRule="auto"/>
        <w:ind w:right="0"/>
        <w:jc w:val="center"/>
        <w:rPr>
          <w:rStyle w:val="32"/>
          <w:rFonts w:hint="eastAsia" w:ascii="方正小标宋_GBK" w:hAnsi="方正小标宋_GBK" w:eastAsia="方正小标宋_GBK" w:cs="方正小标宋_GBK"/>
          <w:b/>
          <w:bCs/>
          <w:sz w:val="44"/>
          <w:szCs w:val="44"/>
        </w:rPr>
      </w:pPr>
      <w:bookmarkStart w:id="21" w:name="_Toc25878"/>
      <w:bookmarkStart w:id="22" w:name="_Toc15396602"/>
      <w:bookmarkStart w:id="23" w:name="_Toc15377204"/>
      <w:r>
        <w:rPr>
          <w:rFonts w:hint="eastAsia" w:ascii="方正小标宋_GBK" w:hAnsi="方正小标宋_GBK" w:eastAsia="方正小标宋_GBK" w:cs="方正小标宋_GBK"/>
          <w:b/>
          <w:bCs/>
          <w:sz w:val="44"/>
          <w:szCs w:val="44"/>
        </w:rPr>
        <w:t>第二部分 202</w:t>
      </w:r>
      <w:r>
        <w:rPr>
          <w:rFonts w:hint="eastAsia" w:ascii="方正小标宋_GBK" w:hAnsi="方正小标宋_GBK" w:eastAsia="方正小标宋_GBK" w:cs="方正小标宋_GBK"/>
          <w:b/>
          <w:bCs/>
          <w:sz w:val="44"/>
          <w:szCs w:val="44"/>
          <w:lang w:val="en-US" w:eastAsia="zh-CN"/>
        </w:rPr>
        <w:t>2</w:t>
      </w:r>
      <w:r>
        <w:rPr>
          <w:rFonts w:hint="eastAsia" w:ascii="方正小标宋_GBK" w:hAnsi="方正小标宋_GBK" w:eastAsia="方正小标宋_GBK" w:cs="方正小标宋_GBK"/>
          <w:b/>
          <w:bCs/>
          <w:sz w:val="44"/>
          <w:szCs w:val="44"/>
        </w:rPr>
        <w:t>年度</w:t>
      </w:r>
      <w:r>
        <w:rPr>
          <w:rStyle w:val="32"/>
          <w:rFonts w:hint="eastAsia" w:ascii="方正小标宋_GBK" w:hAnsi="方正小标宋_GBK" w:eastAsia="方正小标宋_GBK" w:cs="方正小标宋_GBK"/>
          <w:b/>
          <w:bCs/>
          <w:sz w:val="44"/>
          <w:szCs w:val="44"/>
        </w:rPr>
        <w:t>部门决算情况说明</w:t>
      </w:r>
      <w:bookmarkEnd w:id="21"/>
      <w:bookmarkEnd w:id="22"/>
      <w:bookmarkEnd w:id="23"/>
    </w:p>
    <w:p w14:paraId="55D6053D">
      <w:pPr>
        <w:rPr>
          <w:rFonts w:hint="default" w:ascii="Times New Roman" w:hAnsi="Times New Roman" w:eastAsia="方正仿宋_GBK" w:cs="Times New Roman"/>
          <w:b/>
          <w:bCs/>
          <w:sz w:val="32"/>
          <w:szCs w:val="32"/>
        </w:rPr>
      </w:pPr>
    </w:p>
    <w:p w14:paraId="7A86B401">
      <w:pPr>
        <w:pStyle w:val="31"/>
        <w:numPr>
          <w:ilvl w:val="0"/>
          <w:numId w:val="0"/>
        </w:numPr>
        <w:spacing w:line="600" w:lineRule="exact"/>
        <w:ind w:left="1360" w:leftChars="0" w:hanging="720" w:firstLineChars="0"/>
        <w:outlineLvl w:val="1"/>
        <w:rPr>
          <w:rStyle w:val="33"/>
          <w:rFonts w:hint="eastAsia" w:ascii="方正黑体_GBK" w:hAnsi="方正黑体_GBK" w:eastAsia="方正黑体_GBK" w:cs="方正黑体_GBK"/>
          <w:b w:val="0"/>
          <w:bCs/>
          <w:sz w:val="32"/>
          <w:szCs w:val="32"/>
        </w:rPr>
      </w:pPr>
      <w:bookmarkStart w:id="24" w:name="_Toc15396603"/>
      <w:bookmarkStart w:id="25" w:name="_Toc15377205"/>
      <w:bookmarkStart w:id="26" w:name="_Toc18286"/>
      <w:r>
        <w:rPr>
          <w:rFonts w:hint="eastAsia" w:ascii="方正黑体_GBK" w:hAnsi="方正黑体_GBK" w:eastAsia="方正黑体_GBK" w:cs="方正黑体_GBK"/>
          <w:b w:val="0"/>
          <w:bCs/>
          <w:kern w:val="2"/>
          <w:sz w:val="32"/>
          <w:szCs w:val="32"/>
          <w:lang w:val="en-US" w:eastAsia="zh-CN" w:bidi="ar-SA"/>
        </w:rPr>
        <w:t>一、</w:t>
      </w:r>
      <w:r>
        <w:rPr>
          <w:rFonts w:hint="eastAsia" w:ascii="方正黑体_GBK" w:hAnsi="方正黑体_GBK" w:eastAsia="方正黑体_GBK" w:cs="方正黑体_GBK"/>
          <w:b w:val="0"/>
          <w:bCs/>
          <w:sz w:val="32"/>
          <w:szCs w:val="32"/>
        </w:rPr>
        <w:t>收</w:t>
      </w:r>
      <w:r>
        <w:rPr>
          <w:rStyle w:val="33"/>
          <w:rFonts w:hint="eastAsia" w:ascii="方正黑体_GBK" w:hAnsi="方正黑体_GBK" w:eastAsia="方正黑体_GBK" w:cs="方正黑体_GBK"/>
          <w:b w:val="0"/>
          <w:bCs/>
          <w:sz w:val="32"/>
          <w:szCs w:val="32"/>
        </w:rPr>
        <w:t>入支出决算总体情况说明</w:t>
      </w:r>
      <w:bookmarkEnd w:id="24"/>
      <w:bookmarkEnd w:id="25"/>
      <w:bookmarkEnd w:id="26"/>
    </w:p>
    <w:p w14:paraId="098AAEDB">
      <w:pPr>
        <w:spacing w:line="600" w:lineRule="exact"/>
        <w:ind w:firstLine="640" w:firstLineChars="200"/>
        <w:rPr>
          <w:rFonts w:hint="default" w:ascii="Times New Roman" w:hAnsi="Times New Roman" w:eastAsia="方正仿宋_GBK" w:cs="Times New Roman"/>
          <w:sz w:val="32"/>
          <w:szCs w:val="32"/>
          <w:lang w:val="en-US" w:eastAsia="zh-CN"/>
        </w:rPr>
      </w:pPr>
      <w:r>
        <w:rPr>
          <w:rStyle w:val="44"/>
          <w:rFonts w:hint="default" w:ascii="Times New Roman" w:hAnsi="Times New Roman" w:eastAsia="方正仿宋_GBK" w:cs="Times New Roman"/>
          <w:sz w:val="32"/>
          <w:szCs w:val="32"/>
          <w:lang w:val="en-US" w:eastAsia="zh-CN"/>
        </w:rPr>
        <w:t>2022年度收入、支出各总计466.58万元。与2021年相比，收、支总计各减少232.53万元，下降87.44%。主要变动</w:t>
      </w:r>
      <w:r>
        <w:rPr>
          <w:rStyle w:val="44"/>
          <w:rFonts w:hint="eastAsia" w:eastAsia="方正仿宋_GBK" w:cs="Times New Roman"/>
          <w:sz w:val="32"/>
          <w:szCs w:val="32"/>
          <w:lang w:val="en-US" w:eastAsia="zh-CN"/>
        </w:rPr>
        <w:t>原因</w:t>
      </w:r>
      <w:r>
        <w:rPr>
          <w:rStyle w:val="44"/>
          <w:rFonts w:hint="default" w:ascii="Times New Roman" w:hAnsi="Times New Roman" w:eastAsia="方正仿宋_GBK" w:cs="Times New Roman"/>
          <w:sz w:val="32"/>
          <w:szCs w:val="32"/>
          <w:lang w:val="en-US" w:eastAsia="zh-CN"/>
        </w:rPr>
        <w:t>项目较2021年减少，相应项目资金也减少。</w:t>
      </w:r>
    </w:p>
    <w:p w14:paraId="053033EC">
      <w:pPr>
        <w:pStyle w:val="24"/>
        <w:jc w:val="center"/>
        <w:rPr>
          <w:rFonts w:hint="default" w:ascii="Times New Roman" w:hAnsi="Times New Roman" w:eastAsia="方正仿宋_GBK" w:cs="Times New Roman"/>
          <w:lang w:val="en-US" w:eastAsia="zh-CN"/>
        </w:rPr>
      </w:pPr>
      <w:r>
        <w:rPr>
          <w:rFonts w:hint="default" w:ascii="Times New Roman" w:hAnsi="Times New Roman" w:eastAsia="方正仿宋_GBK" w:cs="Times New Roman"/>
          <w:lang w:val="en-US" w:eastAsia="zh-CN"/>
        </w:rPr>
        <w:drawing>
          <wp:inline distT="0" distB="0" distL="114300" distR="114300">
            <wp:extent cx="4079875" cy="2802890"/>
            <wp:effectExtent l="4445" t="4445" r="11430" b="1206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2F7FAB">
      <w:pPr>
        <w:spacing w:line="600" w:lineRule="exact"/>
        <w:jc w:val="center"/>
        <w:rPr>
          <w:rStyle w:val="44"/>
          <w:rFonts w:hint="default" w:ascii="Times New Roman" w:hAnsi="Times New Roman" w:eastAsia="方正仿宋_GBK" w:cs="Times New Roman"/>
          <w:sz w:val="28"/>
          <w:szCs w:val="28"/>
          <w:lang w:val="en-US" w:eastAsia="zh-CN"/>
        </w:rPr>
      </w:pPr>
      <w:r>
        <w:rPr>
          <w:rStyle w:val="44"/>
          <w:rFonts w:hint="eastAsia" w:eastAsia="方正仿宋_GBK" w:cs="Times New Roman"/>
          <w:sz w:val="28"/>
          <w:szCs w:val="28"/>
          <w:lang w:val="en-US" w:eastAsia="zh-CN"/>
        </w:rPr>
        <w:t>（</w:t>
      </w:r>
      <w:r>
        <w:rPr>
          <w:rStyle w:val="44"/>
          <w:rFonts w:hint="default" w:ascii="Times New Roman" w:hAnsi="Times New Roman" w:eastAsia="方正仿宋_GBK" w:cs="Times New Roman"/>
          <w:sz w:val="28"/>
          <w:szCs w:val="28"/>
          <w:lang w:val="en-US" w:eastAsia="zh-CN"/>
        </w:rPr>
        <w:t>图1：收、支决算总计变动情况图</w:t>
      </w:r>
      <w:r>
        <w:rPr>
          <w:rStyle w:val="44"/>
          <w:rFonts w:hint="eastAsia" w:eastAsia="方正仿宋_GBK" w:cs="Times New Roman"/>
          <w:sz w:val="28"/>
          <w:szCs w:val="28"/>
          <w:lang w:val="en-US" w:eastAsia="zh-CN"/>
        </w:rPr>
        <w:t>）（</w:t>
      </w:r>
      <w:r>
        <w:rPr>
          <w:rStyle w:val="44"/>
          <w:rFonts w:hint="default" w:ascii="Times New Roman" w:hAnsi="Times New Roman" w:eastAsia="方正仿宋_GBK" w:cs="Times New Roman"/>
          <w:sz w:val="28"/>
          <w:szCs w:val="28"/>
          <w:lang w:val="en-US" w:eastAsia="zh-CN"/>
        </w:rPr>
        <w:t>柱状图</w:t>
      </w:r>
      <w:r>
        <w:rPr>
          <w:rStyle w:val="44"/>
          <w:rFonts w:hint="eastAsia" w:eastAsia="方正仿宋_GBK" w:cs="Times New Roman"/>
          <w:sz w:val="28"/>
          <w:szCs w:val="28"/>
          <w:lang w:val="en-US" w:eastAsia="zh-CN"/>
        </w:rPr>
        <w:t>）</w:t>
      </w:r>
    </w:p>
    <w:p w14:paraId="3B8414CF">
      <w:pPr>
        <w:pStyle w:val="31"/>
        <w:numPr>
          <w:ilvl w:val="0"/>
          <w:numId w:val="0"/>
        </w:numPr>
        <w:spacing w:line="600" w:lineRule="exact"/>
        <w:ind w:left="1360" w:leftChars="0" w:hanging="720" w:firstLineChars="0"/>
        <w:outlineLvl w:val="1"/>
        <w:rPr>
          <w:rFonts w:hint="default" w:ascii="方正黑体_GBK" w:hAnsi="方正黑体_GBK" w:eastAsia="方正黑体_GBK" w:cs="方正黑体_GBK"/>
          <w:b w:val="0"/>
          <w:bCs/>
          <w:kern w:val="2"/>
          <w:sz w:val="32"/>
          <w:szCs w:val="32"/>
          <w:lang w:val="en-US" w:eastAsia="zh-CN" w:bidi="ar-SA"/>
        </w:rPr>
      </w:pPr>
      <w:bookmarkStart w:id="27" w:name="_Toc15396604"/>
      <w:bookmarkStart w:id="28" w:name="_Toc15954"/>
      <w:bookmarkStart w:id="29" w:name="_Toc15377206"/>
      <w:r>
        <w:rPr>
          <w:rFonts w:hint="default" w:ascii="方正黑体_GBK" w:hAnsi="方正黑体_GBK" w:eastAsia="方正黑体_GBK" w:cs="方正黑体_GBK"/>
          <w:b w:val="0"/>
          <w:bCs/>
          <w:kern w:val="2"/>
          <w:sz w:val="32"/>
          <w:szCs w:val="32"/>
          <w:lang w:val="en-US" w:eastAsia="zh-CN" w:bidi="ar-SA"/>
        </w:rPr>
        <w:t>二、收入决算情况说明</w:t>
      </w:r>
      <w:bookmarkEnd w:id="27"/>
      <w:bookmarkEnd w:id="28"/>
      <w:bookmarkEnd w:id="29"/>
    </w:p>
    <w:p w14:paraId="13EA3A3F">
      <w:pPr>
        <w:spacing w:line="600" w:lineRule="exact"/>
        <w:ind w:firstLine="640" w:firstLineChars="200"/>
        <w:rPr>
          <w:rStyle w:val="44"/>
          <w:rFonts w:hint="default" w:ascii="Times New Roman" w:hAnsi="Times New Roman" w:eastAsia="方正仿宋_GBK" w:cs="Times New Roman"/>
          <w:sz w:val="32"/>
          <w:szCs w:val="32"/>
          <w:lang w:val="en-US" w:eastAsia="zh-CN"/>
        </w:rPr>
      </w:pPr>
      <w:bookmarkStart w:id="30" w:name="_Toc13887"/>
      <w:bookmarkStart w:id="31" w:name="_Toc5986"/>
      <w:r>
        <w:rPr>
          <w:rStyle w:val="44"/>
          <w:rFonts w:hint="default" w:ascii="Times New Roman" w:hAnsi="Times New Roman" w:eastAsia="方正仿宋_GBK" w:cs="Times New Roman"/>
          <w:sz w:val="32"/>
          <w:szCs w:val="32"/>
          <w:lang w:val="en-US" w:eastAsia="zh-CN"/>
        </w:rPr>
        <w:t>2022年本年收入合计466.58万元，其中：一般公共预算财政拨款收入234.05万元，占50.16%；政府性基金预算财政拨款收入0万元，占0%；国有资本经营预算财政拨款收入0万元，占0%；上级补助收入0万元，占0%；事业收入0万元，占0%；经营收入0万元，占0%；附属单位上缴收入0万元，占0%；其他收入0万元，占0%</w:t>
      </w:r>
      <w:bookmarkEnd w:id="30"/>
      <w:bookmarkEnd w:id="31"/>
      <w:r>
        <w:rPr>
          <w:rStyle w:val="44"/>
          <w:rFonts w:hint="default" w:ascii="Times New Roman" w:hAnsi="Times New Roman" w:eastAsia="方正仿宋_GBK" w:cs="Times New Roman"/>
          <w:sz w:val="32"/>
          <w:szCs w:val="32"/>
          <w:lang w:val="en-US" w:eastAsia="zh-CN"/>
        </w:rPr>
        <w:t>；年初结转和结余232.53万元，占49.84%。</w:t>
      </w:r>
    </w:p>
    <w:p w14:paraId="7D6E02DF">
      <w:pPr>
        <w:pStyle w:val="24"/>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lang w:eastAsia="zh-CN"/>
        </w:rPr>
        <w:drawing>
          <wp:inline distT="0" distB="0" distL="114300" distR="114300">
            <wp:extent cx="3950335" cy="2858135"/>
            <wp:effectExtent l="4445" t="4445" r="7620" b="1397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5D728C">
      <w:pPr>
        <w:spacing w:line="600" w:lineRule="exact"/>
        <w:jc w:val="center"/>
        <w:rPr>
          <w:rFonts w:hint="eastAsia" w:ascii="Times New Roman" w:hAnsi="Times New Roman" w:eastAsia="方正仿宋_GBK" w:cs="Times New Roman"/>
          <w:b w:val="0"/>
          <w:bCs w:val="0"/>
          <w:sz w:val="28"/>
          <w:szCs w:val="28"/>
          <w:lang w:eastAsia="zh-CN"/>
        </w:rPr>
      </w:pPr>
      <w:r>
        <w:rPr>
          <w:rFonts w:hint="eastAsia"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图2：收入决算结构图</w:t>
      </w:r>
      <w:r>
        <w:rPr>
          <w:rFonts w:hint="eastAsia"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饼状图</w:t>
      </w:r>
      <w:r>
        <w:rPr>
          <w:rFonts w:hint="eastAsia" w:eastAsia="方正仿宋_GBK" w:cs="Times New Roman"/>
          <w:b w:val="0"/>
          <w:bCs w:val="0"/>
          <w:sz w:val="28"/>
          <w:szCs w:val="28"/>
          <w:lang w:eastAsia="zh-CN"/>
        </w:rPr>
        <w:t>）</w:t>
      </w:r>
    </w:p>
    <w:p w14:paraId="422FA016">
      <w:pPr>
        <w:pStyle w:val="31"/>
        <w:numPr>
          <w:ilvl w:val="0"/>
          <w:numId w:val="0"/>
        </w:numPr>
        <w:spacing w:line="600" w:lineRule="exact"/>
        <w:ind w:left="1360" w:leftChars="0" w:hanging="720" w:firstLineChars="0"/>
        <w:outlineLvl w:val="1"/>
        <w:rPr>
          <w:rFonts w:hint="default" w:ascii="方正黑体_GBK" w:hAnsi="方正黑体_GBK" w:eastAsia="方正黑体_GBK" w:cs="方正黑体_GBK"/>
          <w:b w:val="0"/>
          <w:bCs/>
          <w:kern w:val="2"/>
          <w:sz w:val="32"/>
          <w:szCs w:val="32"/>
          <w:lang w:val="en-US" w:eastAsia="zh-CN" w:bidi="ar-SA"/>
        </w:rPr>
      </w:pPr>
      <w:bookmarkStart w:id="32" w:name="_Toc15377207"/>
      <w:bookmarkStart w:id="33" w:name="_Toc910"/>
      <w:bookmarkStart w:id="34" w:name="_Toc15396605"/>
      <w:r>
        <w:rPr>
          <w:rFonts w:hint="default" w:ascii="方正黑体_GBK" w:hAnsi="方正黑体_GBK" w:eastAsia="方正黑体_GBK" w:cs="方正黑体_GBK"/>
          <w:b w:val="0"/>
          <w:bCs/>
          <w:kern w:val="2"/>
          <w:sz w:val="32"/>
          <w:szCs w:val="32"/>
          <w:lang w:val="en-US" w:eastAsia="zh-CN" w:bidi="ar-SA"/>
        </w:rPr>
        <w:t>三、支出决算情况说明</w:t>
      </w:r>
      <w:bookmarkEnd w:id="32"/>
      <w:bookmarkEnd w:id="33"/>
      <w:bookmarkEnd w:id="34"/>
    </w:p>
    <w:p w14:paraId="369DD480">
      <w:pPr>
        <w:spacing w:line="600" w:lineRule="exact"/>
        <w:ind w:firstLine="640" w:firstLineChars="200"/>
        <w:rPr>
          <w:rStyle w:val="44"/>
          <w:rFonts w:hint="default" w:ascii="Times New Roman" w:hAnsi="Times New Roman" w:eastAsia="方正仿宋_GBK" w:cs="Times New Roman"/>
          <w:sz w:val="32"/>
          <w:szCs w:val="32"/>
          <w:lang w:val="en-US" w:eastAsia="zh-CN"/>
        </w:rPr>
      </w:pPr>
      <w:bookmarkStart w:id="35" w:name="_Toc25808"/>
      <w:bookmarkStart w:id="36" w:name="_Toc20789"/>
      <w:r>
        <w:rPr>
          <w:rStyle w:val="44"/>
          <w:rFonts w:hint="default" w:ascii="Times New Roman" w:hAnsi="Times New Roman" w:eastAsia="方正仿宋_GBK" w:cs="Times New Roman"/>
          <w:sz w:val="32"/>
          <w:szCs w:val="32"/>
          <w:lang w:val="en-US" w:eastAsia="zh-CN"/>
        </w:rPr>
        <w:t>2022年本年支出合计466.58万元，其中：基本支出206.24万元，占44.2%；项目支出260.34万元，占55.8%；上缴上级支出0万元，占0%；经营支出0万元，占0%；对附属单位补助支出0万元，占0%。</w:t>
      </w:r>
      <w:bookmarkEnd w:id="35"/>
      <w:bookmarkEnd w:id="36"/>
    </w:p>
    <w:p w14:paraId="1964B1B5">
      <w:pPr>
        <w:pStyle w:val="24"/>
        <w:jc w:val="center"/>
        <w:rPr>
          <w:rFonts w:hint="default" w:ascii="Times New Roman" w:hAnsi="Times New Roman" w:eastAsia="方正仿宋_GBK" w:cs="Times New Roman"/>
          <w:sz w:val="32"/>
          <w:szCs w:val="32"/>
          <w:shd w:val="pct10" w:color="auto" w:fill="FFFFFF"/>
          <w:lang w:eastAsia="zh-CN"/>
        </w:rPr>
      </w:pPr>
      <w:r>
        <w:rPr>
          <w:rFonts w:hint="default" w:ascii="Times New Roman" w:hAnsi="Times New Roman" w:eastAsia="方正仿宋_GBK" w:cs="Times New Roman"/>
          <w:sz w:val="32"/>
          <w:szCs w:val="32"/>
          <w:shd w:val="pct10" w:color="auto" w:fill="FFFFFF"/>
          <w:lang w:eastAsia="zh-CN"/>
        </w:rPr>
        <w:drawing>
          <wp:inline distT="0" distB="0" distL="114300" distR="114300">
            <wp:extent cx="4127500" cy="2707640"/>
            <wp:effectExtent l="4445" t="5080" r="20955" b="1143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8C1DE3C">
      <w:pPr>
        <w:spacing w:line="600" w:lineRule="exact"/>
        <w:jc w:val="center"/>
        <w:rPr>
          <w:rFonts w:hint="eastAsia" w:ascii="Times New Roman" w:hAnsi="Times New Roman" w:eastAsia="方正仿宋_GBK" w:cs="Times New Roman"/>
          <w:b w:val="0"/>
          <w:bCs w:val="0"/>
          <w:sz w:val="28"/>
          <w:szCs w:val="28"/>
          <w:lang w:eastAsia="zh-CN"/>
        </w:rPr>
      </w:pPr>
      <w:r>
        <w:rPr>
          <w:rFonts w:hint="eastAsia"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图3：支出决算结构图</w:t>
      </w:r>
      <w:r>
        <w:rPr>
          <w:rFonts w:hint="eastAsia"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饼状图</w:t>
      </w:r>
      <w:r>
        <w:rPr>
          <w:rFonts w:hint="eastAsia" w:eastAsia="方正仿宋_GBK" w:cs="Times New Roman"/>
          <w:b w:val="0"/>
          <w:bCs w:val="0"/>
          <w:sz w:val="28"/>
          <w:szCs w:val="28"/>
          <w:lang w:eastAsia="zh-CN"/>
        </w:rPr>
        <w:t>）</w:t>
      </w:r>
    </w:p>
    <w:p w14:paraId="74A41995">
      <w:pPr>
        <w:pStyle w:val="31"/>
        <w:numPr>
          <w:ilvl w:val="0"/>
          <w:numId w:val="0"/>
        </w:numPr>
        <w:spacing w:line="600" w:lineRule="exact"/>
        <w:ind w:left="1360" w:leftChars="0" w:hanging="720" w:firstLineChars="0"/>
        <w:outlineLvl w:val="1"/>
        <w:rPr>
          <w:rFonts w:hint="default" w:ascii="方正黑体_GBK" w:hAnsi="方正黑体_GBK" w:eastAsia="方正黑体_GBK" w:cs="方正黑体_GBK"/>
          <w:b w:val="0"/>
          <w:bCs/>
          <w:kern w:val="2"/>
          <w:sz w:val="32"/>
          <w:szCs w:val="32"/>
          <w:lang w:val="en-US" w:eastAsia="zh-CN" w:bidi="ar-SA"/>
        </w:rPr>
      </w:pPr>
      <w:bookmarkStart w:id="37" w:name="_Toc15396606"/>
      <w:bookmarkStart w:id="38" w:name="_Toc27408"/>
      <w:bookmarkStart w:id="39" w:name="_Toc15377208"/>
      <w:r>
        <w:rPr>
          <w:rFonts w:hint="default" w:ascii="方正黑体_GBK" w:hAnsi="方正黑体_GBK" w:eastAsia="方正黑体_GBK" w:cs="方正黑体_GBK"/>
          <w:b w:val="0"/>
          <w:bCs/>
          <w:kern w:val="2"/>
          <w:sz w:val="32"/>
          <w:szCs w:val="32"/>
          <w:lang w:val="en-US" w:eastAsia="zh-CN" w:bidi="ar-SA"/>
        </w:rPr>
        <w:t>四、财政拨款收入支出决算总体情况说明</w:t>
      </w:r>
      <w:bookmarkEnd w:id="37"/>
      <w:bookmarkEnd w:id="38"/>
      <w:bookmarkEnd w:id="39"/>
    </w:p>
    <w:p w14:paraId="364F3E43">
      <w:pPr>
        <w:spacing w:line="600" w:lineRule="exact"/>
        <w:ind w:firstLine="640"/>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年财政拨款收、支总计</w:t>
      </w:r>
      <w:r>
        <w:rPr>
          <w:rFonts w:hint="default" w:ascii="Times New Roman" w:hAnsi="Times New Roman" w:eastAsia="方正仿宋_GBK" w:cs="Times New Roman"/>
          <w:sz w:val="32"/>
          <w:szCs w:val="32"/>
          <w:lang w:val="en-US" w:eastAsia="zh-CN"/>
        </w:rPr>
        <w:t>466.58</w:t>
      </w:r>
      <w:r>
        <w:rPr>
          <w:rFonts w:hint="default" w:ascii="Times New Roman" w:hAnsi="Times New Roman" w:eastAsia="方正仿宋_GBK" w:cs="Times New Roman"/>
          <w:sz w:val="32"/>
          <w:szCs w:val="32"/>
        </w:rPr>
        <w:t>万元。与202</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年相比，财政拨款收、</w:t>
      </w:r>
      <w:r>
        <w:rPr>
          <w:rFonts w:hint="default" w:ascii="Times New Roman" w:hAnsi="Times New Roman" w:eastAsia="方正仿宋_GBK" w:cs="Times New Roman"/>
          <w:sz w:val="32"/>
          <w:szCs w:val="32"/>
          <w:highlight w:val="none"/>
        </w:rPr>
        <w:t>支总计各</w:t>
      </w:r>
      <w:r>
        <w:rPr>
          <w:rStyle w:val="44"/>
          <w:rFonts w:hint="default" w:ascii="Times New Roman" w:hAnsi="Times New Roman" w:eastAsia="方正仿宋_GBK" w:cs="Times New Roman"/>
          <w:sz w:val="32"/>
          <w:szCs w:val="32"/>
          <w:lang w:val="en-US" w:eastAsia="zh-CN"/>
        </w:rPr>
        <w:t>减少</w:t>
      </w:r>
      <w:r>
        <w:rPr>
          <w:rFonts w:hint="default" w:ascii="Times New Roman" w:hAnsi="Times New Roman" w:eastAsia="方正仿宋_GBK" w:cs="Times New Roman"/>
          <w:sz w:val="32"/>
          <w:szCs w:val="32"/>
          <w:highlight w:val="none"/>
          <w:lang w:val="en-US" w:eastAsia="zh-CN"/>
        </w:rPr>
        <w:t>407.97</w:t>
      </w:r>
      <w:r>
        <w:rPr>
          <w:rFonts w:hint="default" w:ascii="Times New Roman" w:hAnsi="Times New Roman" w:eastAsia="方正仿宋_GBK" w:cs="Times New Roman"/>
          <w:sz w:val="32"/>
          <w:szCs w:val="32"/>
          <w:highlight w:val="none"/>
        </w:rPr>
        <w:t>万元，</w:t>
      </w:r>
      <w:r>
        <w:rPr>
          <w:rFonts w:hint="default" w:ascii="Times New Roman" w:hAnsi="Times New Roman" w:eastAsia="方正仿宋_GBK" w:cs="Times New Roman"/>
          <w:sz w:val="32"/>
          <w:szCs w:val="32"/>
          <w:highlight w:val="none"/>
          <w:lang w:val="en-US" w:eastAsia="zh-CN"/>
        </w:rPr>
        <w:t>下降87.44</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rPr>
        <w:t>主要变动</w:t>
      </w:r>
      <w:r>
        <w:rPr>
          <w:rFonts w:hint="eastAsia" w:eastAsia="方正仿宋_GBK" w:cs="Times New Roman"/>
          <w:sz w:val="32"/>
          <w:szCs w:val="32"/>
          <w:lang w:eastAsia="zh-CN"/>
        </w:rPr>
        <w:t>原因</w:t>
      </w:r>
      <w:r>
        <w:rPr>
          <w:rFonts w:hint="default" w:ascii="Times New Roman" w:hAnsi="Times New Roman" w:eastAsia="方正仿宋_GBK" w:cs="Times New Roman"/>
          <w:sz w:val="32"/>
          <w:szCs w:val="32"/>
          <w:lang w:eastAsia="zh-CN"/>
        </w:rPr>
        <w:t>项目</w:t>
      </w:r>
      <w:r>
        <w:rPr>
          <w:rStyle w:val="44"/>
          <w:rFonts w:hint="default" w:ascii="Times New Roman" w:hAnsi="Times New Roman" w:eastAsia="方正仿宋_GBK" w:cs="Times New Roman"/>
          <w:sz w:val="32"/>
          <w:szCs w:val="32"/>
          <w:lang w:val="en-US" w:eastAsia="zh-CN"/>
        </w:rPr>
        <w:t>减少</w:t>
      </w:r>
      <w:r>
        <w:rPr>
          <w:rFonts w:hint="default" w:ascii="Times New Roman" w:hAnsi="Times New Roman" w:eastAsia="方正仿宋_GBK" w:cs="Times New Roman"/>
          <w:sz w:val="32"/>
          <w:szCs w:val="32"/>
          <w:lang w:eastAsia="zh-CN"/>
        </w:rPr>
        <w:t>，相应的项目资金</w:t>
      </w:r>
      <w:r>
        <w:rPr>
          <w:rStyle w:val="44"/>
          <w:rFonts w:hint="default" w:ascii="Times New Roman" w:hAnsi="Times New Roman" w:eastAsia="方正仿宋_GBK" w:cs="Times New Roman"/>
          <w:sz w:val="32"/>
          <w:szCs w:val="32"/>
          <w:lang w:val="en-US" w:eastAsia="zh-CN"/>
        </w:rPr>
        <w:t>减少</w:t>
      </w:r>
      <w:r>
        <w:rPr>
          <w:rFonts w:hint="default" w:ascii="Times New Roman" w:hAnsi="Times New Roman" w:eastAsia="方正仿宋_GBK" w:cs="Times New Roman"/>
          <w:sz w:val="32"/>
          <w:szCs w:val="32"/>
          <w:lang w:eastAsia="zh-CN"/>
        </w:rPr>
        <w:t>。</w:t>
      </w:r>
    </w:p>
    <w:p w14:paraId="0912C993">
      <w:pPr>
        <w:pStyle w:val="24"/>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lang w:eastAsia="zh-CN"/>
        </w:rPr>
        <w:drawing>
          <wp:inline distT="0" distB="0" distL="114300" distR="114300">
            <wp:extent cx="4420235" cy="2749550"/>
            <wp:effectExtent l="4445" t="4445" r="13970" b="825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906FE02">
      <w:pPr>
        <w:spacing w:line="600" w:lineRule="exact"/>
        <w:jc w:val="center"/>
        <w:rPr>
          <w:rFonts w:hint="eastAsia" w:ascii="Times New Roman" w:hAnsi="Times New Roman" w:eastAsia="方正仿宋_GBK" w:cs="Times New Roman"/>
          <w:b w:val="0"/>
          <w:bCs w:val="0"/>
          <w:sz w:val="28"/>
          <w:szCs w:val="28"/>
          <w:lang w:eastAsia="zh-CN"/>
        </w:rPr>
      </w:pPr>
      <w:r>
        <w:rPr>
          <w:rFonts w:hint="eastAsia"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图4：财政拨款收、支决算总计变动情况</w:t>
      </w:r>
      <w:r>
        <w:rPr>
          <w:rFonts w:hint="eastAsia"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柱状图</w:t>
      </w:r>
      <w:r>
        <w:rPr>
          <w:rFonts w:hint="eastAsia" w:eastAsia="方正仿宋_GBK" w:cs="Times New Roman"/>
          <w:b w:val="0"/>
          <w:bCs w:val="0"/>
          <w:sz w:val="28"/>
          <w:szCs w:val="28"/>
          <w:lang w:eastAsia="zh-CN"/>
        </w:rPr>
        <w:t>）</w:t>
      </w:r>
    </w:p>
    <w:p w14:paraId="5FC4C636">
      <w:pPr>
        <w:pStyle w:val="31"/>
        <w:numPr>
          <w:ilvl w:val="0"/>
          <w:numId w:val="0"/>
        </w:numPr>
        <w:spacing w:line="600" w:lineRule="exact"/>
        <w:ind w:left="1360" w:leftChars="0" w:hanging="720" w:firstLineChars="0"/>
        <w:outlineLvl w:val="1"/>
        <w:rPr>
          <w:rFonts w:hint="default" w:ascii="方正黑体_GBK" w:hAnsi="方正黑体_GBK" w:eastAsia="方正黑体_GBK" w:cs="方正黑体_GBK"/>
          <w:b w:val="0"/>
          <w:bCs/>
          <w:kern w:val="2"/>
          <w:sz w:val="32"/>
          <w:szCs w:val="32"/>
          <w:lang w:val="en-US" w:eastAsia="zh-CN" w:bidi="ar-SA"/>
        </w:rPr>
      </w:pPr>
      <w:bookmarkStart w:id="40" w:name="_Toc12312"/>
      <w:bookmarkStart w:id="41" w:name="_Toc15377209"/>
      <w:bookmarkStart w:id="42" w:name="_Toc15396607"/>
      <w:r>
        <w:rPr>
          <w:rFonts w:hint="default" w:ascii="方正黑体_GBK" w:hAnsi="方正黑体_GBK" w:eastAsia="方正黑体_GBK" w:cs="方正黑体_GBK"/>
          <w:b w:val="0"/>
          <w:bCs/>
          <w:kern w:val="2"/>
          <w:sz w:val="32"/>
          <w:szCs w:val="32"/>
          <w:lang w:val="en-US" w:eastAsia="zh-CN" w:bidi="ar-SA"/>
        </w:rPr>
        <w:t>五、一般公共预算财政拨款支出决算情况说明</w:t>
      </w:r>
      <w:bookmarkEnd w:id="40"/>
      <w:bookmarkEnd w:id="41"/>
      <w:bookmarkEnd w:id="42"/>
    </w:p>
    <w:p w14:paraId="43C481FF">
      <w:pPr>
        <w:spacing w:line="600" w:lineRule="exact"/>
        <w:ind w:firstLine="643" w:firstLineChars="200"/>
        <w:outlineLvl w:val="2"/>
        <w:rPr>
          <w:rFonts w:hint="eastAsia" w:ascii="方正楷体_GBK" w:hAnsi="方正楷体_GBK" w:eastAsia="方正楷体_GBK" w:cs="方正楷体_GBK"/>
          <w:b/>
          <w:bCs/>
          <w:sz w:val="32"/>
          <w:szCs w:val="32"/>
        </w:rPr>
      </w:pPr>
      <w:bookmarkStart w:id="43" w:name="_Toc15377210"/>
      <w:r>
        <w:rPr>
          <w:rFonts w:hint="eastAsia" w:ascii="方正楷体_GBK" w:hAnsi="方正楷体_GBK" w:eastAsia="方正楷体_GBK" w:cs="方正楷体_GBK"/>
          <w:b/>
          <w:bCs/>
          <w:sz w:val="32"/>
          <w:szCs w:val="32"/>
          <w:lang w:eastAsia="zh-CN"/>
        </w:rPr>
        <w:t>（</w:t>
      </w:r>
      <w:r>
        <w:rPr>
          <w:rFonts w:hint="eastAsia" w:ascii="方正楷体_GBK" w:hAnsi="方正楷体_GBK" w:eastAsia="方正楷体_GBK" w:cs="方正楷体_GBK"/>
          <w:b/>
          <w:bCs/>
          <w:sz w:val="32"/>
          <w:szCs w:val="32"/>
        </w:rPr>
        <w:t>一</w:t>
      </w:r>
      <w:r>
        <w:rPr>
          <w:rFonts w:hint="eastAsia" w:ascii="方正楷体_GBK" w:hAnsi="方正楷体_GBK" w:eastAsia="方正楷体_GBK" w:cs="方正楷体_GBK"/>
          <w:b/>
          <w:bCs/>
          <w:sz w:val="32"/>
          <w:szCs w:val="32"/>
          <w:lang w:eastAsia="zh-CN"/>
        </w:rPr>
        <w:t>）</w:t>
      </w:r>
      <w:r>
        <w:rPr>
          <w:rFonts w:hint="eastAsia" w:ascii="方正楷体_GBK" w:hAnsi="方正楷体_GBK" w:eastAsia="方正楷体_GBK" w:cs="方正楷体_GBK"/>
          <w:b/>
          <w:bCs/>
          <w:sz w:val="32"/>
          <w:szCs w:val="32"/>
        </w:rPr>
        <w:t>一般公共预算财政拨款支出决算总体情况</w:t>
      </w:r>
      <w:bookmarkEnd w:id="43"/>
    </w:p>
    <w:p w14:paraId="156F42DC">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年一般公共预算财政拨款支出</w:t>
      </w:r>
      <w:r>
        <w:rPr>
          <w:rFonts w:hint="default" w:ascii="Times New Roman" w:hAnsi="Times New Roman" w:eastAsia="方正仿宋_GBK" w:cs="Times New Roman"/>
          <w:sz w:val="32"/>
          <w:szCs w:val="32"/>
          <w:lang w:val="en-US" w:eastAsia="zh-CN"/>
        </w:rPr>
        <w:t>466.58</w:t>
      </w:r>
      <w:r>
        <w:rPr>
          <w:rFonts w:hint="default" w:ascii="Times New Roman" w:hAnsi="Times New Roman" w:eastAsia="方正仿宋_GBK" w:cs="Times New Roman"/>
          <w:sz w:val="32"/>
          <w:szCs w:val="32"/>
        </w:rPr>
        <w:t>万元，占本年支出合计的</w:t>
      </w:r>
      <w:r>
        <w:rPr>
          <w:rFonts w:hint="default" w:ascii="Times New Roman" w:hAnsi="Times New Roman" w:eastAsia="方正仿宋_GBK" w:cs="Times New Roman"/>
          <w:sz w:val="32"/>
          <w:szCs w:val="32"/>
          <w:highlight w:val="none"/>
          <w:lang w:val="en-US" w:eastAsia="zh-CN"/>
        </w:rPr>
        <w:t>79.65</w:t>
      </w:r>
      <w:r>
        <w:rPr>
          <w:rFonts w:hint="default" w:ascii="Times New Roman" w:hAnsi="Times New Roman" w:eastAsia="方正仿宋_GBK" w:cs="Times New Roman"/>
          <w:sz w:val="32"/>
          <w:szCs w:val="32"/>
          <w:highlight w:val="none"/>
        </w:rPr>
        <w:t>%。与202</w:t>
      </w: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年相比，一般公共预算财政拨款支出</w:t>
      </w:r>
      <w:r>
        <w:rPr>
          <w:rStyle w:val="44"/>
          <w:rFonts w:hint="default" w:ascii="Times New Roman" w:hAnsi="Times New Roman" w:eastAsia="方正仿宋_GBK" w:cs="Times New Roman"/>
          <w:sz w:val="32"/>
          <w:szCs w:val="32"/>
          <w:lang w:val="en-US" w:eastAsia="zh-CN"/>
        </w:rPr>
        <w:t>减少</w:t>
      </w:r>
      <w:r>
        <w:rPr>
          <w:rFonts w:hint="default" w:ascii="Times New Roman" w:hAnsi="Times New Roman" w:eastAsia="方正仿宋_GBK" w:cs="Times New Roman"/>
          <w:sz w:val="32"/>
          <w:szCs w:val="32"/>
          <w:highlight w:val="none"/>
          <w:lang w:val="en-US" w:eastAsia="zh-CN"/>
        </w:rPr>
        <w:t>874.55</w:t>
      </w:r>
      <w:r>
        <w:rPr>
          <w:rFonts w:hint="default" w:ascii="Times New Roman" w:hAnsi="Times New Roman" w:eastAsia="方正仿宋_GBK" w:cs="Times New Roman"/>
          <w:sz w:val="32"/>
          <w:szCs w:val="32"/>
          <w:highlight w:val="none"/>
        </w:rPr>
        <w:t>万元，下降</w:t>
      </w:r>
      <w:r>
        <w:rPr>
          <w:rFonts w:hint="default" w:ascii="Times New Roman" w:hAnsi="Times New Roman" w:eastAsia="方正仿宋_GBK" w:cs="Times New Roman"/>
          <w:sz w:val="32"/>
          <w:szCs w:val="32"/>
          <w:highlight w:val="none"/>
          <w:lang w:val="en-US" w:eastAsia="zh-CN"/>
        </w:rPr>
        <w:t>87.44</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rPr>
        <w:t>主要变动</w:t>
      </w:r>
      <w:r>
        <w:rPr>
          <w:rFonts w:hint="eastAsia" w:eastAsia="方正仿宋_GBK" w:cs="Times New Roman"/>
          <w:sz w:val="32"/>
          <w:szCs w:val="32"/>
          <w:lang w:eastAsia="zh-CN"/>
        </w:rPr>
        <w:t>原因</w:t>
      </w:r>
      <w:r>
        <w:rPr>
          <w:rFonts w:hint="default" w:ascii="Times New Roman" w:hAnsi="Times New Roman" w:eastAsia="方正仿宋_GBK" w:cs="Times New Roman"/>
          <w:sz w:val="32"/>
          <w:szCs w:val="32"/>
          <w:lang w:eastAsia="zh-CN"/>
        </w:rPr>
        <w:t>项目</w:t>
      </w:r>
      <w:r>
        <w:rPr>
          <w:rStyle w:val="44"/>
          <w:rFonts w:hint="default" w:ascii="Times New Roman" w:hAnsi="Times New Roman" w:eastAsia="方正仿宋_GBK" w:cs="Times New Roman"/>
          <w:sz w:val="32"/>
          <w:szCs w:val="32"/>
          <w:lang w:val="en-US" w:eastAsia="zh-CN"/>
        </w:rPr>
        <w:t>减少</w:t>
      </w:r>
      <w:r>
        <w:rPr>
          <w:rFonts w:hint="default" w:ascii="Times New Roman" w:hAnsi="Times New Roman" w:eastAsia="方正仿宋_GBK" w:cs="Times New Roman"/>
          <w:sz w:val="32"/>
          <w:szCs w:val="32"/>
          <w:lang w:eastAsia="zh-CN"/>
        </w:rPr>
        <w:t>，相应的项目资金</w:t>
      </w:r>
      <w:r>
        <w:rPr>
          <w:rStyle w:val="44"/>
          <w:rFonts w:hint="default" w:ascii="Times New Roman" w:hAnsi="Times New Roman" w:eastAsia="方正仿宋_GBK" w:cs="Times New Roman"/>
          <w:sz w:val="32"/>
          <w:szCs w:val="32"/>
          <w:lang w:val="en-US" w:eastAsia="zh-CN"/>
        </w:rPr>
        <w:t>减少</w:t>
      </w:r>
      <w:r>
        <w:rPr>
          <w:rFonts w:hint="default" w:ascii="Times New Roman" w:hAnsi="Times New Roman" w:eastAsia="方正仿宋_GBK" w:cs="Times New Roman"/>
          <w:sz w:val="32"/>
          <w:szCs w:val="32"/>
          <w:lang w:eastAsia="zh-CN"/>
        </w:rPr>
        <w:t>。</w:t>
      </w:r>
    </w:p>
    <w:p w14:paraId="010E87FD">
      <w:pPr>
        <w:pStyle w:val="24"/>
        <w:jc w:val="center"/>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drawing>
          <wp:inline distT="0" distB="0" distL="114300" distR="114300">
            <wp:extent cx="3943985" cy="2680970"/>
            <wp:effectExtent l="4445" t="4445" r="13970" b="1968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FD14C7">
      <w:pPr>
        <w:spacing w:line="600" w:lineRule="exact"/>
        <w:ind w:firstLine="560" w:firstLineChars="200"/>
        <w:rPr>
          <w:rFonts w:hint="eastAsia" w:ascii="Times New Roman" w:hAnsi="Times New Roman" w:eastAsia="方正仿宋_GBK" w:cs="Times New Roman"/>
          <w:b w:val="0"/>
          <w:bCs w:val="0"/>
          <w:sz w:val="28"/>
          <w:szCs w:val="28"/>
          <w:lang w:eastAsia="zh-CN"/>
        </w:rPr>
      </w:pPr>
      <w:r>
        <w:rPr>
          <w:rFonts w:hint="eastAsia"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图5：一般公共预算财政拨款支出决算变动情况</w:t>
      </w:r>
      <w:r>
        <w:rPr>
          <w:rFonts w:hint="eastAsia"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柱状图</w:t>
      </w:r>
      <w:r>
        <w:rPr>
          <w:rFonts w:hint="eastAsia" w:eastAsia="方正仿宋_GBK" w:cs="Times New Roman"/>
          <w:b w:val="0"/>
          <w:bCs w:val="0"/>
          <w:sz w:val="28"/>
          <w:szCs w:val="28"/>
          <w:lang w:eastAsia="zh-CN"/>
        </w:rPr>
        <w:t>）</w:t>
      </w:r>
    </w:p>
    <w:p w14:paraId="0A16D71D">
      <w:pPr>
        <w:spacing w:line="600" w:lineRule="exact"/>
        <w:ind w:firstLine="643" w:firstLineChars="200"/>
        <w:outlineLvl w:val="2"/>
        <w:rPr>
          <w:rFonts w:hint="default" w:ascii="方正楷体_GBK" w:hAnsi="方正楷体_GBK" w:eastAsia="方正楷体_GBK" w:cs="方正楷体_GBK"/>
          <w:b/>
          <w:bCs/>
          <w:sz w:val="32"/>
          <w:szCs w:val="32"/>
        </w:rPr>
      </w:pPr>
      <w:bookmarkStart w:id="44" w:name="_Toc15377211"/>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rPr>
        <w:t>二</w:t>
      </w:r>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rPr>
        <w:t>一般公共预算财政拨款支出决算结构情况</w:t>
      </w:r>
      <w:bookmarkEnd w:id="44"/>
    </w:p>
    <w:p w14:paraId="09B3B48E">
      <w:pPr>
        <w:spacing w:line="600" w:lineRule="exact"/>
        <w:ind w:firstLine="64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年一般公共预算财政拨款支出</w:t>
      </w:r>
      <w:r>
        <w:rPr>
          <w:rFonts w:hint="default" w:ascii="Times New Roman" w:hAnsi="Times New Roman" w:eastAsia="方正仿宋_GBK" w:cs="Times New Roman"/>
          <w:sz w:val="32"/>
          <w:szCs w:val="32"/>
          <w:lang w:val="en-US" w:eastAsia="zh-CN"/>
        </w:rPr>
        <w:t>466.58</w:t>
      </w:r>
      <w:r>
        <w:rPr>
          <w:rFonts w:hint="default" w:ascii="Times New Roman" w:hAnsi="Times New Roman" w:eastAsia="方正仿宋_GBK" w:cs="Times New Roman"/>
          <w:sz w:val="32"/>
          <w:szCs w:val="32"/>
        </w:rPr>
        <w:t>万元，主要用于以下方面:</w:t>
      </w:r>
    </w:p>
    <w:p w14:paraId="027D4AA7">
      <w:pPr>
        <w:spacing w:line="600" w:lineRule="exact"/>
        <w:ind w:firstLine="640"/>
        <w:outlineLvl w:val="9"/>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b/>
          <w:bCs/>
          <w:sz w:val="32"/>
          <w:szCs w:val="32"/>
          <w:highlight w:val="none"/>
          <w:lang w:eastAsia="zh-CN"/>
        </w:rPr>
        <w:t>社会保障和就业支出</w:t>
      </w:r>
      <w:r>
        <w:rPr>
          <w:rStyle w:val="19"/>
          <w:rFonts w:hint="eastAsia" w:eastAsia="方正仿宋_GBK" w:cs="Times New Roman"/>
          <w:bCs/>
          <w:sz w:val="32"/>
          <w:szCs w:val="32"/>
          <w:highlight w:val="none"/>
          <w:lang w:eastAsia="zh-CN"/>
        </w:rPr>
        <w:t>（</w:t>
      </w:r>
      <w:r>
        <w:rPr>
          <w:rStyle w:val="19"/>
          <w:rFonts w:hint="default" w:ascii="Times New Roman" w:hAnsi="Times New Roman" w:eastAsia="方正仿宋_GBK" w:cs="Times New Roman"/>
          <w:bCs/>
          <w:sz w:val="32"/>
          <w:szCs w:val="32"/>
          <w:highlight w:val="none"/>
          <w:lang w:val="en-US" w:eastAsia="zh-CN"/>
        </w:rPr>
        <w:t>类</w:t>
      </w:r>
      <w:r>
        <w:rPr>
          <w:rStyle w:val="19"/>
          <w:rFonts w:hint="eastAsia" w:eastAsia="方正仿宋_GBK" w:cs="Times New Roman"/>
          <w:bCs/>
          <w:sz w:val="32"/>
          <w:szCs w:val="32"/>
          <w:highlight w:val="none"/>
          <w:lang w:eastAsia="zh-CN"/>
        </w:rPr>
        <w:t>）</w:t>
      </w:r>
      <w:r>
        <w:rPr>
          <w:rStyle w:val="19"/>
          <w:rFonts w:hint="default" w:ascii="Times New Roman" w:hAnsi="Times New Roman" w:eastAsia="方正仿宋_GBK" w:cs="Times New Roman"/>
          <w:bCs/>
          <w:sz w:val="32"/>
          <w:szCs w:val="32"/>
          <w:highlight w:val="none"/>
          <w:lang w:eastAsia="zh-CN"/>
        </w:rPr>
        <w:t>：</w:t>
      </w:r>
      <w:r>
        <w:rPr>
          <w:rFonts w:hint="default" w:ascii="Times New Roman" w:hAnsi="Times New Roman" w:eastAsia="方正仿宋_GBK" w:cs="Times New Roman"/>
          <w:sz w:val="32"/>
          <w:szCs w:val="32"/>
          <w:highlight w:val="none"/>
        </w:rPr>
        <w:t>支出</w:t>
      </w:r>
      <w:r>
        <w:rPr>
          <w:rFonts w:hint="default" w:ascii="Times New Roman" w:hAnsi="Times New Roman" w:eastAsia="方正仿宋_GBK" w:cs="Times New Roman"/>
          <w:sz w:val="32"/>
          <w:szCs w:val="32"/>
          <w:highlight w:val="none"/>
          <w:lang w:val="en-US" w:eastAsia="zh-CN"/>
        </w:rPr>
        <w:t>23.69</w:t>
      </w:r>
      <w:r>
        <w:rPr>
          <w:rFonts w:hint="default" w:ascii="Times New Roman" w:hAnsi="Times New Roman" w:eastAsia="方正仿宋_GBK" w:cs="Times New Roman"/>
          <w:sz w:val="32"/>
          <w:szCs w:val="32"/>
          <w:highlight w:val="none"/>
        </w:rPr>
        <w:t>万元，占</w:t>
      </w:r>
      <w:r>
        <w:rPr>
          <w:rFonts w:hint="default" w:ascii="Times New Roman" w:hAnsi="Times New Roman" w:eastAsia="方正仿宋_GBK" w:cs="Times New Roman"/>
          <w:sz w:val="32"/>
          <w:szCs w:val="32"/>
          <w:highlight w:val="none"/>
          <w:lang w:val="en-US" w:eastAsia="zh-CN"/>
        </w:rPr>
        <w:t>5.08</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eastAsia="zh-CN"/>
        </w:rPr>
        <w:t>。</w:t>
      </w:r>
    </w:p>
    <w:p w14:paraId="50EB3DF2">
      <w:pPr>
        <w:spacing w:line="600" w:lineRule="exact"/>
        <w:ind w:firstLine="640"/>
        <w:outlineLvl w:val="9"/>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b/>
          <w:bCs/>
          <w:sz w:val="32"/>
          <w:szCs w:val="32"/>
          <w:highlight w:val="none"/>
          <w:lang w:eastAsia="zh-CN"/>
        </w:rPr>
        <w:t>卫生健康支出</w:t>
      </w:r>
      <w:r>
        <w:rPr>
          <w:rStyle w:val="19"/>
          <w:rFonts w:hint="eastAsia" w:eastAsia="方正仿宋_GBK" w:cs="Times New Roman"/>
          <w:bCs/>
          <w:sz w:val="32"/>
          <w:szCs w:val="32"/>
          <w:highlight w:val="none"/>
          <w:lang w:eastAsia="zh-CN"/>
        </w:rPr>
        <w:t>（</w:t>
      </w:r>
      <w:r>
        <w:rPr>
          <w:rStyle w:val="19"/>
          <w:rFonts w:hint="default" w:ascii="Times New Roman" w:hAnsi="Times New Roman" w:eastAsia="方正仿宋_GBK" w:cs="Times New Roman"/>
          <w:bCs/>
          <w:sz w:val="32"/>
          <w:szCs w:val="32"/>
          <w:highlight w:val="none"/>
          <w:lang w:val="en-US" w:eastAsia="zh-CN"/>
        </w:rPr>
        <w:t>类</w:t>
      </w:r>
      <w:r>
        <w:rPr>
          <w:rStyle w:val="19"/>
          <w:rFonts w:hint="eastAsia" w:eastAsia="方正仿宋_GBK" w:cs="Times New Roman"/>
          <w:bCs/>
          <w:sz w:val="32"/>
          <w:szCs w:val="32"/>
          <w:highlight w:val="none"/>
          <w:lang w:eastAsia="zh-CN"/>
        </w:rPr>
        <w:t>）</w:t>
      </w:r>
      <w:r>
        <w:rPr>
          <w:rStyle w:val="19"/>
          <w:rFonts w:hint="default" w:ascii="Times New Roman" w:hAnsi="Times New Roman" w:eastAsia="方正仿宋_GBK" w:cs="Times New Roman"/>
          <w:bCs/>
          <w:sz w:val="32"/>
          <w:szCs w:val="32"/>
          <w:highlight w:val="none"/>
          <w:lang w:eastAsia="zh-CN"/>
        </w:rPr>
        <w:t>：</w:t>
      </w:r>
      <w:r>
        <w:rPr>
          <w:rFonts w:hint="default" w:ascii="Times New Roman" w:hAnsi="Times New Roman" w:eastAsia="方正仿宋_GBK" w:cs="Times New Roman"/>
          <w:sz w:val="32"/>
          <w:szCs w:val="32"/>
          <w:highlight w:val="none"/>
        </w:rPr>
        <w:t>支出</w:t>
      </w:r>
      <w:r>
        <w:rPr>
          <w:rFonts w:hint="default" w:ascii="Times New Roman" w:hAnsi="Times New Roman" w:eastAsia="方正仿宋_GBK" w:cs="Times New Roman"/>
          <w:b w:val="0"/>
          <w:bCs w:val="0"/>
          <w:sz w:val="32"/>
          <w:szCs w:val="32"/>
          <w:highlight w:val="none"/>
          <w:lang w:val="en-US" w:eastAsia="zh-CN"/>
        </w:rPr>
        <w:t>10.08</w:t>
      </w:r>
      <w:r>
        <w:rPr>
          <w:rFonts w:hint="default" w:ascii="Times New Roman" w:hAnsi="Times New Roman" w:eastAsia="方正仿宋_GBK" w:cs="Times New Roman"/>
          <w:sz w:val="32"/>
          <w:szCs w:val="32"/>
          <w:highlight w:val="none"/>
        </w:rPr>
        <w:t>万元，占</w:t>
      </w:r>
      <w:r>
        <w:rPr>
          <w:rFonts w:hint="default" w:ascii="Times New Roman" w:hAnsi="Times New Roman" w:eastAsia="方正仿宋_GBK" w:cs="Times New Roman"/>
          <w:sz w:val="32"/>
          <w:szCs w:val="32"/>
          <w:highlight w:val="none"/>
          <w:lang w:val="en-US" w:eastAsia="zh-CN"/>
        </w:rPr>
        <w:t>2.16</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eastAsia="zh-CN"/>
        </w:rPr>
        <w:t>。</w:t>
      </w:r>
    </w:p>
    <w:p w14:paraId="5152341E">
      <w:pPr>
        <w:spacing w:line="600" w:lineRule="exact"/>
        <w:ind w:firstLine="640"/>
        <w:outlineLvl w:val="9"/>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b/>
          <w:bCs/>
          <w:sz w:val="32"/>
          <w:szCs w:val="32"/>
          <w:highlight w:val="none"/>
          <w:lang w:eastAsia="zh-CN"/>
        </w:rPr>
        <w:t>农林水支出</w:t>
      </w:r>
      <w:r>
        <w:rPr>
          <w:rStyle w:val="19"/>
          <w:rFonts w:hint="eastAsia" w:eastAsia="方正仿宋_GBK" w:cs="Times New Roman"/>
          <w:bCs/>
          <w:sz w:val="32"/>
          <w:szCs w:val="32"/>
          <w:highlight w:val="none"/>
          <w:lang w:eastAsia="zh-CN"/>
        </w:rPr>
        <w:t>（</w:t>
      </w:r>
      <w:r>
        <w:rPr>
          <w:rStyle w:val="19"/>
          <w:rFonts w:hint="default" w:ascii="Times New Roman" w:hAnsi="Times New Roman" w:eastAsia="方正仿宋_GBK" w:cs="Times New Roman"/>
          <w:bCs/>
          <w:sz w:val="32"/>
          <w:szCs w:val="32"/>
          <w:highlight w:val="none"/>
          <w:lang w:val="en-US" w:eastAsia="zh-CN"/>
        </w:rPr>
        <w:t>类</w:t>
      </w:r>
      <w:r>
        <w:rPr>
          <w:rStyle w:val="19"/>
          <w:rFonts w:hint="eastAsia" w:eastAsia="方正仿宋_GBK" w:cs="Times New Roman"/>
          <w:bCs/>
          <w:sz w:val="32"/>
          <w:szCs w:val="32"/>
          <w:highlight w:val="none"/>
          <w:lang w:eastAsia="zh-CN"/>
        </w:rPr>
        <w:t>）</w:t>
      </w:r>
      <w:r>
        <w:rPr>
          <w:rStyle w:val="19"/>
          <w:rFonts w:hint="default" w:ascii="Times New Roman" w:hAnsi="Times New Roman" w:eastAsia="方正仿宋_GBK" w:cs="Times New Roman"/>
          <w:bCs/>
          <w:sz w:val="32"/>
          <w:szCs w:val="32"/>
          <w:highlight w:val="none"/>
          <w:lang w:eastAsia="zh-CN"/>
        </w:rPr>
        <w:t>：</w:t>
      </w:r>
      <w:r>
        <w:rPr>
          <w:rFonts w:hint="default" w:ascii="Times New Roman" w:hAnsi="Times New Roman" w:eastAsia="方正仿宋_GBK" w:cs="Times New Roman"/>
          <w:sz w:val="32"/>
          <w:szCs w:val="32"/>
          <w:highlight w:val="none"/>
        </w:rPr>
        <w:t>支出</w:t>
      </w:r>
      <w:r>
        <w:rPr>
          <w:rFonts w:hint="default" w:ascii="Times New Roman" w:hAnsi="Times New Roman" w:eastAsia="方正仿宋_GBK" w:cs="Times New Roman"/>
          <w:sz w:val="32"/>
          <w:szCs w:val="32"/>
          <w:highlight w:val="none"/>
          <w:lang w:val="en-US" w:eastAsia="zh-CN"/>
        </w:rPr>
        <w:t>42.6</w:t>
      </w:r>
      <w:r>
        <w:rPr>
          <w:rFonts w:hint="default" w:ascii="Times New Roman" w:hAnsi="Times New Roman" w:eastAsia="方正仿宋_GBK" w:cs="Times New Roman"/>
          <w:sz w:val="32"/>
          <w:szCs w:val="32"/>
          <w:highlight w:val="none"/>
        </w:rPr>
        <w:t>万元，占</w:t>
      </w:r>
      <w:r>
        <w:rPr>
          <w:rFonts w:hint="default" w:ascii="Times New Roman" w:hAnsi="Times New Roman" w:eastAsia="方正仿宋_GBK" w:cs="Times New Roman"/>
          <w:sz w:val="32"/>
          <w:szCs w:val="32"/>
          <w:highlight w:val="none"/>
          <w:lang w:val="en-US" w:eastAsia="zh-CN"/>
        </w:rPr>
        <w:t>9.13</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eastAsia="zh-CN"/>
        </w:rPr>
        <w:t>。</w:t>
      </w:r>
    </w:p>
    <w:p w14:paraId="46DB1C78">
      <w:pPr>
        <w:spacing w:line="600" w:lineRule="exact"/>
        <w:ind w:firstLine="640"/>
        <w:outlineLvl w:val="9"/>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b/>
          <w:bCs/>
          <w:sz w:val="32"/>
          <w:szCs w:val="32"/>
          <w:highlight w:val="none"/>
          <w:lang w:eastAsia="zh-CN"/>
        </w:rPr>
        <w:t>住房保障支出</w:t>
      </w:r>
      <w:r>
        <w:rPr>
          <w:rStyle w:val="19"/>
          <w:rFonts w:hint="eastAsia" w:eastAsia="方正仿宋_GBK" w:cs="Times New Roman"/>
          <w:bCs/>
          <w:sz w:val="32"/>
          <w:szCs w:val="32"/>
          <w:highlight w:val="none"/>
          <w:lang w:eastAsia="zh-CN"/>
        </w:rPr>
        <w:t>（</w:t>
      </w:r>
      <w:r>
        <w:rPr>
          <w:rStyle w:val="19"/>
          <w:rFonts w:hint="default" w:ascii="Times New Roman" w:hAnsi="Times New Roman" w:eastAsia="方正仿宋_GBK" w:cs="Times New Roman"/>
          <w:bCs/>
          <w:sz w:val="32"/>
          <w:szCs w:val="32"/>
          <w:highlight w:val="none"/>
          <w:lang w:val="en-US" w:eastAsia="zh-CN"/>
        </w:rPr>
        <w:t>类</w:t>
      </w:r>
      <w:r>
        <w:rPr>
          <w:rStyle w:val="19"/>
          <w:rFonts w:hint="eastAsia" w:eastAsia="方正仿宋_GBK" w:cs="Times New Roman"/>
          <w:bCs/>
          <w:sz w:val="32"/>
          <w:szCs w:val="32"/>
          <w:highlight w:val="none"/>
          <w:lang w:eastAsia="zh-CN"/>
        </w:rPr>
        <w:t>）</w:t>
      </w:r>
      <w:r>
        <w:rPr>
          <w:rStyle w:val="19"/>
          <w:rFonts w:hint="default" w:ascii="Times New Roman" w:hAnsi="Times New Roman" w:eastAsia="方正仿宋_GBK" w:cs="Times New Roman"/>
          <w:bCs/>
          <w:sz w:val="32"/>
          <w:szCs w:val="32"/>
          <w:highlight w:val="none"/>
          <w:lang w:eastAsia="zh-CN"/>
        </w:rPr>
        <w:t>：</w:t>
      </w:r>
      <w:r>
        <w:rPr>
          <w:rFonts w:hint="default" w:ascii="Times New Roman" w:hAnsi="Times New Roman" w:eastAsia="方正仿宋_GBK" w:cs="Times New Roman"/>
          <w:sz w:val="32"/>
          <w:szCs w:val="32"/>
          <w:highlight w:val="none"/>
        </w:rPr>
        <w:t>支出</w:t>
      </w:r>
      <w:r>
        <w:rPr>
          <w:rFonts w:hint="default" w:ascii="Times New Roman" w:hAnsi="Times New Roman" w:eastAsia="方正仿宋_GBK" w:cs="Times New Roman"/>
          <w:sz w:val="32"/>
          <w:szCs w:val="32"/>
          <w:highlight w:val="none"/>
          <w:lang w:val="en-US" w:eastAsia="zh-CN"/>
        </w:rPr>
        <w:t>12.91</w:t>
      </w:r>
      <w:r>
        <w:rPr>
          <w:rFonts w:hint="default" w:ascii="Times New Roman" w:hAnsi="Times New Roman" w:eastAsia="方正仿宋_GBK" w:cs="Times New Roman"/>
          <w:sz w:val="32"/>
          <w:szCs w:val="32"/>
          <w:highlight w:val="none"/>
        </w:rPr>
        <w:t>万元，占</w:t>
      </w:r>
      <w:r>
        <w:rPr>
          <w:rFonts w:hint="default" w:ascii="Times New Roman" w:hAnsi="Times New Roman" w:eastAsia="方正仿宋_GBK" w:cs="Times New Roman"/>
          <w:sz w:val="32"/>
          <w:szCs w:val="32"/>
          <w:highlight w:val="none"/>
          <w:lang w:val="en-US" w:eastAsia="zh-CN"/>
        </w:rPr>
        <w:t>2.77</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eastAsia="zh-CN"/>
        </w:rPr>
        <w:t>。</w:t>
      </w:r>
    </w:p>
    <w:p w14:paraId="0C8FF243">
      <w:pPr>
        <w:spacing w:line="600" w:lineRule="exact"/>
        <w:ind w:firstLine="640"/>
        <w:outlineLvl w:val="9"/>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b/>
          <w:bCs/>
          <w:sz w:val="32"/>
          <w:szCs w:val="32"/>
          <w:highlight w:val="none"/>
          <w:lang w:eastAsia="zh-CN"/>
        </w:rPr>
        <w:t>粮油物资储备支出</w:t>
      </w:r>
      <w:r>
        <w:rPr>
          <w:rStyle w:val="19"/>
          <w:rFonts w:hint="eastAsia" w:eastAsia="方正仿宋_GBK" w:cs="Times New Roman"/>
          <w:bCs/>
          <w:sz w:val="32"/>
          <w:szCs w:val="32"/>
          <w:highlight w:val="none"/>
          <w:lang w:eastAsia="zh-CN"/>
        </w:rPr>
        <w:t>（</w:t>
      </w:r>
      <w:r>
        <w:rPr>
          <w:rStyle w:val="19"/>
          <w:rFonts w:hint="default" w:ascii="Times New Roman" w:hAnsi="Times New Roman" w:eastAsia="方正仿宋_GBK" w:cs="Times New Roman"/>
          <w:bCs/>
          <w:sz w:val="32"/>
          <w:szCs w:val="32"/>
          <w:highlight w:val="none"/>
          <w:lang w:val="en-US" w:eastAsia="zh-CN"/>
        </w:rPr>
        <w:t>类</w:t>
      </w:r>
      <w:r>
        <w:rPr>
          <w:rStyle w:val="19"/>
          <w:rFonts w:hint="eastAsia" w:eastAsia="方正仿宋_GBK" w:cs="Times New Roman"/>
          <w:bCs/>
          <w:sz w:val="32"/>
          <w:szCs w:val="32"/>
          <w:highlight w:val="none"/>
          <w:lang w:eastAsia="zh-CN"/>
        </w:rPr>
        <w:t>）</w:t>
      </w:r>
      <w:r>
        <w:rPr>
          <w:rStyle w:val="19"/>
          <w:rFonts w:hint="default" w:ascii="Times New Roman" w:hAnsi="Times New Roman" w:eastAsia="方正仿宋_GBK" w:cs="Times New Roman"/>
          <w:bCs/>
          <w:sz w:val="32"/>
          <w:szCs w:val="32"/>
          <w:highlight w:val="none"/>
          <w:lang w:eastAsia="zh-CN"/>
        </w:rPr>
        <w:t>：</w:t>
      </w:r>
      <w:r>
        <w:rPr>
          <w:rFonts w:hint="default" w:ascii="Times New Roman" w:hAnsi="Times New Roman" w:eastAsia="方正仿宋_GBK" w:cs="Times New Roman"/>
          <w:sz w:val="32"/>
          <w:szCs w:val="32"/>
          <w:highlight w:val="none"/>
        </w:rPr>
        <w:t>支出</w:t>
      </w:r>
      <w:r>
        <w:rPr>
          <w:rFonts w:hint="default" w:ascii="Times New Roman" w:hAnsi="Times New Roman" w:eastAsia="方正仿宋_GBK" w:cs="Times New Roman"/>
          <w:sz w:val="32"/>
          <w:szCs w:val="32"/>
          <w:highlight w:val="none"/>
          <w:lang w:val="en-US" w:eastAsia="zh-CN"/>
        </w:rPr>
        <w:t>377.29</w:t>
      </w:r>
      <w:r>
        <w:rPr>
          <w:rFonts w:hint="default" w:ascii="Times New Roman" w:hAnsi="Times New Roman" w:eastAsia="方正仿宋_GBK" w:cs="Times New Roman"/>
          <w:sz w:val="32"/>
          <w:szCs w:val="32"/>
          <w:highlight w:val="none"/>
        </w:rPr>
        <w:t>万元，占</w:t>
      </w:r>
      <w:r>
        <w:rPr>
          <w:rFonts w:hint="default" w:ascii="Times New Roman" w:hAnsi="Times New Roman" w:eastAsia="方正仿宋_GBK" w:cs="Times New Roman"/>
          <w:sz w:val="32"/>
          <w:szCs w:val="32"/>
          <w:highlight w:val="none"/>
          <w:lang w:val="en-US" w:eastAsia="zh-CN"/>
        </w:rPr>
        <w:t>80.86</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eastAsia="zh-CN"/>
        </w:rPr>
        <w:t>。</w:t>
      </w:r>
    </w:p>
    <w:p w14:paraId="0319FDCE">
      <w:pPr>
        <w:pStyle w:val="24"/>
        <w:rPr>
          <w:rFonts w:hint="default" w:ascii="Times New Roman" w:hAnsi="Times New Roman" w:eastAsia="方正仿宋_GBK" w:cs="Times New Roman"/>
          <w:b/>
          <w:sz w:val="32"/>
          <w:szCs w:val="32"/>
        </w:rPr>
      </w:pPr>
    </w:p>
    <w:p w14:paraId="5F9E0B5A">
      <w:pPr>
        <w:pStyle w:val="24"/>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lang w:eastAsia="zh-CN"/>
        </w:rPr>
        <w:drawing>
          <wp:inline distT="0" distB="0" distL="114300" distR="114300">
            <wp:extent cx="4284345" cy="2701290"/>
            <wp:effectExtent l="4445" t="4445" r="16510" b="1841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33C2B2">
      <w:pPr>
        <w:spacing w:line="600" w:lineRule="exact"/>
        <w:ind w:firstLine="560" w:firstLineChars="200"/>
        <w:rPr>
          <w:rFonts w:hint="eastAsia" w:ascii="Times New Roman" w:hAnsi="Times New Roman" w:eastAsia="方正仿宋_GBK" w:cs="Times New Roman"/>
          <w:b w:val="0"/>
          <w:bCs w:val="0"/>
          <w:sz w:val="28"/>
          <w:szCs w:val="28"/>
          <w:lang w:eastAsia="zh-CN"/>
        </w:rPr>
      </w:pPr>
      <w:r>
        <w:rPr>
          <w:rFonts w:hint="eastAsia"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图6：一般公共预算财政拨款支出决算结构</w:t>
      </w:r>
      <w:r>
        <w:rPr>
          <w:rFonts w:hint="eastAsia" w:eastAsia="方正仿宋_GBK" w:cs="Times New Roman"/>
          <w:b w:val="0"/>
          <w:bCs w:val="0"/>
          <w:sz w:val="28"/>
          <w:szCs w:val="28"/>
          <w:lang w:eastAsia="zh-CN"/>
        </w:rPr>
        <w:t>）（</w:t>
      </w:r>
      <w:r>
        <w:rPr>
          <w:rFonts w:hint="default" w:ascii="Times New Roman" w:hAnsi="Times New Roman" w:eastAsia="方正仿宋_GBK" w:cs="Times New Roman"/>
          <w:b w:val="0"/>
          <w:bCs w:val="0"/>
          <w:sz w:val="28"/>
          <w:szCs w:val="28"/>
        </w:rPr>
        <w:t>饼状图</w:t>
      </w:r>
      <w:r>
        <w:rPr>
          <w:rFonts w:hint="eastAsia" w:eastAsia="方正仿宋_GBK" w:cs="Times New Roman"/>
          <w:b w:val="0"/>
          <w:bCs w:val="0"/>
          <w:sz w:val="28"/>
          <w:szCs w:val="28"/>
          <w:lang w:eastAsia="zh-CN"/>
        </w:rPr>
        <w:t>）</w:t>
      </w:r>
    </w:p>
    <w:p w14:paraId="3058BC2E">
      <w:pPr>
        <w:spacing w:line="600" w:lineRule="exact"/>
        <w:ind w:firstLine="643" w:firstLineChars="200"/>
        <w:outlineLvl w:val="2"/>
        <w:rPr>
          <w:rFonts w:hint="default" w:ascii="方正楷体_GBK" w:hAnsi="方正楷体_GBK" w:eastAsia="方正楷体_GBK" w:cs="方正楷体_GBK"/>
          <w:b/>
          <w:bCs/>
          <w:sz w:val="32"/>
          <w:szCs w:val="32"/>
        </w:rPr>
      </w:pPr>
      <w:bookmarkStart w:id="45" w:name="_Toc15377212"/>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rPr>
        <w:t>三</w:t>
      </w:r>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rPr>
        <w:t>一般公共预算财政拨款支出决算具体情况</w:t>
      </w:r>
      <w:bookmarkEnd w:id="45"/>
    </w:p>
    <w:p w14:paraId="4DBEAEB5">
      <w:pPr>
        <w:spacing w:line="600" w:lineRule="exact"/>
        <w:ind w:firstLine="640" w:firstLineChars="200"/>
        <w:outlineLvl w:val="9"/>
        <w:rPr>
          <w:rFonts w:hint="eastAsia" w:ascii="Times New Roman" w:hAnsi="Times New Roman" w:eastAsia="方正仿宋_GBK" w:cs="Times New Roman"/>
          <w:b w:val="0"/>
          <w:bCs/>
          <w:sz w:val="32"/>
          <w:szCs w:val="32"/>
          <w:lang w:eastAsia="zh-CN"/>
        </w:rPr>
      </w:pPr>
      <w:bookmarkStart w:id="46" w:name="_Toc15377213"/>
      <w:bookmarkStart w:id="47" w:name="_Toc15378460"/>
      <w:bookmarkStart w:id="48" w:name="_Toc25701"/>
      <w:bookmarkStart w:id="49" w:name="_Toc20654"/>
      <w:bookmarkStart w:id="50" w:name="_Toc15377444"/>
      <w:r>
        <w:rPr>
          <w:rFonts w:hint="default" w:ascii="Times New Roman" w:hAnsi="Times New Roman" w:eastAsia="方正仿宋_GBK" w:cs="Times New Roman"/>
          <w:b w:val="0"/>
          <w:bCs/>
          <w:sz w:val="32"/>
          <w:szCs w:val="32"/>
        </w:rPr>
        <w:t>202</w:t>
      </w:r>
      <w:r>
        <w:rPr>
          <w:rFonts w:hint="default" w:ascii="Times New Roman" w:hAnsi="Times New Roman" w:eastAsia="方正仿宋_GBK" w:cs="Times New Roman"/>
          <w:b w:val="0"/>
          <w:bCs/>
          <w:sz w:val="32"/>
          <w:szCs w:val="32"/>
          <w:lang w:val="en-US" w:eastAsia="zh-CN"/>
        </w:rPr>
        <w:t>2</w:t>
      </w:r>
      <w:r>
        <w:rPr>
          <w:rFonts w:hint="default" w:ascii="Times New Roman" w:hAnsi="Times New Roman" w:eastAsia="方正仿宋_GBK" w:cs="Times New Roman"/>
          <w:b w:val="0"/>
          <w:bCs/>
          <w:sz w:val="32"/>
          <w:szCs w:val="32"/>
        </w:rPr>
        <w:t>年一般公共预算支出决算数为</w:t>
      </w:r>
      <w:r>
        <w:rPr>
          <w:rFonts w:hint="default" w:ascii="Times New Roman" w:hAnsi="Times New Roman" w:eastAsia="方正仿宋_GBK" w:cs="Times New Roman"/>
          <w:b w:val="0"/>
          <w:bCs/>
          <w:sz w:val="32"/>
          <w:szCs w:val="32"/>
          <w:lang w:val="en-US" w:eastAsia="zh-CN"/>
        </w:rPr>
        <w:t>466.58万元</w:t>
      </w:r>
      <w:r>
        <w:rPr>
          <w:rFonts w:hint="default" w:ascii="Times New Roman" w:hAnsi="Times New Roman" w:eastAsia="方正仿宋_GBK" w:cs="Times New Roman"/>
          <w:b w:val="0"/>
          <w:bCs/>
          <w:sz w:val="32"/>
          <w:szCs w:val="32"/>
        </w:rPr>
        <w:t>，</w:t>
      </w:r>
      <w:r>
        <w:rPr>
          <w:rStyle w:val="19"/>
          <w:rFonts w:hint="default" w:ascii="Times New Roman" w:hAnsi="Times New Roman" w:eastAsia="方正仿宋_GBK" w:cs="Times New Roman"/>
          <w:b w:val="0"/>
          <w:bCs/>
          <w:sz w:val="32"/>
          <w:szCs w:val="32"/>
        </w:rPr>
        <w:t>完成预算</w:t>
      </w:r>
      <w:r>
        <w:rPr>
          <w:rStyle w:val="19"/>
          <w:rFonts w:hint="default" w:ascii="Times New Roman" w:hAnsi="Times New Roman" w:eastAsia="方正仿宋_GBK" w:cs="Times New Roman"/>
          <w:b w:val="0"/>
          <w:bCs/>
          <w:sz w:val="32"/>
          <w:szCs w:val="32"/>
          <w:lang w:val="en-US" w:eastAsia="zh-CN"/>
        </w:rPr>
        <w:t>100</w:t>
      </w:r>
      <w:r>
        <w:rPr>
          <w:rStyle w:val="19"/>
          <w:rFonts w:hint="default" w:ascii="Times New Roman" w:hAnsi="Times New Roman" w:eastAsia="方正仿宋_GBK" w:cs="Times New Roman"/>
          <w:b w:val="0"/>
          <w:bCs/>
          <w:sz w:val="32"/>
          <w:szCs w:val="32"/>
        </w:rPr>
        <w:t>%。其中</w:t>
      </w:r>
      <w:bookmarkEnd w:id="46"/>
      <w:bookmarkEnd w:id="47"/>
      <w:bookmarkEnd w:id="48"/>
      <w:bookmarkEnd w:id="49"/>
      <w:bookmarkEnd w:id="50"/>
      <w:r>
        <w:rPr>
          <w:rStyle w:val="19"/>
          <w:rFonts w:hint="eastAsia" w:eastAsia="方正仿宋_GBK" w:cs="Times New Roman"/>
          <w:b w:val="0"/>
          <w:bCs/>
          <w:sz w:val="32"/>
          <w:szCs w:val="32"/>
          <w:lang w:eastAsia="zh-CN"/>
        </w:rPr>
        <w:t>：</w:t>
      </w:r>
    </w:p>
    <w:p w14:paraId="0843DF66">
      <w:pPr>
        <w:pStyle w:val="24"/>
        <w:ind w:firstLine="643" w:firstLineChars="200"/>
        <w:outlineLvl w:val="9"/>
        <w:rPr>
          <w:rStyle w:val="19"/>
          <w:rFonts w:hint="default" w:ascii="Times New Roman" w:hAnsi="Times New Roman" w:eastAsia="方正仿宋_GBK" w:cs="Times New Roman"/>
          <w:b w:val="0"/>
          <w:bCs w:val="0"/>
          <w:sz w:val="32"/>
          <w:szCs w:val="32"/>
        </w:rPr>
      </w:pPr>
      <w:r>
        <w:rPr>
          <w:rStyle w:val="19"/>
          <w:rFonts w:hint="default" w:ascii="Times New Roman" w:hAnsi="Times New Roman" w:eastAsia="方正仿宋_GBK" w:cs="Times New Roman"/>
          <w:bCs/>
          <w:sz w:val="32"/>
          <w:szCs w:val="32"/>
        </w:rPr>
        <w:t>1</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社会保障和就业支出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行政事业单位养老支出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机关事业单位基本养老保险缴费支出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支出决算为15.79万元，完成预算100%，与预算数持平。</w:t>
      </w:r>
    </w:p>
    <w:p w14:paraId="7F586D0A">
      <w:pPr>
        <w:pStyle w:val="24"/>
        <w:ind w:firstLine="643" w:firstLineChars="200"/>
        <w:outlineLvl w:val="9"/>
        <w:rPr>
          <w:rStyle w:val="19"/>
          <w:rFonts w:hint="default" w:ascii="Times New Roman" w:hAnsi="Times New Roman" w:eastAsia="方正仿宋_GBK" w:cs="Times New Roman"/>
          <w:bCs/>
          <w:sz w:val="32"/>
          <w:szCs w:val="32"/>
        </w:rPr>
      </w:pPr>
      <w:r>
        <w:rPr>
          <w:rStyle w:val="19"/>
          <w:rFonts w:hint="default" w:ascii="Times New Roman" w:hAnsi="Times New Roman" w:eastAsia="方正仿宋_GBK" w:cs="Times New Roman"/>
          <w:bCs/>
          <w:sz w:val="32"/>
          <w:szCs w:val="32"/>
        </w:rPr>
        <w:t>2</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社会保障和就业支出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行政事业单位养老支出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机关事业单位职业年金缴费支出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支出决算为7.9万元，完成预算100%，与预算数持平。</w:t>
      </w:r>
    </w:p>
    <w:p w14:paraId="6F600E14">
      <w:pPr>
        <w:pStyle w:val="24"/>
        <w:ind w:firstLine="643" w:firstLineChars="200"/>
        <w:outlineLvl w:val="9"/>
        <w:rPr>
          <w:rStyle w:val="19"/>
          <w:rFonts w:hint="default" w:ascii="Times New Roman" w:hAnsi="Times New Roman" w:eastAsia="方正仿宋_GBK" w:cs="Times New Roman"/>
          <w:bCs/>
          <w:sz w:val="32"/>
          <w:szCs w:val="32"/>
        </w:rPr>
      </w:pPr>
      <w:r>
        <w:rPr>
          <w:rStyle w:val="19"/>
          <w:rFonts w:hint="default" w:ascii="Times New Roman" w:hAnsi="Times New Roman" w:eastAsia="方正仿宋_GBK" w:cs="Times New Roman"/>
          <w:bCs/>
          <w:sz w:val="32"/>
          <w:szCs w:val="32"/>
        </w:rPr>
        <w:t>3</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卫生健康支出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行政事业单位医疗</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行政单位医疗</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支出决算为7.01万元，完成预算100%，与预算数持平。</w:t>
      </w:r>
    </w:p>
    <w:p w14:paraId="75479224">
      <w:pPr>
        <w:pStyle w:val="24"/>
        <w:ind w:firstLine="643" w:firstLineChars="200"/>
        <w:outlineLvl w:val="9"/>
        <w:rPr>
          <w:rStyle w:val="19"/>
          <w:rFonts w:hint="default" w:ascii="Times New Roman" w:hAnsi="Times New Roman" w:eastAsia="方正仿宋_GBK" w:cs="Times New Roman"/>
          <w:bCs/>
          <w:sz w:val="32"/>
          <w:szCs w:val="32"/>
        </w:rPr>
      </w:pPr>
      <w:r>
        <w:rPr>
          <w:rStyle w:val="19"/>
          <w:rFonts w:hint="default" w:ascii="Times New Roman" w:hAnsi="Times New Roman" w:eastAsia="方正仿宋_GBK" w:cs="Times New Roman"/>
          <w:bCs/>
          <w:sz w:val="32"/>
          <w:szCs w:val="32"/>
        </w:rPr>
        <w:t>4</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卫生健康支出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行政事业单位医疗</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公务员医疗补助</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支出决算为3.07万元，完成预算100%，与预算数持平。</w:t>
      </w:r>
    </w:p>
    <w:p w14:paraId="1D0A480E">
      <w:pPr>
        <w:pStyle w:val="24"/>
        <w:ind w:firstLine="643" w:firstLineChars="200"/>
        <w:outlineLvl w:val="9"/>
        <w:rPr>
          <w:rStyle w:val="19"/>
          <w:rFonts w:hint="default" w:ascii="Times New Roman" w:hAnsi="Times New Roman" w:eastAsia="方正仿宋_GBK" w:cs="Times New Roman"/>
          <w:bCs/>
          <w:sz w:val="32"/>
          <w:szCs w:val="32"/>
          <w:lang w:val="en-US" w:eastAsia="zh-CN"/>
        </w:rPr>
      </w:pPr>
      <w:r>
        <w:rPr>
          <w:rStyle w:val="19"/>
          <w:rFonts w:hint="default" w:ascii="Times New Roman" w:hAnsi="Times New Roman" w:eastAsia="方正仿宋_GBK" w:cs="Times New Roman"/>
          <w:bCs/>
          <w:sz w:val="32"/>
          <w:szCs w:val="32"/>
        </w:rPr>
        <w:t>5</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农林水支出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巩固脱贫衔接乡村振兴</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生产发展</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支出决算为42.6万元，完成预算100%，与预算数持平。</w:t>
      </w:r>
    </w:p>
    <w:p w14:paraId="2CB59B8A">
      <w:pPr>
        <w:pStyle w:val="24"/>
        <w:ind w:firstLine="643" w:firstLineChars="200"/>
        <w:outlineLvl w:val="9"/>
        <w:rPr>
          <w:rStyle w:val="19"/>
          <w:rFonts w:hint="default" w:ascii="Times New Roman" w:hAnsi="Times New Roman" w:eastAsia="方正仿宋_GBK" w:cs="Times New Roman"/>
          <w:b w:val="0"/>
          <w:bCs w:val="0"/>
          <w:sz w:val="32"/>
          <w:szCs w:val="32"/>
        </w:rPr>
      </w:pPr>
      <w:r>
        <w:rPr>
          <w:rStyle w:val="19"/>
          <w:rFonts w:hint="default" w:ascii="Times New Roman" w:hAnsi="Times New Roman" w:eastAsia="方正仿宋_GBK" w:cs="Times New Roman"/>
          <w:bCs/>
          <w:sz w:val="32"/>
          <w:szCs w:val="32"/>
        </w:rPr>
        <w:t>6</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住房保障支出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住房改革支出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住房公积金</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支出决算为12.91万元，完成预算100%，与预算数持平。</w:t>
      </w:r>
    </w:p>
    <w:p w14:paraId="7FA9E59E">
      <w:pPr>
        <w:pStyle w:val="24"/>
        <w:ind w:firstLine="643" w:firstLineChars="200"/>
        <w:outlineLvl w:val="9"/>
        <w:rPr>
          <w:rStyle w:val="19"/>
          <w:rFonts w:hint="default" w:ascii="Times New Roman" w:hAnsi="Times New Roman" w:eastAsia="方正仿宋_GBK" w:cs="Times New Roman"/>
          <w:bCs/>
          <w:sz w:val="32"/>
          <w:szCs w:val="32"/>
        </w:rPr>
      </w:pPr>
      <w:r>
        <w:rPr>
          <w:rStyle w:val="19"/>
          <w:rFonts w:hint="default" w:ascii="Times New Roman" w:hAnsi="Times New Roman" w:eastAsia="方正仿宋_GBK" w:cs="Times New Roman"/>
          <w:bCs/>
          <w:sz w:val="32"/>
          <w:szCs w:val="32"/>
          <w:lang w:val="en-US" w:eastAsia="zh-CN"/>
        </w:rPr>
        <w:t>7</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粮油物资储备支出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粮油物资事务</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行政运行</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支出决算为159.57万元，完成预算100%，与预算数持平。</w:t>
      </w:r>
    </w:p>
    <w:p w14:paraId="0869A70E">
      <w:pPr>
        <w:pStyle w:val="24"/>
        <w:ind w:firstLine="643" w:firstLineChars="200"/>
        <w:outlineLvl w:val="9"/>
        <w:rPr>
          <w:rStyle w:val="19"/>
          <w:rFonts w:hint="default" w:ascii="Times New Roman" w:hAnsi="Times New Roman" w:eastAsia="方正仿宋_GBK" w:cs="Times New Roman"/>
          <w:bCs/>
          <w:sz w:val="32"/>
          <w:szCs w:val="32"/>
        </w:rPr>
      </w:pPr>
      <w:r>
        <w:rPr>
          <w:rStyle w:val="19"/>
          <w:rFonts w:hint="default" w:ascii="Times New Roman" w:hAnsi="Times New Roman" w:eastAsia="方正仿宋_GBK" w:cs="Times New Roman"/>
          <w:bCs/>
          <w:sz w:val="32"/>
          <w:szCs w:val="32"/>
          <w:lang w:val="en-US" w:eastAsia="zh-CN"/>
        </w:rPr>
        <w:t>8</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粮油物资储备支出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粮油物资事务</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一般行政管理事务</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支出决算为1.51万元，完成预算100%，与预算数持平。</w:t>
      </w:r>
    </w:p>
    <w:p w14:paraId="29CD0153">
      <w:pPr>
        <w:pStyle w:val="24"/>
        <w:ind w:firstLine="643" w:firstLineChars="200"/>
        <w:outlineLvl w:val="9"/>
        <w:rPr>
          <w:rStyle w:val="19"/>
          <w:rFonts w:hint="default" w:ascii="Times New Roman" w:hAnsi="Times New Roman" w:eastAsia="方正仿宋_GBK" w:cs="Times New Roman"/>
          <w:b w:val="0"/>
          <w:bCs w:val="0"/>
          <w:sz w:val="32"/>
          <w:szCs w:val="32"/>
        </w:rPr>
      </w:pPr>
      <w:r>
        <w:rPr>
          <w:rStyle w:val="19"/>
          <w:rFonts w:hint="default" w:ascii="Times New Roman" w:hAnsi="Times New Roman" w:eastAsia="方正仿宋_GBK" w:cs="Times New Roman"/>
          <w:bCs/>
          <w:sz w:val="32"/>
          <w:szCs w:val="32"/>
          <w:lang w:val="en-US" w:eastAsia="zh-CN"/>
        </w:rPr>
        <w:t>9</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粮油物资储备支出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粮油物资事务</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设施建设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支出决算为4.96万元，完成预算100%，与预算数持平。</w:t>
      </w:r>
    </w:p>
    <w:p w14:paraId="5883ADAF">
      <w:pPr>
        <w:pStyle w:val="24"/>
        <w:ind w:firstLine="643" w:firstLineChars="200"/>
        <w:outlineLvl w:val="9"/>
        <w:rPr>
          <w:rFonts w:hint="default" w:ascii="Times New Roman" w:hAnsi="Times New Roman" w:eastAsia="方正仿宋_GBK" w:cs="Times New Roman"/>
          <w:b/>
          <w:bCs w:val="0"/>
          <w:sz w:val="32"/>
          <w:szCs w:val="32"/>
          <w:lang w:val="en-US" w:eastAsia="zh-CN"/>
        </w:rPr>
      </w:pPr>
      <w:r>
        <w:rPr>
          <w:rStyle w:val="19"/>
          <w:rFonts w:hint="default" w:ascii="Times New Roman" w:hAnsi="Times New Roman" w:eastAsia="方正仿宋_GBK" w:cs="Times New Roman"/>
          <w:bCs/>
          <w:sz w:val="32"/>
          <w:szCs w:val="32"/>
          <w:lang w:val="en-US" w:eastAsia="zh-CN"/>
        </w:rPr>
        <w:t>10</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粮油物资储备支出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粮油物资事务</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其他粮油物资事务支出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支出决算为94.6万元，完成预算100%，与预算数持平。</w:t>
      </w:r>
    </w:p>
    <w:p w14:paraId="54F8E5AA">
      <w:pPr>
        <w:pStyle w:val="24"/>
        <w:ind w:firstLine="643" w:firstLineChars="200"/>
        <w:outlineLvl w:val="9"/>
        <w:rPr>
          <w:rStyle w:val="19"/>
          <w:rFonts w:hint="default" w:ascii="Times New Roman" w:hAnsi="Times New Roman" w:eastAsia="方正仿宋_GBK" w:cs="Times New Roman"/>
          <w:b w:val="0"/>
          <w:bCs w:val="0"/>
          <w:sz w:val="32"/>
          <w:szCs w:val="32"/>
        </w:rPr>
      </w:pPr>
      <w:r>
        <w:rPr>
          <w:rStyle w:val="19"/>
          <w:rFonts w:hint="default" w:ascii="Times New Roman" w:hAnsi="Times New Roman" w:eastAsia="方正仿宋_GBK" w:cs="Times New Roman"/>
          <w:bCs/>
          <w:sz w:val="32"/>
          <w:szCs w:val="32"/>
          <w:lang w:val="en-US" w:eastAsia="zh-CN"/>
        </w:rPr>
        <w:t>11</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粮油物资储备支出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粮油储备</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储备粮油补贴</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w:t>
      </w:r>
      <w:r>
        <w:rPr>
          <w:rStyle w:val="19"/>
          <w:rFonts w:hint="default" w:ascii="Times New Roman" w:hAnsi="Times New Roman" w:eastAsia="方正仿宋_GBK" w:cs="Times New Roman"/>
          <w:b w:val="0"/>
          <w:bCs w:val="0"/>
          <w:sz w:val="32"/>
          <w:szCs w:val="32"/>
        </w:rPr>
        <w:t>支出决算为37.61万元，完成预算100%，与预算数持平。</w:t>
      </w:r>
    </w:p>
    <w:p w14:paraId="133A15D2">
      <w:pPr>
        <w:pStyle w:val="24"/>
        <w:ind w:firstLine="643" w:firstLineChars="200"/>
        <w:outlineLvl w:val="9"/>
        <w:rPr>
          <w:rStyle w:val="19"/>
          <w:rFonts w:hint="default" w:ascii="Times New Roman" w:hAnsi="Times New Roman" w:eastAsia="方正仿宋_GBK" w:cs="Times New Roman"/>
          <w:b w:val="0"/>
          <w:bCs w:val="0"/>
          <w:sz w:val="32"/>
          <w:szCs w:val="32"/>
          <w:lang w:val="en-US" w:eastAsia="zh-CN"/>
        </w:rPr>
      </w:pPr>
      <w:r>
        <w:rPr>
          <w:rStyle w:val="19"/>
          <w:rFonts w:hint="default" w:ascii="Times New Roman" w:hAnsi="Times New Roman" w:eastAsia="方正仿宋_GBK" w:cs="Times New Roman"/>
          <w:bCs/>
          <w:sz w:val="32"/>
          <w:szCs w:val="32"/>
          <w:lang w:val="en-US" w:eastAsia="zh-CN"/>
        </w:rPr>
        <w:t>12</w:t>
      </w:r>
      <w:r>
        <w:rPr>
          <w:rStyle w:val="19"/>
          <w:rFonts w:hint="eastAsia" w:ascii="Times New Roman" w:hAnsi="Times New Roman" w:eastAsia="方正仿宋_GBK" w:cs="Times New Roman"/>
          <w:bCs/>
          <w:sz w:val="32"/>
          <w:szCs w:val="32"/>
          <w:lang w:val="en-US" w:eastAsia="zh-CN"/>
        </w:rPr>
        <w:t>.</w:t>
      </w:r>
      <w:r>
        <w:rPr>
          <w:rStyle w:val="19"/>
          <w:rFonts w:hint="default" w:ascii="Times New Roman" w:hAnsi="Times New Roman" w:eastAsia="方正仿宋_GBK" w:cs="Times New Roman"/>
          <w:bCs/>
          <w:sz w:val="32"/>
          <w:szCs w:val="32"/>
        </w:rPr>
        <w:t>粮油物资储备支出</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类</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粮油储备</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储备粮</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rPr>
        <w:t>库建设</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Cs/>
          <w:sz w:val="32"/>
          <w:szCs w:val="32"/>
          <w:lang w:val="en-US" w:eastAsia="zh-CN"/>
        </w:rPr>
        <w:t>项</w:t>
      </w:r>
      <w:r>
        <w:rPr>
          <w:rStyle w:val="19"/>
          <w:rFonts w:hint="eastAsia" w:ascii="Times New Roman" w:hAnsi="Times New Roman" w:eastAsia="方正仿宋_GBK" w:cs="Times New Roman"/>
          <w:bCs/>
          <w:sz w:val="32"/>
          <w:szCs w:val="32"/>
          <w:lang w:eastAsia="zh-CN"/>
        </w:rPr>
        <w:t>）：</w:t>
      </w:r>
      <w:r>
        <w:rPr>
          <w:rStyle w:val="19"/>
          <w:rFonts w:hint="default" w:ascii="Times New Roman" w:hAnsi="Times New Roman" w:eastAsia="方正仿宋_GBK" w:cs="Times New Roman"/>
          <w:b w:val="0"/>
          <w:bCs w:val="0"/>
          <w:sz w:val="32"/>
          <w:szCs w:val="32"/>
        </w:rPr>
        <w:t>支出决算为79.05万元，完成预算100%，与预算数持平。</w:t>
      </w:r>
    </w:p>
    <w:p w14:paraId="7005E8B8">
      <w:pPr>
        <w:pStyle w:val="31"/>
        <w:numPr>
          <w:ilvl w:val="0"/>
          <w:numId w:val="0"/>
        </w:numPr>
        <w:spacing w:line="600" w:lineRule="exact"/>
        <w:ind w:left="1360" w:leftChars="0" w:hanging="720" w:firstLineChars="0"/>
        <w:outlineLvl w:val="1"/>
        <w:rPr>
          <w:rFonts w:hint="default" w:ascii="方正黑体_GBK" w:hAnsi="方正黑体_GBK" w:eastAsia="方正黑体_GBK" w:cs="方正黑体_GBK"/>
          <w:b w:val="0"/>
          <w:bCs/>
          <w:kern w:val="2"/>
          <w:sz w:val="32"/>
          <w:szCs w:val="32"/>
          <w:lang w:val="en-US" w:eastAsia="zh-CN" w:bidi="ar-SA"/>
        </w:rPr>
      </w:pPr>
      <w:bookmarkStart w:id="51" w:name="_Toc15377214"/>
      <w:bookmarkStart w:id="52" w:name="_Toc15396608"/>
      <w:bookmarkStart w:id="53" w:name="_Toc19146"/>
      <w:r>
        <w:rPr>
          <w:rFonts w:hint="default" w:ascii="方正黑体_GBK" w:hAnsi="方正黑体_GBK" w:eastAsia="方正黑体_GBK" w:cs="方正黑体_GBK"/>
          <w:b w:val="0"/>
          <w:bCs/>
          <w:kern w:val="2"/>
          <w:sz w:val="32"/>
          <w:szCs w:val="32"/>
          <w:lang w:val="en-US" w:eastAsia="zh-CN" w:bidi="ar-SA"/>
        </w:rPr>
        <w:t>六、一般公共预算财政拨款基本支出决算情况说明</w:t>
      </w:r>
      <w:bookmarkEnd w:id="51"/>
      <w:bookmarkEnd w:id="52"/>
      <w:bookmarkEnd w:id="53"/>
      <w:r>
        <w:rPr>
          <w:rFonts w:hint="default" w:ascii="方正黑体_GBK" w:hAnsi="方正黑体_GBK" w:eastAsia="方正黑体_GBK" w:cs="方正黑体_GBK"/>
          <w:b w:val="0"/>
          <w:bCs/>
          <w:kern w:val="2"/>
          <w:sz w:val="32"/>
          <w:szCs w:val="32"/>
          <w:lang w:val="en-US" w:eastAsia="zh-CN" w:bidi="ar-SA"/>
        </w:rPr>
        <w:tab/>
      </w:r>
    </w:p>
    <w:p w14:paraId="193EB1C9">
      <w:pPr>
        <w:spacing w:line="600" w:lineRule="exact"/>
        <w:ind w:firstLine="645"/>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年一般公共预算财政拨款基本支出</w:t>
      </w:r>
      <w:r>
        <w:rPr>
          <w:rFonts w:hint="default" w:ascii="Times New Roman" w:hAnsi="Times New Roman" w:eastAsia="方正仿宋_GBK" w:cs="Times New Roman"/>
          <w:sz w:val="32"/>
          <w:szCs w:val="32"/>
          <w:lang w:val="en-US" w:eastAsia="zh-CN"/>
        </w:rPr>
        <w:t>206.24</w:t>
      </w:r>
      <w:r>
        <w:rPr>
          <w:rFonts w:hint="default" w:ascii="Times New Roman" w:hAnsi="Times New Roman" w:eastAsia="方正仿宋_GBK" w:cs="Times New Roman"/>
          <w:sz w:val="32"/>
          <w:szCs w:val="32"/>
        </w:rPr>
        <w:t>万元，其中：人员经费</w:t>
      </w:r>
      <w:r>
        <w:rPr>
          <w:rFonts w:hint="default" w:ascii="Times New Roman" w:hAnsi="Times New Roman" w:eastAsia="方正仿宋_GBK" w:cs="Times New Roman"/>
          <w:sz w:val="32"/>
          <w:szCs w:val="32"/>
          <w:lang w:val="en-US" w:eastAsia="zh-CN"/>
        </w:rPr>
        <w:t>196.04</w:t>
      </w:r>
      <w:r>
        <w:rPr>
          <w:rFonts w:hint="default" w:ascii="Times New Roman" w:hAnsi="Times New Roman" w:eastAsia="方正仿宋_GBK" w:cs="Times New Roman"/>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04CB836C">
      <w:pPr>
        <w:spacing w:line="600" w:lineRule="exact"/>
        <w:ind w:firstLine="645"/>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公用经费</w:t>
      </w:r>
      <w:r>
        <w:rPr>
          <w:rFonts w:hint="default" w:ascii="Times New Roman" w:hAnsi="Times New Roman" w:eastAsia="方正仿宋_GBK" w:cs="Times New Roman"/>
          <w:sz w:val="32"/>
          <w:szCs w:val="32"/>
          <w:lang w:val="en-US" w:eastAsia="zh-CN"/>
        </w:rPr>
        <w:t>10.21</w:t>
      </w:r>
      <w:r>
        <w:rPr>
          <w:rFonts w:hint="default" w:ascii="Times New Roman" w:hAnsi="Times New Roman" w:eastAsia="方正仿宋_GBK" w:cs="Times New Roman"/>
          <w:sz w:val="32"/>
          <w:szCs w:val="32"/>
        </w:rPr>
        <w:t>万元，主要包括：办公费、印刷费、咨询费、手续费、水费、电费、邮电费、取暖费、物业管理费、差旅费、因公出国</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境</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费用、维修</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护</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3E1EF97">
      <w:pPr>
        <w:pStyle w:val="31"/>
        <w:numPr>
          <w:ilvl w:val="0"/>
          <w:numId w:val="0"/>
        </w:numPr>
        <w:spacing w:line="600" w:lineRule="exact"/>
        <w:ind w:left="1360" w:leftChars="0" w:hanging="720" w:firstLineChars="0"/>
        <w:outlineLvl w:val="1"/>
        <w:rPr>
          <w:rFonts w:hint="default" w:ascii="方正黑体_GBK" w:hAnsi="方正黑体_GBK" w:eastAsia="方正黑体_GBK" w:cs="方正黑体_GBK"/>
          <w:b w:val="0"/>
          <w:bCs/>
          <w:kern w:val="2"/>
          <w:sz w:val="32"/>
          <w:szCs w:val="32"/>
          <w:lang w:val="en-US" w:eastAsia="zh-CN" w:bidi="ar-SA"/>
        </w:rPr>
      </w:pPr>
      <w:bookmarkStart w:id="54" w:name="_Toc15377215"/>
      <w:bookmarkStart w:id="55" w:name="_Toc26627"/>
      <w:bookmarkStart w:id="56" w:name="_Toc15396609"/>
      <w:r>
        <w:rPr>
          <w:rFonts w:hint="default" w:ascii="方正黑体_GBK" w:hAnsi="方正黑体_GBK" w:eastAsia="方正黑体_GBK" w:cs="方正黑体_GBK"/>
          <w:b w:val="0"/>
          <w:bCs/>
          <w:kern w:val="2"/>
          <w:sz w:val="32"/>
          <w:szCs w:val="32"/>
          <w:lang w:val="en-US" w:eastAsia="zh-CN" w:bidi="ar-SA"/>
        </w:rPr>
        <w:t>七、</w:t>
      </w:r>
      <w:r>
        <w:rPr>
          <w:rFonts w:hint="eastAsia" w:ascii="方正黑体_GBK" w:hAnsi="方正黑体_GBK" w:eastAsia="方正黑体_GBK" w:cs="方正黑体_GBK"/>
          <w:b w:val="0"/>
          <w:bCs/>
          <w:kern w:val="2"/>
          <w:sz w:val="32"/>
          <w:szCs w:val="32"/>
          <w:lang w:val="en-US" w:eastAsia="zh-CN" w:bidi="ar-SA"/>
        </w:rPr>
        <w:t>“</w:t>
      </w:r>
      <w:r>
        <w:rPr>
          <w:rFonts w:hint="default" w:ascii="方正黑体_GBK" w:hAnsi="方正黑体_GBK" w:eastAsia="方正黑体_GBK" w:cs="方正黑体_GBK"/>
          <w:b w:val="0"/>
          <w:bCs/>
          <w:kern w:val="2"/>
          <w:sz w:val="32"/>
          <w:szCs w:val="32"/>
          <w:lang w:val="en-US" w:eastAsia="zh-CN" w:bidi="ar-SA"/>
        </w:rPr>
        <w:t>三公</w:t>
      </w:r>
      <w:r>
        <w:rPr>
          <w:rFonts w:hint="eastAsia" w:ascii="方正黑体_GBK" w:hAnsi="方正黑体_GBK" w:eastAsia="方正黑体_GBK" w:cs="方正黑体_GBK"/>
          <w:b w:val="0"/>
          <w:bCs/>
          <w:kern w:val="2"/>
          <w:sz w:val="32"/>
          <w:szCs w:val="32"/>
          <w:lang w:val="en-US" w:eastAsia="zh-CN" w:bidi="ar-SA"/>
        </w:rPr>
        <w:t>”</w:t>
      </w:r>
      <w:r>
        <w:rPr>
          <w:rFonts w:hint="default" w:ascii="方正黑体_GBK" w:hAnsi="方正黑体_GBK" w:eastAsia="方正黑体_GBK" w:cs="方正黑体_GBK"/>
          <w:b w:val="0"/>
          <w:bCs/>
          <w:kern w:val="2"/>
          <w:sz w:val="32"/>
          <w:szCs w:val="32"/>
          <w:lang w:val="en-US" w:eastAsia="zh-CN" w:bidi="ar-SA"/>
        </w:rPr>
        <w:t>经费财政拨款支出决算情况说明</w:t>
      </w:r>
      <w:bookmarkEnd w:id="54"/>
      <w:bookmarkEnd w:id="55"/>
      <w:bookmarkEnd w:id="56"/>
    </w:p>
    <w:p w14:paraId="6C2B1AE5">
      <w:pPr>
        <w:spacing w:line="600" w:lineRule="exact"/>
        <w:ind w:firstLine="643" w:firstLineChars="200"/>
        <w:outlineLvl w:val="2"/>
        <w:rPr>
          <w:rFonts w:hint="default" w:ascii="方正楷体_GBK" w:hAnsi="方正楷体_GBK" w:eastAsia="方正楷体_GBK" w:cs="方正楷体_GBK"/>
          <w:b/>
          <w:bCs/>
          <w:sz w:val="32"/>
          <w:szCs w:val="32"/>
        </w:rPr>
      </w:pPr>
      <w:bookmarkStart w:id="57" w:name="_Toc15377216"/>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rPr>
        <w:t>一</w:t>
      </w:r>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rPr>
        <w:t>三公</w:t>
      </w:r>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rPr>
        <w:t>经费财政拨款支出决算总体情况说明</w:t>
      </w:r>
      <w:bookmarkEnd w:id="57"/>
    </w:p>
    <w:p w14:paraId="14A8D0D3">
      <w:pPr>
        <w:spacing w:line="600" w:lineRule="exact"/>
        <w:ind w:firstLine="64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三公</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经费财政拨款支出决算为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万元，与预算数持平。</w:t>
      </w:r>
    </w:p>
    <w:p w14:paraId="4DA64B2B">
      <w:pPr>
        <w:spacing w:line="600" w:lineRule="exact"/>
        <w:ind w:firstLine="643" w:firstLineChars="200"/>
        <w:outlineLvl w:val="2"/>
        <w:rPr>
          <w:rFonts w:hint="default" w:ascii="方正楷体_GBK" w:hAnsi="方正楷体_GBK" w:eastAsia="方正楷体_GBK" w:cs="方正楷体_GBK"/>
          <w:b/>
          <w:bCs/>
          <w:sz w:val="32"/>
          <w:szCs w:val="32"/>
        </w:rPr>
      </w:pPr>
      <w:bookmarkStart w:id="58" w:name="_Toc15377217"/>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rPr>
        <w:t>二</w:t>
      </w:r>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rPr>
        <w:t>三公</w:t>
      </w:r>
      <w:r>
        <w:rPr>
          <w:rFonts w:hint="eastAsia" w:ascii="方正楷体_GBK" w:hAnsi="方正楷体_GBK" w:eastAsia="方正楷体_GBK" w:cs="方正楷体_GBK"/>
          <w:b/>
          <w:bCs/>
          <w:sz w:val="32"/>
          <w:szCs w:val="32"/>
          <w:lang w:eastAsia="zh-CN"/>
        </w:rPr>
        <w:t>”</w:t>
      </w:r>
      <w:r>
        <w:rPr>
          <w:rFonts w:hint="default" w:ascii="方正楷体_GBK" w:hAnsi="方正楷体_GBK" w:eastAsia="方正楷体_GBK" w:cs="方正楷体_GBK"/>
          <w:b/>
          <w:bCs/>
          <w:sz w:val="32"/>
          <w:szCs w:val="32"/>
        </w:rPr>
        <w:t>经费财政拨款支出决算具体情况说明</w:t>
      </w:r>
      <w:bookmarkEnd w:id="58"/>
    </w:p>
    <w:p w14:paraId="31B5BF4C">
      <w:pPr>
        <w:spacing w:line="60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三公</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经费财政拨款支出决算中，因公出国</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境</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费支出决算</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%；公务用车购置及运行维护费支出决算</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%；公务接待费支出决算</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%。具体情况如下：</w:t>
      </w:r>
    </w:p>
    <w:p w14:paraId="35875763">
      <w:pPr>
        <w:pStyle w:val="24"/>
        <w:jc w:val="center"/>
        <w:rPr>
          <w:rFonts w:hint="default" w:ascii="Times New Roman" w:hAnsi="Times New Roman" w:eastAsia="方正仿宋_GBK" w:cs="Times New Roman"/>
          <w:sz w:val="28"/>
          <w:szCs w:val="28"/>
        </w:rPr>
      </w:pPr>
      <w:r>
        <w:rPr>
          <w:rFonts w:hint="default" w:ascii="Times New Roman" w:hAnsi="Times New Roman" w:eastAsia="方正仿宋_GBK" w:cs="Times New Roman"/>
          <w:sz w:val="32"/>
          <w:szCs w:val="32"/>
          <w:lang w:eastAsia="zh-CN"/>
        </w:rPr>
        <w:drawing>
          <wp:inline distT="0" distB="0" distL="114300" distR="114300">
            <wp:extent cx="5080000" cy="3042285"/>
            <wp:effectExtent l="4445" t="4445" r="20955" b="2032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hint="eastAsia" w:ascii="Times New Roman" w:hAnsi="Times New Roman" w:eastAsia="方正仿宋_GBK" w:cs="Times New Roman"/>
          <w:b w:val="0"/>
          <w:bCs w:val="0"/>
          <w:color w:val="auto"/>
          <w:kern w:val="2"/>
          <w:sz w:val="28"/>
          <w:szCs w:val="28"/>
          <w:lang w:val="en-US" w:eastAsia="zh-CN" w:bidi="ar-SA"/>
        </w:rPr>
        <w:t>（</w:t>
      </w:r>
      <w:r>
        <w:rPr>
          <w:rFonts w:hint="default" w:ascii="Times New Roman" w:hAnsi="Times New Roman" w:eastAsia="方正仿宋_GBK" w:cs="Times New Roman"/>
          <w:b w:val="0"/>
          <w:bCs w:val="0"/>
          <w:color w:val="auto"/>
          <w:kern w:val="2"/>
          <w:sz w:val="28"/>
          <w:szCs w:val="28"/>
          <w:lang w:val="en-US" w:eastAsia="zh-CN" w:bidi="ar-SA"/>
        </w:rPr>
        <w:t>图7：</w:t>
      </w:r>
      <w:r>
        <w:rPr>
          <w:rFonts w:hint="eastAsia" w:ascii="Times New Roman" w:hAnsi="Times New Roman" w:eastAsia="方正仿宋_GBK" w:cs="Times New Roman"/>
          <w:b w:val="0"/>
          <w:bCs w:val="0"/>
          <w:color w:val="auto"/>
          <w:kern w:val="2"/>
          <w:sz w:val="28"/>
          <w:szCs w:val="28"/>
          <w:lang w:val="en-US" w:eastAsia="zh-CN" w:bidi="ar-SA"/>
        </w:rPr>
        <w:t>“</w:t>
      </w:r>
      <w:r>
        <w:rPr>
          <w:rFonts w:hint="default" w:ascii="Times New Roman" w:hAnsi="Times New Roman" w:eastAsia="方正仿宋_GBK" w:cs="Times New Roman"/>
          <w:b w:val="0"/>
          <w:bCs w:val="0"/>
          <w:color w:val="auto"/>
          <w:kern w:val="2"/>
          <w:sz w:val="28"/>
          <w:szCs w:val="28"/>
          <w:lang w:val="en-US" w:eastAsia="zh-CN" w:bidi="ar-SA"/>
        </w:rPr>
        <w:t>三公</w:t>
      </w:r>
      <w:r>
        <w:rPr>
          <w:rFonts w:hint="eastAsia" w:ascii="Times New Roman" w:hAnsi="Times New Roman" w:eastAsia="方正仿宋_GBK" w:cs="Times New Roman"/>
          <w:b w:val="0"/>
          <w:bCs w:val="0"/>
          <w:color w:val="auto"/>
          <w:kern w:val="2"/>
          <w:sz w:val="28"/>
          <w:szCs w:val="28"/>
          <w:lang w:val="en-US" w:eastAsia="zh-CN" w:bidi="ar-SA"/>
        </w:rPr>
        <w:t>”</w:t>
      </w:r>
      <w:r>
        <w:rPr>
          <w:rFonts w:hint="default" w:ascii="Times New Roman" w:hAnsi="Times New Roman" w:eastAsia="方正仿宋_GBK" w:cs="Times New Roman"/>
          <w:b w:val="0"/>
          <w:bCs w:val="0"/>
          <w:color w:val="auto"/>
          <w:kern w:val="2"/>
          <w:sz w:val="28"/>
          <w:szCs w:val="28"/>
          <w:lang w:val="en-US" w:eastAsia="zh-CN" w:bidi="ar-SA"/>
        </w:rPr>
        <w:t>经费财政拨款支出结构</w:t>
      </w:r>
      <w:r>
        <w:rPr>
          <w:rFonts w:hint="eastAsia" w:ascii="Times New Roman" w:hAnsi="Times New Roman" w:eastAsia="方正仿宋_GBK" w:cs="Times New Roman"/>
          <w:b w:val="0"/>
          <w:bCs w:val="0"/>
          <w:color w:val="auto"/>
          <w:kern w:val="2"/>
          <w:sz w:val="28"/>
          <w:szCs w:val="28"/>
          <w:lang w:val="en-US" w:eastAsia="zh-CN" w:bidi="ar-SA"/>
        </w:rPr>
        <w:t>）（</w:t>
      </w:r>
      <w:r>
        <w:rPr>
          <w:rFonts w:hint="default" w:ascii="Times New Roman" w:hAnsi="Times New Roman" w:eastAsia="方正仿宋_GBK" w:cs="Times New Roman"/>
          <w:b w:val="0"/>
          <w:bCs w:val="0"/>
          <w:color w:val="auto"/>
          <w:kern w:val="2"/>
          <w:sz w:val="28"/>
          <w:szCs w:val="28"/>
          <w:lang w:val="en-US" w:eastAsia="zh-CN" w:bidi="ar-SA"/>
        </w:rPr>
        <w:t>饼状图</w:t>
      </w:r>
      <w:r>
        <w:rPr>
          <w:rFonts w:hint="eastAsia" w:ascii="Times New Roman" w:hAnsi="Times New Roman" w:eastAsia="方正仿宋_GBK" w:cs="Times New Roman"/>
          <w:b w:val="0"/>
          <w:bCs w:val="0"/>
          <w:color w:val="auto"/>
          <w:kern w:val="2"/>
          <w:sz w:val="28"/>
          <w:szCs w:val="28"/>
          <w:lang w:val="en-US" w:eastAsia="zh-CN" w:bidi="ar-SA"/>
        </w:rPr>
        <w:t>）</w:t>
      </w:r>
    </w:p>
    <w:p w14:paraId="2274BDB9">
      <w:pPr>
        <w:spacing w:line="600" w:lineRule="exact"/>
        <w:ind w:firstLine="64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1.因公出国</w:t>
      </w:r>
      <w:r>
        <w:rPr>
          <w:rFonts w:hint="eastAsia" w:eastAsia="方正仿宋_GBK" w:cs="Times New Roman"/>
          <w:b/>
          <w:sz w:val="32"/>
          <w:szCs w:val="32"/>
          <w:lang w:eastAsia="zh-CN"/>
        </w:rPr>
        <w:t>（</w:t>
      </w:r>
      <w:r>
        <w:rPr>
          <w:rFonts w:hint="default" w:ascii="Times New Roman" w:hAnsi="Times New Roman" w:eastAsia="方正仿宋_GBK" w:cs="Times New Roman"/>
          <w:b/>
          <w:sz w:val="32"/>
          <w:szCs w:val="32"/>
        </w:rPr>
        <w:t>境</w:t>
      </w:r>
      <w:r>
        <w:rPr>
          <w:rFonts w:hint="eastAsia" w:eastAsia="方正仿宋_GBK" w:cs="Times New Roman"/>
          <w:b/>
          <w:sz w:val="32"/>
          <w:szCs w:val="32"/>
          <w:lang w:eastAsia="zh-CN"/>
        </w:rPr>
        <w:t>）</w:t>
      </w:r>
      <w:r>
        <w:rPr>
          <w:rFonts w:hint="default" w:ascii="Times New Roman" w:hAnsi="Times New Roman" w:eastAsia="方正仿宋_GBK" w:cs="Times New Roman"/>
          <w:b/>
          <w:sz w:val="32"/>
          <w:szCs w:val="32"/>
        </w:rPr>
        <w:t>经费支出</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Style w:val="19"/>
          <w:rFonts w:hint="default" w:ascii="Times New Roman" w:hAnsi="Times New Roman" w:eastAsia="方正仿宋_GBK" w:cs="Times New Roman"/>
          <w:b w:val="0"/>
          <w:bCs/>
          <w:sz w:val="32"/>
          <w:szCs w:val="32"/>
        </w:rPr>
        <w:t>完成预算</w:t>
      </w:r>
      <w:r>
        <w:rPr>
          <w:rStyle w:val="19"/>
          <w:rFonts w:hint="default" w:ascii="Times New Roman" w:hAnsi="Times New Roman" w:eastAsia="方正仿宋_GBK" w:cs="Times New Roman"/>
          <w:b w:val="0"/>
          <w:bCs/>
          <w:sz w:val="32"/>
          <w:szCs w:val="32"/>
          <w:lang w:val="en-US" w:eastAsia="zh-CN"/>
        </w:rPr>
        <w:t>0</w:t>
      </w:r>
      <w:r>
        <w:rPr>
          <w:rStyle w:val="19"/>
          <w:rFonts w:hint="default" w:ascii="Times New Roman" w:hAnsi="Times New Roman" w:eastAsia="方正仿宋_GBK" w:cs="Times New Roman"/>
          <w:b w:val="0"/>
          <w:bCs/>
          <w:sz w:val="32"/>
          <w:szCs w:val="32"/>
        </w:rPr>
        <w:t>%。</w:t>
      </w:r>
      <w:r>
        <w:rPr>
          <w:rFonts w:hint="default" w:ascii="Times New Roman" w:hAnsi="Times New Roman" w:eastAsia="方正仿宋_GBK" w:cs="Times New Roman"/>
          <w:sz w:val="32"/>
          <w:szCs w:val="32"/>
        </w:rPr>
        <w:t>全年安排因公出国</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境</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团组</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次，出国</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境</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人。因公出国</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境</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支出决算比202</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年增加/减少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万元，增长/下降</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%。主要</w:t>
      </w:r>
      <w:r>
        <w:rPr>
          <w:rFonts w:hint="eastAsia" w:eastAsia="方正仿宋_GBK" w:cs="Times New Roman"/>
          <w:sz w:val="32"/>
          <w:szCs w:val="32"/>
          <w:lang w:eastAsia="zh-CN"/>
        </w:rPr>
        <w:t>原因</w:t>
      </w:r>
      <w:r>
        <w:rPr>
          <w:rFonts w:hint="default" w:ascii="Times New Roman" w:hAnsi="Times New Roman" w:eastAsia="方正仿宋_GBK" w:cs="Times New Roman"/>
          <w:sz w:val="32"/>
          <w:szCs w:val="32"/>
          <w:lang w:eastAsia="zh-CN"/>
        </w:rPr>
        <w:t>未安排</w:t>
      </w:r>
      <w:r>
        <w:rPr>
          <w:rFonts w:hint="default" w:ascii="Times New Roman" w:hAnsi="Times New Roman" w:eastAsia="方正仿宋_GBK" w:cs="Times New Roman"/>
          <w:sz w:val="32"/>
          <w:szCs w:val="32"/>
        </w:rPr>
        <w:t>因公出国</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境</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w:t>
      </w:r>
    </w:p>
    <w:p w14:paraId="1DEA8FA2">
      <w:pPr>
        <w:spacing w:line="60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2.公务用车购置及运行维护费支出</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color w:val="000000"/>
          <w:kern w:val="2"/>
          <w:sz w:val="32"/>
          <w:szCs w:val="32"/>
          <w:lang w:val="en-US" w:eastAsia="zh-CN"/>
        </w:rPr>
        <w:t>0</w:t>
      </w:r>
      <w:r>
        <w:rPr>
          <w:rFonts w:hint="default" w:ascii="Times New Roman" w:hAnsi="Times New Roman" w:eastAsia="方正仿宋_GBK" w:cs="Times New Roman"/>
          <w:sz w:val="32"/>
          <w:szCs w:val="32"/>
        </w:rPr>
        <w:t>万元,公务用车购置及运行维护费支出决算比202</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年增加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%。其中：</w:t>
      </w:r>
      <w:r>
        <w:rPr>
          <w:rFonts w:hint="default" w:ascii="Times New Roman" w:hAnsi="Times New Roman" w:eastAsia="方正仿宋_GBK" w:cs="Times New Roman"/>
          <w:b/>
          <w:sz w:val="32"/>
          <w:szCs w:val="32"/>
        </w:rPr>
        <w:t>公务用车购置支出</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万元。全年按规定更新购置公务用车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辆，其中：轿车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辆、金额</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万元，越野车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辆、金额</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万元，载客汽车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辆、金额</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年12月底，单位共有公务用车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辆，其中：轿车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辆、越野车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辆、载客汽车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w:t>
      </w:r>
      <w:r>
        <w:rPr>
          <w:rFonts w:hint="default" w:ascii="Times New Roman" w:hAnsi="Times New Roman" w:eastAsia="方正仿宋_GBK" w:cs="Times New Roman"/>
          <w:b/>
          <w:sz w:val="32"/>
          <w:szCs w:val="32"/>
        </w:rPr>
        <w:t>公务用车运行维护费支出</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主要用于所需的公务用车燃料费、维修费、过路过桥费、保险费等支出。</w:t>
      </w:r>
    </w:p>
    <w:p w14:paraId="66967635">
      <w:pPr>
        <w:spacing w:line="60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3.公务接待费支出</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lang w:val="en-US" w:eastAsia="zh-CN"/>
        </w:rPr>
        <w:t>0</w:t>
      </w:r>
      <w:r>
        <w:rPr>
          <w:rFonts w:hint="default" w:ascii="Times New Roman" w:hAnsi="Times New Roman" w:eastAsia="方正仿宋_GBK" w:cs="Times New Roman"/>
          <w:sz w:val="32"/>
          <w:szCs w:val="32"/>
        </w:rPr>
        <w:t>万元，公务接待费支出决算比202</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年减少</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万元，下降</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%。主要</w:t>
      </w:r>
      <w:r>
        <w:rPr>
          <w:rFonts w:hint="eastAsia" w:eastAsia="方正仿宋_GBK" w:cs="Times New Roman"/>
          <w:sz w:val="32"/>
          <w:szCs w:val="32"/>
          <w:lang w:eastAsia="zh-CN"/>
        </w:rPr>
        <w:t>原因</w:t>
      </w:r>
      <w:r>
        <w:rPr>
          <w:rFonts w:hint="default" w:ascii="Times New Roman" w:hAnsi="Times New Roman" w:eastAsia="方正仿宋_GBK" w:cs="Times New Roman"/>
          <w:sz w:val="32"/>
          <w:szCs w:val="32"/>
          <w:lang w:eastAsia="zh-CN"/>
        </w:rPr>
        <w:t>厉行勤俭节约</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其中：</w:t>
      </w:r>
      <w:r>
        <w:rPr>
          <w:rFonts w:hint="default" w:ascii="Times New Roman" w:hAnsi="Times New Roman" w:eastAsia="方正仿宋_GBK" w:cs="Times New Roman"/>
          <w:b/>
          <w:sz w:val="32"/>
          <w:szCs w:val="32"/>
        </w:rPr>
        <w:t>国内公务接待支出</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lang w:val="en-US" w:eastAsia="zh-CN"/>
        </w:rPr>
        <w:t>0</w:t>
      </w:r>
      <w:r>
        <w:rPr>
          <w:rFonts w:hint="default" w:ascii="Times New Roman" w:hAnsi="Times New Roman" w:eastAsia="方正仿宋_GBK" w:cs="Times New Roman"/>
          <w:sz w:val="32"/>
          <w:szCs w:val="32"/>
        </w:rPr>
        <w:t>万元，主要用于执行公务、开展业务活动开支的交通费、住宿费、用餐费等，共计支出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b/>
          <w:sz w:val="32"/>
          <w:szCs w:val="32"/>
        </w:rPr>
        <w:t>外事接待支出</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万元，外事接待</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批次，</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人，共计支出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w:t>
      </w:r>
      <w:bookmarkStart w:id="59" w:name="_Toc15396610"/>
      <w:bookmarkStart w:id="60" w:name="_Toc15377218"/>
    </w:p>
    <w:p w14:paraId="23984562">
      <w:pPr>
        <w:pStyle w:val="31"/>
        <w:numPr>
          <w:ilvl w:val="0"/>
          <w:numId w:val="0"/>
        </w:numPr>
        <w:spacing w:line="600" w:lineRule="exact"/>
        <w:ind w:left="1360" w:leftChars="0" w:hanging="720" w:firstLineChars="0"/>
        <w:outlineLvl w:val="1"/>
        <w:rPr>
          <w:rFonts w:hint="default" w:ascii="方正黑体_GBK" w:hAnsi="方正黑体_GBK" w:eastAsia="方正黑体_GBK" w:cs="方正黑体_GBK"/>
          <w:b w:val="0"/>
          <w:bCs/>
          <w:kern w:val="2"/>
          <w:sz w:val="32"/>
          <w:szCs w:val="32"/>
          <w:lang w:val="en-US" w:eastAsia="zh-CN" w:bidi="ar-SA"/>
        </w:rPr>
      </w:pPr>
      <w:bookmarkStart w:id="61" w:name="_Toc2139"/>
      <w:r>
        <w:rPr>
          <w:rFonts w:hint="default" w:ascii="方正黑体_GBK" w:hAnsi="方正黑体_GBK" w:eastAsia="方正黑体_GBK" w:cs="方正黑体_GBK"/>
          <w:b w:val="0"/>
          <w:bCs/>
          <w:kern w:val="2"/>
          <w:sz w:val="32"/>
          <w:szCs w:val="32"/>
          <w:lang w:val="en-US" w:eastAsia="zh-CN" w:bidi="ar-SA"/>
        </w:rPr>
        <w:t>八、政府性基金预算支出决算情况说明</w:t>
      </w:r>
      <w:bookmarkEnd w:id="59"/>
      <w:bookmarkEnd w:id="60"/>
      <w:bookmarkEnd w:id="61"/>
    </w:p>
    <w:p w14:paraId="236CC7C3">
      <w:pPr>
        <w:spacing w:line="600" w:lineRule="exact"/>
        <w:ind w:firstLine="640"/>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sz w:val="32"/>
          <w:szCs w:val="32"/>
        </w:rPr>
        <w:t>202</w:t>
      </w:r>
      <w:r>
        <w:rPr>
          <w:rFonts w:hint="default" w:ascii="Times New Roman" w:hAnsi="Times New Roman" w:eastAsia="方正仿宋_GBK" w:cs="Times New Roman"/>
          <w:b w:val="0"/>
          <w:bCs/>
          <w:sz w:val="32"/>
          <w:szCs w:val="32"/>
          <w:lang w:val="en-US" w:eastAsia="zh-CN"/>
        </w:rPr>
        <w:t>2</w:t>
      </w:r>
      <w:r>
        <w:rPr>
          <w:rFonts w:hint="default" w:ascii="Times New Roman" w:hAnsi="Times New Roman" w:eastAsia="方正仿宋_GBK" w:cs="Times New Roman"/>
          <w:b w:val="0"/>
          <w:bCs/>
          <w:sz w:val="32"/>
          <w:szCs w:val="32"/>
        </w:rPr>
        <w:t>年政府性基金预算财政拨款支出</w:t>
      </w:r>
      <w:r>
        <w:rPr>
          <w:rFonts w:hint="default" w:ascii="Times New Roman" w:hAnsi="Times New Roman" w:eastAsia="方正仿宋_GBK" w:cs="Times New Roman"/>
          <w:b w:val="0"/>
          <w:bCs/>
          <w:sz w:val="32"/>
          <w:szCs w:val="32"/>
          <w:lang w:val="en-US" w:eastAsia="zh-CN"/>
        </w:rPr>
        <w:t>0</w:t>
      </w:r>
      <w:r>
        <w:rPr>
          <w:rFonts w:hint="default" w:ascii="Times New Roman" w:hAnsi="Times New Roman" w:eastAsia="方正仿宋_GBK" w:cs="Times New Roman"/>
          <w:b w:val="0"/>
          <w:bCs/>
          <w:sz w:val="32"/>
          <w:szCs w:val="32"/>
        </w:rPr>
        <w:t>万元。</w:t>
      </w:r>
    </w:p>
    <w:p w14:paraId="654810E0">
      <w:pPr>
        <w:spacing w:line="600" w:lineRule="exact"/>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sz w:val="32"/>
          <w:szCs w:val="32"/>
        </w:rPr>
        <w:t>202</w:t>
      </w:r>
      <w:r>
        <w:rPr>
          <w:rFonts w:hint="default" w:ascii="Times New Roman" w:hAnsi="Times New Roman" w:eastAsia="方正仿宋_GBK" w:cs="Times New Roman"/>
          <w:b w:val="0"/>
          <w:bCs/>
          <w:sz w:val="32"/>
          <w:szCs w:val="32"/>
          <w:lang w:val="en-US" w:eastAsia="zh-CN"/>
        </w:rPr>
        <w:t>2</w:t>
      </w:r>
      <w:r>
        <w:rPr>
          <w:rFonts w:hint="default" w:ascii="Times New Roman" w:hAnsi="Times New Roman" w:eastAsia="方正仿宋_GBK" w:cs="Times New Roman"/>
          <w:b w:val="0"/>
          <w:bCs/>
          <w:sz w:val="32"/>
          <w:szCs w:val="32"/>
        </w:rPr>
        <w:t>年国有资本经营预算财政拨款支出</w:t>
      </w:r>
      <w:r>
        <w:rPr>
          <w:rFonts w:hint="default" w:ascii="Times New Roman" w:hAnsi="Times New Roman" w:eastAsia="方正仿宋_GBK" w:cs="Times New Roman"/>
          <w:b w:val="0"/>
          <w:bCs/>
          <w:sz w:val="32"/>
          <w:szCs w:val="32"/>
          <w:lang w:val="en-US" w:eastAsia="zh-CN"/>
        </w:rPr>
        <w:t>0</w:t>
      </w:r>
      <w:r>
        <w:rPr>
          <w:rFonts w:hint="default" w:ascii="Times New Roman" w:hAnsi="Times New Roman" w:eastAsia="方正仿宋_GBK" w:cs="Times New Roman"/>
          <w:b w:val="0"/>
          <w:bCs/>
          <w:sz w:val="32"/>
          <w:szCs w:val="32"/>
        </w:rPr>
        <w:t>万元。</w:t>
      </w:r>
    </w:p>
    <w:p w14:paraId="48030D76">
      <w:pPr>
        <w:numPr>
          <w:ilvl w:val="0"/>
          <w:numId w:val="0"/>
        </w:numPr>
        <w:spacing w:line="600" w:lineRule="exact"/>
        <w:ind w:firstLine="640" w:firstLineChars="0"/>
        <w:outlineLvl w:val="1"/>
        <w:rPr>
          <w:rFonts w:hint="default" w:ascii="方正黑体_GBK" w:hAnsi="方正黑体_GBK" w:eastAsia="方正黑体_GBK" w:cs="方正黑体_GBK"/>
          <w:b w:val="0"/>
          <w:bCs/>
          <w:kern w:val="2"/>
          <w:sz w:val="32"/>
          <w:szCs w:val="32"/>
          <w:lang w:val="en-US" w:eastAsia="zh-CN" w:bidi="ar-SA"/>
        </w:rPr>
      </w:pPr>
      <w:bookmarkStart w:id="62" w:name="_Toc15396611"/>
      <w:bookmarkStart w:id="63" w:name="_Toc16251"/>
      <w:bookmarkStart w:id="64" w:name="_Toc15377219"/>
      <w:r>
        <w:rPr>
          <w:rFonts w:hint="eastAsia" w:ascii="方正黑体_GBK" w:hAnsi="方正黑体_GBK" w:eastAsia="方正黑体_GBK" w:cs="方正黑体_GBK"/>
          <w:b w:val="0"/>
          <w:bCs/>
          <w:kern w:val="2"/>
          <w:sz w:val="32"/>
          <w:szCs w:val="32"/>
          <w:lang w:val="en-US" w:eastAsia="zh-CN" w:bidi="ar-SA"/>
        </w:rPr>
        <w:t>九、</w:t>
      </w:r>
      <w:r>
        <w:rPr>
          <w:rFonts w:hint="default" w:ascii="方正黑体_GBK" w:hAnsi="方正黑体_GBK" w:eastAsia="方正黑体_GBK" w:cs="方正黑体_GBK"/>
          <w:b w:val="0"/>
          <w:bCs/>
          <w:kern w:val="2"/>
          <w:sz w:val="32"/>
          <w:szCs w:val="32"/>
          <w:lang w:val="en-US" w:eastAsia="zh-CN" w:bidi="ar-SA"/>
        </w:rPr>
        <w:t>国有资本经营预算支出决算情况说明</w:t>
      </w:r>
      <w:bookmarkEnd w:id="62"/>
      <w:bookmarkEnd w:id="63"/>
      <w:bookmarkEnd w:id="64"/>
    </w:p>
    <w:p w14:paraId="6310368E">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cs="Times New Roman"/>
          <w:b w:val="0"/>
          <w:bCs/>
          <w:kern w:val="2"/>
          <w:sz w:val="32"/>
          <w:szCs w:val="32"/>
          <w:lang w:val="en-US" w:eastAsia="zh-CN" w:bidi="ar-SA"/>
        </w:rPr>
      </w:pPr>
      <w:r>
        <w:rPr>
          <w:rFonts w:hint="eastAsia" w:ascii="Times New Roman" w:hAnsi="Times New Roman" w:eastAsia="方正仿宋_GBK" w:cs="Times New Roman"/>
          <w:b w:val="0"/>
          <w:bCs/>
          <w:kern w:val="2"/>
          <w:sz w:val="32"/>
          <w:szCs w:val="32"/>
          <w:lang w:val="en-US" w:eastAsia="zh-CN" w:bidi="ar-SA"/>
        </w:rPr>
        <w:t>无。</w:t>
      </w:r>
    </w:p>
    <w:p w14:paraId="5A881C4D">
      <w:pPr>
        <w:numPr>
          <w:ilvl w:val="0"/>
          <w:numId w:val="0"/>
        </w:numPr>
        <w:spacing w:line="600" w:lineRule="exact"/>
        <w:ind w:firstLine="640" w:firstLineChars="0"/>
        <w:outlineLvl w:val="1"/>
        <w:rPr>
          <w:rFonts w:hint="default" w:ascii="方正黑体_GBK" w:hAnsi="方正黑体_GBK" w:eastAsia="方正黑体_GBK" w:cs="方正黑体_GBK"/>
          <w:b w:val="0"/>
          <w:bCs/>
          <w:kern w:val="2"/>
          <w:sz w:val="32"/>
          <w:szCs w:val="32"/>
          <w:lang w:val="en-US" w:eastAsia="zh-CN" w:bidi="ar-SA"/>
        </w:rPr>
      </w:pPr>
      <w:bookmarkStart w:id="65" w:name="_Toc15396612"/>
      <w:bookmarkStart w:id="66" w:name="_Toc15377221"/>
      <w:bookmarkStart w:id="67" w:name="_Toc4368"/>
      <w:r>
        <w:rPr>
          <w:rFonts w:hint="eastAsia" w:ascii="方正黑体_GBK" w:hAnsi="方正黑体_GBK" w:eastAsia="方正黑体_GBK" w:cs="方正黑体_GBK"/>
          <w:b w:val="0"/>
          <w:bCs/>
          <w:kern w:val="2"/>
          <w:sz w:val="32"/>
          <w:szCs w:val="32"/>
          <w:lang w:val="en-US" w:eastAsia="zh-CN" w:bidi="ar-SA"/>
        </w:rPr>
        <w:t>十、</w:t>
      </w:r>
      <w:r>
        <w:rPr>
          <w:rFonts w:hint="default" w:ascii="方正黑体_GBK" w:hAnsi="方正黑体_GBK" w:eastAsia="方正黑体_GBK" w:cs="方正黑体_GBK"/>
          <w:b w:val="0"/>
          <w:bCs/>
          <w:kern w:val="2"/>
          <w:sz w:val="32"/>
          <w:szCs w:val="32"/>
          <w:lang w:val="en-US" w:eastAsia="zh-CN" w:bidi="ar-SA"/>
        </w:rPr>
        <w:t>其他重要事项的情况说明</w:t>
      </w:r>
      <w:bookmarkEnd w:id="65"/>
      <w:bookmarkEnd w:id="66"/>
      <w:bookmarkEnd w:id="67"/>
    </w:p>
    <w:p w14:paraId="0CE657EB">
      <w:pPr>
        <w:spacing w:line="600" w:lineRule="exact"/>
        <w:ind w:firstLine="643" w:firstLineChars="200"/>
        <w:outlineLvl w:val="2"/>
        <w:rPr>
          <w:rFonts w:hint="default" w:ascii="Times New Roman" w:hAnsi="Times New Roman" w:eastAsia="方正仿宋_GBK" w:cs="Times New Roman"/>
          <w:b/>
          <w:bCs w:val="0"/>
          <w:sz w:val="32"/>
          <w:szCs w:val="32"/>
        </w:rPr>
      </w:pPr>
      <w:bookmarkStart w:id="68" w:name="_Toc15377222"/>
      <w:r>
        <w:rPr>
          <w:rFonts w:hint="eastAsia" w:eastAsia="方正仿宋_GBK" w:cs="Times New Roman"/>
          <w:b/>
          <w:bCs w:val="0"/>
          <w:sz w:val="32"/>
          <w:szCs w:val="32"/>
          <w:lang w:eastAsia="zh-CN"/>
        </w:rPr>
        <w:t>（</w:t>
      </w:r>
      <w:r>
        <w:rPr>
          <w:rFonts w:hint="default" w:ascii="Times New Roman" w:hAnsi="Times New Roman" w:eastAsia="方正仿宋_GBK" w:cs="Times New Roman"/>
          <w:b/>
          <w:bCs w:val="0"/>
          <w:sz w:val="32"/>
          <w:szCs w:val="32"/>
        </w:rPr>
        <w:t>一</w:t>
      </w:r>
      <w:r>
        <w:rPr>
          <w:rFonts w:hint="eastAsia" w:eastAsia="方正仿宋_GBK" w:cs="Times New Roman"/>
          <w:b/>
          <w:bCs w:val="0"/>
          <w:sz w:val="32"/>
          <w:szCs w:val="32"/>
          <w:lang w:eastAsia="zh-CN"/>
        </w:rPr>
        <w:t>）</w:t>
      </w:r>
      <w:r>
        <w:rPr>
          <w:rFonts w:hint="default" w:ascii="Times New Roman" w:hAnsi="Times New Roman" w:eastAsia="方正仿宋_GBK" w:cs="Times New Roman"/>
          <w:b/>
          <w:bCs w:val="0"/>
          <w:sz w:val="32"/>
          <w:szCs w:val="32"/>
        </w:rPr>
        <w:t>机关运行经费支出情况</w:t>
      </w:r>
      <w:bookmarkEnd w:id="68"/>
    </w:p>
    <w:p w14:paraId="5C2AED91">
      <w:pPr>
        <w:spacing w:line="60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年，机关运行经费支出</w:t>
      </w:r>
      <w:r>
        <w:rPr>
          <w:rFonts w:hint="default" w:ascii="Times New Roman" w:hAnsi="Times New Roman" w:eastAsia="方正仿宋_GBK" w:cs="Times New Roman"/>
          <w:color w:val="000000"/>
          <w:kern w:val="2"/>
          <w:sz w:val="32"/>
          <w:szCs w:val="32"/>
          <w:lang w:val="zh-CN"/>
        </w:rPr>
        <w:t>10.21</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highlight w:val="none"/>
        </w:rPr>
        <w:t>比202</w:t>
      </w: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年减少</w:t>
      </w:r>
      <w:r>
        <w:rPr>
          <w:rFonts w:hint="default" w:ascii="Times New Roman" w:hAnsi="Times New Roman" w:eastAsia="方正仿宋_GBK" w:cs="Times New Roman"/>
          <w:sz w:val="32"/>
          <w:szCs w:val="32"/>
          <w:highlight w:val="none"/>
          <w:lang w:val="en-US" w:eastAsia="zh-CN"/>
        </w:rPr>
        <w:t>1.22</w:t>
      </w:r>
      <w:r>
        <w:rPr>
          <w:rFonts w:hint="default" w:ascii="Times New Roman" w:hAnsi="Times New Roman" w:eastAsia="方正仿宋_GBK" w:cs="Times New Roman"/>
          <w:sz w:val="32"/>
          <w:szCs w:val="32"/>
          <w:highlight w:val="none"/>
        </w:rPr>
        <w:t>万元，减少</w:t>
      </w:r>
      <w:r>
        <w:rPr>
          <w:rFonts w:hint="default" w:ascii="Times New Roman" w:hAnsi="Times New Roman" w:eastAsia="方正仿宋_GBK" w:cs="Times New Roman"/>
          <w:sz w:val="32"/>
          <w:szCs w:val="32"/>
          <w:highlight w:val="none"/>
          <w:lang w:val="en-US" w:eastAsia="zh-CN"/>
        </w:rPr>
        <w:t>11.95</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rPr>
        <w:t>主要</w:t>
      </w:r>
      <w:r>
        <w:rPr>
          <w:rFonts w:hint="eastAsia" w:eastAsia="方正仿宋_GBK" w:cs="Times New Roman"/>
          <w:sz w:val="32"/>
          <w:szCs w:val="32"/>
          <w:lang w:eastAsia="zh-CN"/>
        </w:rPr>
        <w:t>原因</w:t>
      </w:r>
      <w:r>
        <w:rPr>
          <w:rFonts w:hint="default" w:ascii="Times New Roman" w:hAnsi="Times New Roman" w:eastAsia="方正仿宋_GBK" w:cs="Times New Roman"/>
          <w:sz w:val="32"/>
          <w:szCs w:val="32"/>
          <w:lang w:eastAsia="zh-CN"/>
        </w:rPr>
        <w:t>人员减少，公用经费相应减少。</w:t>
      </w:r>
    </w:p>
    <w:p w14:paraId="41AED0CB">
      <w:pPr>
        <w:autoSpaceDE w:val="0"/>
        <w:autoSpaceDN w:val="0"/>
        <w:adjustRightInd w:val="0"/>
        <w:spacing w:line="600" w:lineRule="exact"/>
        <w:ind w:firstLine="643" w:firstLineChars="200"/>
        <w:jc w:val="left"/>
        <w:outlineLvl w:val="2"/>
        <w:rPr>
          <w:rFonts w:hint="default" w:ascii="Times New Roman" w:hAnsi="Times New Roman" w:eastAsia="方正仿宋_GBK" w:cs="Times New Roman"/>
          <w:b/>
          <w:bCs w:val="0"/>
          <w:sz w:val="32"/>
          <w:szCs w:val="32"/>
        </w:rPr>
      </w:pPr>
      <w:bookmarkStart w:id="69" w:name="_Toc15377223"/>
      <w:r>
        <w:rPr>
          <w:rFonts w:hint="eastAsia" w:eastAsia="方正仿宋_GBK" w:cs="Times New Roman"/>
          <w:b/>
          <w:bCs w:val="0"/>
          <w:sz w:val="32"/>
          <w:szCs w:val="32"/>
          <w:lang w:eastAsia="zh-CN"/>
        </w:rPr>
        <w:t>（</w:t>
      </w:r>
      <w:r>
        <w:rPr>
          <w:rFonts w:hint="default" w:ascii="Times New Roman" w:hAnsi="Times New Roman" w:eastAsia="方正仿宋_GBK" w:cs="Times New Roman"/>
          <w:b/>
          <w:bCs w:val="0"/>
          <w:sz w:val="32"/>
          <w:szCs w:val="32"/>
        </w:rPr>
        <w:t>二</w:t>
      </w:r>
      <w:r>
        <w:rPr>
          <w:rFonts w:hint="eastAsia" w:eastAsia="方正仿宋_GBK" w:cs="Times New Roman"/>
          <w:b/>
          <w:bCs w:val="0"/>
          <w:sz w:val="32"/>
          <w:szCs w:val="32"/>
          <w:lang w:eastAsia="zh-CN"/>
        </w:rPr>
        <w:t>）</w:t>
      </w:r>
      <w:r>
        <w:rPr>
          <w:rFonts w:hint="default" w:ascii="Times New Roman" w:hAnsi="Times New Roman" w:eastAsia="方正仿宋_GBK" w:cs="Times New Roman"/>
          <w:b/>
          <w:bCs w:val="0"/>
          <w:sz w:val="32"/>
          <w:szCs w:val="32"/>
        </w:rPr>
        <w:t>政府采购支出情况</w:t>
      </w:r>
      <w:bookmarkEnd w:id="69"/>
    </w:p>
    <w:p w14:paraId="6F84AFFA">
      <w:pPr>
        <w:spacing w:line="600" w:lineRule="exact"/>
        <w:ind w:firstLine="640" w:firstLineChars="200"/>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年，政府采购支出总额</w:t>
      </w:r>
      <w:r>
        <w:rPr>
          <w:rFonts w:hint="default" w:ascii="Times New Roman" w:hAnsi="Times New Roman" w:eastAsia="方正仿宋_GBK" w:cs="Times New Roman"/>
          <w:color w:val="000000"/>
          <w:kern w:val="2"/>
          <w:sz w:val="32"/>
          <w:szCs w:val="32"/>
          <w:lang w:val="zh-CN"/>
        </w:rPr>
        <w:t>250.46</w:t>
      </w:r>
      <w:r>
        <w:rPr>
          <w:rFonts w:hint="default" w:ascii="Times New Roman" w:hAnsi="Times New Roman" w:eastAsia="方正仿宋_GBK" w:cs="Times New Roman"/>
          <w:sz w:val="32"/>
          <w:szCs w:val="32"/>
        </w:rPr>
        <w:t>万元，其中：政府采购货物支出</w:t>
      </w:r>
      <w:r>
        <w:rPr>
          <w:rFonts w:hint="default" w:ascii="Times New Roman" w:hAnsi="Times New Roman" w:eastAsia="方正仿宋_GBK" w:cs="Times New Roman"/>
          <w:sz w:val="32"/>
          <w:szCs w:val="32"/>
          <w:lang w:val="en-US" w:eastAsia="zh-CN"/>
        </w:rPr>
        <w:t>67.58</w:t>
      </w:r>
      <w:r>
        <w:rPr>
          <w:rFonts w:hint="default" w:ascii="Times New Roman" w:hAnsi="Times New Roman" w:eastAsia="方正仿宋_GBK" w:cs="Times New Roman"/>
          <w:sz w:val="32"/>
          <w:szCs w:val="32"/>
        </w:rPr>
        <w:t>万元、政府采购工程支出</w:t>
      </w:r>
      <w:r>
        <w:rPr>
          <w:rFonts w:hint="default" w:ascii="Times New Roman" w:hAnsi="Times New Roman" w:eastAsia="方正仿宋_GBK" w:cs="Times New Roman"/>
          <w:sz w:val="32"/>
          <w:szCs w:val="32"/>
          <w:lang w:val="en-US" w:eastAsia="zh-CN"/>
        </w:rPr>
        <w:t>182.88</w:t>
      </w:r>
      <w:r>
        <w:rPr>
          <w:rFonts w:hint="default" w:ascii="Times New Roman" w:hAnsi="Times New Roman" w:eastAsia="方正仿宋_GBK" w:cs="Times New Roman"/>
          <w:sz w:val="32"/>
          <w:szCs w:val="32"/>
        </w:rPr>
        <w:t>万元、政府采购服务支出</w:t>
      </w:r>
      <w:r>
        <w:rPr>
          <w:rFonts w:hint="default" w:ascii="Times New Roman" w:hAnsi="Times New Roman" w:eastAsia="方正仿宋_GBK" w:cs="Times New Roman"/>
          <w:color w:val="000000"/>
          <w:kern w:val="2"/>
          <w:sz w:val="32"/>
          <w:szCs w:val="32"/>
          <w:lang w:val="en-US" w:eastAsia="zh-CN"/>
        </w:rPr>
        <w:t>0</w:t>
      </w:r>
      <w:r>
        <w:rPr>
          <w:rFonts w:hint="default" w:ascii="Times New Roman" w:hAnsi="Times New Roman" w:eastAsia="方正仿宋_GBK" w:cs="Times New Roman"/>
          <w:sz w:val="32"/>
          <w:szCs w:val="32"/>
        </w:rPr>
        <w:t>万元。</w:t>
      </w:r>
    </w:p>
    <w:p w14:paraId="7C19461F">
      <w:pPr>
        <w:autoSpaceDE w:val="0"/>
        <w:autoSpaceDN w:val="0"/>
        <w:adjustRightInd w:val="0"/>
        <w:spacing w:line="600" w:lineRule="exact"/>
        <w:ind w:firstLine="643" w:firstLineChars="200"/>
        <w:jc w:val="left"/>
        <w:outlineLvl w:val="2"/>
        <w:rPr>
          <w:rFonts w:hint="default" w:ascii="Times New Roman" w:hAnsi="Times New Roman" w:eastAsia="方正仿宋_GBK" w:cs="Times New Roman"/>
          <w:b/>
          <w:bCs w:val="0"/>
          <w:sz w:val="32"/>
          <w:szCs w:val="32"/>
        </w:rPr>
      </w:pPr>
      <w:bookmarkStart w:id="70" w:name="_Toc15377224"/>
      <w:r>
        <w:rPr>
          <w:rFonts w:hint="eastAsia" w:eastAsia="方正仿宋_GBK" w:cs="Times New Roman"/>
          <w:b/>
          <w:bCs w:val="0"/>
          <w:sz w:val="32"/>
          <w:szCs w:val="32"/>
          <w:lang w:eastAsia="zh-CN"/>
        </w:rPr>
        <w:t>（</w:t>
      </w:r>
      <w:r>
        <w:rPr>
          <w:rFonts w:hint="default" w:ascii="Times New Roman" w:hAnsi="Times New Roman" w:eastAsia="方正仿宋_GBK" w:cs="Times New Roman"/>
          <w:b/>
          <w:bCs w:val="0"/>
          <w:sz w:val="32"/>
          <w:szCs w:val="32"/>
        </w:rPr>
        <w:t>三</w:t>
      </w:r>
      <w:r>
        <w:rPr>
          <w:rFonts w:hint="eastAsia" w:eastAsia="方正仿宋_GBK" w:cs="Times New Roman"/>
          <w:b/>
          <w:bCs w:val="0"/>
          <w:sz w:val="32"/>
          <w:szCs w:val="32"/>
          <w:lang w:eastAsia="zh-CN"/>
        </w:rPr>
        <w:t>）</w:t>
      </w:r>
      <w:r>
        <w:rPr>
          <w:rFonts w:hint="default" w:ascii="Times New Roman" w:hAnsi="Times New Roman" w:eastAsia="方正仿宋_GBK" w:cs="Times New Roman"/>
          <w:b/>
          <w:bCs w:val="0"/>
          <w:sz w:val="32"/>
          <w:szCs w:val="32"/>
        </w:rPr>
        <w:t>国有资产占有使用情况</w:t>
      </w:r>
      <w:bookmarkEnd w:id="70"/>
    </w:p>
    <w:p w14:paraId="2B516317">
      <w:pPr>
        <w:autoSpaceDE w:val="0"/>
        <w:autoSpaceDN w:val="0"/>
        <w:adjustRightInd w:val="0"/>
        <w:spacing w:line="600" w:lineRule="exact"/>
        <w:ind w:firstLine="640" w:firstLineChars="2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年12月31日共有车辆</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辆，其中：主要领导干部用车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辆、机要通信用车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辆、应急保障用车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辆、其他用车</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单价50万元以上通用设备</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台</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套</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，单价100万元以上专用设备</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台</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套</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w:t>
      </w:r>
    </w:p>
    <w:p w14:paraId="58502A08">
      <w:pPr>
        <w:autoSpaceDE w:val="0"/>
        <w:autoSpaceDN w:val="0"/>
        <w:adjustRightInd w:val="0"/>
        <w:spacing w:line="600" w:lineRule="exact"/>
        <w:ind w:firstLine="643" w:firstLineChars="200"/>
        <w:jc w:val="left"/>
        <w:outlineLvl w:val="2"/>
        <w:rPr>
          <w:rFonts w:hint="default" w:ascii="Times New Roman" w:hAnsi="Times New Roman" w:eastAsia="方正仿宋_GBK" w:cs="Times New Roman"/>
          <w:b/>
          <w:bCs w:val="0"/>
          <w:sz w:val="32"/>
          <w:szCs w:val="32"/>
        </w:rPr>
      </w:pPr>
      <w:r>
        <w:rPr>
          <w:rFonts w:hint="eastAsia" w:eastAsia="方正仿宋_GBK" w:cs="Times New Roman"/>
          <w:b/>
          <w:bCs w:val="0"/>
          <w:sz w:val="32"/>
          <w:szCs w:val="32"/>
          <w:lang w:eastAsia="zh-CN"/>
        </w:rPr>
        <w:t>（</w:t>
      </w:r>
      <w:r>
        <w:rPr>
          <w:rFonts w:hint="default" w:ascii="Times New Roman" w:hAnsi="Times New Roman" w:eastAsia="方正仿宋_GBK" w:cs="Times New Roman"/>
          <w:b/>
          <w:bCs w:val="0"/>
          <w:sz w:val="32"/>
          <w:szCs w:val="32"/>
        </w:rPr>
        <w:t>四</w:t>
      </w:r>
      <w:r>
        <w:rPr>
          <w:rFonts w:hint="eastAsia" w:eastAsia="方正仿宋_GBK" w:cs="Times New Roman"/>
          <w:b/>
          <w:bCs w:val="0"/>
          <w:sz w:val="32"/>
          <w:szCs w:val="32"/>
          <w:lang w:eastAsia="zh-CN"/>
        </w:rPr>
        <w:t>）</w:t>
      </w:r>
      <w:r>
        <w:rPr>
          <w:rFonts w:hint="default" w:ascii="Times New Roman" w:hAnsi="Times New Roman" w:eastAsia="方正仿宋_GBK" w:cs="Times New Roman"/>
          <w:b/>
          <w:bCs w:val="0"/>
          <w:sz w:val="32"/>
          <w:szCs w:val="32"/>
        </w:rPr>
        <w:t>预算绩效管理情况</w:t>
      </w:r>
    </w:p>
    <w:p w14:paraId="5732AEFD">
      <w:pPr>
        <w:spacing w:line="580" w:lineRule="exact"/>
        <w:ind w:firstLine="640"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sz w:val="32"/>
          <w:szCs w:val="32"/>
        </w:rPr>
        <w:t>根据预算绩效管理要求，本部门在202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年度预算编制阶段，组织对项目开展了预算事前绩效评估，对项目编制了绩效目标，预算执行过程中，</w:t>
      </w:r>
      <w:r>
        <w:rPr>
          <w:rFonts w:hint="default" w:ascii="Times New Roman" w:hAnsi="Times New Roman" w:eastAsia="方正仿宋_GBK" w:cs="Times New Roman"/>
          <w:sz w:val="32"/>
          <w:szCs w:val="32"/>
          <w:lang w:val="en-US" w:eastAsia="zh-CN"/>
        </w:rPr>
        <w:t>进行</w:t>
      </w:r>
      <w:r>
        <w:rPr>
          <w:rFonts w:hint="default" w:ascii="Times New Roman" w:hAnsi="Times New Roman" w:eastAsia="方正仿宋_GBK" w:cs="Times New Roman"/>
          <w:sz w:val="32"/>
          <w:szCs w:val="32"/>
        </w:rPr>
        <w:t>项目开展绩效监控，年终执行完毕后，对项目开展了绩效自评。</w:t>
      </w:r>
      <w:r>
        <w:rPr>
          <w:rFonts w:hint="default" w:ascii="Times New Roman" w:hAnsi="Times New Roman" w:eastAsia="方正仿宋_GBK" w:cs="Times New Roman"/>
          <w:b/>
          <w:sz w:val="32"/>
          <w:szCs w:val="32"/>
        </w:rPr>
        <w:br w:type="page"/>
      </w:r>
    </w:p>
    <w:p w14:paraId="266C2B85">
      <w:pPr>
        <w:spacing w:line="600" w:lineRule="exact"/>
        <w:jc w:val="center"/>
        <w:outlineLvl w:val="0"/>
        <w:rPr>
          <w:rFonts w:hint="default" w:ascii="方正小标宋_GBK" w:hAnsi="方正小标宋_GBK" w:eastAsia="方正小标宋_GBK" w:cs="方正小标宋_GBK"/>
          <w:b w:val="0"/>
          <w:bCs w:val="0"/>
          <w:kern w:val="44"/>
          <w:sz w:val="44"/>
          <w:szCs w:val="44"/>
          <w:lang w:val="en-US" w:eastAsia="zh-CN" w:bidi="ar-SA"/>
        </w:rPr>
      </w:pPr>
      <w:bookmarkStart w:id="71" w:name="_Toc14628"/>
      <w:bookmarkStart w:id="72" w:name="_Toc15396613"/>
      <w:bookmarkStart w:id="73" w:name="_Toc15377225"/>
      <w:r>
        <w:rPr>
          <w:rFonts w:hint="eastAsia" w:ascii="方正小标宋_GBK" w:hAnsi="方正小标宋_GBK" w:eastAsia="方正小标宋_GBK" w:cs="方正小标宋_GBK"/>
          <w:b w:val="0"/>
          <w:bCs w:val="0"/>
          <w:kern w:val="44"/>
          <w:sz w:val="44"/>
          <w:szCs w:val="44"/>
          <w:lang w:val="en-US" w:eastAsia="zh-CN" w:bidi="ar-SA"/>
        </w:rPr>
        <w:t xml:space="preserve">第三部分 </w:t>
      </w:r>
      <w:r>
        <w:rPr>
          <w:rFonts w:hint="default" w:ascii="方正小标宋_GBK" w:hAnsi="方正小标宋_GBK" w:eastAsia="方正小标宋_GBK" w:cs="方正小标宋_GBK"/>
          <w:b w:val="0"/>
          <w:bCs w:val="0"/>
          <w:kern w:val="44"/>
          <w:sz w:val="44"/>
          <w:szCs w:val="44"/>
          <w:lang w:val="en-US" w:eastAsia="zh-CN" w:bidi="ar-SA"/>
        </w:rPr>
        <w:t>名词解释</w:t>
      </w:r>
      <w:bookmarkEnd w:id="71"/>
      <w:bookmarkEnd w:id="72"/>
      <w:bookmarkEnd w:id="73"/>
    </w:p>
    <w:p w14:paraId="1186C2EC">
      <w:pPr>
        <w:spacing w:line="600" w:lineRule="exact"/>
        <w:jc w:val="left"/>
        <w:rPr>
          <w:rFonts w:hint="default" w:ascii="Times New Roman" w:hAnsi="Times New Roman" w:eastAsia="方正仿宋_GBK" w:cs="Times New Roman"/>
          <w:b/>
          <w:sz w:val="44"/>
          <w:szCs w:val="44"/>
        </w:rPr>
      </w:pPr>
    </w:p>
    <w:p w14:paraId="2E4909E6">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财政拨款收入：</w:t>
      </w:r>
      <w:r>
        <w:rPr>
          <w:rFonts w:hint="default" w:ascii="Times New Roman" w:hAnsi="Times New Roman" w:eastAsia="方正仿宋_GBK" w:cs="Times New Roman"/>
          <w:color w:val="auto"/>
          <w:sz w:val="32"/>
          <w:szCs w:val="32"/>
        </w:rPr>
        <w:t>指单位从同级财政部门取得的财政预算资金。</w:t>
      </w:r>
    </w:p>
    <w:p w14:paraId="6DAC24E9">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2</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事业收入：</w:t>
      </w:r>
      <w:r>
        <w:rPr>
          <w:rFonts w:hint="default" w:ascii="Times New Roman" w:hAnsi="Times New Roman" w:eastAsia="方正仿宋_GBK" w:cs="Times New Roman"/>
          <w:color w:val="auto"/>
          <w:sz w:val="32"/>
          <w:szCs w:val="32"/>
        </w:rPr>
        <w:t>指事业单位开展专业业务活动及辅助活动取得的收入。</w:t>
      </w:r>
    </w:p>
    <w:p w14:paraId="04A9D51C">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3</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经营收入：</w:t>
      </w:r>
      <w:r>
        <w:rPr>
          <w:rFonts w:hint="default" w:ascii="Times New Roman" w:hAnsi="Times New Roman" w:eastAsia="方正仿宋_GBK" w:cs="Times New Roman"/>
          <w:color w:val="auto"/>
          <w:sz w:val="32"/>
          <w:szCs w:val="32"/>
        </w:rPr>
        <w:t>指事业单位在专业业务活动及其辅助活动之外开展非独立核算经营活动取得的收入。</w:t>
      </w:r>
    </w:p>
    <w:p w14:paraId="67A47684">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4</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其他收入：</w:t>
      </w:r>
      <w:r>
        <w:rPr>
          <w:rFonts w:hint="default" w:ascii="Times New Roman" w:hAnsi="Times New Roman" w:eastAsia="方正仿宋_GBK" w:cs="Times New Roman"/>
          <w:color w:val="auto"/>
          <w:sz w:val="32"/>
          <w:szCs w:val="32"/>
        </w:rPr>
        <w:t>指单位取得的除上述收入以外的各项收入。主要是援建资金。</w:t>
      </w:r>
    </w:p>
    <w:p w14:paraId="6EF6C750">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5</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年初结转和结余：</w:t>
      </w:r>
      <w:r>
        <w:rPr>
          <w:rFonts w:hint="default" w:ascii="Times New Roman" w:hAnsi="Times New Roman" w:eastAsia="方正仿宋_GBK" w:cs="Times New Roman"/>
          <w:color w:val="auto"/>
          <w:sz w:val="32"/>
          <w:szCs w:val="32"/>
        </w:rPr>
        <w:t>指以前年度尚未完成、结转到本年按有关规定继续使用的资金。</w:t>
      </w:r>
    </w:p>
    <w:p w14:paraId="0730A68E">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6</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年末结转和结余：</w:t>
      </w:r>
      <w:r>
        <w:rPr>
          <w:rFonts w:hint="default" w:ascii="Times New Roman" w:hAnsi="Times New Roman" w:eastAsia="方正仿宋_GBK" w:cs="Times New Roman"/>
          <w:color w:val="auto"/>
          <w:sz w:val="32"/>
          <w:szCs w:val="32"/>
        </w:rPr>
        <w:t>指单位按有关规定结转到下年或以后年度继续使用的资金。</w:t>
      </w:r>
    </w:p>
    <w:p w14:paraId="683C0DCF">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7</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社会保障和就业支出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行政事业单位养老支出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机关事业单位基本养老保险缴费支出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指机关事业单位实施养老保险制度由单位缴纳的基本养老保险费支出。</w:t>
      </w:r>
    </w:p>
    <w:p w14:paraId="48208DE3">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8</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社会保障和就业支出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行政事业单位养老支出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机关事业单位职业年金缴费支出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指机关事业单位实施养老保险制度由单位实际缴纳的职业年金。</w:t>
      </w:r>
    </w:p>
    <w:p w14:paraId="12114239">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9</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一般公共服务支出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人力资源事务</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引进人才费用</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指按规定用于人力资源中引进人才的费用。</w:t>
      </w:r>
    </w:p>
    <w:p w14:paraId="4A108933">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10</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卫生健康支出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行政事业单位医疗</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行政单位医疗</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指财政部门集中安排的行政单位基本医疗保险缴费经费。</w:t>
      </w:r>
    </w:p>
    <w:p w14:paraId="167831EB">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11</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农林水支出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农业农村</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科技转化与推广服务</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指用于农业科技成果转化，农业新品种、新机具、新技术引进、试验、示范。推广及服务农村人居环境整治等方面的技术试验示范支出。</w:t>
      </w:r>
    </w:p>
    <w:p w14:paraId="7A15479D">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12</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资源勘探工业信息等支出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制造业</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其他制造业支出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指其他用于制造业方面的支出。</w:t>
      </w:r>
    </w:p>
    <w:p w14:paraId="062C57B6">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13</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资源勘探工业信息等支出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支持中小企业发展和管理支出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中小企业发展专项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指用于支持中小企业公共服务体系和融资服务体系建设等方面的支出。</w:t>
      </w:r>
    </w:p>
    <w:p w14:paraId="61882582">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14</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商业服务业等支出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商业流通事务</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行政运行</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指按规定补助优抚对象的医疗经费。</w:t>
      </w:r>
    </w:p>
    <w:p w14:paraId="59405238">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15</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商业服务业等支出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商业流通事务</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一般行政管理事务</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指按规定补助优抚对象的医疗经费。</w:t>
      </w:r>
    </w:p>
    <w:p w14:paraId="1122A61A">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16</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商业服务业等支出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商业流通事务</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民贸企业补贴</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指按规定补助优抚对象的医疗经费。</w:t>
      </w:r>
    </w:p>
    <w:p w14:paraId="52E74794">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17</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商业服务业等支出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商业流通事务</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其他商业流通事务支出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指其他用于商业流通事务方面的支出。</w:t>
      </w:r>
    </w:p>
    <w:p w14:paraId="446AC505">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18</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商业服务业等支出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其他商业服务业等支出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 xml:space="preserve">  其他商业流通事务支出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指在商业服务业中其他用于商业流通事务方面的支出。</w:t>
      </w:r>
    </w:p>
    <w:p w14:paraId="043784BD">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19</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住房保障支出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类</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住房改革支出</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款</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住房公积金</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项</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w:t>
      </w:r>
      <w:r>
        <w:rPr>
          <w:rFonts w:hint="default" w:ascii="Times New Roman" w:hAnsi="Times New Roman" w:eastAsia="方正仿宋_GBK" w:cs="Times New Roman"/>
          <w:color w:val="auto"/>
          <w:sz w:val="32"/>
          <w:szCs w:val="32"/>
        </w:rPr>
        <w:t>指行政事业单位安装工资比例为职工缴纳的住房公积金。</w:t>
      </w:r>
    </w:p>
    <w:p w14:paraId="4662BE70">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20</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基本支出：</w:t>
      </w:r>
      <w:r>
        <w:rPr>
          <w:rFonts w:hint="default" w:ascii="Times New Roman" w:hAnsi="Times New Roman" w:eastAsia="方正仿宋_GBK" w:cs="Times New Roman"/>
          <w:color w:val="auto"/>
          <w:sz w:val="32"/>
          <w:szCs w:val="32"/>
        </w:rPr>
        <w:t>指为保障机构正常运转、完成日常工作任务而发生的人员支出和公用支出。</w:t>
      </w:r>
    </w:p>
    <w:p w14:paraId="5029FB0D">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21</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项目支出：</w:t>
      </w:r>
      <w:r>
        <w:rPr>
          <w:rFonts w:hint="default" w:ascii="Times New Roman" w:hAnsi="Times New Roman" w:eastAsia="方正仿宋_GBK" w:cs="Times New Roman"/>
          <w:color w:val="auto"/>
          <w:sz w:val="32"/>
          <w:szCs w:val="32"/>
        </w:rPr>
        <w:t>指在基本支出之外为完成特定行政任务和事业发展目标所发生的支出。</w:t>
      </w:r>
    </w:p>
    <w:p w14:paraId="6EAE7AA1">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22</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经营支出：</w:t>
      </w:r>
      <w:r>
        <w:rPr>
          <w:rFonts w:hint="default" w:ascii="Times New Roman" w:hAnsi="Times New Roman" w:eastAsia="方正仿宋_GBK" w:cs="Times New Roman"/>
          <w:color w:val="auto"/>
          <w:sz w:val="32"/>
          <w:szCs w:val="32"/>
        </w:rPr>
        <w:t>指事业单位在专业业务活动及其辅助活动之外开展非独立核算经营活动发生的支出。</w:t>
      </w:r>
    </w:p>
    <w:p w14:paraId="6FBE002C">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23</w:t>
      </w:r>
      <w:r>
        <w:rPr>
          <w:rFonts w:hint="eastAsia" w:ascii="Times New Roman" w:hAnsi="Times New Roman" w:eastAsia="方正仿宋_GBK" w:cs="Times New Roman"/>
          <w:b/>
          <w:bCs/>
          <w:color w:val="auto"/>
          <w:sz w:val="32"/>
          <w:szCs w:val="32"/>
          <w:lang w:val="en-US" w:eastAsia="zh-CN"/>
        </w:rPr>
        <w:t>.</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三公</w:t>
      </w:r>
      <w:r>
        <w:rPr>
          <w:rFonts w:hint="eastAsia" w:eastAsia="方正仿宋_GBK" w:cs="Times New Roman"/>
          <w:b/>
          <w:bCs/>
          <w:color w:val="auto"/>
          <w:sz w:val="32"/>
          <w:szCs w:val="32"/>
          <w:lang w:eastAsia="zh-CN"/>
        </w:rPr>
        <w:t>”</w:t>
      </w:r>
      <w:r>
        <w:rPr>
          <w:rFonts w:hint="default" w:ascii="Times New Roman" w:hAnsi="Times New Roman" w:eastAsia="方正仿宋_GBK" w:cs="Times New Roman"/>
          <w:b/>
          <w:bCs/>
          <w:color w:val="auto"/>
          <w:sz w:val="32"/>
          <w:szCs w:val="32"/>
        </w:rPr>
        <w:t>经费：</w:t>
      </w:r>
      <w:r>
        <w:rPr>
          <w:rFonts w:hint="default" w:ascii="Times New Roman" w:hAnsi="Times New Roman" w:eastAsia="方正仿宋_GBK" w:cs="Times New Roman"/>
          <w:color w:val="auto"/>
          <w:sz w:val="32"/>
          <w:szCs w:val="32"/>
        </w:rPr>
        <w:t>指部门用财政拨款安排的因公出国</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境</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费、公务用车购置及运行费和公务接待费。其中，因公出国</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境</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费反映单位公务出国</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境</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的国际旅费、国外城市间交通费、住宿费、伙食费、培训费、公杂费等支出；公务用车购置及运行费反映单位公务用车车辆购置支出</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含车辆购置税</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及租用费、燃料费、维修费、过路过桥费、保险费等支出；公务接待费反映单位按规定开支的各类公务接待</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含外宾接待</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支出。</w:t>
      </w:r>
    </w:p>
    <w:p w14:paraId="5E1F68D2">
      <w:pPr>
        <w:ind w:firstLine="643"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rPr>
        <w:t>24</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rPr>
        <w:t>机关运行经费：</w:t>
      </w:r>
      <w:r>
        <w:rPr>
          <w:rFonts w:hint="default" w:ascii="Times New Roman" w:hAnsi="Times New Roman" w:eastAsia="方正仿宋_GBK" w:cs="Times New Roman"/>
          <w:color w:val="auto"/>
          <w:sz w:val="32"/>
          <w:szCs w:val="32"/>
        </w:rPr>
        <w:t>为保障行政单位</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含参照公务员</w:t>
      </w:r>
      <w:bookmarkStart w:id="121" w:name="_GoBack"/>
      <w:bookmarkEnd w:id="121"/>
      <w:r>
        <w:rPr>
          <w:rFonts w:hint="default" w:ascii="Times New Roman" w:hAnsi="Times New Roman" w:eastAsia="方正仿宋_GBK" w:cs="Times New Roman"/>
          <w:color w:val="auto"/>
          <w:sz w:val="32"/>
          <w:szCs w:val="32"/>
        </w:rPr>
        <w:t>法管理的事业单位</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B8FEEF1">
      <w:pPr>
        <w:pStyle w:val="24"/>
        <w:spacing w:line="560" w:lineRule="exact"/>
        <w:ind w:firstLine="640" w:firstLineChars="200"/>
        <w:outlineLvl w:val="9"/>
        <w:rPr>
          <w:rFonts w:hint="default" w:ascii="Times New Roman" w:hAnsi="Times New Roman" w:eastAsia="方正仿宋_GBK" w:cs="Times New Roman"/>
          <w:color w:val="auto"/>
          <w:sz w:val="32"/>
          <w:szCs w:val="32"/>
        </w:rPr>
      </w:pPr>
    </w:p>
    <w:p w14:paraId="546FBE02">
      <w:pPr>
        <w:spacing w:line="600" w:lineRule="exact"/>
        <w:jc w:val="center"/>
        <w:outlineLvl w:val="0"/>
        <w:rPr>
          <w:rStyle w:val="32"/>
          <w:rFonts w:hint="default" w:ascii="Times New Roman" w:hAnsi="Times New Roman" w:eastAsia="方正仿宋_GBK" w:cs="Times New Roman"/>
          <w:b w:val="0"/>
          <w:sz w:val="32"/>
          <w:szCs w:val="32"/>
        </w:rPr>
      </w:pPr>
      <w:bookmarkStart w:id="74" w:name="_Toc15377226"/>
      <w:r>
        <w:rPr>
          <w:rFonts w:hint="default" w:ascii="Times New Roman" w:hAnsi="Times New Roman" w:eastAsia="方正仿宋_GBK" w:cs="Times New Roman"/>
          <w:b/>
          <w:sz w:val="32"/>
          <w:szCs w:val="32"/>
        </w:rPr>
        <w:br w:type="page"/>
      </w:r>
      <w:bookmarkStart w:id="75" w:name="_Toc9570"/>
      <w:bookmarkStart w:id="76" w:name="_Toc15396614"/>
      <w:r>
        <w:rPr>
          <w:rFonts w:hint="default" w:ascii="方正小标宋_GBK" w:hAnsi="方正小标宋_GBK" w:eastAsia="方正小标宋_GBK" w:cs="方正小标宋_GBK"/>
          <w:b w:val="0"/>
          <w:bCs w:val="0"/>
          <w:kern w:val="44"/>
          <w:sz w:val="32"/>
          <w:szCs w:val="32"/>
          <w:lang w:val="en-US" w:eastAsia="zh-CN" w:bidi="ar-SA"/>
        </w:rPr>
        <w:t>第四部分 附件</w:t>
      </w:r>
      <w:bookmarkEnd w:id="75"/>
      <w:bookmarkEnd w:id="76"/>
    </w:p>
    <w:p w14:paraId="705417D4">
      <w:pPr>
        <w:spacing w:line="572" w:lineRule="exact"/>
        <w:jc w:val="left"/>
        <w:outlineLvl w:val="0"/>
        <w:rPr>
          <w:rFonts w:hint="eastAsia" w:ascii="Times New Roman" w:hAnsi="Times New Roman" w:eastAsia="方正仿宋_GBK" w:cs="Times New Roman"/>
          <w:b/>
          <w:bCs/>
          <w:sz w:val="32"/>
          <w:szCs w:val="32"/>
          <w:lang w:val="en-US" w:eastAsia="zh-CN"/>
        </w:rPr>
      </w:pPr>
      <w:bookmarkStart w:id="77" w:name="_Toc30849"/>
      <w:bookmarkStart w:id="78" w:name="_Toc17001"/>
      <w:bookmarkStart w:id="79" w:name="_Toc14416"/>
      <w:r>
        <w:rPr>
          <w:rFonts w:hint="default" w:ascii="Times New Roman" w:hAnsi="Times New Roman" w:eastAsia="方正仿宋_GBK" w:cs="Times New Roman"/>
          <w:b/>
          <w:bCs/>
          <w:sz w:val="32"/>
          <w:szCs w:val="32"/>
        </w:rPr>
        <w:t>附件</w:t>
      </w:r>
      <w:bookmarkEnd w:id="77"/>
      <w:bookmarkEnd w:id="78"/>
      <w:bookmarkEnd w:id="79"/>
      <w:r>
        <w:rPr>
          <w:rFonts w:hint="eastAsia" w:ascii="Times New Roman" w:hAnsi="Times New Roman" w:eastAsia="方正仿宋_GBK" w:cs="Times New Roman"/>
          <w:b/>
          <w:bCs/>
          <w:sz w:val="32"/>
          <w:szCs w:val="32"/>
          <w:lang w:val="en-US" w:eastAsia="zh-CN"/>
        </w:rPr>
        <w:t>:</w:t>
      </w:r>
    </w:p>
    <w:p w14:paraId="33E383A0">
      <w:pPr>
        <w:pStyle w:val="2"/>
        <w:rPr>
          <w:rFonts w:hint="eastAsia"/>
          <w:sz w:val="32"/>
          <w:szCs w:val="32"/>
          <w:lang w:val="en-US" w:eastAsia="zh-CN"/>
        </w:rPr>
      </w:pPr>
    </w:p>
    <w:p w14:paraId="11606009">
      <w:pPr>
        <w:spacing w:line="572" w:lineRule="exact"/>
        <w:jc w:val="center"/>
        <w:outlineLvl w:val="0"/>
        <w:rPr>
          <w:rFonts w:hint="default" w:ascii="Times New Roman" w:hAnsi="Times New Roman" w:eastAsia="方正仿宋_GBK" w:cs="Times New Roman"/>
          <w:sz w:val="32"/>
          <w:szCs w:val="32"/>
          <w:shd w:val="clear" w:color="auto" w:fill="FFFFFF"/>
        </w:rPr>
      </w:pPr>
      <w:bookmarkStart w:id="80" w:name="_Toc22655"/>
      <w:r>
        <w:rPr>
          <w:rFonts w:hint="default" w:ascii="Times New Roman" w:hAnsi="Times New Roman" w:eastAsia="方正仿宋_GBK" w:cs="Times New Roman"/>
          <w:b/>
          <w:bCs/>
          <w:kern w:val="0"/>
          <w:sz w:val="32"/>
          <w:szCs w:val="32"/>
        </w:rPr>
        <w:t>202</w:t>
      </w:r>
      <w:r>
        <w:rPr>
          <w:rFonts w:hint="default" w:ascii="Times New Roman" w:hAnsi="Times New Roman" w:eastAsia="方正仿宋_GBK" w:cs="Times New Roman"/>
          <w:b/>
          <w:bCs/>
          <w:kern w:val="0"/>
          <w:sz w:val="32"/>
          <w:szCs w:val="32"/>
          <w:lang w:val="en-US" w:eastAsia="zh-CN"/>
        </w:rPr>
        <w:t>2</w:t>
      </w:r>
      <w:r>
        <w:rPr>
          <w:rFonts w:hint="default" w:ascii="Times New Roman" w:hAnsi="Times New Roman" w:eastAsia="方正仿宋_GBK" w:cs="Times New Roman"/>
          <w:b/>
          <w:bCs/>
          <w:kern w:val="0"/>
          <w:sz w:val="32"/>
          <w:szCs w:val="32"/>
        </w:rPr>
        <w:t>年部门整体绩效评价报告</w:t>
      </w:r>
      <w:bookmarkEnd w:id="80"/>
    </w:p>
    <w:p w14:paraId="04A1F4F9">
      <w:pPr>
        <w:widowControl/>
        <w:adjustRightInd w:val="0"/>
        <w:snapToGrid w:val="0"/>
        <w:spacing w:line="572" w:lineRule="exact"/>
        <w:ind w:firstLine="640" w:firstLineChars="200"/>
        <w:contextualSpacing/>
        <w:jc w:val="left"/>
        <w:rPr>
          <w:rFonts w:hint="default" w:ascii="Times New Roman" w:hAnsi="Times New Roman" w:eastAsia="方正仿宋_GBK" w:cs="Times New Roman"/>
          <w:kern w:val="0"/>
          <w:sz w:val="32"/>
          <w:szCs w:val="32"/>
          <w:shd w:val="clear" w:color="auto" w:fill="FFFFFF"/>
        </w:rPr>
      </w:pPr>
    </w:p>
    <w:p w14:paraId="46D8D033">
      <w:pPr>
        <w:numPr>
          <w:ilvl w:val="0"/>
          <w:numId w:val="0"/>
        </w:numPr>
        <w:spacing w:line="600" w:lineRule="exact"/>
        <w:ind w:firstLine="640" w:firstLineChars="0"/>
        <w:outlineLvl w:val="1"/>
        <w:rPr>
          <w:rFonts w:hint="default" w:ascii="方正黑体_GBK" w:hAnsi="方正黑体_GBK" w:eastAsia="方正黑体_GBK" w:cs="方正黑体_GBK"/>
          <w:b w:val="0"/>
          <w:bCs/>
          <w:kern w:val="2"/>
          <w:sz w:val="32"/>
          <w:szCs w:val="32"/>
          <w:lang w:val="zh-CN" w:eastAsia="zh-CN" w:bidi="ar-SA"/>
        </w:rPr>
      </w:pPr>
      <w:bookmarkStart w:id="81" w:name="_Toc22380"/>
      <w:bookmarkStart w:id="82" w:name="_Toc5361"/>
      <w:r>
        <w:rPr>
          <w:rFonts w:hint="default" w:ascii="方正黑体_GBK" w:hAnsi="方正黑体_GBK" w:eastAsia="方正黑体_GBK" w:cs="方正黑体_GBK"/>
          <w:b w:val="0"/>
          <w:bCs/>
          <w:kern w:val="2"/>
          <w:sz w:val="32"/>
          <w:szCs w:val="32"/>
          <w:lang w:val="en-US" w:eastAsia="zh-CN" w:bidi="ar-SA"/>
        </w:rPr>
        <w:t>一、</w:t>
      </w:r>
      <w:r>
        <w:rPr>
          <w:rFonts w:hint="default" w:ascii="方正黑体_GBK" w:hAnsi="方正黑体_GBK" w:eastAsia="方正黑体_GBK" w:cs="方正黑体_GBK"/>
          <w:b w:val="0"/>
          <w:bCs/>
          <w:kern w:val="2"/>
          <w:sz w:val="32"/>
          <w:szCs w:val="32"/>
          <w:lang w:val="zh-CN" w:eastAsia="zh-CN" w:bidi="ar-SA"/>
        </w:rPr>
        <w:t>部门</w:t>
      </w:r>
      <w:r>
        <w:rPr>
          <w:rFonts w:hint="eastAsia" w:ascii="方正黑体_GBK" w:hAnsi="方正黑体_GBK" w:eastAsia="方正黑体_GBK" w:cs="方正黑体_GBK"/>
          <w:b w:val="0"/>
          <w:bCs/>
          <w:kern w:val="2"/>
          <w:sz w:val="32"/>
          <w:szCs w:val="32"/>
          <w:lang w:val="zh-CN" w:eastAsia="zh-CN" w:bidi="ar-SA"/>
        </w:rPr>
        <w:t>（</w:t>
      </w:r>
      <w:r>
        <w:rPr>
          <w:rFonts w:hint="default" w:ascii="方正黑体_GBK" w:hAnsi="方正黑体_GBK" w:eastAsia="方正黑体_GBK" w:cs="方正黑体_GBK"/>
          <w:b w:val="0"/>
          <w:bCs/>
          <w:kern w:val="2"/>
          <w:sz w:val="32"/>
          <w:szCs w:val="32"/>
          <w:lang w:val="zh-CN" w:eastAsia="zh-CN" w:bidi="ar-SA"/>
        </w:rPr>
        <w:t>单位</w:t>
      </w:r>
      <w:r>
        <w:rPr>
          <w:rFonts w:hint="eastAsia" w:ascii="方正黑体_GBK" w:hAnsi="方正黑体_GBK" w:eastAsia="方正黑体_GBK" w:cs="方正黑体_GBK"/>
          <w:b w:val="0"/>
          <w:bCs/>
          <w:kern w:val="2"/>
          <w:sz w:val="32"/>
          <w:szCs w:val="32"/>
          <w:lang w:val="zh-CN" w:eastAsia="zh-CN" w:bidi="ar-SA"/>
        </w:rPr>
        <w:t>）</w:t>
      </w:r>
      <w:r>
        <w:rPr>
          <w:rFonts w:hint="default" w:ascii="方正黑体_GBK" w:hAnsi="方正黑体_GBK" w:eastAsia="方正黑体_GBK" w:cs="方正黑体_GBK"/>
          <w:b w:val="0"/>
          <w:bCs/>
          <w:kern w:val="2"/>
          <w:sz w:val="32"/>
          <w:szCs w:val="32"/>
          <w:lang w:val="zh-CN" w:eastAsia="zh-CN" w:bidi="ar-SA"/>
        </w:rPr>
        <w:t>概况</w:t>
      </w:r>
      <w:bookmarkEnd w:id="81"/>
      <w:bookmarkEnd w:id="82"/>
    </w:p>
    <w:p w14:paraId="5D4CD423">
      <w:pPr>
        <w:widowControl/>
        <w:adjustRightInd w:val="0"/>
        <w:snapToGrid w:val="0"/>
        <w:spacing w:line="572" w:lineRule="exact"/>
        <w:ind w:firstLine="643" w:firstLineChars="200"/>
        <w:contextualSpacing/>
        <w:jc w:val="left"/>
        <w:outlineLvl w:val="2"/>
        <w:rPr>
          <w:rFonts w:hint="eastAsia" w:ascii="方正楷体_GBK" w:hAnsi="方正楷体_GBK" w:eastAsia="方正楷体_GBK" w:cs="方正楷体_GBK"/>
          <w:b/>
          <w:bCs/>
          <w:kern w:val="0"/>
          <w:sz w:val="32"/>
          <w:szCs w:val="32"/>
          <w:shd w:val="clear" w:color="auto" w:fill="FFFFFF"/>
          <w:lang w:val="zh-CN"/>
        </w:rPr>
      </w:pPr>
      <w:r>
        <w:rPr>
          <w:rFonts w:hint="eastAsia" w:ascii="方正楷体_GBK" w:hAnsi="方正楷体_GBK" w:eastAsia="方正楷体_GBK" w:cs="方正楷体_GBK"/>
          <w:b/>
          <w:bCs/>
          <w:kern w:val="0"/>
          <w:sz w:val="32"/>
          <w:szCs w:val="32"/>
          <w:shd w:val="clear" w:color="auto" w:fill="FFFFFF"/>
          <w:lang w:val="zh-CN"/>
        </w:rPr>
        <w:t>（一）机构组成</w:t>
      </w:r>
    </w:p>
    <w:p w14:paraId="1A41045B">
      <w:pPr>
        <w:snapToGrid w:val="0"/>
        <w:spacing w:line="520" w:lineRule="exact"/>
        <w:ind w:firstLine="640" w:firstLineChars="200"/>
        <w:outlineLvl w:val="9"/>
        <w:rPr>
          <w:rFonts w:hint="default" w:ascii="Times New Roman" w:hAnsi="Times New Roman" w:eastAsia="方正仿宋_GBK" w:cs="Times New Roman"/>
          <w:color w:val="FF0000"/>
          <w:sz w:val="32"/>
          <w:szCs w:val="32"/>
          <w:lang w:val="zh-CN"/>
        </w:rPr>
      </w:pPr>
      <w:r>
        <w:rPr>
          <w:rFonts w:hint="default" w:ascii="Times New Roman" w:hAnsi="Times New Roman" w:eastAsia="方正仿宋_GBK" w:cs="Times New Roman"/>
          <w:color w:val="auto"/>
          <w:sz w:val="32"/>
          <w:szCs w:val="32"/>
        </w:rPr>
        <w:t>壤塘县粮食和物资储备中心由办公室、业务股及财会统计股组成。</w:t>
      </w:r>
    </w:p>
    <w:p w14:paraId="4061C881">
      <w:pPr>
        <w:widowControl/>
        <w:adjustRightInd w:val="0"/>
        <w:snapToGrid w:val="0"/>
        <w:spacing w:line="572" w:lineRule="exact"/>
        <w:ind w:firstLine="643" w:firstLineChars="200"/>
        <w:contextualSpacing/>
        <w:jc w:val="left"/>
        <w:outlineLvl w:val="2"/>
        <w:rPr>
          <w:rFonts w:hint="default" w:ascii="方正楷体_GBK" w:hAnsi="方正楷体_GBK" w:eastAsia="方正楷体_GBK" w:cs="方正楷体_GBK"/>
          <w:b/>
          <w:bCs/>
          <w:kern w:val="0"/>
          <w:sz w:val="32"/>
          <w:szCs w:val="32"/>
          <w:shd w:val="clear" w:color="auto" w:fill="FFFFFF"/>
          <w:lang w:val="zh-CN"/>
        </w:rPr>
      </w:pPr>
      <w:r>
        <w:rPr>
          <w:rFonts w:hint="eastAsia" w:ascii="方正楷体_GBK" w:hAnsi="方正楷体_GBK" w:eastAsia="方正楷体_GBK" w:cs="方正楷体_GBK"/>
          <w:b/>
          <w:bCs/>
          <w:kern w:val="0"/>
          <w:sz w:val="32"/>
          <w:szCs w:val="32"/>
          <w:shd w:val="clear" w:color="auto" w:fill="FFFFFF"/>
          <w:lang w:val="zh-CN" w:eastAsia="zh-CN"/>
        </w:rPr>
        <w:t>（二）</w:t>
      </w:r>
      <w:r>
        <w:rPr>
          <w:rFonts w:hint="default" w:ascii="方正楷体_GBK" w:hAnsi="方正楷体_GBK" w:eastAsia="方正楷体_GBK" w:cs="方正楷体_GBK"/>
          <w:b/>
          <w:bCs/>
          <w:kern w:val="0"/>
          <w:sz w:val="32"/>
          <w:szCs w:val="32"/>
          <w:shd w:val="clear" w:color="auto" w:fill="FFFFFF"/>
          <w:lang w:val="zh-CN"/>
        </w:rPr>
        <w:t>机构职能和人员概况</w:t>
      </w:r>
    </w:p>
    <w:p w14:paraId="4E9D9FA5">
      <w:pPr>
        <w:snapToGrid w:val="0"/>
        <w:spacing w:line="520" w:lineRule="exact"/>
        <w:ind w:firstLine="640" w:firstLineChars="200"/>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壤塘县粮食和物资储备中心负责省、州、县储备粮管理，指导全县粮食储备体系建设；制定县级储备粮管理的技术规范并监督执行；监督检查州、县储备粮库存数量和质量；研究提出县级储备粮的收购、轮换、抛售计划，并组织实施。管理社会粮食流通，保障军队、城镇居民、救灾济粮和国家重点建设项目的粮食供应。负责全县粮食余缺调剂，组织和协调县内粮油调剂工作和对外经济技术合作交流。协助做好救灾物资储备规划、品种目录和标准、年度购置计划，负责州级救灾物资的收储、轮换和日常管理，根据动用指令按程序组织调拨。</w:t>
      </w:r>
    </w:p>
    <w:p w14:paraId="56EE8266">
      <w:pPr>
        <w:snapToGrid w:val="0"/>
        <w:spacing w:line="520" w:lineRule="exact"/>
        <w:ind w:firstLine="640" w:firstLineChars="200"/>
        <w:outlineLvl w:val="9"/>
        <w:rPr>
          <w:rFonts w:hint="default" w:ascii="Times New Roman" w:hAnsi="Times New Roman" w:eastAsia="方正仿宋_GBK" w:cs="Times New Roman"/>
          <w:color w:val="FF0000"/>
          <w:sz w:val="32"/>
          <w:szCs w:val="32"/>
          <w:lang w:val="zh-CN"/>
        </w:rPr>
      </w:pPr>
      <w:r>
        <w:rPr>
          <w:rFonts w:hint="default" w:ascii="Times New Roman" w:hAnsi="Times New Roman" w:eastAsia="方正仿宋_GBK" w:cs="Times New Roman"/>
          <w:color w:val="auto"/>
          <w:sz w:val="32"/>
          <w:szCs w:val="32"/>
        </w:rPr>
        <w:t>人员情况，包括当年变动情况及原因。在职行政人员</w:t>
      </w:r>
      <w:r>
        <w:rPr>
          <w:rFonts w:hint="default"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人</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含行政工勤1人</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，参照公务员</w:t>
      </w:r>
      <w:r>
        <w:rPr>
          <w:rFonts w:hint="default"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人，事业人员</w:t>
      </w:r>
      <w:r>
        <w:rPr>
          <w:rFonts w:hint="default"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rPr>
        <w:t>人。</w:t>
      </w:r>
    </w:p>
    <w:p w14:paraId="575F882E">
      <w:pPr>
        <w:snapToGrid w:val="0"/>
        <w:spacing w:line="520" w:lineRule="exact"/>
        <w:ind w:firstLine="640" w:firstLineChars="200"/>
        <w:outlineLvl w:val="9"/>
        <w:rPr>
          <w:rFonts w:hint="default" w:ascii="Times New Roman" w:hAnsi="Times New Roman" w:eastAsia="方正仿宋_GBK" w:cs="Times New Roman"/>
          <w:color w:val="auto"/>
          <w:sz w:val="32"/>
          <w:szCs w:val="32"/>
          <w:lang w:val="zh-CN" w:eastAsia="zh-CN"/>
        </w:rPr>
      </w:pPr>
      <w:r>
        <w:rPr>
          <w:rFonts w:hint="eastAsia" w:eastAsia="方正仿宋_GBK" w:cs="Times New Roman"/>
          <w:color w:val="auto"/>
          <w:sz w:val="32"/>
          <w:szCs w:val="32"/>
          <w:lang w:val="zh-CN" w:eastAsia="zh-CN"/>
        </w:rPr>
        <w:t>（</w:t>
      </w:r>
      <w:r>
        <w:rPr>
          <w:rFonts w:hint="eastAsia" w:ascii="Times New Roman" w:hAnsi="Times New Roman" w:eastAsia="方正仿宋_GBK" w:cs="Times New Roman"/>
          <w:color w:val="auto"/>
          <w:sz w:val="32"/>
          <w:szCs w:val="32"/>
          <w:lang w:val="zh-CN" w:eastAsia="zh-CN"/>
        </w:rPr>
        <w:t>三</w:t>
      </w:r>
      <w:r>
        <w:rPr>
          <w:rFonts w:hint="eastAsia" w:eastAsia="方正仿宋_GBK" w:cs="Times New Roman"/>
          <w:color w:val="auto"/>
          <w:sz w:val="32"/>
          <w:szCs w:val="32"/>
          <w:lang w:val="zh-CN" w:eastAsia="zh-CN"/>
        </w:rPr>
        <w:t>）</w:t>
      </w:r>
      <w:r>
        <w:rPr>
          <w:rFonts w:hint="default" w:ascii="Times New Roman" w:hAnsi="Times New Roman" w:eastAsia="方正仿宋_GBK" w:cs="Times New Roman"/>
          <w:color w:val="auto"/>
          <w:sz w:val="32"/>
          <w:szCs w:val="32"/>
          <w:lang w:val="zh-CN" w:eastAsia="zh-CN"/>
        </w:rPr>
        <w:t>年度主要工作任务</w:t>
      </w:r>
    </w:p>
    <w:p w14:paraId="216985E3">
      <w:pPr>
        <w:snapToGrid w:val="0"/>
        <w:spacing w:line="520" w:lineRule="exact"/>
        <w:ind w:firstLine="643" w:firstLineChars="200"/>
        <w:outlineLvl w:val="9"/>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1</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lang w:eastAsia="zh-CN"/>
        </w:rPr>
        <w:t>储备粮轮换，确保粮食安全</w:t>
      </w:r>
      <w:r>
        <w:rPr>
          <w:rFonts w:hint="eastAsia" w:ascii="Times New Roman" w:hAnsi="Times New Roman" w:eastAsia="方正仿宋_GBK" w:cs="Times New Roman"/>
          <w:b/>
          <w:bCs/>
          <w:color w:val="auto"/>
          <w:sz w:val="32"/>
          <w:szCs w:val="32"/>
          <w:lang w:eastAsia="zh-CN"/>
        </w:rPr>
        <w:t>。</w:t>
      </w:r>
      <w:r>
        <w:rPr>
          <w:rFonts w:hint="default" w:ascii="Times New Roman" w:hAnsi="Times New Roman" w:eastAsia="方正仿宋_GBK" w:cs="Times New Roman"/>
          <w:color w:val="auto"/>
          <w:sz w:val="32"/>
          <w:szCs w:val="32"/>
          <w:lang w:val="en-US" w:eastAsia="zh-CN"/>
        </w:rPr>
        <w:t>任务完成情况：</w:t>
      </w:r>
      <w:r>
        <w:rPr>
          <w:rFonts w:hint="default" w:ascii="Times New Roman" w:hAnsi="Times New Roman" w:eastAsia="方正仿宋_GBK" w:cs="Times New Roman"/>
          <w:color w:val="auto"/>
          <w:sz w:val="32"/>
          <w:szCs w:val="32"/>
        </w:rPr>
        <w:t>高度重视储备粮轮换工作，将储备粮轮换列入重点工作抓紧抓实，积极指导督促承储企业严格执行政策纪律和管理制度规定，加强轮换过程管理，杜绝以陈顶新、应轮未轮、弄虚作假、以次充好等行</w:t>
      </w:r>
      <w:r>
        <w:rPr>
          <w:rFonts w:hint="default" w:ascii="Times New Roman" w:hAnsi="Times New Roman" w:eastAsia="方正仿宋_GBK" w:cs="Times New Roman"/>
          <w:color w:val="auto"/>
          <w:sz w:val="32"/>
          <w:szCs w:val="32"/>
          <w:lang w:val="en-US" w:eastAsia="zh-CN"/>
        </w:rPr>
        <w:t>为</w:t>
      </w:r>
      <w:r>
        <w:rPr>
          <w:rFonts w:hint="default" w:ascii="Times New Roman" w:hAnsi="Times New Roman" w:eastAsia="方正仿宋_GBK" w:cs="Times New Roman"/>
          <w:sz w:val="32"/>
          <w:szCs w:val="32"/>
        </w:rPr>
        <w:t>。</w:t>
      </w:r>
    </w:p>
    <w:p w14:paraId="102D8B6B">
      <w:pPr>
        <w:snapToGrid w:val="0"/>
        <w:spacing w:line="520" w:lineRule="exact"/>
        <w:ind w:firstLine="643" w:firstLineChars="200"/>
        <w:outlineLvl w:val="9"/>
        <w:rPr>
          <w:rFonts w:hint="default" w:ascii="Times New Roman" w:hAnsi="Times New Roman" w:eastAsia="方正仿宋_GBK" w:cs="Times New Roman"/>
          <w:sz w:val="32"/>
          <w:szCs w:val="32"/>
          <w:lang w:val="zh-CN"/>
        </w:rPr>
      </w:pPr>
      <w:r>
        <w:rPr>
          <w:rFonts w:hint="eastAsia" w:eastAsia="方正仿宋_GBK" w:cs="Times New Roman"/>
          <w:b/>
          <w:bCs/>
          <w:color w:val="auto"/>
          <w:sz w:val="32"/>
          <w:szCs w:val="32"/>
          <w:lang w:val="en-US" w:eastAsia="zh-CN"/>
        </w:rPr>
        <w:t>2</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lang w:val="en-US" w:eastAsia="zh-CN"/>
        </w:rPr>
        <w:t>加强粮食系列制度学习，增强依法监管意识</w:t>
      </w:r>
      <w:r>
        <w:rPr>
          <w:rFonts w:hint="eastAsia"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b/>
          <w:bCs/>
          <w:color w:val="auto"/>
          <w:sz w:val="32"/>
          <w:szCs w:val="32"/>
          <w:lang w:val="en-US" w:eastAsia="zh-CN"/>
        </w:rPr>
        <w:t>一是</w:t>
      </w:r>
      <w:r>
        <w:rPr>
          <w:rFonts w:hint="default" w:ascii="Times New Roman" w:hAnsi="Times New Roman" w:eastAsia="方正仿宋_GBK" w:cs="Times New Roman"/>
          <w:color w:val="auto"/>
          <w:sz w:val="32"/>
          <w:szCs w:val="32"/>
          <w:lang w:val="en-US" w:eastAsia="zh-CN"/>
        </w:rPr>
        <w:t>深入学习《粮食流通管理条例》《四川省粮食安全保障条例》《四川省地方政府储备粮食仓储管理实施办法》《四川省地方粮食储备管理办法》《粮油储藏技术规范》和《地方党委和政府领导班子及其成员粮食安全责任制规定》。</w:t>
      </w:r>
      <w:r>
        <w:rPr>
          <w:rFonts w:hint="default" w:ascii="Times New Roman" w:hAnsi="Times New Roman" w:eastAsia="方正仿宋_GBK" w:cs="Times New Roman"/>
          <w:b/>
          <w:bCs/>
          <w:color w:val="auto"/>
          <w:sz w:val="32"/>
          <w:szCs w:val="32"/>
          <w:lang w:val="en-US" w:eastAsia="zh-CN"/>
        </w:rPr>
        <w:t>二是</w:t>
      </w:r>
      <w:r>
        <w:rPr>
          <w:rFonts w:hint="default" w:ascii="Times New Roman" w:hAnsi="Times New Roman" w:eastAsia="方正仿宋_GBK" w:cs="Times New Roman"/>
          <w:color w:val="auto"/>
          <w:sz w:val="32"/>
          <w:szCs w:val="32"/>
          <w:lang w:val="en-US" w:eastAsia="zh-CN"/>
        </w:rPr>
        <w:t>充分认识学习粮食系列制度的重大意义以及对粮食流通执法工作的指导作用，熟练掌握新规定新要求，增强依法监管的意识，不断提升依法治粮水平，努力在全社会营造有法可依、有法必依、执法必严、违法必究、规范粮食流通管理秩序和经营行为的浓厚氛围，切实保障我县粮食安全；</w:t>
      </w:r>
      <w:r>
        <w:rPr>
          <w:rFonts w:hint="default" w:ascii="Times New Roman" w:hAnsi="Times New Roman" w:eastAsia="方正仿宋_GBK" w:cs="Times New Roman"/>
          <w:b/>
          <w:bCs/>
          <w:color w:val="auto"/>
          <w:sz w:val="32"/>
          <w:szCs w:val="32"/>
          <w:lang w:val="en-US" w:eastAsia="zh-CN"/>
        </w:rPr>
        <w:t>三是</w:t>
      </w:r>
      <w:r>
        <w:rPr>
          <w:rFonts w:hint="default" w:ascii="Times New Roman" w:hAnsi="Times New Roman" w:eastAsia="方正仿宋_GBK" w:cs="Times New Roman"/>
          <w:b w:val="0"/>
          <w:bCs w:val="0"/>
          <w:color w:val="auto"/>
          <w:sz w:val="32"/>
          <w:szCs w:val="32"/>
          <w:lang w:val="en-US" w:eastAsia="zh-CN"/>
        </w:rPr>
        <w:t>严</w:t>
      </w:r>
      <w:r>
        <w:rPr>
          <w:rFonts w:hint="default" w:ascii="Times New Roman" w:hAnsi="Times New Roman" w:eastAsia="方正仿宋_GBK" w:cs="Times New Roman"/>
          <w:color w:val="auto"/>
          <w:sz w:val="32"/>
          <w:szCs w:val="32"/>
          <w:lang w:val="en-US" w:eastAsia="zh-CN"/>
        </w:rPr>
        <w:t>格依法管粮，号召粮食系统干部职工以高度的政治自觉和强烈的使命担当，努力在把握新变化、汲取新经验、适应新调整的基础上，进一步完善粮食流通全链条监管，强化粮食质量安全监测监控，确保国家粮食安全。</w:t>
      </w:r>
    </w:p>
    <w:p w14:paraId="202B3F7B">
      <w:pPr>
        <w:numPr>
          <w:ilvl w:val="0"/>
          <w:numId w:val="0"/>
        </w:numPr>
        <w:spacing w:line="600" w:lineRule="exact"/>
        <w:ind w:firstLine="640" w:firstLineChars="0"/>
        <w:outlineLvl w:val="1"/>
        <w:rPr>
          <w:rFonts w:hint="default" w:ascii="方正黑体_GBK" w:hAnsi="方正黑体_GBK" w:eastAsia="方正黑体_GBK" w:cs="方正黑体_GBK"/>
          <w:b w:val="0"/>
          <w:bCs/>
          <w:kern w:val="2"/>
          <w:sz w:val="32"/>
          <w:szCs w:val="32"/>
          <w:lang w:val="zh-CN" w:eastAsia="zh-CN" w:bidi="ar-SA"/>
        </w:rPr>
      </w:pPr>
      <w:bookmarkStart w:id="83" w:name="_Toc14105"/>
      <w:bookmarkStart w:id="84" w:name="_Toc15620"/>
      <w:r>
        <w:rPr>
          <w:rFonts w:hint="eastAsia" w:ascii="方正黑体_GBK" w:hAnsi="方正黑体_GBK" w:eastAsia="方正黑体_GBK" w:cs="方正黑体_GBK"/>
          <w:b w:val="0"/>
          <w:bCs/>
          <w:kern w:val="2"/>
          <w:sz w:val="32"/>
          <w:szCs w:val="32"/>
          <w:lang w:val="zh-CN" w:eastAsia="zh-CN" w:bidi="ar-SA"/>
        </w:rPr>
        <w:t>二、</w:t>
      </w:r>
      <w:r>
        <w:rPr>
          <w:rFonts w:hint="default" w:ascii="方正黑体_GBK" w:hAnsi="方正黑体_GBK" w:eastAsia="方正黑体_GBK" w:cs="方正黑体_GBK"/>
          <w:b w:val="0"/>
          <w:bCs/>
          <w:kern w:val="2"/>
          <w:sz w:val="32"/>
          <w:szCs w:val="32"/>
          <w:lang w:val="zh-CN" w:eastAsia="zh-CN" w:bidi="ar-SA"/>
        </w:rPr>
        <w:t>部门财政资金收支情况</w:t>
      </w:r>
      <w:bookmarkEnd w:id="83"/>
      <w:bookmarkEnd w:id="84"/>
    </w:p>
    <w:p w14:paraId="11B4CC1C">
      <w:pPr>
        <w:widowControl/>
        <w:adjustRightInd w:val="0"/>
        <w:snapToGrid w:val="0"/>
        <w:spacing w:line="572" w:lineRule="exact"/>
        <w:ind w:firstLine="640" w:firstLineChars="200"/>
        <w:contextualSpacing/>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年本年收入合计</w:t>
      </w:r>
      <w:r>
        <w:rPr>
          <w:rFonts w:hint="default" w:ascii="Times New Roman" w:hAnsi="Times New Roman" w:eastAsia="方正仿宋_GBK" w:cs="Times New Roman"/>
          <w:sz w:val="32"/>
          <w:szCs w:val="32"/>
          <w:lang w:val="en-US" w:eastAsia="zh-CN"/>
        </w:rPr>
        <w:t>466.58</w:t>
      </w:r>
      <w:r>
        <w:rPr>
          <w:rFonts w:hint="default" w:ascii="Times New Roman" w:hAnsi="Times New Roman" w:eastAsia="方正仿宋_GBK" w:cs="Times New Roman"/>
          <w:sz w:val="32"/>
          <w:szCs w:val="32"/>
        </w:rPr>
        <w:t>万元，其中：一般公共预算财政拨款收入</w:t>
      </w:r>
      <w:r>
        <w:rPr>
          <w:rFonts w:hint="default" w:ascii="Times New Roman" w:hAnsi="Times New Roman" w:eastAsia="方正仿宋_GBK" w:cs="Times New Roman"/>
          <w:sz w:val="32"/>
          <w:szCs w:val="32"/>
          <w:lang w:val="en-US" w:eastAsia="zh-CN"/>
        </w:rPr>
        <w:t>234.05</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50.16</w:t>
      </w:r>
      <w:r>
        <w:rPr>
          <w:rFonts w:hint="default" w:ascii="Times New Roman" w:hAnsi="Times New Roman" w:eastAsia="方正仿宋_GBK" w:cs="Times New Roman"/>
          <w:sz w:val="32"/>
          <w:szCs w:val="32"/>
        </w:rPr>
        <w:t>%；政府性基金预算财政拨款收入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%；国有资本经营预算财政拨款收入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%；上级补助收入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%；事业收入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%；经营收入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%；附属单位上缴收入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年初结转和结余232.53万元，占49.84%</w:t>
      </w:r>
      <w:r>
        <w:rPr>
          <w:rFonts w:hint="default" w:ascii="Times New Roman" w:hAnsi="Times New Roman" w:eastAsia="方正仿宋_GBK" w:cs="Times New Roman"/>
          <w:kern w:val="0"/>
          <w:sz w:val="32"/>
          <w:szCs w:val="32"/>
          <w:shd w:val="clear" w:color="auto" w:fill="FFFFFF"/>
          <w:lang w:val="en-US" w:eastAsia="zh-CN"/>
        </w:rPr>
        <w:t>。</w:t>
      </w:r>
    </w:p>
    <w:p w14:paraId="179A3AB6">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1"/>
        <w:rPr>
          <w:rFonts w:hint="eastAsia" w:ascii="方正楷体_GBK" w:hAnsi="方正楷体_GBK" w:eastAsia="方正楷体_GBK" w:cs="方正楷体_GBK"/>
          <w:b/>
          <w:bCs/>
          <w:kern w:val="0"/>
          <w:sz w:val="32"/>
          <w:szCs w:val="32"/>
          <w:shd w:val="clear" w:color="auto" w:fill="FFFFFF"/>
          <w:lang w:val="zh-CN"/>
        </w:rPr>
      </w:pPr>
      <w:bookmarkStart w:id="85" w:name="_Toc13138"/>
      <w:r>
        <w:rPr>
          <w:rFonts w:hint="eastAsia" w:ascii="方正楷体_GBK" w:hAnsi="方正楷体_GBK" w:eastAsia="方正楷体_GBK" w:cs="方正楷体_GBK"/>
          <w:b/>
          <w:bCs/>
          <w:kern w:val="0"/>
          <w:sz w:val="32"/>
          <w:szCs w:val="32"/>
          <w:shd w:val="clear" w:color="auto" w:fill="FFFFFF"/>
          <w:lang w:val="zh-CN"/>
        </w:rPr>
        <w:t>（</w:t>
      </w:r>
      <w:r>
        <w:rPr>
          <w:rFonts w:hint="eastAsia" w:ascii="方正楷体_GBK" w:hAnsi="方正楷体_GBK" w:eastAsia="方正楷体_GBK" w:cs="方正楷体_GBK"/>
          <w:b/>
          <w:bCs/>
          <w:kern w:val="0"/>
          <w:sz w:val="32"/>
          <w:szCs w:val="32"/>
          <w:shd w:val="clear" w:color="auto" w:fill="FFFFFF"/>
          <w:lang w:val="en-US" w:eastAsia="zh-CN"/>
        </w:rPr>
        <w:t>一</w:t>
      </w:r>
      <w:r>
        <w:rPr>
          <w:rFonts w:hint="eastAsia" w:ascii="方正楷体_GBK" w:hAnsi="方正楷体_GBK" w:eastAsia="方正楷体_GBK" w:cs="方正楷体_GBK"/>
          <w:b/>
          <w:bCs/>
          <w:kern w:val="0"/>
          <w:sz w:val="32"/>
          <w:szCs w:val="32"/>
          <w:shd w:val="clear" w:color="auto" w:fill="FFFFFF"/>
          <w:lang w:val="zh-CN"/>
        </w:rPr>
        <w:t>）部门总体收支情况</w:t>
      </w:r>
      <w:bookmarkEnd w:id="85"/>
    </w:p>
    <w:p w14:paraId="1FF107FA">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1</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部门总体收入情况</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sz w:val="32"/>
          <w:szCs w:val="32"/>
          <w:lang w:val="en-US" w:eastAsia="zh-CN"/>
        </w:rPr>
        <w:t>2022年度收入总计466.58万元，其中：一般公共预算财政拨款收入234.05万元，占财政资金收入的50.16%。</w:t>
      </w:r>
    </w:p>
    <w:p w14:paraId="583F1ADE">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2</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部门总体支出情况</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sz w:val="32"/>
          <w:szCs w:val="32"/>
          <w:lang w:val="en-US" w:eastAsia="zh-CN"/>
        </w:rPr>
        <w:t>2022年年度支出合计466.58万元，其中：一般公共预算财政拨款支出466.58万元，占财政资金支出的100%。一般公共预算财政拨款支出中，基本支出206.24万元，占44.2%；项目支出260.34万元，占55.8%。</w:t>
      </w:r>
    </w:p>
    <w:p w14:paraId="79E109C8">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3</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部门总体结转结余情况</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sz w:val="32"/>
          <w:szCs w:val="32"/>
          <w:lang w:val="en-US" w:eastAsia="zh-CN"/>
        </w:rPr>
        <w:t>2022年度收入总计466.58万元，其中：一般公共预算财政拨款收入234.05万元，占财政资金收入的50.16%；年初结转和结余232.53万元，占49.84%。</w:t>
      </w:r>
    </w:p>
    <w:p w14:paraId="4E4231DC">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1"/>
        <w:rPr>
          <w:rFonts w:hint="default" w:ascii="方正楷体_GBK" w:hAnsi="方正楷体_GBK" w:eastAsia="方正楷体_GBK" w:cs="方正楷体_GBK"/>
          <w:b/>
          <w:bCs/>
          <w:kern w:val="0"/>
          <w:sz w:val="32"/>
          <w:szCs w:val="32"/>
          <w:shd w:val="clear" w:color="auto" w:fill="FFFFFF"/>
          <w:lang w:val="zh-CN"/>
        </w:rPr>
      </w:pPr>
      <w:bookmarkStart w:id="86" w:name="_Toc12437"/>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en-US" w:eastAsia="zh-CN"/>
        </w:rPr>
        <w:t>二</w:t>
      </w: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zh-CN"/>
        </w:rPr>
        <w:t>部门财政拨款收支情况</w:t>
      </w:r>
      <w:bookmarkEnd w:id="86"/>
    </w:p>
    <w:p w14:paraId="174A8D50">
      <w:pPr>
        <w:snapToGrid w:val="0"/>
        <w:spacing w:line="520" w:lineRule="exact"/>
        <w:ind w:firstLine="643" w:firstLineChars="200"/>
        <w:outlineLvl w:val="9"/>
        <w:rPr>
          <w:rFonts w:hint="default" w:ascii="Times New Roman" w:hAnsi="Times New Roman" w:eastAsia="方正仿宋_GBK" w:cs="Times New Roman"/>
          <w:sz w:val="32"/>
          <w:szCs w:val="32"/>
          <w:lang w:val="en-US" w:eastAsia="zh-CN"/>
        </w:rPr>
      </w:pPr>
      <w:bookmarkStart w:id="87" w:name="_Toc2925"/>
      <w:r>
        <w:rPr>
          <w:rFonts w:hint="default" w:ascii="Times New Roman" w:hAnsi="Times New Roman" w:eastAsia="方正仿宋_GBK" w:cs="Times New Roman"/>
          <w:b/>
          <w:bCs/>
          <w:sz w:val="32"/>
          <w:szCs w:val="32"/>
          <w:lang w:val="en-US" w:eastAsia="zh-CN"/>
        </w:rPr>
        <w:t>1</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部门财政拨款收入情况</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sz w:val="32"/>
          <w:szCs w:val="32"/>
          <w:lang w:val="en-US" w:eastAsia="zh-CN"/>
        </w:rPr>
        <w:t>2022年度收入总计466.58万元，其中：一般公共预算财政拨款收入234.05万元，占财政资金收入的50.16%。</w:t>
      </w:r>
    </w:p>
    <w:p w14:paraId="251684CA">
      <w:pPr>
        <w:snapToGrid w:val="0"/>
        <w:spacing w:line="520" w:lineRule="exact"/>
        <w:ind w:firstLine="643" w:firstLineChars="200"/>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2</w:t>
      </w:r>
      <w:r>
        <w:rPr>
          <w:rFonts w:hint="eastAsia" w:eastAsia="方正仿宋_GBK" w:cs="Times New Roman"/>
          <w:b/>
          <w:bCs/>
          <w:sz w:val="32"/>
          <w:szCs w:val="32"/>
          <w:lang w:val="en-US" w:eastAsia="zh-CN"/>
        </w:rPr>
        <w:t>.</w:t>
      </w:r>
      <w:r>
        <w:rPr>
          <w:rFonts w:hint="default" w:ascii="Times New Roman" w:hAnsi="Times New Roman" w:eastAsia="方正仿宋_GBK" w:cs="Times New Roman"/>
          <w:b/>
          <w:bCs/>
          <w:sz w:val="32"/>
          <w:szCs w:val="32"/>
          <w:lang w:val="en-US" w:eastAsia="zh-CN"/>
        </w:rPr>
        <w:t>部门财政拨款支出情况</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sz w:val="32"/>
          <w:szCs w:val="32"/>
          <w:lang w:val="en-US" w:eastAsia="zh-CN"/>
        </w:rPr>
        <w:t>2022年年度支出合计466.58万元，其中：一般公共预算财政拨款支出466.58万元，占财政资金支出的100%。一般公共预算财政拨款支出中，基本支出206.24万元，占44.2%；项目支出260.34万元，占55.8%。</w:t>
      </w:r>
    </w:p>
    <w:p w14:paraId="7D701140">
      <w:pPr>
        <w:numPr>
          <w:ilvl w:val="0"/>
          <w:numId w:val="0"/>
        </w:numPr>
        <w:snapToGrid w:val="0"/>
        <w:spacing w:line="520" w:lineRule="exact"/>
        <w:ind w:firstLine="643" w:firstLineChars="200"/>
        <w:outlineLvl w:val="9"/>
        <w:rPr>
          <w:rFonts w:hint="default" w:ascii="Times New Roman" w:hAnsi="Times New Roman" w:eastAsia="方正仿宋_GBK" w:cs="Times New Roman"/>
          <w:sz w:val="32"/>
          <w:szCs w:val="32"/>
          <w:lang w:val="zh-CN"/>
        </w:rPr>
      </w:pPr>
      <w:r>
        <w:rPr>
          <w:rFonts w:hint="eastAsia"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b/>
          <w:bCs/>
          <w:sz w:val="32"/>
          <w:szCs w:val="32"/>
          <w:lang w:val="en-US" w:eastAsia="zh-CN"/>
        </w:rPr>
        <w:t>部门财政拨款结转结余情况</w:t>
      </w:r>
      <w:r>
        <w:rPr>
          <w:rFonts w:hint="eastAsia"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sz w:val="32"/>
          <w:szCs w:val="32"/>
          <w:lang w:val="en-US" w:eastAsia="zh-CN"/>
        </w:rPr>
        <w:t>2022年度收入总计466.58万元，其中：一般公共预算财政拨款收入234.05万元，占财政资金收入的50.16%；年初结转和结余232.53万元，占49.84%</w:t>
      </w:r>
      <w:r>
        <w:rPr>
          <w:rFonts w:hint="default" w:ascii="Times New Roman" w:hAnsi="Times New Roman" w:eastAsia="方正仿宋_GBK" w:cs="Times New Roman"/>
          <w:sz w:val="32"/>
          <w:szCs w:val="32"/>
        </w:rPr>
        <w:t>。</w:t>
      </w:r>
      <w:bookmarkEnd w:id="87"/>
    </w:p>
    <w:p w14:paraId="01218850">
      <w:pPr>
        <w:numPr>
          <w:ilvl w:val="0"/>
          <w:numId w:val="0"/>
        </w:numPr>
        <w:spacing w:line="600" w:lineRule="exact"/>
        <w:ind w:firstLine="640" w:firstLineChars="0"/>
        <w:outlineLvl w:val="1"/>
        <w:rPr>
          <w:rFonts w:hint="default" w:ascii="方正黑体_GBK" w:hAnsi="方正黑体_GBK" w:eastAsia="方正黑体_GBK" w:cs="方正黑体_GBK"/>
          <w:b w:val="0"/>
          <w:bCs/>
          <w:kern w:val="2"/>
          <w:sz w:val="32"/>
          <w:szCs w:val="32"/>
          <w:lang w:val="zh-CN" w:eastAsia="zh-CN" w:bidi="ar-SA"/>
        </w:rPr>
      </w:pPr>
      <w:bookmarkStart w:id="88" w:name="_Toc14972"/>
      <w:bookmarkStart w:id="89" w:name="_Toc22521"/>
      <w:r>
        <w:rPr>
          <w:rFonts w:hint="default" w:ascii="方正黑体_GBK" w:hAnsi="方正黑体_GBK" w:eastAsia="方正黑体_GBK" w:cs="方正黑体_GBK"/>
          <w:b w:val="0"/>
          <w:bCs/>
          <w:kern w:val="2"/>
          <w:sz w:val="32"/>
          <w:szCs w:val="32"/>
          <w:lang w:val="zh-CN" w:eastAsia="zh-CN" w:bidi="ar-SA"/>
        </w:rPr>
        <w:t>三、</w:t>
      </w:r>
      <w:bookmarkEnd w:id="88"/>
      <w:r>
        <w:rPr>
          <w:rFonts w:hint="default" w:ascii="方正黑体_GBK" w:hAnsi="方正黑体_GBK" w:eastAsia="方正黑体_GBK" w:cs="方正黑体_GBK"/>
          <w:b w:val="0"/>
          <w:bCs/>
          <w:kern w:val="2"/>
          <w:sz w:val="32"/>
          <w:szCs w:val="32"/>
          <w:lang w:val="zh-CN" w:eastAsia="zh-CN" w:bidi="ar-SA"/>
        </w:rPr>
        <w:t>部门整体绩效分析</w:t>
      </w:r>
      <w:bookmarkEnd w:id="89"/>
    </w:p>
    <w:p w14:paraId="085B0511">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1"/>
        <w:rPr>
          <w:rFonts w:hint="default" w:ascii="方正楷体_GBK" w:hAnsi="方正楷体_GBK" w:eastAsia="方正楷体_GBK" w:cs="方正楷体_GBK"/>
          <w:b/>
          <w:bCs/>
          <w:kern w:val="0"/>
          <w:sz w:val="32"/>
          <w:szCs w:val="32"/>
          <w:shd w:val="clear" w:color="auto" w:fill="FFFFFF"/>
          <w:lang w:val="zh-CN"/>
        </w:rPr>
      </w:pP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zh-CN"/>
        </w:rPr>
        <w:t>一</w:t>
      </w: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zh-CN"/>
        </w:rPr>
        <w:t>部门预算项目绩效分析</w:t>
      </w:r>
    </w:p>
    <w:p w14:paraId="2C48813B">
      <w:pPr>
        <w:widowControl/>
        <w:adjustRightInd w:val="0"/>
        <w:snapToGrid w:val="0"/>
        <w:spacing w:line="572" w:lineRule="exact"/>
        <w:ind w:firstLine="640"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kern w:val="0"/>
          <w:sz w:val="32"/>
          <w:szCs w:val="32"/>
          <w:shd w:val="clear" w:color="auto" w:fill="FFFFFF"/>
          <w:lang w:val="zh-CN"/>
        </w:rPr>
        <w:t>根据预算绩效管理要求，部门绩效目标制定、目标实现、预算编制准确、支出控制、预算动态调整、执行进度、预算完成情况和违规记录等情况</w:t>
      </w:r>
      <w:r>
        <w:rPr>
          <w:rFonts w:hint="default" w:ascii="Times New Roman" w:hAnsi="Times New Roman" w:eastAsia="方正仿宋_GBK" w:cs="Times New Roman"/>
          <w:kern w:val="0"/>
          <w:sz w:val="32"/>
          <w:szCs w:val="32"/>
          <w:shd w:val="clear" w:color="auto" w:fill="FFFFFF"/>
          <w:lang w:val="en-US" w:eastAsia="zh-CN"/>
        </w:rPr>
        <w:t>。</w:t>
      </w:r>
    </w:p>
    <w:p w14:paraId="0B170C91">
      <w:pPr>
        <w:widowControl/>
        <w:adjustRightInd w:val="0"/>
        <w:snapToGrid w:val="0"/>
        <w:spacing w:line="572" w:lineRule="exact"/>
        <w:ind w:firstLine="640"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kern w:val="0"/>
          <w:sz w:val="32"/>
          <w:szCs w:val="32"/>
          <w:shd w:val="clear" w:color="auto" w:fill="FFFFFF"/>
          <w:lang w:val="en-US" w:eastAsia="zh-CN"/>
        </w:rPr>
        <w:t>年终按要求对2022年部门整体支出开展绩效自评，从评价情况来看，如期完成年初预算目标。</w:t>
      </w:r>
    </w:p>
    <w:p w14:paraId="54AC5E8A">
      <w:pPr>
        <w:widowControl/>
        <w:adjustRightInd w:val="0"/>
        <w:snapToGrid w:val="0"/>
        <w:spacing w:line="572" w:lineRule="exact"/>
        <w:ind w:firstLine="643" w:firstLineChars="200"/>
        <w:contextualSpacing/>
        <w:jc w:val="left"/>
        <w:rPr>
          <w:rFonts w:hint="default" w:ascii="Times New Roman" w:hAnsi="Times New Roman" w:eastAsia="方正仿宋_GBK" w:cs="Times New Roman"/>
          <w:b/>
          <w:bCs/>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en-US" w:eastAsia="zh-CN"/>
        </w:rPr>
        <w:t>1</w:t>
      </w:r>
      <w:r>
        <w:rPr>
          <w:rFonts w:hint="eastAsia" w:ascii="Times New Roman" w:hAnsi="Times New Roman" w:eastAsia="方正仿宋_GBK" w:cs="Times New Roman"/>
          <w:b/>
          <w:bCs/>
          <w:kern w:val="0"/>
          <w:sz w:val="32"/>
          <w:szCs w:val="32"/>
          <w:shd w:val="clear" w:color="auto" w:fill="FFFFFF"/>
          <w:lang w:val="en-US" w:eastAsia="zh-CN"/>
        </w:rPr>
        <w:t>.</w:t>
      </w:r>
      <w:r>
        <w:rPr>
          <w:rFonts w:hint="default" w:ascii="Times New Roman" w:hAnsi="Times New Roman" w:eastAsia="方正仿宋_GBK" w:cs="Times New Roman"/>
          <w:b/>
          <w:bCs/>
          <w:kern w:val="0"/>
          <w:sz w:val="32"/>
          <w:szCs w:val="32"/>
          <w:shd w:val="clear" w:color="auto" w:fill="FFFFFF"/>
          <w:lang w:val="en-US" w:eastAsia="zh-CN"/>
        </w:rPr>
        <w:t>人员类项目绩效分析</w:t>
      </w:r>
    </w:p>
    <w:p w14:paraId="6F765A5B">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zh-CN" w:eastAsia="zh-CN"/>
        </w:rPr>
        <w:t>目标制定：</w:t>
      </w:r>
      <w:r>
        <w:rPr>
          <w:rFonts w:hint="default" w:ascii="Times New Roman" w:hAnsi="Times New Roman" w:eastAsia="方正仿宋_GBK" w:cs="Times New Roman"/>
          <w:kern w:val="0"/>
          <w:sz w:val="32"/>
          <w:szCs w:val="32"/>
          <w:shd w:val="clear" w:color="auto" w:fill="FFFFFF"/>
          <w:lang w:val="zh-CN" w:eastAsia="zh-CN"/>
        </w:rPr>
        <w:t>今年以来，始终坚持稳中求进工作总基调，坚持新发展理念，贯彻高质量发展和安全发展、科学发展的总体要求，统筹推进</w:t>
      </w:r>
      <w:r>
        <w:rPr>
          <w:rFonts w:hint="default" w:ascii="Times New Roman" w:hAnsi="Times New Roman" w:eastAsia="方正仿宋_GBK" w:cs="Times New Roman"/>
          <w:kern w:val="0"/>
          <w:sz w:val="32"/>
          <w:szCs w:val="32"/>
          <w:shd w:val="clear" w:color="auto" w:fill="FFFFFF"/>
          <w:lang w:val="en-US" w:eastAsia="zh-CN"/>
        </w:rPr>
        <w:t>粮食安全</w:t>
      </w:r>
      <w:r>
        <w:rPr>
          <w:rFonts w:hint="default" w:ascii="Times New Roman" w:hAnsi="Times New Roman" w:eastAsia="方正仿宋_GBK" w:cs="Times New Roman"/>
          <w:kern w:val="0"/>
          <w:sz w:val="32"/>
          <w:szCs w:val="32"/>
          <w:shd w:val="clear" w:color="auto" w:fill="FFFFFF"/>
          <w:lang w:val="zh-CN" w:eastAsia="zh-CN"/>
        </w:rPr>
        <w:t>工作高效稳步发展。</w:t>
      </w:r>
    </w:p>
    <w:p w14:paraId="3F430082">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zh-CN" w:eastAsia="zh-CN"/>
        </w:rPr>
      </w:pPr>
      <w:r>
        <w:rPr>
          <w:rFonts w:hint="default" w:ascii="Times New Roman" w:hAnsi="Times New Roman" w:eastAsia="方正仿宋_GBK" w:cs="Times New Roman"/>
          <w:b/>
          <w:bCs/>
          <w:kern w:val="0"/>
          <w:sz w:val="32"/>
          <w:szCs w:val="32"/>
          <w:shd w:val="clear" w:color="auto" w:fill="FFFFFF"/>
          <w:lang w:val="zh-CN" w:eastAsia="zh-CN"/>
        </w:rPr>
        <w:t>目标实现：</w:t>
      </w:r>
      <w:r>
        <w:rPr>
          <w:rFonts w:hint="default" w:ascii="Times New Roman" w:hAnsi="Times New Roman" w:eastAsia="方正仿宋_GBK" w:cs="Times New Roman"/>
          <w:kern w:val="0"/>
          <w:sz w:val="32"/>
          <w:szCs w:val="32"/>
          <w:shd w:val="clear" w:color="auto" w:fill="FFFFFF"/>
          <w:lang w:val="zh-CN"/>
        </w:rPr>
        <w:t>截至目前，</w:t>
      </w:r>
      <w:r>
        <w:rPr>
          <w:rFonts w:hint="default" w:ascii="Times New Roman" w:hAnsi="Times New Roman" w:eastAsia="方正仿宋_GBK" w:cs="Times New Roman"/>
          <w:kern w:val="0"/>
          <w:sz w:val="32"/>
          <w:szCs w:val="32"/>
          <w:shd w:val="clear" w:color="auto" w:fill="FFFFFF"/>
          <w:lang w:val="en-US"/>
        </w:rPr>
        <w:t>单位人员类项目</w:t>
      </w:r>
      <w:r>
        <w:rPr>
          <w:rFonts w:hint="default" w:ascii="Times New Roman" w:hAnsi="Times New Roman" w:eastAsia="方正仿宋_GBK" w:cs="Times New Roman"/>
          <w:kern w:val="0"/>
          <w:sz w:val="32"/>
          <w:szCs w:val="32"/>
          <w:shd w:val="clear" w:color="auto" w:fill="FFFFFF"/>
          <w:lang w:val="en-US" w:eastAsia="zh-CN"/>
        </w:rPr>
        <w:t>预算金额</w:t>
      </w:r>
      <w:r>
        <w:rPr>
          <w:rFonts w:hint="default" w:ascii="Times New Roman" w:hAnsi="Times New Roman" w:eastAsia="方正仿宋_GBK" w:cs="Times New Roman"/>
          <w:kern w:val="0"/>
          <w:sz w:val="32"/>
          <w:szCs w:val="32"/>
          <w:shd w:val="clear" w:color="auto" w:fill="FFFFFF"/>
          <w:lang w:val="zh-CN"/>
        </w:rPr>
        <w:t>196.04万元，</w:t>
      </w:r>
      <w:r>
        <w:rPr>
          <w:rFonts w:hint="default" w:ascii="Times New Roman" w:hAnsi="Times New Roman" w:eastAsia="方正仿宋_GBK" w:cs="Times New Roman"/>
          <w:kern w:val="0"/>
          <w:sz w:val="32"/>
          <w:szCs w:val="32"/>
          <w:shd w:val="clear" w:color="auto" w:fill="FFFFFF"/>
          <w:lang w:val="en-US" w:eastAsia="zh-CN"/>
        </w:rPr>
        <w:t>其中：预算批复金额130.09万元；中期追加金额64.23万元；财政收回1.72万元；</w:t>
      </w:r>
      <w:r>
        <w:rPr>
          <w:rFonts w:hint="default" w:ascii="Times New Roman" w:hAnsi="Times New Roman" w:eastAsia="方正仿宋_GBK" w:cs="Times New Roman"/>
          <w:kern w:val="0"/>
          <w:sz w:val="32"/>
          <w:szCs w:val="32"/>
          <w:shd w:val="clear" w:color="auto" w:fill="FFFFFF"/>
          <w:lang w:val="en-US"/>
        </w:rPr>
        <w:t>人员类项目</w:t>
      </w:r>
      <w:r>
        <w:rPr>
          <w:rFonts w:hint="default" w:ascii="Times New Roman" w:hAnsi="Times New Roman" w:eastAsia="方正仿宋_GBK" w:cs="Times New Roman"/>
          <w:kern w:val="0"/>
          <w:sz w:val="32"/>
          <w:szCs w:val="32"/>
          <w:shd w:val="clear" w:color="auto" w:fill="FFFFFF"/>
          <w:lang w:val="en-US" w:eastAsia="zh-CN"/>
        </w:rPr>
        <w:t>金额</w:t>
      </w:r>
      <w:r>
        <w:rPr>
          <w:rFonts w:hint="default" w:ascii="Times New Roman" w:hAnsi="Times New Roman" w:eastAsia="方正仿宋_GBK" w:cs="Times New Roman"/>
          <w:kern w:val="0"/>
          <w:sz w:val="32"/>
          <w:szCs w:val="32"/>
          <w:shd w:val="clear" w:color="auto" w:fill="FFFFFF"/>
          <w:lang w:val="zh-CN"/>
        </w:rPr>
        <w:t>196.04万元。</w:t>
      </w:r>
    </w:p>
    <w:p w14:paraId="1E1775C7">
      <w:pPr>
        <w:keepNext w:val="0"/>
        <w:keepLines w:val="0"/>
        <w:pageBreakBefore w:val="0"/>
        <w:widowControl w:val="0"/>
        <w:kinsoku/>
        <w:wordWrap/>
        <w:overflowPunct/>
        <w:topLinePunct w:val="0"/>
        <w:autoSpaceDE/>
        <w:autoSpaceDN/>
        <w:bidi w:val="0"/>
        <w:adjustRightInd w:val="0"/>
        <w:snapToGrid w:val="0"/>
        <w:spacing w:line="572" w:lineRule="exact"/>
        <w:ind w:firstLine="643" w:firstLineChars="200"/>
        <w:contextualSpacing/>
        <w:jc w:val="left"/>
        <w:textAlignment w:val="auto"/>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zh-CN" w:eastAsia="zh-CN"/>
        </w:rPr>
        <w:t>支出控制：</w:t>
      </w:r>
      <w:r>
        <w:rPr>
          <w:rFonts w:hint="default" w:ascii="Times New Roman" w:hAnsi="Times New Roman" w:eastAsia="方正仿宋_GBK" w:cs="Times New Roman"/>
          <w:kern w:val="0"/>
          <w:sz w:val="32"/>
          <w:szCs w:val="32"/>
          <w:shd w:val="clear" w:color="auto" w:fill="FFFFFF"/>
          <w:lang w:val="en-US" w:eastAsia="zh-CN"/>
        </w:rPr>
        <w:t>办公室负责单位内控评价与监督工作，具体职责如下：负责制定单位内部控制监督评价相关制度；负责制订内部控制评价方案；负责组织对单位年度内部控制工作自评工作；负责单位风险管理工作的实施情况和有效性进行监督和检查；负责对各个部门各业务流程的执行情况进行监督和检查。</w:t>
      </w:r>
    </w:p>
    <w:p w14:paraId="24E665B6">
      <w:pPr>
        <w:widowControl/>
        <w:adjustRightInd w:val="0"/>
        <w:snapToGrid w:val="0"/>
        <w:spacing w:line="572" w:lineRule="exact"/>
        <w:ind w:firstLine="640"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kern w:val="0"/>
          <w:sz w:val="32"/>
          <w:szCs w:val="32"/>
          <w:shd w:val="clear" w:color="auto" w:fill="FFFFFF"/>
          <w:lang w:val="en-US" w:eastAsia="zh-CN"/>
        </w:rPr>
        <w:t>制定的管理制度，包括不限于财务管理制度、采购管理制度，监控、监督措施执行有效，2022年度单位财务人员按要求执行了监控职能。</w:t>
      </w:r>
    </w:p>
    <w:p w14:paraId="0EF4B979">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zh-CN" w:eastAsia="zh-CN"/>
        </w:rPr>
        <w:t>执行进度</w:t>
      </w:r>
      <w:r>
        <w:rPr>
          <w:rFonts w:hint="eastAsia" w:ascii="Times New Roman" w:hAnsi="Times New Roman" w:eastAsia="方正仿宋_GBK" w:cs="Times New Roman"/>
          <w:b/>
          <w:bCs/>
          <w:kern w:val="0"/>
          <w:sz w:val="32"/>
          <w:szCs w:val="32"/>
          <w:shd w:val="clear" w:color="auto" w:fill="FFFFFF"/>
          <w:lang w:val="zh-CN" w:eastAsia="zh-CN"/>
        </w:rPr>
        <w:t>：</w:t>
      </w:r>
      <w:r>
        <w:rPr>
          <w:rFonts w:hint="default" w:ascii="Times New Roman" w:hAnsi="Times New Roman" w:eastAsia="方正仿宋_GBK" w:cs="Times New Roman"/>
          <w:kern w:val="0"/>
          <w:sz w:val="32"/>
          <w:szCs w:val="32"/>
          <w:shd w:val="clear" w:color="auto" w:fill="FFFFFF"/>
          <w:lang w:val="en-US" w:eastAsia="zh-CN"/>
        </w:rPr>
        <w:t>2022年财政预算收入年末总额为466.58万元，年末实际预算支出总额为466.58万元，预算完成率为100%。</w:t>
      </w:r>
    </w:p>
    <w:p w14:paraId="1AD9F517">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zh-CN" w:eastAsia="zh-CN"/>
        </w:rPr>
      </w:pPr>
      <w:r>
        <w:rPr>
          <w:rFonts w:hint="default" w:ascii="Times New Roman" w:hAnsi="Times New Roman" w:eastAsia="方正仿宋_GBK" w:cs="Times New Roman"/>
          <w:b/>
          <w:bCs/>
          <w:kern w:val="0"/>
          <w:sz w:val="32"/>
          <w:szCs w:val="32"/>
          <w:shd w:val="clear" w:color="auto" w:fill="FFFFFF"/>
          <w:lang w:val="zh-CN" w:eastAsia="zh-CN"/>
        </w:rPr>
        <w:t>预算完成情况：</w:t>
      </w:r>
      <w:r>
        <w:rPr>
          <w:rFonts w:hint="default" w:ascii="Times New Roman" w:hAnsi="Times New Roman" w:eastAsia="方正仿宋_GBK" w:cs="Times New Roman"/>
          <w:kern w:val="0"/>
          <w:sz w:val="32"/>
          <w:szCs w:val="32"/>
          <w:shd w:val="clear" w:color="auto" w:fill="FFFFFF"/>
          <w:lang w:val="en-US" w:eastAsia="zh-CN"/>
        </w:rPr>
        <w:t>2022年财政预算收入年末总额为466.58万元，年末实际预算支出总额为466.58万元，预算完成率为100%。</w:t>
      </w:r>
    </w:p>
    <w:p w14:paraId="3447F202">
      <w:pPr>
        <w:widowControl/>
        <w:adjustRightInd w:val="0"/>
        <w:snapToGrid w:val="0"/>
        <w:spacing w:line="572" w:lineRule="exact"/>
        <w:ind w:firstLine="643" w:firstLineChars="200"/>
        <w:contextualSpacing/>
        <w:jc w:val="left"/>
        <w:rPr>
          <w:rFonts w:hint="default" w:ascii="Times New Roman" w:hAnsi="Times New Roman" w:eastAsia="方正仿宋_GBK" w:cs="Times New Roman"/>
          <w:b w:val="0"/>
          <w:bCs w:val="0"/>
          <w:color w:val="auto"/>
          <w:kern w:val="0"/>
          <w:sz w:val="32"/>
          <w:szCs w:val="32"/>
          <w:highlight w:val="none"/>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zh-CN" w:eastAsia="zh-CN"/>
        </w:rPr>
        <w:t>违规记录等情况：</w:t>
      </w:r>
      <w:r>
        <w:rPr>
          <w:rFonts w:hint="default" w:ascii="Times New Roman" w:hAnsi="Times New Roman" w:eastAsia="方正仿宋_GBK" w:cs="Times New Roman"/>
          <w:kern w:val="0"/>
          <w:sz w:val="32"/>
          <w:szCs w:val="32"/>
          <w:shd w:val="clear" w:color="auto" w:fill="FFFFFF"/>
          <w:lang w:val="zh-CN" w:eastAsia="zh-CN"/>
        </w:rPr>
        <w:t>本年度无违规记录</w:t>
      </w:r>
      <w:r>
        <w:rPr>
          <w:rFonts w:hint="default" w:ascii="Times New Roman" w:hAnsi="Times New Roman" w:eastAsia="方正仿宋_GBK" w:cs="Times New Roman"/>
          <w:kern w:val="0"/>
          <w:sz w:val="32"/>
          <w:szCs w:val="32"/>
          <w:shd w:val="clear" w:color="auto" w:fill="FFFFFF"/>
          <w:lang w:val="en-US" w:eastAsia="zh-CN"/>
        </w:rPr>
        <w:t>。</w:t>
      </w:r>
    </w:p>
    <w:p w14:paraId="0E91D4D5">
      <w:pPr>
        <w:widowControl/>
        <w:adjustRightInd w:val="0"/>
        <w:snapToGrid w:val="0"/>
        <w:spacing w:line="572" w:lineRule="exact"/>
        <w:ind w:firstLine="643" w:firstLineChars="200"/>
        <w:contextualSpacing/>
        <w:jc w:val="left"/>
        <w:rPr>
          <w:rFonts w:hint="default" w:ascii="Times New Roman" w:hAnsi="Times New Roman" w:eastAsia="方正仿宋_GBK" w:cs="Times New Roman"/>
          <w:b/>
          <w:bCs/>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en-US" w:eastAsia="zh-CN"/>
        </w:rPr>
        <w:t>2</w:t>
      </w:r>
      <w:r>
        <w:rPr>
          <w:rFonts w:hint="eastAsia" w:eastAsia="方正仿宋_GBK" w:cs="Times New Roman"/>
          <w:b/>
          <w:bCs/>
          <w:kern w:val="0"/>
          <w:sz w:val="32"/>
          <w:szCs w:val="32"/>
          <w:shd w:val="clear" w:color="auto" w:fill="FFFFFF"/>
          <w:lang w:val="en-US" w:eastAsia="zh-CN"/>
        </w:rPr>
        <w:t>.</w:t>
      </w:r>
      <w:r>
        <w:rPr>
          <w:rFonts w:hint="default" w:ascii="Times New Roman" w:hAnsi="Times New Roman" w:eastAsia="方正仿宋_GBK" w:cs="Times New Roman"/>
          <w:b/>
          <w:bCs/>
          <w:kern w:val="0"/>
          <w:sz w:val="32"/>
          <w:szCs w:val="32"/>
          <w:shd w:val="clear" w:color="auto" w:fill="FFFFFF"/>
          <w:lang w:val="en-US" w:eastAsia="zh-CN"/>
        </w:rPr>
        <w:t>运转类项目绩效分析</w:t>
      </w:r>
    </w:p>
    <w:p w14:paraId="3CE8BEBD">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en-US" w:eastAsia="zh-CN"/>
        </w:rPr>
        <w:t>目标制定：</w:t>
      </w:r>
      <w:r>
        <w:rPr>
          <w:rFonts w:hint="default" w:ascii="Times New Roman" w:hAnsi="Times New Roman" w:eastAsia="方正仿宋_GBK" w:cs="Times New Roman"/>
          <w:kern w:val="0"/>
          <w:sz w:val="32"/>
          <w:szCs w:val="32"/>
          <w:shd w:val="clear" w:color="auto" w:fill="FFFFFF"/>
          <w:lang w:val="en-US" w:eastAsia="zh-CN"/>
        </w:rPr>
        <w:t>今年以来，始终坚持稳中求进工作总基调，坚持新发展理念，贯彻高质量发展和安全发展、科学发展的总体要求，统筹推进粮食安全工作高效稳步发展。</w:t>
      </w:r>
    </w:p>
    <w:p w14:paraId="688F4E5C">
      <w:pPr>
        <w:keepNext w:val="0"/>
        <w:keepLines w:val="0"/>
        <w:pageBreakBefore w:val="0"/>
        <w:widowControl w:val="0"/>
        <w:kinsoku/>
        <w:wordWrap/>
        <w:overflowPunct/>
        <w:topLinePunct w:val="0"/>
        <w:autoSpaceDE/>
        <w:autoSpaceDN/>
        <w:bidi w:val="0"/>
        <w:adjustRightInd w:val="0"/>
        <w:snapToGrid w:val="0"/>
        <w:spacing w:line="572" w:lineRule="exact"/>
        <w:ind w:firstLine="643" w:firstLineChars="200"/>
        <w:contextualSpacing/>
        <w:jc w:val="left"/>
        <w:textAlignment w:val="auto"/>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en-US" w:eastAsia="zh-CN"/>
        </w:rPr>
        <w:t>目标实现：</w:t>
      </w:r>
      <w:r>
        <w:rPr>
          <w:rFonts w:hint="default" w:ascii="Times New Roman" w:hAnsi="Times New Roman" w:eastAsia="方正仿宋_GBK" w:cs="Times New Roman"/>
          <w:kern w:val="0"/>
          <w:sz w:val="32"/>
          <w:szCs w:val="32"/>
          <w:shd w:val="clear" w:color="auto" w:fill="FFFFFF"/>
          <w:lang w:val="en-US" w:eastAsia="zh-CN"/>
        </w:rPr>
        <w:t>截至目前，单位运转类项目预算10.21万元，其中：预算批复12.11万元；中期追加1.9万元；财政收回0万元；运转类项目完成10.21万元。</w:t>
      </w:r>
    </w:p>
    <w:p w14:paraId="29270D12">
      <w:pPr>
        <w:keepNext w:val="0"/>
        <w:keepLines w:val="0"/>
        <w:pageBreakBefore w:val="0"/>
        <w:widowControl w:val="0"/>
        <w:kinsoku/>
        <w:wordWrap/>
        <w:overflowPunct/>
        <w:topLinePunct w:val="0"/>
        <w:autoSpaceDE/>
        <w:autoSpaceDN/>
        <w:bidi w:val="0"/>
        <w:adjustRightInd w:val="0"/>
        <w:snapToGrid w:val="0"/>
        <w:spacing w:line="572" w:lineRule="exact"/>
        <w:ind w:firstLine="643" w:firstLineChars="200"/>
        <w:contextualSpacing/>
        <w:jc w:val="left"/>
        <w:textAlignment w:val="auto"/>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en-US" w:eastAsia="zh-CN"/>
        </w:rPr>
        <w:t>支出控制</w:t>
      </w:r>
      <w:r>
        <w:rPr>
          <w:rFonts w:hint="eastAsia" w:ascii="Times New Roman" w:hAnsi="Times New Roman" w:eastAsia="方正仿宋_GBK" w:cs="Times New Roman"/>
          <w:b/>
          <w:bCs/>
          <w:kern w:val="0"/>
          <w:sz w:val="32"/>
          <w:szCs w:val="32"/>
          <w:shd w:val="clear" w:color="auto" w:fill="FFFFFF"/>
          <w:lang w:val="en-US" w:eastAsia="zh-CN"/>
        </w:rPr>
        <w:t>：</w:t>
      </w:r>
      <w:r>
        <w:rPr>
          <w:rFonts w:hint="default" w:ascii="Times New Roman" w:hAnsi="Times New Roman" w:eastAsia="方正仿宋_GBK" w:cs="Times New Roman"/>
          <w:kern w:val="0"/>
          <w:sz w:val="32"/>
          <w:szCs w:val="32"/>
          <w:shd w:val="clear" w:color="auto" w:fill="FFFFFF"/>
          <w:lang w:val="en-US" w:eastAsia="zh-CN"/>
        </w:rPr>
        <w:t>办公室负责单位内控评价与监督工作，具体职责如下：负责制定单位内部控制监督评价相关制度；负责制订内部控制评价方案；负责组织对单位年度内部控制工作自评工作；负责单位风险管理工作的实施情况和有效性进行监督和检查；负责对各个部门各业务流程的执行情况进行监督和检查。</w:t>
      </w:r>
    </w:p>
    <w:p w14:paraId="5A3584D0">
      <w:pPr>
        <w:widowControl/>
        <w:adjustRightInd w:val="0"/>
        <w:snapToGrid w:val="0"/>
        <w:spacing w:line="572" w:lineRule="exact"/>
        <w:ind w:firstLine="640"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kern w:val="0"/>
          <w:sz w:val="32"/>
          <w:szCs w:val="32"/>
          <w:shd w:val="clear" w:color="auto" w:fill="FFFFFF"/>
          <w:lang w:val="en-US" w:eastAsia="zh-CN"/>
        </w:rPr>
        <w:t>制定的管理制度，包括不限于财务管理制度、采购管理制度，监控、监督措施执行有效，2022年度单位财务人员按要求执行了监控职能。</w:t>
      </w:r>
    </w:p>
    <w:p w14:paraId="1B18A814">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en-US" w:eastAsia="zh-CN"/>
        </w:rPr>
        <w:t>执行进度</w:t>
      </w:r>
      <w:r>
        <w:rPr>
          <w:rFonts w:hint="eastAsia" w:ascii="Times New Roman" w:hAnsi="Times New Roman" w:eastAsia="方正仿宋_GBK" w:cs="Times New Roman"/>
          <w:b/>
          <w:bCs/>
          <w:kern w:val="0"/>
          <w:sz w:val="32"/>
          <w:szCs w:val="32"/>
          <w:shd w:val="clear" w:color="auto" w:fill="FFFFFF"/>
          <w:lang w:val="en-US" w:eastAsia="zh-CN"/>
        </w:rPr>
        <w:t>：</w:t>
      </w:r>
      <w:r>
        <w:rPr>
          <w:rFonts w:hint="default" w:ascii="Times New Roman" w:hAnsi="Times New Roman" w:eastAsia="方正仿宋_GBK" w:cs="Times New Roman"/>
          <w:kern w:val="0"/>
          <w:sz w:val="32"/>
          <w:szCs w:val="32"/>
          <w:shd w:val="clear" w:color="auto" w:fill="FFFFFF"/>
          <w:lang w:val="en-US" w:eastAsia="zh-CN"/>
        </w:rPr>
        <w:t>2022年财政预算收入年末总额为466.58万元，年末实际预算支出总额为466.58万元，预算完成率为100%。</w:t>
      </w:r>
    </w:p>
    <w:p w14:paraId="3983AF3A">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en-US" w:eastAsia="zh-CN"/>
        </w:rPr>
        <w:t>预算完成情况：</w:t>
      </w:r>
      <w:r>
        <w:rPr>
          <w:rFonts w:hint="default" w:ascii="Times New Roman" w:hAnsi="Times New Roman" w:eastAsia="方正仿宋_GBK" w:cs="Times New Roman"/>
          <w:kern w:val="0"/>
          <w:sz w:val="32"/>
          <w:szCs w:val="32"/>
          <w:shd w:val="clear" w:color="auto" w:fill="FFFFFF"/>
          <w:lang w:val="en-US" w:eastAsia="zh-CN"/>
        </w:rPr>
        <w:t>2022年财政预算收入年末总额为466.58万元，年末实际预算支出总额为466.58万元，预算完成率为100%。</w:t>
      </w:r>
    </w:p>
    <w:p w14:paraId="7E527939">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en-US" w:eastAsia="zh-CN"/>
        </w:rPr>
        <w:t>违规记录等情况：</w:t>
      </w:r>
      <w:r>
        <w:rPr>
          <w:rFonts w:hint="default" w:ascii="Times New Roman" w:hAnsi="Times New Roman" w:eastAsia="方正仿宋_GBK" w:cs="Times New Roman"/>
          <w:kern w:val="0"/>
          <w:sz w:val="32"/>
          <w:szCs w:val="32"/>
          <w:shd w:val="clear" w:color="auto" w:fill="FFFFFF"/>
          <w:lang w:val="en-US" w:eastAsia="zh-CN"/>
        </w:rPr>
        <w:t>本年度无违规记录</w:t>
      </w:r>
      <w:r>
        <w:rPr>
          <w:rFonts w:hint="eastAsia" w:ascii="Times New Roman" w:hAnsi="Times New Roman" w:eastAsia="方正仿宋_GBK" w:cs="Times New Roman"/>
          <w:kern w:val="0"/>
          <w:sz w:val="32"/>
          <w:szCs w:val="32"/>
          <w:shd w:val="clear" w:color="auto" w:fill="FFFFFF"/>
          <w:lang w:val="en-US" w:eastAsia="zh-CN"/>
        </w:rPr>
        <w:t>。</w:t>
      </w:r>
    </w:p>
    <w:p w14:paraId="22D6A821">
      <w:pPr>
        <w:widowControl/>
        <w:adjustRightInd w:val="0"/>
        <w:snapToGrid w:val="0"/>
        <w:spacing w:line="572" w:lineRule="exact"/>
        <w:ind w:firstLine="643" w:firstLineChars="200"/>
        <w:contextualSpacing/>
        <w:jc w:val="left"/>
        <w:rPr>
          <w:rFonts w:hint="default" w:ascii="Times New Roman" w:hAnsi="Times New Roman" w:eastAsia="方正仿宋_GBK" w:cs="Times New Roman"/>
          <w:b/>
          <w:bCs/>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en-US" w:eastAsia="zh-CN"/>
        </w:rPr>
        <w:t>3</w:t>
      </w:r>
      <w:r>
        <w:rPr>
          <w:rFonts w:hint="eastAsia" w:ascii="Times New Roman" w:hAnsi="Times New Roman" w:eastAsia="方正仿宋_GBK" w:cs="Times New Roman"/>
          <w:b/>
          <w:bCs/>
          <w:kern w:val="0"/>
          <w:sz w:val="32"/>
          <w:szCs w:val="32"/>
          <w:shd w:val="clear" w:color="auto" w:fill="FFFFFF"/>
          <w:lang w:val="en-US" w:eastAsia="zh-CN"/>
        </w:rPr>
        <w:t>.</w:t>
      </w:r>
      <w:r>
        <w:rPr>
          <w:rFonts w:hint="default" w:ascii="Times New Roman" w:hAnsi="Times New Roman" w:eastAsia="方正仿宋_GBK" w:cs="Times New Roman"/>
          <w:b/>
          <w:bCs/>
          <w:kern w:val="0"/>
          <w:sz w:val="32"/>
          <w:szCs w:val="32"/>
          <w:shd w:val="clear" w:color="auto" w:fill="FFFFFF"/>
          <w:lang w:val="en-US" w:eastAsia="zh-CN"/>
        </w:rPr>
        <w:t>特定目标类项目绩效分析</w:t>
      </w:r>
    </w:p>
    <w:p w14:paraId="3F94E388">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zh-CN" w:eastAsia="zh-CN"/>
        </w:rPr>
        <w:t>目标制定：</w:t>
      </w:r>
      <w:r>
        <w:rPr>
          <w:rFonts w:hint="default" w:ascii="Times New Roman" w:hAnsi="Times New Roman" w:eastAsia="方正仿宋_GBK" w:cs="Times New Roman"/>
          <w:kern w:val="0"/>
          <w:sz w:val="32"/>
          <w:szCs w:val="32"/>
          <w:shd w:val="clear" w:color="auto" w:fill="FFFFFF"/>
          <w:lang w:val="zh-CN" w:eastAsia="zh-CN"/>
        </w:rPr>
        <w:t>今年以来，始终坚持稳中求进工作总基调，坚持新发展理念，贯彻高质量发展和安全发展、科学发展的总体要求，统筹推进</w:t>
      </w:r>
      <w:r>
        <w:rPr>
          <w:rFonts w:hint="default" w:ascii="Times New Roman" w:hAnsi="Times New Roman" w:eastAsia="方正仿宋_GBK" w:cs="Times New Roman"/>
          <w:kern w:val="0"/>
          <w:sz w:val="32"/>
          <w:szCs w:val="32"/>
          <w:shd w:val="clear" w:color="auto" w:fill="FFFFFF"/>
          <w:lang w:val="en-US" w:eastAsia="zh-CN"/>
        </w:rPr>
        <w:t>粮食安全</w:t>
      </w:r>
      <w:r>
        <w:rPr>
          <w:rFonts w:hint="default" w:ascii="Times New Roman" w:hAnsi="Times New Roman" w:eastAsia="方正仿宋_GBK" w:cs="Times New Roman"/>
          <w:kern w:val="0"/>
          <w:sz w:val="32"/>
          <w:szCs w:val="32"/>
          <w:shd w:val="clear" w:color="auto" w:fill="FFFFFF"/>
          <w:lang w:val="zh-CN" w:eastAsia="zh-CN"/>
        </w:rPr>
        <w:t>工作高效稳步发展。</w:t>
      </w:r>
    </w:p>
    <w:p w14:paraId="10314242">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zh-CN" w:eastAsia="zh-CN"/>
        </w:rPr>
      </w:pPr>
      <w:r>
        <w:rPr>
          <w:rFonts w:hint="default" w:ascii="Times New Roman" w:hAnsi="Times New Roman" w:eastAsia="方正仿宋_GBK" w:cs="Times New Roman"/>
          <w:b/>
          <w:bCs/>
          <w:kern w:val="0"/>
          <w:sz w:val="32"/>
          <w:szCs w:val="32"/>
          <w:shd w:val="clear" w:color="auto" w:fill="FFFFFF"/>
          <w:lang w:val="zh-CN" w:eastAsia="zh-CN"/>
        </w:rPr>
        <w:t>目标实现：</w:t>
      </w:r>
      <w:r>
        <w:rPr>
          <w:rFonts w:hint="default" w:ascii="Times New Roman" w:hAnsi="Times New Roman" w:eastAsia="方正仿宋_GBK" w:cs="Times New Roman"/>
          <w:kern w:val="0"/>
          <w:sz w:val="32"/>
          <w:szCs w:val="32"/>
          <w:shd w:val="clear" w:color="auto" w:fill="FFFFFF"/>
          <w:lang w:val="zh-CN" w:eastAsia="zh-CN"/>
        </w:rPr>
        <w:t>截至目前，</w:t>
      </w:r>
      <w:r>
        <w:rPr>
          <w:rFonts w:hint="default" w:ascii="Times New Roman" w:hAnsi="Times New Roman" w:eastAsia="方正仿宋_GBK" w:cs="Times New Roman"/>
          <w:kern w:val="0"/>
          <w:sz w:val="32"/>
          <w:szCs w:val="32"/>
          <w:shd w:val="clear" w:color="auto" w:fill="FFFFFF"/>
          <w:lang w:val="en-US" w:eastAsia="zh-CN"/>
        </w:rPr>
        <w:t>单位特定目标类项目预算金额</w:t>
      </w:r>
      <w:r>
        <w:rPr>
          <w:rFonts w:hint="default" w:ascii="Times New Roman" w:hAnsi="Times New Roman" w:eastAsia="方正仿宋_GBK" w:cs="Times New Roman"/>
          <w:kern w:val="0"/>
          <w:sz w:val="32"/>
          <w:szCs w:val="32"/>
          <w:shd w:val="clear" w:color="auto" w:fill="FFFFFF"/>
          <w:lang w:val="zh-CN" w:eastAsia="zh-CN"/>
        </w:rPr>
        <w:t>600.71</w:t>
      </w:r>
    </w:p>
    <w:p w14:paraId="4145BD6D">
      <w:pPr>
        <w:widowControl/>
        <w:adjustRightInd w:val="0"/>
        <w:snapToGrid w:val="0"/>
        <w:spacing w:line="572" w:lineRule="exact"/>
        <w:contextualSpacing/>
        <w:jc w:val="left"/>
        <w:rPr>
          <w:rFonts w:hint="default" w:ascii="Times New Roman" w:hAnsi="Times New Roman" w:eastAsia="方正仿宋_GBK" w:cs="Times New Roman"/>
          <w:kern w:val="0"/>
          <w:sz w:val="32"/>
          <w:szCs w:val="32"/>
          <w:shd w:val="clear" w:color="auto" w:fill="FFFFFF"/>
          <w:lang w:val="zh-CN" w:eastAsia="zh-CN"/>
        </w:rPr>
      </w:pPr>
      <w:r>
        <w:rPr>
          <w:rFonts w:hint="default" w:ascii="Times New Roman" w:hAnsi="Times New Roman" w:eastAsia="方正仿宋_GBK" w:cs="Times New Roman"/>
          <w:kern w:val="0"/>
          <w:sz w:val="32"/>
          <w:szCs w:val="32"/>
          <w:shd w:val="clear" w:color="auto" w:fill="FFFFFF"/>
          <w:lang w:val="zh-CN" w:eastAsia="zh-CN"/>
        </w:rPr>
        <w:t>万元，</w:t>
      </w:r>
      <w:r>
        <w:rPr>
          <w:rFonts w:hint="default" w:ascii="Times New Roman" w:hAnsi="Times New Roman" w:eastAsia="方正仿宋_GBK" w:cs="Times New Roman"/>
          <w:kern w:val="0"/>
          <w:sz w:val="32"/>
          <w:szCs w:val="32"/>
          <w:shd w:val="clear" w:color="auto" w:fill="FFFFFF"/>
          <w:lang w:val="en-US" w:eastAsia="zh-CN"/>
        </w:rPr>
        <w:t>其中：预算批复金额0万元；中期追加金额</w:t>
      </w:r>
      <w:r>
        <w:rPr>
          <w:rFonts w:hint="default" w:ascii="Times New Roman" w:hAnsi="Times New Roman" w:eastAsia="方正仿宋_GBK" w:cs="Times New Roman"/>
          <w:kern w:val="0"/>
          <w:sz w:val="32"/>
          <w:szCs w:val="32"/>
          <w:shd w:val="clear" w:color="auto" w:fill="FFFFFF"/>
          <w:lang w:val="zh-CN" w:eastAsia="zh-CN"/>
        </w:rPr>
        <w:t>600.71</w:t>
      </w:r>
      <w:r>
        <w:rPr>
          <w:rFonts w:hint="default" w:ascii="Times New Roman" w:hAnsi="Times New Roman" w:eastAsia="方正仿宋_GBK" w:cs="Times New Roman"/>
          <w:kern w:val="0"/>
          <w:sz w:val="32"/>
          <w:szCs w:val="32"/>
          <w:shd w:val="clear" w:color="auto" w:fill="FFFFFF"/>
          <w:lang w:val="en-US" w:eastAsia="zh-CN"/>
        </w:rPr>
        <w:t>万元；财政收回340.36万元；特定目标类项目完成金额260.34</w:t>
      </w:r>
      <w:r>
        <w:rPr>
          <w:rFonts w:hint="default" w:ascii="Times New Roman" w:hAnsi="Times New Roman" w:eastAsia="方正仿宋_GBK" w:cs="Times New Roman"/>
          <w:kern w:val="0"/>
          <w:sz w:val="32"/>
          <w:szCs w:val="32"/>
          <w:shd w:val="clear" w:color="auto" w:fill="FFFFFF"/>
          <w:lang w:val="zh-CN" w:eastAsia="zh-CN"/>
        </w:rPr>
        <w:t>万元。</w:t>
      </w:r>
    </w:p>
    <w:p w14:paraId="3E01C03C">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zh-CN" w:eastAsia="zh-CN"/>
        </w:rPr>
        <w:t>支出控制</w:t>
      </w:r>
      <w:r>
        <w:rPr>
          <w:rFonts w:hint="eastAsia" w:eastAsia="方正仿宋_GBK" w:cs="Times New Roman"/>
          <w:b/>
          <w:bCs/>
          <w:kern w:val="0"/>
          <w:sz w:val="32"/>
          <w:szCs w:val="32"/>
          <w:shd w:val="clear" w:color="auto" w:fill="FFFFFF"/>
          <w:lang w:val="zh-CN" w:eastAsia="zh-CN"/>
        </w:rPr>
        <w:t>：</w:t>
      </w:r>
      <w:r>
        <w:rPr>
          <w:rFonts w:hint="default" w:ascii="Times New Roman" w:hAnsi="Times New Roman" w:eastAsia="方正仿宋_GBK" w:cs="Times New Roman"/>
          <w:kern w:val="0"/>
          <w:sz w:val="32"/>
          <w:szCs w:val="32"/>
          <w:shd w:val="clear" w:color="auto" w:fill="FFFFFF"/>
          <w:lang w:val="en-US" w:eastAsia="zh-CN"/>
        </w:rPr>
        <w:t>办公室负责单位内控评价与监督工作，具体职责如下：负责制定单位内部控制监督评价相关制度；负责制订内部控制评价方案；负责组织对单位年度内部控制工作自评工作；负责单位风险管理工作的实施情况和有效性进行监督和检查；负责对各个部门各业务流程的执行情况进行监督和检查。</w:t>
      </w:r>
    </w:p>
    <w:p w14:paraId="7644C9B4">
      <w:pPr>
        <w:keepNext w:val="0"/>
        <w:keepLines w:val="0"/>
        <w:pageBreakBefore w:val="0"/>
        <w:widowControl w:val="0"/>
        <w:kinsoku/>
        <w:wordWrap/>
        <w:overflowPunct/>
        <w:topLinePunct w:val="0"/>
        <w:autoSpaceDE/>
        <w:autoSpaceDN/>
        <w:bidi w:val="0"/>
        <w:adjustRightInd w:val="0"/>
        <w:snapToGrid w:val="0"/>
        <w:spacing w:line="572" w:lineRule="exact"/>
        <w:ind w:firstLine="640" w:firstLineChars="200"/>
        <w:contextualSpacing/>
        <w:jc w:val="left"/>
        <w:textAlignment w:val="auto"/>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kern w:val="0"/>
          <w:sz w:val="32"/>
          <w:szCs w:val="32"/>
          <w:shd w:val="clear" w:color="auto" w:fill="FFFFFF"/>
          <w:lang w:val="en-US" w:eastAsia="zh-CN"/>
        </w:rPr>
        <w:t>制定的管理制度，包括不限于财务管理制度、采购管理制度，监控、监督措施执行有效，2022年度单位财务人员按要求执行了监控职能。</w:t>
      </w:r>
    </w:p>
    <w:p w14:paraId="704CDAEA">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b/>
          <w:bCs/>
          <w:kern w:val="0"/>
          <w:sz w:val="32"/>
          <w:szCs w:val="32"/>
          <w:shd w:val="clear" w:color="auto" w:fill="FFFFFF"/>
          <w:lang w:val="zh-CN" w:eastAsia="zh-CN"/>
        </w:rPr>
        <w:t>执行进度</w:t>
      </w:r>
      <w:r>
        <w:rPr>
          <w:rFonts w:hint="eastAsia" w:ascii="Times New Roman" w:hAnsi="Times New Roman" w:eastAsia="方正仿宋_GBK" w:cs="Times New Roman"/>
          <w:b/>
          <w:bCs/>
          <w:kern w:val="0"/>
          <w:sz w:val="32"/>
          <w:szCs w:val="32"/>
          <w:shd w:val="clear" w:color="auto" w:fill="FFFFFF"/>
          <w:lang w:val="zh-CN" w:eastAsia="zh-CN"/>
        </w:rPr>
        <w:t>：</w:t>
      </w:r>
      <w:r>
        <w:rPr>
          <w:rFonts w:hint="default" w:ascii="Times New Roman" w:hAnsi="Times New Roman" w:eastAsia="方正仿宋_GBK" w:cs="Times New Roman"/>
          <w:kern w:val="0"/>
          <w:sz w:val="32"/>
          <w:szCs w:val="32"/>
          <w:shd w:val="clear" w:color="auto" w:fill="FFFFFF"/>
          <w:lang w:val="en-US" w:eastAsia="zh-CN"/>
        </w:rPr>
        <w:t>2022年财政预算收入年末总额为466.58万元，年末实际预算支出总额为466.58万元，预算完成率为100%。</w:t>
      </w:r>
    </w:p>
    <w:p w14:paraId="07FCEA92">
      <w:pPr>
        <w:widowControl/>
        <w:adjustRightInd w:val="0"/>
        <w:snapToGrid w:val="0"/>
        <w:spacing w:line="572" w:lineRule="exact"/>
        <w:ind w:firstLine="643" w:firstLineChars="200"/>
        <w:contextualSpacing/>
        <w:jc w:val="left"/>
        <w:rPr>
          <w:rFonts w:hint="default" w:ascii="Times New Roman" w:hAnsi="Times New Roman" w:eastAsia="方正仿宋_GBK" w:cs="Times New Roman"/>
          <w:kern w:val="0"/>
          <w:sz w:val="32"/>
          <w:szCs w:val="32"/>
          <w:shd w:val="clear" w:color="auto" w:fill="FFFFFF"/>
          <w:lang w:val="zh-CN" w:eastAsia="zh-CN"/>
        </w:rPr>
      </w:pPr>
      <w:r>
        <w:rPr>
          <w:rFonts w:hint="default" w:ascii="Times New Roman" w:hAnsi="Times New Roman" w:eastAsia="方正仿宋_GBK" w:cs="Times New Roman"/>
          <w:b/>
          <w:bCs/>
          <w:kern w:val="0"/>
          <w:sz w:val="32"/>
          <w:szCs w:val="32"/>
          <w:shd w:val="clear" w:color="auto" w:fill="FFFFFF"/>
          <w:lang w:val="zh-CN" w:eastAsia="zh-CN"/>
        </w:rPr>
        <w:t>预算完成情况：</w:t>
      </w:r>
      <w:r>
        <w:rPr>
          <w:rFonts w:hint="default" w:ascii="Times New Roman" w:hAnsi="Times New Roman" w:eastAsia="方正仿宋_GBK" w:cs="Times New Roman"/>
          <w:kern w:val="0"/>
          <w:sz w:val="32"/>
          <w:szCs w:val="32"/>
          <w:shd w:val="clear" w:color="auto" w:fill="FFFFFF"/>
          <w:lang w:val="en-US" w:eastAsia="zh-CN"/>
        </w:rPr>
        <w:t>2022年财政预算收入年末总额为466.58万元，年末实际预算支出总额为466.58万元，预算完成率为100%。</w:t>
      </w:r>
    </w:p>
    <w:p w14:paraId="460C9BB2">
      <w:pPr>
        <w:widowControl/>
        <w:adjustRightInd w:val="0"/>
        <w:snapToGrid w:val="0"/>
        <w:spacing w:line="572" w:lineRule="exact"/>
        <w:ind w:firstLine="643" w:firstLineChars="200"/>
        <w:contextualSpacing/>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kern w:val="0"/>
          <w:sz w:val="32"/>
          <w:szCs w:val="32"/>
          <w:shd w:val="clear" w:color="auto" w:fill="FFFFFF"/>
          <w:lang w:val="zh-CN" w:eastAsia="zh-CN"/>
        </w:rPr>
        <w:t>违规记录等情况：</w:t>
      </w:r>
      <w:r>
        <w:rPr>
          <w:rFonts w:hint="default" w:ascii="Times New Roman" w:hAnsi="Times New Roman" w:eastAsia="方正仿宋_GBK" w:cs="Times New Roman"/>
          <w:kern w:val="0"/>
          <w:sz w:val="32"/>
          <w:szCs w:val="32"/>
          <w:shd w:val="clear" w:color="auto" w:fill="FFFFFF"/>
          <w:lang w:val="zh-CN" w:eastAsia="zh-CN"/>
        </w:rPr>
        <w:t>本年度无违规记录</w:t>
      </w:r>
      <w:r>
        <w:rPr>
          <w:rFonts w:hint="default" w:ascii="Times New Roman" w:hAnsi="Times New Roman" w:eastAsia="方正仿宋_GBK" w:cs="Times New Roman"/>
          <w:kern w:val="0"/>
          <w:sz w:val="32"/>
          <w:szCs w:val="32"/>
          <w:shd w:val="clear" w:color="auto" w:fill="FFFFFF"/>
          <w:lang w:val="en-US" w:eastAsia="zh-CN"/>
        </w:rPr>
        <w:t>。</w:t>
      </w:r>
    </w:p>
    <w:p w14:paraId="3EE20590">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1"/>
        <w:rPr>
          <w:rFonts w:hint="default" w:ascii="方正楷体_GBK" w:hAnsi="方正楷体_GBK" w:eastAsia="方正楷体_GBK" w:cs="方正楷体_GBK"/>
          <w:b/>
          <w:bCs/>
          <w:kern w:val="0"/>
          <w:sz w:val="32"/>
          <w:szCs w:val="32"/>
          <w:shd w:val="clear" w:color="auto" w:fill="FFFFFF"/>
          <w:lang w:val="zh-CN"/>
        </w:rPr>
      </w:pP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en-US" w:eastAsia="zh-CN"/>
        </w:rPr>
        <w:t>二</w:t>
      </w: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zh-CN"/>
        </w:rPr>
        <w:t>部门整体履职绩效分析</w:t>
      </w:r>
    </w:p>
    <w:p w14:paraId="21A5BFCC">
      <w:pPr>
        <w:widowControl/>
        <w:adjustRightInd w:val="0"/>
        <w:snapToGrid w:val="0"/>
        <w:spacing w:line="572" w:lineRule="exact"/>
        <w:ind w:firstLine="640" w:firstLineChars="200"/>
        <w:contextualSpacing/>
        <w:jc w:val="left"/>
        <w:rPr>
          <w:rFonts w:hint="default" w:ascii="Times New Roman" w:hAnsi="Times New Roman" w:eastAsia="方正仿宋_GBK" w:cs="Times New Roman"/>
          <w:kern w:val="0"/>
          <w:sz w:val="32"/>
          <w:szCs w:val="32"/>
          <w:shd w:val="clear" w:color="auto" w:fill="FFFFFF"/>
          <w:lang w:val="zh-CN" w:eastAsia="zh-CN"/>
        </w:rPr>
      </w:pPr>
      <w:r>
        <w:rPr>
          <w:rFonts w:hint="default" w:ascii="Times New Roman" w:hAnsi="Times New Roman" w:eastAsia="方正仿宋_GBK" w:cs="Times New Roman"/>
          <w:kern w:val="0"/>
          <w:sz w:val="32"/>
          <w:szCs w:val="32"/>
          <w:shd w:val="clear" w:color="auto" w:fill="FFFFFF"/>
          <w:lang w:val="zh-CN" w:eastAsia="zh-CN"/>
        </w:rPr>
        <w:t>根据预算绩效管理要求，在年初预算编制阶段，开展了预算事前绩效评估，对项目编制了绩效目标，预算执行过程中，开展绩效监控，年终执行完毕后，开展了绩效目标完成情况自评。</w:t>
      </w:r>
    </w:p>
    <w:p w14:paraId="2364EC74">
      <w:pPr>
        <w:widowControl/>
        <w:adjustRightInd w:val="0"/>
        <w:snapToGrid w:val="0"/>
        <w:spacing w:line="572" w:lineRule="exact"/>
        <w:ind w:firstLine="640" w:firstLineChars="200"/>
        <w:contextualSpacing/>
        <w:jc w:val="left"/>
        <w:rPr>
          <w:rFonts w:hint="default" w:ascii="Times New Roman" w:hAnsi="Times New Roman" w:eastAsia="方正仿宋_GBK" w:cs="Times New Roman"/>
          <w:kern w:val="0"/>
          <w:sz w:val="32"/>
          <w:szCs w:val="32"/>
          <w:shd w:val="clear" w:color="auto" w:fill="FFFFFF"/>
          <w:lang w:val="zh-CN" w:eastAsia="zh-CN"/>
        </w:rPr>
      </w:pPr>
      <w:r>
        <w:rPr>
          <w:rFonts w:hint="default" w:ascii="Times New Roman" w:hAnsi="Times New Roman" w:eastAsia="方正仿宋_GBK" w:cs="Times New Roman"/>
          <w:kern w:val="0"/>
          <w:sz w:val="32"/>
          <w:szCs w:val="32"/>
          <w:shd w:val="clear" w:color="auto" w:fill="FFFFFF"/>
          <w:lang w:val="zh-CN" w:eastAsia="zh-CN"/>
        </w:rPr>
        <w:t>按要求对2022年部门整体支出开展绩效自评，2022年部门整体支出情况良好，从预算到执行和收入、支出管理均严格按照相关要求进行，全年收支平衡，有效保障了单位正常运转，圆满完成了单位目标任务。</w:t>
      </w:r>
    </w:p>
    <w:p w14:paraId="1B087FCF">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1"/>
        <w:rPr>
          <w:rFonts w:hint="default" w:ascii="方正楷体_GBK" w:hAnsi="方正楷体_GBK" w:eastAsia="方正楷体_GBK" w:cs="方正楷体_GBK"/>
          <w:b/>
          <w:bCs/>
          <w:kern w:val="0"/>
          <w:sz w:val="32"/>
          <w:szCs w:val="32"/>
          <w:shd w:val="clear" w:color="auto" w:fill="FFFFFF"/>
          <w:lang w:val="zh-CN"/>
        </w:rPr>
      </w:pP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zh-CN"/>
        </w:rPr>
        <w:t>三</w:t>
      </w: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zh-CN"/>
        </w:rPr>
        <w:t>结果应用情况</w:t>
      </w:r>
    </w:p>
    <w:p w14:paraId="7FFB7B0B">
      <w:pPr>
        <w:widowControl/>
        <w:adjustRightInd w:val="0"/>
        <w:snapToGrid w:val="0"/>
        <w:spacing w:line="560" w:lineRule="exact"/>
        <w:ind w:firstLine="640" w:firstLineChars="200"/>
        <w:outlineLvl w:val="9"/>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kern w:val="0"/>
          <w:sz w:val="32"/>
          <w:szCs w:val="32"/>
          <w:shd w:val="clear" w:color="auto" w:fill="FFFFFF"/>
          <w:lang w:val="zh-CN"/>
        </w:rPr>
        <w:t>按要求对2022年部门整体支出情况开展自评，如期完成了年初预算目标，并且按财政局相关要求，在预决算批复后二十日内向社会公开了单位预决算</w:t>
      </w:r>
      <w:r>
        <w:rPr>
          <w:rFonts w:hint="eastAsia" w:eastAsia="方正仿宋_GBK" w:cs="Times New Roman"/>
          <w:kern w:val="0"/>
          <w:sz w:val="32"/>
          <w:szCs w:val="32"/>
          <w:shd w:val="clear" w:color="auto" w:fill="FFFFFF"/>
          <w:lang w:val="zh-CN"/>
        </w:rPr>
        <w:t>（</w:t>
      </w:r>
      <w:r>
        <w:rPr>
          <w:rFonts w:hint="default" w:ascii="Times New Roman" w:hAnsi="Times New Roman" w:eastAsia="方正仿宋_GBK" w:cs="Times New Roman"/>
          <w:kern w:val="0"/>
          <w:sz w:val="32"/>
          <w:szCs w:val="32"/>
          <w:shd w:val="clear" w:color="auto" w:fill="FFFFFF"/>
          <w:lang w:val="zh-CN"/>
        </w:rPr>
        <w:t>含所有财政资金安排的</w:t>
      </w:r>
      <w:r>
        <w:rPr>
          <w:rFonts w:hint="eastAsia" w:eastAsia="方正仿宋_GBK" w:cs="Times New Roman"/>
          <w:kern w:val="0"/>
          <w:sz w:val="32"/>
          <w:szCs w:val="32"/>
          <w:shd w:val="clear" w:color="auto" w:fill="FFFFFF"/>
          <w:lang w:val="zh-CN"/>
        </w:rPr>
        <w:t>“</w:t>
      </w:r>
      <w:r>
        <w:rPr>
          <w:rFonts w:hint="default" w:ascii="Times New Roman" w:hAnsi="Times New Roman" w:eastAsia="方正仿宋_GBK" w:cs="Times New Roman"/>
          <w:kern w:val="0"/>
          <w:sz w:val="32"/>
          <w:szCs w:val="32"/>
          <w:shd w:val="clear" w:color="auto" w:fill="FFFFFF"/>
          <w:lang w:val="zh-CN"/>
        </w:rPr>
        <w:t>三公</w:t>
      </w:r>
      <w:r>
        <w:rPr>
          <w:rFonts w:hint="eastAsia" w:eastAsia="方正仿宋_GBK" w:cs="Times New Roman"/>
          <w:kern w:val="0"/>
          <w:sz w:val="32"/>
          <w:szCs w:val="32"/>
          <w:shd w:val="clear" w:color="auto" w:fill="FFFFFF"/>
          <w:lang w:val="zh-CN"/>
        </w:rPr>
        <w:t>”</w:t>
      </w:r>
      <w:r>
        <w:rPr>
          <w:rFonts w:hint="default" w:ascii="Times New Roman" w:hAnsi="Times New Roman" w:eastAsia="方正仿宋_GBK" w:cs="Times New Roman"/>
          <w:kern w:val="0"/>
          <w:sz w:val="32"/>
          <w:szCs w:val="32"/>
          <w:shd w:val="clear" w:color="auto" w:fill="FFFFFF"/>
          <w:lang w:val="zh-CN"/>
        </w:rPr>
        <w:t>经费、机关运行经费的安排、使用情况等</w:t>
      </w:r>
      <w:r>
        <w:rPr>
          <w:rFonts w:hint="eastAsia" w:eastAsia="方正仿宋_GBK" w:cs="Times New Roman"/>
          <w:kern w:val="0"/>
          <w:sz w:val="32"/>
          <w:szCs w:val="32"/>
          <w:shd w:val="clear" w:color="auto" w:fill="FFFFFF"/>
          <w:lang w:val="zh-CN"/>
        </w:rPr>
        <w:t>）</w:t>
      </w:r>
      <w:r>
        <w:rPr>
          <w:rFonts w:hint="default" w:ascii="Times New Roman" w:hAnsi="Times New Roman" w:eastAsia="方正仿宋_GBK" w:cs="Times New Roman"/>
          <w:kern w:val="0"/>
          <w:sz w:val="32"/>
          <w:szCs w:val="32"/>
          <w:shd w:val="clear" w:color="auto" w:fill="FFFFFF"/>
          <w:lang w:val="zh-CN"/>
        </w:rPr>
        <w:t>。按要求公开了部门整体支出绩效自评报告及其他按要求应公开的绩效信息</w:t>
      </w:r>
      <w:r>
        <w:rPr>
          <w:rFonts w:hint="default" w:ascii="Times New Roman" w:hAnsi="Times New Roman" w:eastAsia="方正仿宋_GBK" w:cs="Times New Roman"/>
          <w:color w:val="000000"/>
          <w:sz w:val="32"/>
          <w:szCs w:val="32"/>
          <w:shd w:val="clear" w:color="auto" w:fill="FFFFFF"/>
        </w:rPr>
        <w:t>。</w:t>
      </w:r>
    </w:p>
    <w:p w14:paraId="68264EE1">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1"/>
        <w:rPr>
          <w:rFonts w:hint="default" w:ascii="方正楷体_GBK" w:hAnsi="方正楷体_GBK" w:eastAsia="方正楷体_GBK" w:cs="方正楷体_GBK"/>
          <w:b/>
          <w:bCs/>
          <w:kern w:val="0"/>
          <w:sz w:val="32"/>
          <w:szCs w:val="32"/>
          <w:shd w:val="clear" w:color="auto" w:fill="FFFFFF"/>
          <w:lang w:val="zh-CN"/>
        </w:rPr>
      </w:pPr>
      <w:r>
        <w:rPr>
          <w:rFonts w:hint="eastAsia" w:ascii="方正楷体_GBK" w:hAnsi="方正楷体_GBK" w:eastAsia="方正楷体_GBK" w:cs="方正楷体_GBK"/>
          <w:b/>
          <w:bCs/>
          <w:kern w:val="0"/>
          <w:sz w:val="32"/>
          <w:szCs w:val="32"/>
          <w:shd w:val="clear" w:color="auto" w:fill="FFFFFF"/>
          <w:lang w:val="zh-CN"/>
        </w:rPr>
        <w:t>（四）</w:t>
      </w:r>
      <w:r>
        <w:rPr>
          <w:rFonts w:hint="default" w:ascii="方正楷体_GBK" w:hAnsi="方正楷体_GBK" w:eastAsia="方正楷体_GBK" w:cs="方正楷体_GBK"/>
          <w:b/>
          <w:bCs/>
          <w:kern w:val="0"/>
          <w:sz w:val="32"/>
          <w:szCs w:val="32"/>
          <w:shd w:val="clear" w:color="auto" w:fill="FFFFFF"/>
          <w:lang w:val="zh-CN"/>
        </w:rPr>
        <w:t>自评质量</w:t>
      </w:r>
    </w:p>
    <w:p w14:paraId="2E3739FB">
      <w:pPr>
        <w:keepNext w:val="0"/>
        <w:keepLines w:val="0"/>
        <w:pageBreakBefore w:val="0"/>
        <w:widowControl w:val="0"/>
        <w:numPr>
          <w:ilvl w:val="0"/>
          <w:numId w:val="0"/>
        </w:numPr>
        <w:kinsoku/>
        <w:wordWrap/>
        <w:overflowPunct/>
        <w:topLinePunct w:val="0"/>
        <w:autoSpaceDE/>
        <w:autoSpaceDN/>
        <w:bidi w:val="0"/>
        <w:adjustRightInd w:val="0"/>
        <w:snapToGrid w:val="0"/>
        <w:spacing w:line="572" w:lineRule="exact"/>
        <w:ind w:firstLine="640" w:firstLineChars="200"/>
        <w:contextualSpacing/>
        <w:jc w:val="left"/>
        <w:textAlignment w:val="auto"/>
        <w:outlineLvl w:val="2"/>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kern w:val="0"/>
          <w:sz w:val="32"/>
          <w:szCs w:val="32"/>
          <w:shd w:val="clear" w:color="auto" w:fill="FFFFFF"/>
          <w:lang w:val="en-US" w:eastAsia="zh-CN"/>
        </w:rPr>
        <w:t>按要求对2022年部门整体支出开展绩效自评，从评价情况来看，评价准确率已达标。</w:t>
      </w:r>
    </w:p>
    <w:p w14:paraId="415CAA6C">
      <w:pPr>
        <w:numPr>
          <w:ilvl w:val="0"/>
          <w:numId w:val="0"/>
        </w:numPr>
        <w:spacing w:line="600" w:lineRule="exact"/>
        <w:ind w:firstLine="640" w:firstLineChars="0"/>
        <w:outlineLvl w:val="1"/>
        <w:rPr>
          <w:rFonts w:hint="default" w:ascii="方正黑体_GBK" w:hAnsi="方正黑体_GBK" w:eastAsia="方正黑体_GBK" w:cs="方正黑体_GBK"/>
          <w:b w:val="0"/>
          <w:bCs/>
          <w:kern w:val="2"/>
          <w:sz w:val="32"/>
          <w:szCs w:val="32"/>
          <w:lang w:val="zh-CN" w:eastAsia="zh-CN" w:bidi="ar-SA"/>
        </w:rPr>
      </w:pPr>
      <w:bookmarkStart w:id="90" w:name="_Toc1338"/>
      <w:bookmarkStart w:id="91" w:name="_Toc21469"/>
      <w:r>
        <w:rPr>
          <w:rFonts w:hint="default" w:ascii="方正黑体_GBK" w:hAnsi="方正黑体_GBK" w:eastAsia="方正黑体_GBK" w:cs="方正黑体_GBK"/>
          <w:b w:val="0"/>
          <w:bCs/>
          <w:kern w:val="2"/>
          <w:sz w:val="32"/>
          <w:szCs w:val="32"/>
          <w:lang w:val="zh-CN" w:eastAsia="zh-CN" w:bidi="ar-SA"/>
        </w:rPr>
        <w:t>四、评价结论及建议</w:t>
      </w:r>
      <w:bookmarkEnd w:id="90"/>
      <w:bookmarkEnd w:id="91"/>
    </w:p>
    <w:p w14:paraId="755EB486">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1"/>
        <w:rPr>
          <w:rFonts w:hint="default" w:ascii="方正楷体_GBK" w:hAnsi="方正楷体_GBK" w:eastAsia="方正楷体_GBK" w:cs="方正楷体_GBK"/>
          <w:b/>
          <w:bCs/>
          <w:kern w:val="0"/>
          <w:sz w:val="32"/>
          <w:szCs w:val="32"/>
          <w:shd w:val="clear" w:color="auto" w:fill="FFFFFF"/>
          <w:lang w:val="zh-CN"/>
        </w:rPr>
      </w:pP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zh-CN"/>
        </w:rPr>
        <w:t>一</w:t>
      </w: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zh-CN"/>
        </w:rPr>
        <w:t>评价结论</w:t>
      </w:r>
    </w:p>
    <w:p w14:paraId="7C020BB8">
      <w:pPr>
        <w:widowControl/>
        <w:spacing w:line="560" w:lineRule="exact"/>
        <w:ind w:firstLine="640" w:firstLineChars="200"/>
        <w:outlineLvl w:val="9"/>
        <w:rPr>
          <w:rFonts w:hint="default" w:ascii="Times New Roman" w:hAnsi="Times New Roman" w:eastAsia="方正仿宋_GBK" w:cs="Times New Roman"/>
          <w:kern w:val="0"/>
          <w:sz w:val="32"/>
          <w:szCs w:val="32"/>
          <w:shd w:val="clear" w:color="auto" w:fill="FFFFFF"/>
          <w:lang w:val="en-US" w:eastAsia="zh-CN"/>
        </w:rPr>
      </w:pPr>
      <w:r>
        <w:rPr>
          <w:rFonts w:hint="default" w:ascii="Times New Roman" w:hAnsi="Times New Roman" w:eastAsia="方正仿宋_GBK" w:cs="Times New Roman"/>
          <w:kern w:val="0"/>
          <w:sz w:val="32"/>
          <w:szCs w:val="32"/>
          <w:shd w:val="clear" w:color="auto" w:fill="FFFFFF"/>
          <w:lang w:val="en-US" w:eastAsia="zh-CN"/>
        </w:rPr>
        <w:t>2022年部门整体支出开展绩效自评，从评价情况来看，评价准确率已达标，部门整体支出绩效情况如下：</w:t>
      </w:r>
    </w:p>
    <w:p w14:paraId="16F50FDA">
      <w:pPr>
        <w:widowControl/>
        <w:spacing w:line="560" w:lineRule="exact"/>
        <w:ind w:firstLine="643" w:firstLineChars="200"/>
        <w:outlineLvl w:val="9"/>
        <w:rPr>
          <w:rFonts w:hint="default" w:ascii="Times New Roman" w:hAnsi="Times New Roman" w:eastAsia="方正仿宋_GBK" w:cs="Times New Roman"/>
          <w:kern w:val="0"/>
          <w:sz w:val="32"/>
          <w:szCs w:val="32"/>
          <w:shd w:val="clear" w:color="auto" w:fill="FFFFFF"/>
          <w:lang w:val="en-US" w:eastAsia="zh-CN"/>
        </w:rPr>
      </w:pPr>
      <w:r>
        <w:rPr>
          <w:rFonts w:hint="eastAsia" w:ascii="Times New Roman" w:hAnsi="Times New Roman" w:eastAsia="方正仿宋_GBK" w:cs="Times New Roman"/>
          <w:b/>
          <w:bCs/>
          <w:kern w:val="0"/>
          <w:sz w:val="32"/>
          <w:szCs w:val="32"/>
          <w:shd w:val="clear" w:color="auto" w:fill="FFFFFF"/>
          <w:lang w:val="en-US" w:eastAsia="zh-CN"/>
        </w:rPr>
        <w:t>1.</w:t>
      </w:r>
      <w:r>
        <w:rPr>
          <w:rFonts w:hint="default" w:ascii="Times New Roman" w:hAnsi="Times New Roman" w:eastAsia="方正仿宋_GBK" w:cs="Times New Roman"/>
          <w:b/>
          <w:bCs/>
          <w:kern w:val="0"/>
          <w:sz w:val="32"/>
          <w:szCs w:val="32"/>
          <w:shd w:val="clear" w:color="auto" w:fill="FFFFFF"/>
          <w:lang w:val="en-US" w:eastAsia="zh-CN"/>
        </w:rPr>
        <w:t>本年预算配置控制较好。</w:t>
      </w:r>
      <w:r>
        <w:rPr>
          <w:rFonts w:hint="default" w:ascii="Times New Roman" w:hAnsi="Times New Roman" w:eastAsia="方正仿宋_GBK" w:cs="Times New Roman"/>
          <w:kern w:val="0"/>
          <w:sz w:val="32"/>
          <w:szCs w:val="32"/>
          <w:shd w:val="clear" w:color="auto" w:fill="FFFFFF"/>
          <w:lang w:val="en-US" w:eastAsia="zh-CN"/>
        </w:rPr>
        <w:t>财政供养人员控制在预算编制以内，</w:t>
      </w:r>
      <w:r>
        <w:rPr>
          <w:rFonts w:hint="eastAsia" w:eastAsia="方正仿宋_GBK" w:cs="Times New Roman"/>
          <w:kern w:val="0"/>
          <w:sz w:val="32"/>
          <w:szCs w:val="32"/>
          <w:shd w:val="clear" w:color="auto" w:fill="FFFFFF"/>
          <w:lang w:val="en-US" w:eastAsia="zh-CN"/>
        </w:rPr>
        <w:t>“</w:t>
      </w:r>
      <w:r>
        <w:rPr>
          <w:rFonts w:hint="default" w:ascii="Times New Roman" w:hAnsi="Times New Roman" w:eastAsia="方正仿宋_GBK" w:cs="Times New Roman"/>
          <w:kern w:val="0"/>
          <w:sz w:val="32"/>
          <w:szCs w:val="32"/>
          <w:shd w:val="clear" w:color="auto" w:fill="FFFFFF"/>
          <w:lang w:val="en-US" w:eastAsia="zh-CN"/>
        </w:rPr>
        <w:t>三公</w:t>
      </w:r>
      <w:r>
        <w:rPr>
          <w:rFonts w:hint="eastAsia" w:eastAsia="方正仿宋_GBK" w:cs="Times New Roman"/>
          <w:kern w:val="0"/>
          <w:sz w:val="32"/>
          <w:szCs w:val="32"/>
          <w:shd w:val="clear" w:color="auto" w:fill="FFFFFF"/>
          <w:lang w:val="en-US" w:eastAsia="zh-CN"/>
        </w:rPr>
        <w:t>”</w:t>
      </w:r>
      <w:r>
        <w:rPr>
          <w:rFonts w:hint="default" w:ascii="Times New Roman" w:hAnsi="Times New Roman" w:eastAsia="方正仿宋_GBK" w:cs="Times New Roman"/>
          <w:kern w:val="0"/>
          <w:sz w:val="32"/>
          <w:szCs w:val="32"/>
          <w:shd w:val="clear" w:color="auto" w:fill="FFFFFF"/>
          <w:lang w:val="en-US" w:eastAsia="zh-CN"/>
        </w:rPr>
        <w:t>经费支出也控制在预算内。</w:t>
      </w:r>
    </w:p>
    <w:p w14:paraId="0EE67954">
      <w:pPr>
        <w:widowControl/>
        <w:spacing w:line="560" w:lineRule="exact"/>
        <w:ind w:firstLine="643" w:firstLineChars="200"/>
        <w:outlineLvl w:val="9"/>
        <w:rPr>
          <w:rFonts w:hint="default" w:ascii="Times New Roman" w:hAnsi="Times New Roman" w:eastAsia="方正仿宋_GBK" w:cs="Times New Roman"/>
          <w:sz w:val="32"/>
          <w:szCs w:val="32"/>
          <w:lang w:val="zh-CN"/>
        </w:rPr>
      </w:pPr>
      <w:r>
        <w:rPr>
          <w:rFonts w:hint="eastAsia" w:ascii="Times New Roman" w:hAnsi="Times New Roman" w:eastAsia="方正仿宋_GBK" w:cs="Times New Roman"/>
          <w:b/>
          <w:bCs/>
          <w:kern w:val="0"/>
          <w:sz w:val="32"/>
          <w:szCs w:val="32"/>
          <w:shd w:val="clear" w:color="auto" w:fill="FFFFFF"/>
          <w:lang w:val="en-US" w:eastAsia="zh-CN"/>
        </w:rPr>
        <w:t>2.</w:t>
      </w:r>
      <w:r>
        <w:rPr>
          <w:rFonts w:hint="default" w:ascii="Times New Roman" w:hAnsi="Times New Roman" w:eastAsia="方正仿宋_GBK" w:cs="Times New Roman"/>
          <w:b/>
          <w:bCs/>
          <w:kern w:val="0"/>
          <w:sz w:val="32"/>
          <w:szCs w:val="32"/>
          <w:shd w:val="clear" w:color="auto" w:fill="FFFFFF"/>
          <w:lang w:val="en-US" w:eastAsia="zh-CN"/>
        </w:rPr>
        <w:t>预算执行方面。</w:t>
      </w:r>
      <w:r>
        <w:rPr>
          <w:rFonts w:hint="default" w:ascii="Times New Roman" w:hAnsi="Times New Roman" w:eastAsia="方正仿宋_GBK" w:cs="Times New Roman"/>
          <w:kern w:val="0"/>
          <w:sz w:val="32"/>
          <w:szCs w:val="32"/>
          <w:shd w:val="clear" w:color="auto" w:fill="FFFFFF"/>
          <w:lang w:val="en-US" w:eastAsia="zh-CN"/>
        </w:rPr>
        <w:t>支出总额控制在预算总额内，除专项预算的追加和政策性工资福利预算的追加外，本年部门预算未进行预算相关事项的调整；</w:t>
      </w:r>
      <w:r>
        <w:rPr>
          <w:rFonts w:hint="eastAsia" w:eastAsia="方正仿宋_GBK" w:cs="Times New Roman"/>
          <w:kern w:val="0"/>
          <w:sz w:val="32"/>
          <w:szCs w:val="32"/>
          <w:shd w:val="clear" w:color="auto" w:fill="FFFFFF"/>
          <w:lang w:val="en-US" w:eastAsia="zh-CN"/>
        </w:rPr>
        <w:t>“</w:t>
      </w:r>
      <w:r>
        <w:rPr>
          <w:rFonts w:hint="default" w:ascii="Times New Roman" w:hAnsi="Times New Roman" w:eastAsia="方正仿宋_GBK" w:cs="Times New Roman"/>
          <w:kern w:val="0"/>
          <w:sz w:val="32"/>
          <w:szCs w:val="32"/>
          <w:shd w:val="clear" w:color="auto" w:fill="FFFFFF"/>
          <w:lang w:val="en-US" w:eastAsia="zh-CN"/>
        </w:rPr>
        <w:t>三公</w:t>
      </w:r>
      <w:r>
        <w:rPr>
          <w:rFonts w:hint="eastAsia" w:eastAsia="方正仿宋_GBK" w:cs="Times New Roman"/>
          <w:kern w:val="0"/>
          <w:sz w:val="32"/>
          <w:szCs w:val="32"/>
          <w:shd w:val="clear" w:color="auto" w:fill="FFFFFF"/>
          <w:lang w:val="en-US" w:eastAsia="zh-CN"/>
        </w:rPr>
        <w:t>”</w:t>
      </w:r>
      <w:r>
        <w:rPr>
          <w:rFonts w:hint="default" w:ascii="Times New Roman" w:hAnsi="Times New Roman" w:eastAsia="方正仿宋_GBK" w:cs="Times New Roman"/>
          <w:kern w:val="0"/>
          <w:sz w:val="32"/>
          <w:szCs w:val="32"/>
          <w:shd w:val="clear" w:color="auto" w:fill="FFFFFF"/>
          <w:lang w:val="en-US" w:eastAsia="zh-CN"/>
        </w:rPr>
        <w:t>经费总体控制很理想，基本与预算持平</w:t>
      </w:r>
      <w:r>
        <w:rPr>
          <w:rFonts w:hint="default" w:ascii="Times New Roman" w:hAnsi="Times New Roman" w:eastAsia="方正仿宋_GBK" w:cs="Times New Roman"/>
          <w:color w:val="222222"/>
          <w:kern w:val="0"/>
          <w:sz w:val="32"/>
          <w:szCs w:val="32"/>
        </w:rPr>
        <w:t>。</w:t>
      </w:r>
    </w:p>
    <w:p w14:paraId="1B1B0F2C">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1"/>
        <w:rPr>
          <w:rFonts w:hint="default" w:ascii="方正楷体_GBK" w:hAnsi="方正楷体_GBK" w:eastAsia="方正楷体_GBK" w:cs="方正楷体_GBK"/>
          <w:b/>
          <w:bCs/>
          <w:kern w:val="0"/>
          <w:sz w:val="32"/>
          <w:szCs w:val="32"/>
          <w:shd w:val="clear" w:color="auto" w:fill="FFFFFF"/>
          <w:lang w:val="zh-CN"/>
        </w:rPr>
      </w:pP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en-US" w:eastAsia="zh-CN"/>
        </w:rPr>
        <w:t>二</w:t>
      </w: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zh-CN"/>
        </w:rPr>
        <w:t>存在问题</w:t>
      </w:r>
    </w:p>
    <w:p w14:paraId="0BC49C21">
      <w:pPr>
        <w:pStyle w:val="24"/>
        <w:numPr>
          <w:ilvl w:val="0"/>
          <w:numId w:val="0"/>
        </w:numPr>
        <w:ind w:leftChars="200" w:firstLine="320" w:firstLineChars="100"/>
        <w:rPr>
          <w:rFonts w:hint="default" w:ascii="Times New Roman" w:hAnsi="Times New Roman" w:eastAsia="方正仿宋_GBK" w:cs="Times New Roman"/>
          <w:sz w:val="32"/>
          <w:szCs w:val="32"/>
          <w:lang w:val="zh-CN"/>
        </w:rPr>
      </w:pPr>
      <w:r>
        <w:rPr>
          <w:rFonts w:hint="default" w:ascii="Times New Roman" w:hAnsi="Times New Roman" w:eastAsia="方正仿宋_GBK" w:cs="Times New Roman"/>
          <w:sz w:val="32"/>
          <w:szCs w:val="32"/>
          <w:lang w:val="zh-CN"/>
        </w:rPr>
        <w:t>无。</w:t>
      </w:r>
    </w:p>
    <w:p w14:paraId="3CF8AF9A">
      <w:pPr>
        <w:keepNext w:val="0"/>
        <w:keepLines w:val="0"/>
        <w:pageBreakBefore w:val="0"/>
        <w:widowControl/>
        <w:numPr>
          <w:ilvl w:val="0"/>
          <w:numId w:val="0"/>
        </w:numPr>
        <w:kinsoku/>
        <w:wordWrap/>
        <w:overflowPunct/>
        <w:topLinePunct w:val="0"/>
        <w:autoSpaceDE/>
        <w:autoSpaceDN/>
        <w:bidi w:val="0"/>
        <w:adjustRightInd w:val="0"/>
        <w:snapToGrid w:val="0"/>
        <w:spacing w:line="572" w:lineRule="exact"/>
        <w:ind w:firstLine="643" w:firstLineChars="200"/>
        <w:contextualSpacing/>
        <w:jc w:val="left"/>
        <w:textAlignment w:val="auto"/>
        <w:outlineLvl w:val="1"/>
        <w:rPr>
          <w:rFonts w:hint="default" w:ascii="方正楷体_GBK" w:hAnsi="方正楷体_GBK" w:eastAsia="方正楷体_GBK" w:cs="方正楷体_GBK"/>
          <w:b/>
          <w:bCs/>
          <w:kern w:val="0"/>
          <w:sz w:val="32"/>
          <w:szCs w:val="32"/>
          <w:shd w:val="clear" w:color="auto" w:fill="FFFFFF"/>
          <w:lang w:val="zh-CN"/>
        </w:rPr>
      </w:pP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en-US" w:eastAsia="zh-CN"/>
        </w:rPr>
        <w:t>三</w:t>
      </w:r>
      <w:r>
        <w:rPr>
          <w:rFonts w:hint="eastAsia" w:ascii="方正楷体_GBK" w:hAnsi="方正楷体_GBK" w:eastAsia="方正楷体_GBK" w:cs="方正楷体_GBK"/>
          <w:b/>
          <w:bCs/>
          <w:kern w:val="0"/>
          <w:sz w:val="32"/>
          <w:szCs w:val="32"/>
          <w:shd w:val="clear" w:color="auto" w:fill="FFFFFF"/>
          <w:lang w:val="zh-CN"/>
        </w:rPr>
        <w:t>）</w:t>
      </w:r>
      <w:r>
        <w:rPr>
          <w:rFonts w:hint="default" w:ascii="方正楷体_GBK" w:hAnsi="方正楷体_GBK" w:eastAsia="方正楷体_GBK" w:cs="方正楷体_GBK"/>
          <w:b/>
          <w:bCs/>
          <w:kern w:val="0"/>
          <w:sz w:val="32"/>
          <w:szCs w:val="32"/>
          <w:shd w:val="clear" w:color="auto" w:fill="FFFFFF"/>
          <w:lang w:val="zh-CN"/>
        </w:rPr>
        <w:t>改进建议</w:t>
      </w:r>
    </w:p>
    <w:p w14:paraId="2061DF80">
      <w:pPr>
        <w:spacing w:line="560" w:lineRule="exact"/>
        <w:ind w:firstLine="640" w:firstLineChars="200"/>
        <w:outlineLvl w:val="9"/>
        <w:rPr>
          <w:rFonts w:hint="default" w:ascii="Times New Roman" w:hAnsi="Times New Roman" w:eastAsia="方正仿宋_GBK" w:cs="Times New Roman"/>
          <w:color w:val="222222"/>
          <w:kern w:val="0"/>
          <w:sz w:val="32"/>
          <w:szCs w:val="32"/>
          <w:lang w:val="zh-CN"/>
        </w:rPr>
      </w:pPr>
      <w:r>
        <w:rPr>
          <w:rFonts w:hint="default" w:ascii="Times New Roman" w:hAnsi="Times New Roman" w:eastAsia="方正仿宋_GBK" w:cs="Times New Roman"/>
          <w:color w:val="222222"/>
          <w:kern w:val="0"/>
          <w:sz w:val="32"/>
          <w:szCs w:val="32"/>
          <w:lang w:val="en-US" w:eastAsia="zh-CN"/>
        </w:rPr>
        <w:t>1</w:t>
      </w:r>
      <w:r>
        <w:rPr>
          <w:rFonts w:hint="eastAsia" w:ascii="Times New Roman" w:hAnsi="Times New Roman" w:eastAsia="方正仿宋_GBK" w:cs="Times New Roman"/>
          <w:color w:val="222222"/>
          <w:kern w:val="0"/>
          <w:sz w:val="32"/>
          <w:szCs w:val="32"/>
          <w:lang w:val="en-US" w:eastAsia="zh-CN"/>
        </w:rPr>
        <w:t>.</w:t>
      </w:r>
      <w:r>
        <w:rPr>
          <w:rFonts w:hint="default" w:ascii="Times New Roman" w:hAnsi="Times New Roman" w:eastAsia="方正仿宋_GBK" w:cs="Times New Roman"/>
          <w:color w:val="222222"/>
          <w:kern w:val="0"/>
          <w:sz w:val="32"/>
          <w:szCs w:val="32"/>
          <w:lang w:val="zh-CN"/>
        </w:rPr>
        <w:t>建立健全财务管理制度及内部控制制度，严格财务审核制度，在费用报账支付时，按照预算规定及相关文件要求的费用项目和用途进行审核支付等工作，杜绝超支现象的发生，并且将费用的使用情况细化到各个科室，以全面把控预算在各</w:t>
      </w:r>
      <w:r>
        <w:rPr>
          <w:rFonts w:hint="default" w:ascii="Times New Roman" w:hAnsi="Times New Roman" w:eastAsia="方正仿宋_GBK" w:cs="Times New Roman"/>
          <w:color w:val="222222"/>
          <w:kern w:val="0"/>
          <w:sz w:val="32"/>
          <w:szCs w:val="32"/>
          <w:lang w:val="en-US" w:eastAsia="zh-CN"/>
        </w:rPr>
        <w:t>股</w:t>
      </w:r>
      <w:r>
        <w:rPr>
          <w:rFonts w:hint="default" w:ascii="Times New Roman" w:hAnsi="Times New Roman" w:eastAsia="方正仿宋_GBK" w:cs="Times New Roman"/>
          <w:color w:val="222222"/>
          <w:kern w:val="0"/>
          <w:sz w:val="32"/>
          <w:szCs w:val="32"/>
          <w:lang w:val="zh-CN"/>
        </w:rPr>
        <w:t>室中的实施情况。</w:t>
      </w:r>
    </w:p>
    <w:p w14:paraId="7707CD0E">
      <w:pPr>
        <w:spacing w:line="560" w:lineRule="exact"/>
        <w:ind w:firstLine="640" w:firstLineChars="200"/>
        <w:outlineLvl w:val="9"/>
        <w:rPr>
          <w:rFonts w:hint="default" w:ascii="Times New Roman" w:hAnsi="Times New Roman" w:eastAsia="方正仿宋_GBK" w:cs="Times New Roman"/>
          <w:color w:val="222222"/>
          <w:kern w:val="0"/>
          <w:sz w:val="32"/>
          <w:szCs w:val="32"/>
        </w:rPr>
      </w:pPr>
      <w:r>
        <w:rPr>
          <w:rFonts w:hint="default" w:ascii="Times New Roman" w:hAnsi="Times New Roman" w:eastAsia="方正仿宋_GBK" w:cs="Times New Roman"/>
          <w:color w:val="222222"/>
          <w:kern w:val="0"/>
          <w:sz w:val="32"/>
          <w:szCs w:val="32"/>
          <w:lang w:val="en-US" w:eastAsia="zh-CN"/>
        </w:rPr>
        <w:t>2</w:t>
      </w:r>
      <w:r>
        <w:rPr>
          <w:rFonts w:hint="eastAsia" w:ascii="Times New Roman" w:hAnsi="Times New Roman" w:eastAsia="方正仿宋_GBK" w:cs="Times New Roman"/>
          <w:color w:val="222222"/>
          <w:kern w:val="0"/>
          <w:sz w:val="32"/>
          <w:szCs w:val="32"/>
          <w:lang w:val="en-US" w:eastAsia="zh-CN"/>
        </w:rPr>
        <w:t>.</w:t>
      </w:r>
      <w:r>
        <w:rPr>
          <w:rFonts w:hint="default" w:ascii="Times New Roman" w:hAnsi="Times New Roman" w:eastAsia="方正仿宋_GBK" w:cs="Times New Roman"/>
          <w:color w:val="222222"/>
          <w:kern w:val="0"/>
          <w:sz w:val="32"/>
          <w:szCs w:val="32"/>
        </w:rPr>
        <w:t>加强财务管理，严格财务审核。在费用报账支付时，按照预算规定的费用项目和用途进行资金使用审核、列报支付、财务核算，杜绝超支现象的发生。</w:t>
      </w:r>
    </w:p>
    <w:p w14:paraId="66A6DE62">
      <w:pPr>
        <w:spacing w:line="560" w:lineRule="exact"/>
        <w:ind w:firstLine="640" w:firstLineChars="200"/>
        <w:outlineLvl w:val="9"/>
        <w:rPr>
          <w:rFonts w:hint="default" w:ascii="Times New Roman" w:hAnsi="Times New Roman" w:eastAsia="方正仿宋_GBK" w:cs="Times New Roman"/>
          <w:color w:val="222222"/>
          <w:kern w:val="0"/>
          <w:sz w:val="32"/>
          <w:szCs w:val="32"/>
          <w:lang w:val="zh-CN"/>
        </w:rPr>
      </w:pPr>
      <w:r>
        <w:rPr>
          <w:rFonts w:hint="default" w:ascii="Times New Roman" w:hAnsi="Times New Roman" w:eastAsia="方正仿宋_GBK" w:cs="Times New Roman"/>
          <w:color w:val="222222"/>
          <w:kern w:val="0"/>
          <w:sz w:val="32"/>
          <w:szCs w:val="32"/>
          <w:lang w:val="en-US" w:eastAsia="zh-CN"/>
        </w:rPr>
        <w:t>3</w:t>
      </w:r>
      <w:r>
        <w:rPr>
          <w:rFonts w:hint="eastAsia" w:ascii="Times New Roman" w:hAnsi="Times New Roman" w:eastAsia="方正仿宋_GBK" w:cs="Times New Roman"/>
          <w:color w:val="222222"/>
          <w:kern w:val="0"/>
          <w:sz w:val="32"/>
          <w:szCs w:val="32"/>
          <w:lang w:val="en-US" w:eastAsia="zh-CN"/>
        </w:rPr>
        <w:t>.</w:t>
      </w:r>
      <w:r>
        <w:rPr>
          <w:rFonts w:hint="default" w:ascii="Times New Roman" w:hAnsi="Times New Roman" w:eastAsia="方正仿宋_GBK" w:cs="Times New Roman"/>
          <w:color w:val="222222"/>
          <w:kern w:val="0"/>
          <w:sz w:val="32"/>
          <w:szCs w:val="32"/>
        </w:rPr>
        <w:t>进一步</w:t>
      </w:r>
      <w:r>
        <w:rPr>
          <w:rFonts w:hint="default" w:ascii="Times New Roman" w:hAnsi="Times New Roman" w:eastAsia="方正仿宋_GBK" w:cs="Times New Roman"/>
          <w:color w:val="222222"/>
          <w:kern w:val="0"/>
          <w:sz w:val="32"/>
          <w:szCs w:val="32"/>
          <w:lang w:val="zh-CN"/>
        </w:rPr>
        <w:t>规范财务管理的细节，提高财务管理水平。加强业务培训，提高工作效率。</w:t>
      </w:r>
    </w:p>
    <w:p w14:paraId="4EF5E5BF">
      <w:pPr>
        <w:rPr>
          <w:rFonts w:hint="default" w:ascii="Times New Roman" w:hAnsi="Times New Roman" w:eastAsia="方正仿宋_GBK" w:cs="Times New Roman"/>
          <w:color w:val="222222"/>
          <w:kern w:val="0"/>
          <w:sz w:val="32"/>
          <w:szCs w:val="32"/>
          <w:lang w:val="zh-CN"/>
        </w:rPr>
      </w:pPr>
      <w:r>
        <w:rPr>
          <w:rFonts w:hint="default" w:ascii="Times New Roman" w:hAnsi="Times New Roman" w:eastAsia="方正仿宋_GBK" w:cs="Times New Roman"/>
          <w:color w:val="222222"/>
          <w:kern w:val="0"/>
          <w:sz w:val="32"/>
          <w:szCs w:val="32"/>
          <w:lang w:val="zh-CN"/>
        </w:rPr>
        <w:br w:type="page"/>
      </w:r>
    </w:p>
    <w:p w14:paraId="24B153DF">
      <w:pPr>
        <w:numPr>
          <w:ilvl w:val="0"/>
          <w:numId w:val="0"/>
        </w:numPr>
        <w:spacing w:line="600" w:lineRule="exact"/>
        <w:jc w:val="center"/>
        <w:outlineLvl w:val="0"/>
        <w:rPr>
          <w:rStyle w:val="32"/>
          <w:rFonts w:hint="eastAsia" w:ascii="方正小标宋_GBK" w:hAnsi="方正小标宋_GBK" w:eastAsia="方正小标宋_GBK" w:cs="方正小标宋_GBK"/>
          <w:b w:val="0"/>
          <w:bCs w:val="0"/>
          <w:sz w:val="44"/>
          <w:szCs w:val="44"/>
        </w:rPr>
      </w:pPr>
      <w:bookmarkStart w:id="92" w:name="_Toc15396618"/>
      <w:bookmarkStart w:id="93" w:name="_Toc20573"/>
      <w:r>
        <w:rPr>
          <w:rFonts w:hint="eastAsia" w:ascii="方正小标宋_GBK" w:hAnsi="方正小标宋_GBK" w:eastAsia="方正小标宋_GBK" w:cs="方正小标宋_GBK"/>
          <w:b w:val="0"/>
          <w:bCs w:val="0"/>
          <w:kern w:val="44"/>
          <w:sz w:val="44"/>
          <w:szCs w:val="44"/>
          <w:lang w:val="en-US" w:eastAsia="zh-CN" w:bidi="ar-SA"/>
        </w:rPr>
        <w:t xml:space="preserve">第五部分 </w:t>
      </w:r>
      <w:r>
        <w:rPr>
          <w:rStyle w:val="32"/>
          <w:rFonts w:hint="eastAsia" w:ascii="方正小标宋_GBK" w:hAnsi="方正小标宋_GBK" w:eastAsia="方正小标宋_GBK" w:cs="方正小标宋_GBK"/>
          <w:b w:val="0"/>
          <w:bCs w:val="0"/>
          <w:sz w:val="44"/>
          <w:szCs w:val="44"/>
        </w:rPr>
        <w:t>附表</w:t>
      </w:r>
      <w:bookmarkEnd w:id="74"/>
      <w:bookmarkEnd w:id="92"/>
      <w:bookmarkEnd w:id="93"/>
      <w:bookmarkStart w:id="94" w:name="_Toc15396619"/>
    </w:p>
    <w:p w14:paraId="7B04B3B1">
      <w:pPr>
        <w:pStyle w:val="2"/>
        <w:numPr>
          <w:ilvl w:val="0"/>
          <w:numId w:val="0"/>
        </w:numPr>
        <w:ind w:leftChars="150"/>
        <w:rPr>
          <w:rFonts w:hint="default"/>
          <w:sz w:val="32"/>
          <w:szCs w:val="32"/>
        </w:rPr>
      </w:pPr>
    </w:p>
    <w:p w14:paraId="4CDC2B6B">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95" w:name="_Toc32430"/>
      <w:r>
        <w:rPr>
          <w:rFonts w:hint="default" w:ascii="Times New Roman" w:hAnsi="Times New Roman" w:eastAsia="方正仿宋_GBK" w:cs="Times New Roman"/>
          <w:b w:val="0"/>
          <w:sz w:val="32"/>
          <w:szCs w:val="32"/>
        </w:rPr>
        <w:t>一、收</w:t>
      </w:r>
      <w:r>
        <w:rPr>
          <w:rStyle w:val="33"/>
          <w:rFonts w:hint="default" w:ascii="Times New Roman" w:hAnsi="Times New Roman" w:eastAsia="方正仿宋_GBK" w:cs="Times New Roman"/>
          <w:b w:val="0"/>
          <w:bCs w:val="0"/>
          <w:sz w:val="32"/>
          <w:szCs w:val="32"/>
        </w:rPr>
        <w:t>入支出决算总表</w:t>
      </w:r>
      <w:bookmarkEnd w:id="94"/>
      <w:bookmarkEnd w:id="95"/>
    </w:p>
    <w:p w14:paraId="317E345C">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96" w:name="_Toc27453"/>
      <w:bookmarkStart w:id="97" w:name="_Toc15396620"/>
      <w:r>
        <w:rPr>
          <w:rFonts w:hint="default" w:ascii="Times New Roman" w:hAnsi="Times New Roman" w:eastAsia="方正仿宋_GBK" w:cs="Times New Roman"/>
          <w:b w:val="0"/>
          <w:sz w:val="32"/>
          <w:szCs w:val="32"/>
        </w:rPr>
        <w:t>二、收</w:t>
      </w:r>
      <w:r>
        <w:rPr>
          <w:rStyle w:val="33"/>
          <w:rFonts w:hint="default" w:ascii="Times New Roman" w:hAnsi="Times New Roman" w:eastAsia="方正仿宋_GBK" w:cs="Times New Roman"/>
          <w:b w:val="0"/>
          <w:bCs w:val="0"/>
          <w:sz w:val="32"/>
          <w:szCs w:val="32"/>
        </w:rPr>
        <w:t>入决算表</w:t>
      </w:r>
      <w:bookmarkEnd w:id="96"/>
      <w:bookmarkEnd w:id="97"/>
    </w:p>
    <w:p w14:paraId="6C8E4276">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98" w:name="_Toc15396621"/>
      <w:bookmarkStart w:id="99" w:name="_Toc2810"/>
      <w:r>
        <w:rPr>
          <w:rStyle w:val="33"/>
          <w:rFonts w:hint="default" w:ascii="Times New Roman" w:hAnsi="Times New Roman" w:eastAsia="方正仿宋_GBK" w:cs="Times New Roman"/>
          <w:b w:val="0"/>
          <w:bCs w:val="0"/>
          <w:sz w:val="32"/>
          <w:szCs w:val="32"/>
        </w:rPr>
        <w:t>三、</w:t>
      </w:r>
      <w:r>
        <w:rPr>
          <w:rFonts w:hint="default" w:ascii="Times New Roman" w:hAnsi="Times New Roman" w:eastAsia="方正仿宋_GBK" w:cs="Times New Roman"/>
          <w:b w:val="0"/>
          <w:sz w:val="32"/>
          <w:szCs w:val="32"/>
        </w:rPr>
        <w:t>支</w:t>
      </w:r>
      <w:r>
        <w:rPr>
          <w:rStyle w:val="33"/>
          <w:rFonts w:hint="default" w:ascii="Times New Roman" w:hAnsi="Times New Roman" w:eastAsia="方正仿宋_GBK" w:cs="Times New Roman"/>
          <w:b w:val="0"/>
          <w:bCs w:val="0"/>
          <w:sz w:val="32"/>
          <w:szCs w:val="32"/>
        </w:rPr>
        <w:t>出决算表</w:t>
      </w:r>
      <w:bookmarkEnd w:id="98"/>
      <w:bookmarkEnd w:id="99"/>
    </w:p>
    <w:p w14:paraId="37DF1C3A">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b w:val="0"/>
          <w:sz w:val="32"/>
          <w:szCs w:val="32"/>
        </w:rPr>
      </w:pPr>
      <w:bookmarkStart w:id="100" w:name="_Toc22455"/>
      <w:bookmarkStart w:id="101" w:name="_Toc15396622"/>
      <w:r>
        <w:rPr>
          <w:rStyle w:val="33"/>
          <w:rFonts w:hint="default" w:ascii="Times New Roman" w:hAnsi="Times New Roman" w:eastAsia="方正仿宋_GBK" w:cs="Times New Roman"/>
          <w:b w:val="0"/>
          <w:bCs w:val="0"/>
          <w:sz w:val="32"/>
          <w:szCs w:val="32"/>
        </w:rPr>
        <w:t>四、</w:t>
      </w:r>
      <w:r>
        <w:rPr>
          <w:rFonts w:hint="default" w:ascii="Times New Roman" w:hAnsi="Times New Roman" w:eastAsia="方正仿宋_GBK" w:cs="Times New Roman"/>
          <w:b w:val="0"/>
          <w:sz w:val="32"/>
          <w:szCs w:val="32"/>
        </w:rPr>
        <w:t>财</w:t>
      </w:r>
      <w:r>
        <w:rPr>
          <w:rStyle w:val="33"/>
          <w:rFonts w:hint="default" w:ascii="Times New Roman" w:hAnsi="Times New Roman" w:eastAsia="方正仿宋_GBK" w:cs="Times New Roman"/>
          <w:b w:val="0"/>
          <w:bCs w:val="0"/>
          <w:sz w:val="32"/>
          <w:szCs w:val="32"/>
        </w:rPr>
        <w:t>政拨款收入支出决算总表</w:t>
      </w:r>
      <w:bookmarkEnd w:id="100"/>
      <w:bookmarkEnd w:id="101"/>
    </w:p>
    <w:p w14:paraId="6677BD49">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Style w:val="33"/>
          <w:rFonts w:hint="default" w:ascii="Times New Roman" w:hAnsi="Times New Roman" w:eastAsia="方正仿宋_GBK" w:cs="Times New Roman"/>
          <w:b w:val="0"/>
          <w:bCs w:val="0"/>
          <w:sz w:val="32"/>
          <w:szCs w:val="32"/>
        </w:rPr>
      </w:pPr>
      <w:bookmarkStart w:id="102" w:name="_Toc15396623"/>
      <w:bookmarkStart w:id="103" w:name="_Toc6418"/>
      <w:r>
        <w:rPr>
          <w:rStyle w:val="33"/>
          <w:rFonts w:hint="default" w:ascii="Times New Roman" w:hAnsi="Times New Roman" w:eastAsia="方正仿宋_GBK" w:cs="Times New Roman"/>
          <w:b w:val="0"/>
          <w:bCs w:val="0"/>
          <w:sz w:val="32"/>
          <w:szCs w:val="32"/>
        </w:rPr>
        <w:t>五、</w:t>
      </w:r>
      <w:r>
        <w:rPr>
          <w:rFonts w:hint="default" w:ascii="Times New Roman" w:hAnsi="Times New Roman" w:eastAsia="方正仿宋_GBK" w:cs="Times New Roman"/>
          <w:b w:val="0"/>
          <w:sz w:val="32"/>
          <w:szCs w:val="32"/>
        </w:rPr>
        <w:t>财</w:t>
      </w:r>
      <w:r>
        <w:rPr>
          <w:rStyle w:val="33"/>
          <w:rFonts w:hint="default" w:ascii="Times New Roman" w:hAnsi="Times New Roman" w:eastAsia="方正仿宋_GBK" w:cs="Times New Roman"/>
          <w:b w:val="0"/>
          <w:bCs w:val="0"/>
          <w:sz w:val="32"/>
          <w:szCs w:val="32"/>
        </w:rPr>
        <w:t>政拨款支出决算明细表</w:t>
      </w:r>
      <w:bookmarkEnd w:id="102"/>
      <w:bookmarkEnd w:id="103"/>
      <w:bookmarkStart w:id="104" w:name="_Toc15396624"/>
    </w:p>
    <w:p w14:paraId="0B088CCB">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105" w:name="_Toc7159"/>
      <w:r>
        <w:rPr>
          <w:rStyle w:val="33"/>
          <w:rFonts w:hint="default" w:ascii="Times New Roman" w:hAnsi="Times New Roman" w:eastAsia="方正仿宋_GBK" w:cs="Times New Roman"/>
          <w:b w:val="0"/>
          <w:bCs w:val="0"/>
          <w:sz w:val="32"/>
          <w:szCs w:val="32"/>
        </w:rPr>
        <w:t>六、</w:t>
      </w:r>
      <w:r>
        <w:rPr>
          <w:rFonts w:hint="default" w:ascii="Times New Roman" w:hAnsi="Times New Roman" w:eastAsia="方正仿宋_GBK" w:cs="Times New Roman"/>
          <w:b w:val="0"/>
          <w:sz w:val="32"/>
          <w:szCs w:val="32"/>
        </w:rPr>
        <w:t>一</w:t>
      </w:r>
      <w:r>
        <w:rPr>
          <w:rStyle w:val="33"/>
          <w:rFonts w:hint="default" w:ascii="Times New Roman" w:hAnsi="Times New Roman" w:eastAsia="方正仿宋_GBK" w:cs="Times New Roman"/>
          <w:b w:val="0"/>
          <w:bCs w:val="0"/>
          <w:sz w:val="32"/>
          <w:szCs w:val="32"/>
        </w:rPr>
        <w:t>般公共预算财政拨款支出决算表</w:t>
      </w:r>
      <w:bookmarkEnd w:id="104"/>
      <w:bookmarkEnd w:id="105"/>
    </w:p>
    <w:p w14:paraId="0F76746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106" w:name="_Toc15396625"/>
      <w:bookmarkStart w:id="107" w:name="_Toc17755"/>
      <w:r>
        <w:rPr>
          <w:rStyle w:val="33"/>
          <w:rFonts w:hint="default" w:ascii="Times New Roman" w:hAnsi="Times New Roman" w:eastAsia="方正仿宋_GBK" w:cs="Times New Roman"/>
          <w:b w:val="0"/>
          <w:bCs w:val="0"/>
          <w:sz w:val="32"/>
          <w:szCs w:val="32"/>
        </w:rPr>
        <w:t>七、</w:t>
      </w:r>
      <w:r>
        <w:rPr>
          <w:rFonts w:hint="default" w:ascii="Times New Roman" w:hAnsi="Times New Roman" w:eastAsia="方正仿宋_GBK" w:cs="Times New Roman"/>
          <w:b w:val="0"/>
          <w:sz w:val="32"/>
          <w:szCs w:val="32"/>
        </w:rPr>
        <w:t>一</w:t>
      </w:r>
      <w:r>
        <w:rPr>
          <w:rStyle w:val="33"/>
          <w:rFonts w:hint="default" w:ascii="Times New Roman" w:hAnsi="Times New Roman" w:eastAsia="方正仿宋_GBK" w:cs="Times New Roman"/>
          <w:b w:val="0"/>
          <w:bCs w:val="0"/>
          <w:sz w:val="32"/>
          <w:szCs w:val="32"/>
        </w:rPr>
        <w:t>般公共预算财政拨款支出决算明细表</w:t>
      </w:r>
      <w:bookmarkEnd w:id="106"/>
      <w:bookmarkEnd w:id="107"/>
    </w:p>
    <w:p w14:paraId="77D38E7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108" w:name="_Toc24107"/>
      <w:bookmarkStart w:id="109" w:name="_Toc15396626"/>
      <w:r>
        <w:rPr>
          <w:rStyle w:val="33"/>
          <w:rFonts w:hint="default" w:ascii="Times New Roman" w:hAnsi="Times New Roman" w:eastAsia="方正仿宋_GBK" w:cs="Times New Roman"/>
          <w:b w:val="0"/>
          <w:bCs w:val="0"/>
          <w:sz w:val="32"/>
          <w:szCs w:val="32"/>
        </w:rPr>
        <w:t>八、</w:t>
      </w:r>
      <w:r>
        <w:rPr>
          <w:rFonts w:hint="default" w:ascii="Times New Roman" w:hAnsi="Times New Roman" w:eastAsia="方正仿宋_GBK" w:cs="Times New Roman"/>
          <w:b w:val="0"/>
          <w:sz w:val="32"/>
          <w:szCs w:val="32"/>
        </w:rPr>
        <w:t>一</w:t>
      </w:r>
      <w:r>
        <w:rPr>
          <w:rStyle w:val="33"/>
          <w:rFonts w:hint="default" w:ascii="Times New Roman" w:hAnsi="Times New Roman" w:eastAsia="方正仿宋_GBK" w:cs="Times New Roman"/>
          <w:b w:val="0"/>
          <w:bCs w:val="0"/>
          <w:sz w:val="32"/>
          <w:szCs w:val="32"/>
        </w:rPr>
        <w:t>般公共预算财政拨款基本支出决算表</w:t>
      </w:r>
      <w:bookmarkEnd w:id="108"/>
      <w:bookmarkEnd w:id="109"/>
    </w:p>
    <w:p w14:paraId="2638290F">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110" w:name="_Toc15396627"/>
      <w:bookmarkStart w:id="111" w:name="_Toc4914"/>
      <w:r>
        <w:rPr>
          <w:rStyle w:val="33"/>
          <w:rFonts w:hint="default" w:ascii="Times New Roman" w:hAnsi="Times New Roman" w:eastAsia="方正仿宋_GBK" w:cs="Times New Roman"/>
          <w:b w:val="0"/>
          <w:bCs w:val="0"/>
          <w:sz w:val="32"/>
          <w:szCs w:val="32"/>
        </w:rPr>
        <w:t>九、</w:t>
      </w:r>
      <w:r>
        <w:rPr>
          <w:rFonts w:hint="default" w:ascii="Times New Roman" w:hAnsi="Times New Roman" w:eastAsia="方正仿宋_GBK" w:cs="Times New Roman"/>
          <w:b w:val="0"/>
          <w:sz w:val="32"/>
          <w:szCs w:val="32"/>
        </w:rPr>
        <w:t>一</w:t>
      </w:r>
      <w:r>
        <w:rPr>
          <w:rStyle w:val="33"/>
          <w:rFonts w:hint="default" w:ascii="Times New Roman" w:hAnsi="Times New Roman" w:eastAsia="方正仿宋_GBK" w:cs="Times New Roman"/>
          <w:b w:val="0"/>
          <w:bCs w:val="0"/>
          <w:sz w:val="32"/>
          <w:szCs w:val="32"/>
        </w:rPr>
        <w:t>般公共预算财政拨款项目支出决算表</w:t>
      </w:r>
      <w:bookmarkEnd w:id="110"/>
      <w:bookmarkEnd w:id="111"/>
    </w:p>
    <w:p w14:paraId="67E6F940">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112" w:name="_Toc31329"/>
      <w:bookmarkStart w:id="113" w:name="_Toc15396628"/>
      <w:r>
        <w:rPr>
          <w:rStyle w:val="33"/>
          <w:rFonts w:hint="default" w:ascii="Times New Roman" w:hAnsi="Times New Roman" w:eastAsia="方正仿宋_GBK" w:cs="Times New Roman"/>
          <w:b w:val="0"/>
          <w:bCs w:val="0"/>
          <w:sz w:val="32"/>
          <w:szCs w:val="32"/>
        </w:rPr>
        <w:t>十、</w:t>
      </w:r>
      <w:r>
        <w:rPr>
          <w:rFonts w:hint="default" w:ascii="Times New Roman" w:hAnsi="Times New Roman" w:eastAsia="方正仿宋_GBK" w:cs="Times New Roman"/>
          <w:b w:val="0"/>
          <w:sz w:val="32"/>
          <w:szCs w:val="32"/>
        </w:rPr>
        <w:t>一</w:t>
      </w:r>
      <w:r>
        <w:rPr>
          <w:rStyle w:val="33"/>
          <w:rFonts w:hint="default" w:ascii="Times New Roman" w:hAnsi="Times New Roman" w:eastAsia="方正仿宋_GBK" w:cs="Times New Roman"/>
          <w:b w:val="0"/>
          <w:bCs w:val="0"/>
          <w:sz w:val="32"/>
          <w:szCs w:val="32"/>
        </w:rPr>
        <w:t>般公共预算财政拨款</w:t>
      </w:r>
      <w:r>
        <w:rPr>
          <w:rStyle w:val="33"/>
          <w:rFonts w:hint="eastAsia" w:eastAsia="方正仿宋_GBK" w:cs="Times New Roman"/>
          <w:b w:val="0"/>
          <w:bCs w:val="0"/>
          <w:sz w:val="32"/>
          <w:szCs w:val="32"/>
          <w:lang w:eastAsia="zh-CN"/>
        </w:rPr>
        <w:t>“</w:t>
      </w:r>
      <w:r>
        <w:rPr>
          <w:rStyle w:val="33"/>
          <w:rFonts w:hint="default" w:ascii="Times New Roman" w:hAnsi="Times New Roman" w:eastAsia="方正仿宋_GBK" w:cs="Times New Roman"/>
          <w:b w:val="0"/>
          <w:bCs w:val="0"/>
          <w:sz w:val="32"/>
          <w:szCs w:val="32"/>
        </w:rPr>
        <w:t>三公</w:t>
      </w:r>
      <w:r>
        <w:rPr>
          <w:rStyle w:val="33"/>
          <w:rFonts w:hint="eastAsia" w:eastAsia="方正仿宋_GBK" w:cs="Times New Roman"/>
          <w:b w:val="0"/>
          <w:bCs w:val="0"/>
          <w:sz w:val="32"/>
          <w:szCs w:val="32"/>
          <w:lang w:eastAsia="zh-CN"/>
        </w:rPr>
        <w:t>”</w:t>
      </w:r>
      <w:r>
        <w:rPr>
          <w:rStyle w:val="33"/>
          <w:rFonts w:hint="default" w:ascii="Times New Roman" w:hAnsi="Times New Roman" w:eastAsia="方正仿宋_GBK" w:cs="Times New Roman"/>
          <w:b w:val="0"/>
          <w:bCs w:val="0"/>
          <w:sz w:val="32"/>
          <w:szCs w:val="32"/>
        </w:rPr>
        <w:t>经费支出决算表</w:t>
      </w:r>
      <w:bookmarkEnd w:id="112"/>
      <w:bookmarkEnd w:id="113"/>
    </w:p>
    <w:p w14:paraId="66873FAC">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114" w:name="_Toc15396629"/>
      <w:bookmarkStart w:id="115" w:name="_Toc25593"/>
      <w:r>
        <w:rPr>
          <w:rStyle w:val="33"/>
          <w:rFonts w:hint="default" w:ascii="Times New Roman" w:hAnsi="Times New Roman" w:eastAsia="方正仿宋_GBK" w:cs="Times New Roman"/>
          <w:b w:val="0"/>
          <w:bCs w:val="0"/>
          <w:sz w:val="32"/>
          <w:szCs w:val="32"/>
        </w:rPr>
        <w:t>十一、</w:t>
      </w:r>
      <w:r>
        <w:rPr>
          <w:rFonts w:hint="default" w:ascii="Times New Roman" w:hAnsi="Times New Roman" w:eastAsia="方正仿宋_GBK" w:cs="Times New Roman"/>
          <w:b w:val="0"/>
          <w:sz w:val="32"/>
          <w:szCs w:val="32"/>
        </w:rPr>
        <w:t>政</w:t>
      </w:r>
      <w:r>
        <w:rPr>
          <w:rStyle w:val="33"/>
          <w:rFonts w:hint="default" w:ascii="Times New Roman" w:hAnsi="Times New Roman" w:eastAsia="方正仿宋_GBK" w:cs="Times New Roman"/>
          <w:b w:val="0"/>
          <w:bCs w:val="0"/>
          <w:sz w:val="32"/>
          <w:szCs w:val="32"/>
        </w:rPr>
        <w:t>府性基金预算财政拨款收入支出决算表</w:t>
      </w:r>
      <w:bookmarkEnd w:id="114"/>
      <w:bookmarkEnd w:id="115"/>
    </w:p>
    <w:p w14:paraId="335FABE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116" w:name="_Toc15396630"/>
      <w:bookmarkStart w:id="117" w:name="_Toc29684"/>
      <w:r>
        <w:rPr>
          <w:rStyle w:val="33"/>
          <w:rFonts w:hint="default" w:ascii="Times New Roman" w:hAnsi="Times New Roman" w:eastAsia="方正仿宋_GBK" w:cs="Times New Roman"/>
          <w:b w:val="0"/>
          <w:bCs w:val="0"/>
          <w:sz w:val="32"/>
          <w:szCs w:val="32"/>
        </w:rPr>
        <w:t>十二、</w:t>
      </w:r>
      <w:r>
        <w:rPr>
          <w:rFonts w:hint="default" w:ascii="Times New Roman" w:hAnsi="Times New Roman" w:eastAsia="方正仿宋_GBK" w:cs="Times New Roman"/>
          <w:b w:val="0"/>
          <w:sz w:val="32"/>
          <w:szCs w:val="32"/>
        </w:rPr>
        <w:t>政</w:t>
      </w:r>
      <w:r>
        <w:rPr>
          <w:rStyle w:val="33"/>
          <w:rFonts w:hint="default" w:ascii="Times New Roman" w:hAnsi="Times New Roman" w:eastAsia="方正仿宋_GBK" w:cs="Times New Roman"/>
          <w:b w:val="0"/>
          <w:bCs w:val="0"/>
          <w:sz w:val="32"/>
          <w:szCs w:val="32"/>
        </w:rPr>
        <w:t>府性基金预算财政拨款</w:t>
      </w:r>
      <w:r>
        <w:rPr>
          <w:rStyle w:val="33"/>
          <w:rFonts w:hint="eastAsia" w:eastAsia="方正仿宋_GBK" w:cs="Times New Roman"/>
          <w:b w:val="0"/>
          <w:bCs w:val="0"/>
          <w:sz w:val="32"/>
          <w:szCs w:val="32"/>
          <w:lang w:eastAsia="zh-CN"/>
        </w:rPr>
        <w:t>“</w:t>
      </w:r>
      <w:r>
        <w:rPr>
          <w:rStyle w:val="33"/>
          <w:rFonts w:hint="default" w:ascii="Times New Roman" w:hAnsi="Times New Roman" w:eastAsia="方正仿宋_GBK" w:cs="Times New Roman"/>
          <w:b w:val="0"/>
          <w:bCs w:val="0"/>
          <w:sz w:val="32"/>
          <w:szCs w:val="32"/>
        </w:rPr>
        <w:t>三公</w:t>
      </w:r>
      <w:r>
        <w:rPr>
          <w:rStyle w:val="33"/>
          <w:rFonts w:hint="eastAsia" w:eastAsia="方正仿宋_GBK" w:cs="Times New Roman"/>
          <w:b w:val="0"/>
          <w:bCs w:val="0"/>
          <w:sz w:val="32"/>
          <w:szCs w:val="32"/>
          <w:lang w:eastAsia="zh-CN"/>
        </w:rPr>
        <w:t>”</w:t>
      </w:r>
      <w:r>
        <w:rPr>
          <w:rStyle w:val="33"/>
          <w:rFonts w:hint="default" w:ascii="Times New Roman" w:hAnsi="Times New Roman" w:eastAsia="方正仿宋_GBK" w:cs="Times New Roman"/>
          <w:b w:val="0"/>
          <w:bCs w:val="0"/>
          <w:sz w:val="32"/>
          <w:szCs w:val="32"/>
        </w:rPr>
        <w:t>经费支出决算表</w:t>
      </w:r>
      <w:bookmarkEnd w:id="116"/>
      <w:bookmarkEnd w:id="117"/>
    </w:p>
    <w:p w14:paraId="1F1B1BCA">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Style w:val="33"/>
          <w:rFonts w:hint="default" w:ascii="Times New Roman" w:hAnsi="Times New Roman" w:eastAsia="方正仿宋_GBK" w:cs="Times New Roman"/>
          <w:b w:val="0"/>
          <w:bCs w:val="0"/>
          <w:sz w:val="32"/>
          <w:szCs w:val="32"/>
        </w:rPr>
      </w:pPr>
      <w:bookmarkStart w:id="118" w:name="_Toc15396631"/>
      <w:bookmarkStart w:id="119" w:name="_Toc7983"/>
      <w:r>
        <w:rPr>
          <w:rStyle w:val="33"/>
          <w:rFonts w:hint="default" w:ascii="Times New Roman" w:hAnsi="Times New Roman" w:eastAsia="方正仿宋_GBK" w:cs="Times New Roman"/>
          <w:b w:val="0"/>
          <w:bCs w:val="0"/>
          <w:sz w:val="32"/>
          <w:szCs w:val="32"/>
        </w:rPr>
        <w:t>十三、</w:t>
      </w:r>
      <w:r>
        <w:rPr>
          <w:rFonts w:hint="default" w:ascii="Times New Roman" w:hAnsi="Times New Roman" w:eastAsia="方正仿宋_GBK" w:cs="Times New Roman"/>
          <w:b w:val="0"/>
          <w:sz w:val="32"/>
          <w:szCs w:val="32"/>
        </w:rPr>
        <w:t>国</w:t>
      </w:r>
      <w:r>
        <w:rPr>
          <w:rStyle w:val="33"/>
          <w:rFonts w:hint="default" w:ascii="Times New Roman" w:hAnsi="Times New Roman" w:eastAsia="方正仿宋_GBK" w:cs="Times New Roman"/>
          <w:b w:val="0"/>
          <w:bCs w:val="0"/>
          <w:sz w:val="32"/>
          <w:szCs w:val="32"/>
        </w:rPr>
        <w:t>有资本经营预算财政拨款收入支出决算表</w:t>
      </w:r>
      <w:bookmarkEnd w:id="118"/>
      <w:bookmarkEnd w:id="119"/>
    </w:p>
    <w:p w14:paraId="744436F9">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方正仿宋_GBK" w:cs="Times New Roman"/>
          <w:sz w:val="32"/>
          <w:szCs w:val="32"/>
        </w:rPr>
      </w:pPr>
      <w:bookmarkStart w:id="120" w:name="_Toc1963"/>
      <w:r>
        <w:rPr>
          <w:rStyle w:val="33"/>
          <w:rFonts w:hint="default" w:ascii="Times New Roman" w:hAnsi="Times New Roman" w:eastAsia="方正仿宋_GBK" w:cs="Times New Roman"/>
          <w:b w:val="0"/>
          <w:bCs w:val="0"/>
          <w:sz w:val="32"/>
          <w:szCs w:val="32"/>
        </w:rPr>
        <w:t>十四、国有资本经营预算财政拨款支出决算表</w:t>
      </w:r>
      <w:bookmarkEnd w:id="120"/>
    </w:p>
    <w:sectPr>
      <w:footerReference r:id="rId7" w:type="first"/>
      <w:headerReference r:id="rId5" w:type="default"/>
      <w:footerReference r:id="rId6"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C1E84">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03BEA">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A03BE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09A5F">
    <w:pPr>
      <w:pStyle w:val="12"/>
      <w:rPr>
        <w:rFonts w:hint="eastAsia" w:eastAsia="宋体"/>
        <w:lang w:val="en-US" w:eastAsia="zh-CN"/>
      </w:rPr>
    </w:pPr>
    <w:r>
      <w:rPr>
        <w:rFonts w:hint="eastAsia"/>
        <w:lang w:val="en-US" w:eastAsia="zh-CN"/>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EFDF3">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14:paraId="4B7FBE56">
                              <w:pPr>
                                <w:pStyle w:val="12"/>
                                <w:jc w:val="center"/>
                              </w:pPr>
                              <w:r>
                                <w:fldChar w:fldCharType="begin"/>
                              </w:r>
                              <w:r>
                                <w:instrText xml:space="preserve">PAGE   \* MERGEFORMAT</w:instrText>
                              </w:r>
                              <w:r>
                                <w:fldChar w:fldCharType="separate"/>
                              </w:r>
                              <w:r>
                                <w:rPr>
                                  <w:lang w:val="zh-CN"/>
                                </w:rPr>
                                <w:t>2</w:t>
                              </w:r>
                              <w:r>
                                <w:fldChar w:fldCharType="end"/>
                              </w:r>
                            </w:p>
                          </w:sdtContent>
                        </w:sdt>
                        <w:p w14:paraId="7CFE41A8">
                          <w:pPr>
                            <w:pStyle w:val="2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14:paraId="4B7FBE56">
                        <w:pPr>
                          <w:pStyle w:val="12"/>
                          <w:jc w:val="center"/>
                        </w:pPr>
                        <w:r>
                          <w:fldChar w:fldCharType="begin"/>
                        </w:r>
                        <w:r>
                          <w:instrText xml:space="preserve">PAGE   \* MERGEFORMAT</w:instrText>
                        </w:r>
                        <w:r>
                          <w:fldChar w:fldCharType="separate"/>
                        </w:r>
                        <w:r>
                          <w:rPr>
                            <w:lang w:val="zh-CN"/>
                          </w:rPr>
                          <w:t>2</w:t>
                        </w:r>
                        <w:r>
                          <w:fldChar w:fldCharType="end"/>
                        </w:r>
                      </w:p>
                    </w:sdtContent>
                  </w:sdt>
                  <w:p w14:paraId="7CFE41A8">
                    <w:pPr>
                      <w:pStyle w:val="23"/>
                    </w:pPr>
                  </w:p>
                </w:txbxContent>
              </v:textbox>
            </v:shape>
          </w:pict>
        </mc:Fallback>
      </mc:AlternateContent>
    </w:r>
  </w:p>
  <w:p w14:paraId="25966FFF">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5F78D">
    <w:pPr>
      <w:pStyle w:val="12"/>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90542">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5F90542">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E503B">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3"/>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1ODg3MDIxNzVkMGUxNWM4MGIyNTkzZjBlMjIzND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65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556C1"/>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6830"/>
    <w:rsid w:val="006A3141"/>
    <w:rsid w:val="006A5E34"/>
    <w:rsid w:val="006B2422"/>
    <w:rsid w:val="006B2B9A"/>
    <w:rsid w:val="006B4A29"/>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4374"/>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515DC"/>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0385F"/>
    <w:rsid w:val="01B06153"/>
    <w:rsid w:val="01F053F2"/>
    <w:rsid w:val="034874ED"/>
    <w:rsid w:val="03634CCC"/>
    <w:rsid w:val="03824AAC"/>
    <w:rsid w:val="039C7B37"/>
    <w:rsid w:val="03B10C72"/>
    <w:rsid w:val="04055CC3"/>
    <w:rsid w:val="04D058DF"/>
    <w:rsid w:val="05827D68"/>
    <w:rsid w:val="05BE5915"/>
    <w:rsid w:val="05EF743A"/>
    <w:rsid w:val="063C6EBF"/>
    <w:rsid w:val="06641818"/>
    <w:rsid w:val="066E0107"/>
    <w:rsid w:val="06741A3B"/>
    <w:rsid w:val="06F06C3D"/>
    <w:rsid w:val="07996F6E"/>
    <w:rsid w:val="07B054DE"/>
    <w:rsid w:val="07D66E6C"/>
    <w:rsid w:val="08C73957"/>
    <w:rsid w:val="09332F3E"/>
    <w:rsid w:val="09730737"/>
    <w:rsid w:val="09D863A9"/>
    <w:rsid w:val="09F50332"/>
    <w:rsid w:val="0A2032A3"/>
    <w:rsid w:val="0A5B169C"/>
    <w:rsid w:val="0AF76F83"/>
    <w:rsid w:val="0B967806"/>
    <w:rsid w:val="0BD53BE7"/>
    <w:rsid w:val="0C103F7E"/>
    <w:rsid w:val="0C773AF4"/>
    <w:rsid w:val="0DEC5472"/>
    <w:rsid w:val="0EDF6BD2"/>
    <w:rsid w:val="0F043B1B"/>
    <w:rsid w:val="0F9E443C"/>
    <w:rsid w:val="0FFA64A5"/>
    <w:rsid w:val="101860EC"/>
    <w:rsid w:val="1097457C"/>
    <w:rsid w:val="10A027B1"/>
    <w:rsid w:val="10B47AA1"/>
    <w:rsid w:val="10C055FF"/>
    <w:rsid w:val="11310D46"/>
    <w:rsid w:val="117660A5"/>
    <w:rsid w:val="118107EC"/>
    <w:rsid w:val="11EA7AFB"/>
    <w:rsid w:val="12C11B6B"/>
    <w:rsid w:val="13D50BC4"/>
    <w:rsid w:val="14241EA5"/>
    <w:rsid w:val="14914BD1"/>
    <w:rsid w:val="153B29E4"/>
    <w:rsid w:val="15613335"/>
    <w:rsid w:val="15B63C88"/>
    <w:rsid w:val="169D6E5A"/>
    <w:rsid w:val="16BB723D"/>
    <w:rsid w:val="185E0C40"/>
    <w:rsid w:val="18BB26C5"/>
    <w:rsid w:val="19545C17"/>
    <w:rsid w:val="196F6360"/>
    <w:rsid w:val="1A327F2F"/>
    <w:rsid w:val="1AAD72B8"/>
    <w:rsid w:val="1B0B43E7"/>
    <w:rsid w:val="1BB22C8F"/>
    <w:rsid w:val="1BB975B4"/>
    <w:rsid w:val="1BDC4D60"/>
    <w:rsid w:val="1BE8440E"/>
    <w:rsid w:val="1C340365"/>
    <w:rsid w:val="1D1303D5"/>
    <w:rsid w:val="1D155CEE"/>
    <w:rsid w:val="1DB15DC6"/>
    <w:rsid w:val="1DE1684E"/>
    <w:rsid w:val="1EBB6803"/>
    <w:rsid w:val="1F882FF2"/>
    <w:rsid w:val="201B50E5"/>
    <w:rsid w:val="21307B01"/>
    <w:rsid w:val="21624E14"/>
    <w:rsid w:val="21641F16"/>
    <w:rsid w:val="219B4DC6"/>
    <w:rsid w:val="22214AA1"/>
    <w:rsid w:val="223B4CCB"/>
    <w:rsid w:val="225304CB"/>
    <w:rsid w:val="22891F67"/>
    <w:rsid w:val="23860B96"/>
    <w:rsid w:val="23F20E07"/>
    <w:rsid w:val="240371BF"/>
    <w:rsid w:val="240F186A"/>
    <w:rsid w:val="24140326"/>
    <w:rsid w:val="242668C4"/>
    <w:rsid w:val="24B44B8B"/>
    <w:rsid w:val="24DA3A04"/>
    <w:rsid w:val="25D00ACA"/>
    <w:rsid w:val="26260ED6"/>
    <w:rsid w:val="26811DAB"/>
    <w:rsid w:val="268458FA"/>
    <w:rsid w:val="26D84233"/>
    <w:rsid w:val="281177B6"/>
    <w:rsid w:val="288B1760"/>
    <w:rsid w:val="293D6764"/>
    <w:rsid w:val="29F86FC6"/>
    <w:rsid w:val="29FA4AAF"/>
    <w:rsid w:val="29FD04D3"/>
    <w:rsid w:val="2AD86C17"/>
    <w:rsid w:val="2C3C655B"/>
    <w:rsid w:val="2C8A61B5"/>
    <w:rsid w:val="2CC00B42"/>
    <w:rsid w:val="2D6D5613"/>
    <w:rsid w:val="2DE2169B"/>
    <w:rsid w:val="2DF04E50"/>
    <w:rsid w:val="2E3A762C"/>
    <w:rsid w:val="2EB23BE8"/>
    <w:rsid w:val="2ED5043C"/>
    <w:rsid w:val="2F680F48"/>
    <w:rsid w:val="30103235"/>
    <w:rsid w:val="305E5F3E"/>
    <w:rsid w:val="30A82DEE"/>
    <w:rsid w:val="30BF3A5B"/>
    <w:rsid w:val="319975AA"/>
    <w:rsid w:val="319F7F4E"/>
    <w:rsid w:val="31E16CCD"/>
    <w:rsid w:val="33910185"/>
    <w:rsid w:val="339A09C0"/>
    <w:rsid w:val="33C81479"/>
    <w:rsid w:val="33DE4053"/>
    <w:rsid w:val="35A41B73"/>
    <w:rsid w:val="36AA5135"/>
    <w:rsid w:val="37E16F03"/>
    <w:rsid w:val="382948AD"/>
    <w:rsid w:val="38C829C8"/>
    <w:rsid w:val="392E4D43"/>
    <w:rsid w:val="39722A58"/>
    <w:rsid w:val="39934A04"/>
    <w:rsid w:val="3AAA77CF"/>
    <w:rsid w:val="3B84320A"/>
    <w:rsid w:val="3C125873"/>
    <w:rsid w:val="3C5C6E8F"/>
    <w:rsid w:val="3CAB4181"/>
    <w:rsid w:val="3D98207C"/>
    <w:rsid w:val="3F3F046E"/>
    <w:rsid w:val="3F513BC4"/>
    <w:rsid w:val="3F653868"/>
    <w:rsid w:val="3FE03E8E"/>
    <w:rsid w:val="408F0158"/>
    <w:rsid w:val="412F79DD"/>
    <w:rsid w:val="41FD181B"/>
    <w:rsid w:val="429B2AB4"/>
    <w:rsid w:val="42BF1480"/>
    <w:rsid w:val="43B24586"/>
    <w:rsid w:val="44E268DA"/>
    <w:rsid w:val="458F43B4"/>
    <w:rsid w:val="4610791B"/>
    <w:rsid w:val="475573AE"/>
    <w:rsid w:val="4770576A"/>
    <w:rsid w:val="47E04A0B"/>
    <w:rsid w:val="493F2D1B"/>
    <w:rsid w:val="49853D65"/>
    <w:rsid w:val="4A627F82"/>
    <w:rsid w:val="4B253FAC"/>
    <w:rsid w:val="4B4F25DA"/>
    <w:rsid w:val="4BE068DB"/>
    <w:rsid w:val="4C0864A5"/>
    <w:rsid w:val="4C9F714A"/>
    <w:rsid w:val="4D577224"/>
    <w:rsid w:val="4D6D1203"/>
    <w:rsid w:val="4E71630A"/>
    <w:rsid w:val="4EA13B62"/>
    <w:rsid w:val="4EAB630A"/>
    <w:rsid w:val="4ECE2238"/>
    <w:rsid w:val="4F773B2C"/>
    <w:rsid w:val="4F833828"/>
    <w:rsid w:val="512916D5"/>
    <w:rsid w:val="51351ABF"/>
    <w:rsid w:val="52082CC6"/>
    <w:rsid w:val="528A3D2B"/>
    <w:rsid w:val="531225F7"/>
    <w:rsid w:val="54262DD4"/>
    <w:rsid w:val="54653D58"/>
    <w:rsid w:val="55087906"/>
    <w:rsid w:val="55A84859"/>
    <w:rsid w:val="566C0BDB"/>
    <w:rsid w:val="56896D8A"/>
    <w:rsid w:val="56CC707D"/>
    <w:rsid w:val="57BA6514"/>
    <w:rsid w:val="57CA5E9C"/>
    <w:rsid w:val="586B719A"/>
    <w:rsid w:val="58EE1AA5"/>
    <w:rsid w:val="58F31B0A"/>
    <w:rsid w:val="593232F9"/>
    <w:rsid w:val="59A321FB"/>
    <w:rsid w:val="5AB44DEF"/>
    <w:rsid w:val="5AF92295"/>
    <w:rsid w:val="5BBC0BB6"/>
    <w:rsid w:val="5BD13A04"/>
    <w:rsid w:val="5C5D193E"/>
    <w:rsid w:val="5CC44BE0"/>
    <w:rsid w:val="5CD71FC4"/>
    <w:rsid w:val="5CDF7C98"/>
    <w:rsid w:val="5D01471B"/>
    <w:rsid w:val="609B58F4"/>
    <w:rsid w:val="60A234AA"/>
    <w:rsid w:val="619026CC"/>
    <w:rsid w:val="655C4D44"/>
    <w:rsid w:val="656B3962"/>
    <w:rsid w:val="665074F0"/>
    <w:rsid w:val="66596817"/>
    <w:rsid w:val="66B8432E"/>
    <w:rsid w:val="66BD4BE1"/>
    <w:rsid w:val="685711FB"/>
    <w:rsid w:val="685C4343"/>
    <w:rsid w:val="687661D0"/>
    <w:rsid w:val="689D0ABA"/>
    <w:rsid w:val="69370D14"/>
    <w:rsid w:val="69410028"/>
    <w:rsid w:val="6A010C46"/>
    <w:rsid w:val="6B14410F"/>
    <w:rsid w:val="6BDF7C36"/>
    <w:rsid w:val="6C177508"/>
    <w:rsid w:val="6C382682"/>
    <w:rsid w:val="6C41402B"/>
    <w:rsid w:val="6C4A05C8"/>
    <w:rsid w:val="6C5B47D0"/>
    <w:rsid w:val="6C63766C"/>
    <w:rsid w:val="6D654C85"/>
    <w:rsid w:val="6D8C23E9"/>
    <w:rsid w:val="6E044540"/>
    <w:rsid w:val="6E3C1CD6"/>
    <w:rsid w:val="6E7E3605"/>
    <w:rsid w:val="6FD75D88"/>
    <w:rsid w:val="6FF5CC65"/>
    <w:rsid w:val="70AF2306"/>
    <w:rsid w:val="70D420AB"/>
    <w:rsid w:val="70E76077"/>
    <w:rsid w:val="715A6588"/>
    <w:rsid w:val="715C0E4B"/>
    <w:rsid w:val="717572E9"/>
    <w:rsid w:val="72153C4D"/>
    <w:rsid w:val="72375CBD"/>
    <w:rsid w:val="72734D90"/>
    <w:rsid w:val="72B06F65"/>
    <w:rsid w:val="72EA3321"/>
    <w:rsid w:val="73AD73D5"/>
    <w:rsid w:val="73B46663"/>
    <w:rsid w:val="73B6EB34"/>
    <w:rsid w:val="740B5187"/>
    <w:rsid w:val="766C4E4A"/>
    <w:rsid w:val="769C1ADE"/>
    <w:rsid w:val="769E6CC2"/>
    <w:rsid w:val="77A91D05"/>
    <w:rsid w:val="780879A1"/>
    <w:rsid w:val="79E644B4"/>
    <w:rsid w:val="79EE5BA4"/>
    <w:rsid w:val="7A894339"/>
    <w:rsid w:val="7A964260"/>
    <w:rsid w:val="7B790349"/>
    <w:rsid w:val="7BC64388"/>
    <w:rsid w:val="7D824146"/>
    <w:rsid w:val="7DE83EC2"/>
    <w:rsid w:val="7E272D5D"/>
    <w:rsid w:val="7EEF11D3"/>
    <w:rsid w:val="7F150482"/>
    <w:rsid w:val="7FA30C79"/>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960"/>
      </w:tabs>
      <w:ind w:firstLine="420" w:firstLineChars="200"/>
    </w:pPr>
  </w:style>
  <w:style w:type="paragraph" w:styleId="3">
    <w:name w:val="Body Text Indent"/>
    <w:basedOn w:val="1"/>
    <w:next w:val="2"/>
    <w:qFormat/>
    <w:uiPriority w:val="0"/>
    <w:pPr>
      <w:tabs>
        <w:tab w:val="left" w:pos="960"/>
      </w:tabs>
      <w:spacing w:line="540" w:lineRule="exact"/>
      <w:ind w:firstLine="5440" w:firstLineChars="1700"/>
    </w:pPr>
    <w:rPr>
      <w:sz w:val="32"/>
      <w:szCs w:val="32"/>
    </w:rPr>
  </w:style>
  <w:style w:type="paragraph" w:styleId="7">
    <w:name w:val="Normal Indent"/>
    <w:basedOn w:val="1"/>
    <w:next w:val="1"/>
    <w:qFormat/>
    <w:uiPriority w:val="99"/>
    <w:pPr>
      <w:ind w:firstLine="680"/>
    </w:pPr>
  </w:style>
  <w:style w:type="paragraph" w:styleId="8">
    <w:name w:val="Salutation"/>
    <w:basedOn w:val="1"/>
    <w:next w:val="1"/>
    <w:unhideWhenUsed/>
    <w:qFormat/>
    <w:uiPriority w:val="99"/>
    <w:rPr>
      <w:szCs w:val="24"/>
    </w:rPr>
  </w:style>
  <w:style w:type="paragraph" w:styleId="9">
    <w:name w:val="Body Text"/>
    <w:basedOn w:val="1"/>
    <w:link w:val="30"/>
    <w:qFormat/>
    <w:uiPriority w:val="99"/>
    <w:pPr>
      <w:spacing w:beforeLines="30"/>
    </w:pPr>
    <w:rPr>
      <w:rFonts w:ascii="FangSong_GB2312" w:eastAsia="FangSong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5"/>
    <w:semiHidden/>
    <w:unhideWhenUsed/>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qFormat/>
    <w:uiPriority w:val="99"/>
    <w:pPr>
      <w:ind w:left="200"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列出段落1"/>
    <w:basedOn w:val="1"/>
    <w:qFormat/>
    <w:uiPriority w:val="34"/>
    <w:pPr>
      <w:ind w:firstLine="420" w:firstLineChars="200"/>
    </w:pPr>
    <w:rPr>
      <w:rFonts w:ascii="Calibri" w:hAnsi="Calibri" w:eastAsia="宋体" w:cs="Times New Roman"/>
    </w:rPr>
  </w:style>
  <w:style w:type="paragraph" w:customStyle="1" w:styleId="22">
    <w:name w:val="正文2"/>
    <w:basedOn w:val="1"/>
    <w:next w:val="1"/>
    <w:qFormat/>
    <w:uiPriority w:val="0"/>
    <w:pPr>
      <w:spacing w:line="576" w:lineRule="exact"/>
      <w:ind w:firstLine="200" w:firstLineChars="200"/>
    </w:pPr>
    <w:rPr>
      <w:rFonts w:cs="宋体"/>
      <w:szCs w:val="32"/>
      <w:lang w:bidi="ar-SA"/>
    </w:rPr>
  </w:style>
  <w:style w:type="paragraph" w:customStyle="1" w:styleId="23">
    <w:name w:val="标题 5（有编号）（绿盟科技）"/>
    <w:basedOn w:val="1"/>
    <w:next w:val="1"/>
    <w:qFormat/>
    <w:uiPriority w:val="0"/>
    <w:pPr>
      <w:keepNext/>
      <w:keepLines/>
      <w:numPr>
        <w:ilvl w:val="4"/>
        <w:numId w:val="1"/>
      </w:numPr>
      <w:spacing w:before="280" w:after="156" w:line="377" w:lineRule="auto"/>
      <w:jc w:val="left"/>
      <w:outlineLvl w:val="4"/>
    </w:pPr>
    <w:rPr>
      <w:rFonts w:ascii="Arial" w:hAnsi="Arial" w:eastAsia="黑体" w:cs="Times New Roman"/>
      <w:b/>
      <w:kern w:val="0"/>
      <w:sz w:val="24"/>
      <w:szCs w:val="28"/>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18"/>
    <w:semiHidden/>
    <w:qFormat/>
    <w:uiPriority w:val="99"/>
    <w:rPr>
      <w:rFonts w:ascii="Times New Roman" w:hAnsi="Times New Roman"/>
      <w:sz w:val="18"/>
      <w:szCs w:val="18"/>
    </w:rPr>
  </w:style>
  <w:style w:type="character" w:customStyle="1" w:styleId="26">
    <w:name w:val="页眉 Char"/>
    <w:link w:val="13"/>
    <w:semiHidden/>
    <w:qFormat/>
    <w:locked/>
    <w:uiPriority w:val="99"/>
    <w:rPr>
      <w:sz w:val="18"/>
    </w:rPr>
  </w:style>
  <w:style w:type="character" w:customStyle="1" w:styleId="27">
    <w:name w:val="Footer Char"/>
    <w:basedOn w:val="18"/>
    <w:semiHidden/>
    <w:qFormat/>
    <w:uiPriority w:val="99"/>
    <w:rPr>
      <w:rFonts w:ascii="Times New Roman" w:hAnsi="Times New Roman"/>
      <w:sz w:val="18"/>
      <w:szCs w:val="18"/>
    </w:rPr>
  </w:style>
  <w:style w:type="character" w:customStyle="1" w:styleId="28">
    <w:name w:val="页脚 Char"/>
    <w:link w:val="12"/>
    <w:qFormat/>
    <w:locked/>
    <w:uiPriority w:val="99"/>
    <w:rPr>
      <w:sz w:val="18"/>
    </w:rPr>
  </w:style>
  <w:style w:type="character" w:customStyle="1" w:styleId="29">
    <w:name w:val="Body Text Char"/>
    <w:basedOn w:val="18"/>
    <w:semiHidden/>
    <w:qFormat/>
    <w:uiPriority w:val="99"/>
    <w:rPr>
      <w:rFonts w:ascii="Times New Roman" w:hAnsi="Times New Roman"/>
      <w:szCs w:val="24"/>
    </w:rPr>
  </w:style>
  <w:style w:type="character" w:customStyle="1" w:styleId="30">
    <w:name w:val="正文文本 Char"/>
    <w:link w:val="9"/>
    <w:qFormat/>
    <w:locked/>
    <w:uiPriority w:val="99"/>
    <w:rPr>
      <w:rFonts w:ascii="FangSong_GB2312" w:hAnsi="Times New Roman" w:eastAsia="FangSong_GB2312"/>
      <w:sz w:val="24"/>
    </w:rPr>
  </w:style>
  <w:style w:type="paragraph" w:styleId="31">
    <w:name w:val="List Paragraph"/>
    <w:basedOn w:val="1"/>
    <w:qFormat/>
    <w:uiPriority w:val="34"/>
    <w:pPr>
      <w:ind w:firstLine="420" w:firstLineChars="200"/>
    </w:pPr>
  </w:style>
  <w:style w:type="character" w:customStyle="1" w:styleId="32">
    <w:name w:val="标题 1 Char"/>
    <w:basedOn w:val="18"/>
    <w:link w:val="4"/>
    <w:qFormat/>
    <w:uiPriority w:val="9"/>
    <w:rPr>
      <w:rFonts w:ascii="Times New Roman" w:hAnsi="Times New Roman"/>
      <w:b/>
      <w:bCs/>
      <w:kern w:val="44"/>
      <w:sz w:val="44"/>
      <w:szCs w:val="44"/>
    </w:rPr>
  </w:style>
  <w:style w:type="character" w:customStyle="1" w:styleId="33">
    <w:name w:val="标题 2 Char"/>
    <w:basedOn w:val="18"/>
    <w:link w:val="5"/>
    <w:qFormat/>
    <w:uiPriority w:val="9"/>
    <w:rPr>
      <w:rFonts w:asciiTheme="majorHAnsi" w:hAnsiTheme="majorHAnsi" w:eastAsiaTheme="majorEastAsia" w:cstheme="majorBidi"/>
      <w:b/>
      <w:bCs/>
      <w:kern w:val="2"/>
      <w:sz w:val="32"/>
      <w:szCs w:val="32"/>
    </w:rPr>
  </w:style>
  <w:style w:type="paragraph" w:customStyle="1" w:styleId="34">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Char"/>
    <w:basedOn w:val="18"/>
    <w:link w:val="11"/>
    <w:semiHidden/>
    <w:qFormat/>
    <w:uiPriority w:val="99"/>
    <w:rPr>
      <w:rFonts w:ascii="Times New Roman" w:hAnsi="Times New Roman"/>
      <w:kern w:val="2"/>
      <w:sz w:val="18"/>
      <w:szCs w:val="18"/>
    </w:rPr>
  </w:style>
  <w:style w:type="character" w:customStyle="1" w:styleId="36">
    <w:name w:val="标题 3 Char"/>
    <w:basedOn w:val="18"/>
    <w:link w:val="6"/>
    <w:qFormat/>
    <w:uiPriority w:val="9"/>
    <w:rPr>
      <w:rFonts w:ascii="Times New Roman" w:hAnsi="Times New Roman"/>
      <w:b/>
      <w:bCs/>
      <w:kern w:val="2"/>
      <w:sz w:val="32"/>
      <w:szCs w:val="32"/>
    </w:rPr>
  </w:style>
  <w:style w:type="paragraph" w:customStyle="1" w:styleId="37">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8">
    <w:name w:val="TOC1"/>
    <w:basedOn w:val="1"/>
    <w:next w:val="1"/>
    <w:qFormat/>
    <w:uiPriority w:val="0"/>
    <w:pPr>
      <w:tabs>
        <w:tab w:val="right" w:leader="dot" w:pos="8721"/>
      </w:tabs>
      <w:spacing w:line="360" w:lineRule="auto"/>
      <w:jc w:val="center"/>
      <w:textAlignment w:val="baseline"/>
    </w:pPr>
    <w:rPr>
      <w:rFonts w:ascii="Calibri" w:hAnsi="仿宋"/>
      <w:b/>
      <w:bCs/>
      <w:caps/>
      <w:sz w:val="28"/>
      <w:szCs w:val="28"/>
    </w:rPr>
  </w:style>
  <w:style w:type="character" w:customStyle="1" w:styleId="39">
    <w:name w:val="font21"/>
    <w:basedOn w:val="18"/>
    <w:qFormat/>
    <w:uiPriority w:val="0"/>
    <w:rPr>
      <w:rFonts w:hint="eastAsia" w:ascii="宋体" w:hAnsi="宋体" w:eastAsia="宋体" w:cs="宋体"/>
      <w:color w:val="000000"/>
      <w:sz w:val="24"/>
      <w:szCs w:val="24"/>
      <w:u w:val="none"/>
    </w:rPr>
  </w:style>
  <w:style w:type="paragraph" w:customStyle="1" w:styleId="40">
    <w:name w:val="表格抬头"/>
    <w:basedOn w:val="1"/>
    <w:qFormat/>
    <w:uiPriority w:val="0"/>
    <w:pPr>
      <w:ind w:firstLine="0" w:firstLineChars="0"/>
      <w:jc w:val="center"/>
    </w:pPr>
    <w:rPr>
      <w:rFonts w:eastAsia="楷体"/>
      <w:b/>
      <w:sz w:val="24"/>
      <w:szCs w:val="24"/>
    </w:rPr>
  </w:style>
  <w:style w:type="paragraph" w:customStyle="1" w:styleId="41">
    <w:name w:val="表格文字"/>
    <w:basedOn w:val="1"/>
    <w:qFormat/>
    <w:uiPriority w:val="0"/>
    <w:pPr>
      <w:spacing w:line="240" w:lineRule="auto"/>
      <w:ind w:firstLine="0" w:firstLineChars="0"/>
      <w:jc w:val="center"/>
    </w:pPr>
    <w:rPr>
      <w:bCs/>
      <w:kern w:val="28"/>
      <w:sz w:val="24"/>
      <w:szCs w:val="24"/>
    </w:rPr>
  </w:style>
  <w:style w:type="paragraph" w:customStyle="1" w:styleId="42">
    <w:name w:val="WPSOffice手动目录 1"/>
    <w:qFormat/>
    <w:uiPriority w:val="0"/>
    <w:pPr>
      <w:ind w:leftChars="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 w:type="character" w:customStyle="1" w:styleId="44">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manualLayout>
          <c:layoutTarget val="inner"/>
          <c:xMode val="edge"/>
          <c:yMode val="edge"/>
          <c:x val="0.0836731517509728"/>
          <c:y val="0.204802899864069"/>
          <c:w val="0.867766536964981"/>
          <c:h val="0.593429995468962"/>
        </c:manualLayout>
      </c:layout>
      <c:barChart>
        <c:barDir val="col"/>
        <c:grouping val="clustered"/>
        <c:varyColors val="0"/>
        <c:ser>
          <c:idx val="0"/>
          <c:order val="0"/>
          <c:tx>
            <c:strRef>
              <c:f>Sheet1!$B$1</c:f>
              <c:strCache>
                <c:ptCount val="1"/>
                <c:pt idx="0">
                  <c:v>2021年</c:v>
                </c:pt>
              </c:strCache>
            </c:strRef>
          </c:tx>
          <c:spPr>
            <a:solidFill>
              <a:schemeClr val="accent1">
                <a:alpha val="85000"/>
              </a:schemeClr>
            </a:solidFill>
            <a:ln w="9525" cap="flat" cmpd="sng" algn="ctr">
              <a:solidFill>
                <a:schemeClr val="lt1">
                  <a:alpha val="50000"/>
                </a:schemeClr>
              </a:solidFill>
              <a:round/>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874.55</c:v>
                </c:pt>
                <c:pt idx="1">
                  <c:v>874.55</c:v>
                </c:pt>
              </c:numCache>
            </c:numRef>
          </c:val>
        </c:ser>
        <c:ser>
          <c:idx val="1"/>
          <c:order val="1"/>
          <c:tx>
            <c:strRef>
              <c:f>Sheet1!$C$1</c:f>
              <c:strCache>
                <c:ptCount val="1"/>
                <c:pt idx="0">
                  <c:v>2022年</c:v>
                </c:pt>
              </c:strCache>
            </c:strRef>
          </c:tx>
          <c:spPr>
            <a:solidFill>
              <a:schemeClr val="accent2">
                <a:alpha val="85000"/>
              </a:schemeClr>
            </a:solidFill>
            <a:ln w="9525" cap="flat" cmpd="sng" algn="ctr">
              <a:solidFill>
                <a:schemeClr val="lt1">
                  <a:alpha val="50000"/>
                </a:schemeClr>
              </a:solidFill>
              <a:round/>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466.58</c:v>
                </c:pt>
                <c:pt idx="1">
                  <c:v>466.58</c:v>
                </c:pt>
              </c:numCache>
            </c:numRef>
          </c:val>
        </c:ser>
        <c:dLbls>
          <c:showLegendKey val="0"/>
          <c:showVal val="1"/>
          <c:showCatName val="0"/>
          <c:showSerName val="0"/>
          <c:showPercent val="0"/>
          <c:showBubbleSize val="0"/>
        </c:dLbls>
        <c:gapWidth val="75"/>
        <c:overlap val="-25"/>
        <c:axId val="283647531"/>
        <c:axId val="427499569"/>
      </c:barChart>
      <c:catAx>
        <c:axId val="283647531"/>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427499569"/>
        <c:crosses val="autoZero"/>
        <c:auto val="1"/>
        <c:lblAlgn val="ctr"/>
        <c:lblOffset val="100"/>
        <c:noMultiLvlLbl val="0"/>
      </c:catAx>
      <c:valAx>
        <c:axId val="427499569"/>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283647531"/>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49ea97ef-2485-41b3-b63b-f0f1e38a268c}"/>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一般公共财政拨款收入</c:v>
                </c:pt>
                <c:pt idx="1">
                  <c:v>其他收入</c:v>
                </c:pt>
                <c:pt idx="2">
                  <c:v>政府基金</c:v>
                </c:pt>
                <c:pt idx="3">
                  <c:v>年初结转和结余</c:v>
                </c:pt>
              </c:strCache>
            </c:strRef>
          </c:cat>
          <c:val>
            <c:numRef>
              <c:f>Sheet1!$B$2:$B$5</c:f>
              <c:numCache>
                <c:formatCode>General</c:formatCode>
                <c:ptCount val="4"/>
                <c:pt idx="0">
                  <c:v>234.05</c:v>
                </c:pt>
                <c:pt idx="1">
                  <c:v>352.38</c:v>
                </c:pt>
                <c:pt idx="2">
                  <c:v>0</c:v>
                </c:pt>
                <c:pt idx="3">
                  <c:v>232.53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8f70de7-7ad9-4bce-aa01-78ada7e8d43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pt idx="2">
                  <c:v>上缴上级支出</c:v>
                </c:pt>
                <c:pt idx="3">
                  <c:v>其他支出</c:v>
                </c:pt>
              </c:strCache>
            </c:strRef>
          </c:cat>
          <c:val>
            <c:numRef>
              <c:f>Sheet1!$B$2:$B$5</c:f>
              <c:numCache>
                <c:formatCode>General</c:formatCode>
                <c:ptCount val="4"/>
                <c:pt idx="0">
                  <c:v>206.24</c:v>
                </c:pt>
                <c:pt idx="1">
                  <c:v>260.34</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ec08d58-14eb-40cf-883a-ec578f2eb86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917396925729062"/>
          <c:y val="0.178060046189376"/>
          <c:w val="0.877948570607671"/>
          <c:h val="0.607713625866051"/>
        </c:manualLayout>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Sheet1!$A$2:$A$5</c:f>
              <c:strCache>
                <c:ptCount val="4"/>
                <c:pt idx="0">
                  <c:v>财政拨款收入</c:v>
                </c:pt>
                <c:pt idx="1">
                  <c:v>财政拨款支出</c:v>
                </c:pt>
              </c:strCache>
            </c:strRef>
          </c:cat>
          <c:val>
            <c:numRef>
              <c:f>Sheet1!$B$2:$B$5</c:f>
              <c:numCache>
                <c:formatCode>General</c:formatCode>
                <c:ptCount val="4"/>
                <c:pt idx="0">
                  <c:v>874.55</c:v>
                </c:pt>
                <c:pt idx="1">
                  <c:v>874.55</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Sheet1!$A$2:$A$5</c:f>
              <c:strCache>
                <c:ptCount val="4"/>
                <c:pt idx="0">
                  <c:v>财政拨款收入</c:v>
                </c:pt>
                <c:pt idx="1">
                  <c:v>财政拨款支出</c:v>
                </c:pt>
              </c:strCache>
            </c:strRef>
          </c:cat>
          <c:val>
            <c:numRef>
              <c:f>Sheet1!$C$2:$C$5</c:f>
              <c:numCache>
                <c:formatCode>General</c:formatCode>
                <c:ptCount val="4"/>
                <c:pt idx="0">
                  <c:v>466.58</c:v>
                </c:pt>
                <c:pt idx="1">
                  <c:v>466.58</c:v>
                </c:pt>
              </c:numCache>
            </c:numRef>
          </c:val>
        </c:ser>
        <c:dLbls>
          <c:showLegendKey val="0"/>
          <c:showVal val="0"/>
          <c:showCatName val="0"/>
          <c:showSerName val="0"/>
          <c:showPercent val="0"/>
          <c:showBubbleSize val="0"/>
        </c:dLbls>
        <c:gapWidth val="219"/>
        <c:overlap val="-27"/>
        <c:axId val="723702986"/>
        <c:axId val="184055753"/>
      </c:barChart>
      <c:catAx>
        <c:axId val="7237029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4055753"/>
        <c:crosses val="autoZero"/>
        <c:auto val="1"/>
        <c:lblAlgn val="ctr"/>
        <c:lblOffset val="100"/>
        <c:noMultiLvlLbl val="0"/>
      </c:catAx>
      <c:valAx>
        <c:axId val="1840557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370298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f31acd0-a1cc-473c-bf4d-0134d612a3f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762"/>
          <c:y val="0.127"/>
          <c:w val="0.8938"/>
          <c:h val="0.7169"/>
        </c:manualLayout>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Sheet1!$A$2:$A$4</c:f>
              <c:strCache>
                <c:ptCount val="3"/>
                <c:pt idx="0">
                  <c:v>一般公共预算财政拨款支出</c:v>
                </c:pt>
              </c:strCache>
            </c:strRef>
          </c:cat>
          <c:val>
            <c:numRef>
              <c:f>Sheet1!$B$2:$B$4</c:f>
              <c:numCache>
                <c:formatCode>General</c:formatCode>
                <c:ptCount val="3"/>
                <c:pt idx="0">
                  <c:v>874.55</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Sheet1!$A$2:$A$4</c:f>
              <c:strCache>
                <c:ptCount val="3"/>
                <c:pt idx="0">
                  <c:v>一般公共预算财政拨款支出</c:v>
                </c:pt>
              </c:strCache>
            </c:strRef>
          </c:cat>
          <c:val>
            <c:numRef>
              <c:f>Sheet1!$C$2:$C$4</c:f>
              <c:numCache>
                <c:formatCode>General</c:formatCode>
                <c:ptCount val="3"/>
                <c:pt idx="0">
                  <c:v>466.58</c:v>
                </c:pt>
              </c:numCache>
            </c:numRef>
          </c:val>
        </c:ser>
        <c:dLbls>
          <c:showLegendKey val="0"/>
          <c:showVal val="0"/>
          <c:showCatName val="0"/>
          <c:showSerName val="0"/>
          <c:showPercent val="0"/>
          <c:showBubbleSize val="0"/>
        </c:dLbls>
        <c:gapWidth val="219"/>
        <c:overlap val="-27"/>
        <c:axId val="406655999"/>
        <c:axId val="326913198"/>
      </c:barChart>
      <c:catAx>
        <c:axId val="4066559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6913198"/>
        <c:crosses val="autoZero"/>
        <c:auto val="1"/>
        <c:lblAlgn val="ctr"/>
        <c:lblOffset val="100"/>
        <c:noMultiLvlLbl val="0"/>
      </c:catAx>
      <c:valAx>
        <c:axId val="32691319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665599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f3d7087-30cb-4a56-b0b1-d1a7d09bf02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节能环保支出</c:v>
                </c:pt>
                <c:pt idx="1">
                  <c:v>社会保障就业支出</c:v>
                </c:pt>
                <c:pt idx="2">
                  <c:v>卫生健康支出</c:v>
                </c:pt>
                <c:pt idx="3">
                  <c:v>住房保障支出</c:v>
                </c:pt>
              </c:strCache>
            </c:strRef>
          </c:cat>
          <c:val>
            <c:numRef>
              <c:f>Sheet1!$B$2:$B$5</c:f>
              <c:numCache>
                <c:formatCode>#,##0.00</c:formatCode>
                <c:ptCount val="4"/>
                <c:pt idx="0">
                  <c:v>1270.09</c:v>
                </c:pt>
                <c:pt idx="1" c:formatCode="General">
                  <c:v>52.23</c:v>
                </c:pt>
                <c:pt idx="2" c:formatCode="General">
                  <c:v>0</c:v>
                </c:pt>
                <c:pt idx="3">
                  <c:v>31.6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dc862e2-fa36-422c-bc62-35ee478e314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万元</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因公出国出境</c:v>
                </c:pt>
                <c:pt idx="1">
                  <c:v>公务用车运行维护费</c:v>
                </c:pt>
                <c:pt idx="2">
                  <c:v>公务接待费</c:v>
                </c:pt>
              </c:strCache>
            </c:strRef>
          </c:cat>
          <c:val>
            <c:numRef>
              <c:f>Sheet1!$B$2:$B$5</c:f>
              <c:numCache>
                <c:formatCode>General</c:formatCode>
                <c:ptCount val="4"/>
                <c:pt idx="0">
                  <c:v>0</c:v>
                </c:pt>
                <c:pt idx="1">
                  <c:v>0</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d23fbdd-3b76-4d45-9b94-f7f7a871d9d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9842</Words>
  <Characters>10730</Characters>
  <Lines>57</Lines>
  <Paragraphs>16</Paragraphs>
  <TotalTime>12</TotalTime>
  <ScaleCrop>false</ScaleCrop>
  <LinksUpToDate>false</LinksUpToDate>
  <CharactersWithSpaces>10863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2022-08-17T03:00:00Z</dcterms:created>
  <dc:creator>曹颖</dc:creator>
  <cp:lastModifiedBy>so what</cp:lastModifiedBy>
  <cp:lastPrinted>2026-07-16T02:23:00Z</cp:lastPrinted>
  <dcterms:modified xsi:type="dcterms:W3CDTF">2026-07-23T08:56:14Z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9453999374AA4364B9A7DBB3DEC37E9B_13</vt:lpwstr>
  </property>
  <property fmtid="{D5CDD505-2E9C-101B-9397-08002B2CF9AE}" pid="4" name="KSOTemplateDocerSaveRecord">
    <vt:lpwstr>eyJoZGlkIjoiNWMwOTgyOGU2NjhlNGJmZmZiNzY4NzVjOGRlOWYwYjciLCJ1c2VySWQiOiIxMzY3OTY3ODQzIn0=</vt:lpwstr>
  </property>
</Properties>
</file>