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highlight w:val="none"/>
        </w:rPr>
      </w:pPr>
      <w:bookmarkStart w:id="0" w:name="_Toc15377193"/>
      <w:bookmarkStart w:id="1" w:name="_Toc15396475"/>
      <w:bookmarkStart w:id="2" w:name="_Toc15396597"/>
      <w:bookmarkStart w:id="3" w:name="_Toc15377425"/>
      <w:bookmarkStart w:id="4" w:name="_Toc15378441"/>
      <w:bookmarkStart w:id="5" w:name="_Toc15306267"/>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6" w:name="_Toc12492"/>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bookmarkEnd w:id="6"/>
    </w:p>
    <w:bookmarkEnd w:id="5"/>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7" w:name="_Toc15306268"/>
      <w:bookmarkStart w:id="8" w:name="_Toc20122"/>
      <w:bookmarkStart w:id="9" w:name="_Toc15396598"/>
      <w:bookmarkStart w:id="10" w:name="_Toc15378442"/>
      <w:bookmarkStart w:id="11" w:name="_Toc15377426"/>
      <w:bookmarkStart w:id="12" w:name="_Toc15377194"/>
      <w:bookmarkStart w:id="13" w:name="_Toc15396476"/>
      <w:r>
        <w:rPr>
          <w:rFonts w:hint="eastAsia" w:ascii="方正小标宋简体" w:hAnsi="方正小标宋简体" w:eastAsia="方正小标宋简体" w:cs="方正小标宋简体"/>
          <w:color w:val="auto"/>
          <w:sz w:val="72"/>
          <w:szCs w:val="72"/>
          <w:highlight w:val="none"/>
          <w:lang w:eastAsia="zh-CN"/>
        </w:rPr>
        <w:t>壤塘县信访局</w:t>
      </w:r>
      <w:r>
        <w:rPr>
          <w:rFonts w:hint="eastAsia" w:ascii="方正小标宋简体" w:hAnsi="方正小标宋简体" w:eastAsia="方正小标宋简体" w:cs="方正小标宋简体"/>
          <w:color w:val="auto"/>
          <w:sz w:val="72"/>
          <w:szCs w:val="72"/>
          <w:highlight w:val="none"/>
        </w:rPr>
        <w:t>部门决算</w:t>
      </w:r>
      <w:bookmarkEnd w:id="7"/>
      <w:bookmarkEnd w:id="8"/>
      <w:bookmarkEnd w:id="9"/>
      <w:bookmarkEnd w:id="10"/>
      <w:bookmarkEnd w:id="11"/>
      <w:bookmarkEnd w:id="12"/>
      <w:bookmarkEnd w:id="13"/>
    </w:p>
    <w:p>
      <w:pPr>
        <w:widowControl/>
        <w:jc w:val="center"/>
        <w:rPr>
          <w:rFonts w:ascii="黑体" w:hAnsi="黑体" w:eastAsia="黑体" w:cstheme="minorBidi"/>
          <w:color w:val="auto"/>
          <w:sz w:val="28"/>
          <w:szCs w:val="2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pStyle w:val="14"/>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bookmarkStart w:id="14" w:name="_Toc15396599"/>
      <w:bookmarkStart w:id="15" w:name="_Toc15377196"/>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TOC \o \u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p>
    <w:p>
      <w:pPr>
        <w:pStyle w:val="14"/>
        <w:tabs>
          <w:tab w:val="right" w:leader="dot" w:pos="8306"/>
          <w:tab w:val="clear" w:pos="8296"/>
        </w:tabs>
      </w:pPr>
      <w:r>
        <w:rPr>
          <w:rFonts w:hint="eastAsia" w:ascii="黑体" w:hAnsi="黑体" w:eastAsia="黑体"/>
          <w:color w:val="auto"/>
          <w:highlight w:val="none"/>
        </w:rPr>
        <w:t xml:space="preserve">第一部分 </w:t>
      </w:r>
      <w:r>
        <w:rPr>
          <w:rFonts w:hint="eastAsia" w:ascii="黑体" w:hAnsi="黑体" w:eastAsia="黑体"/>
          <w:bCs w:val="0"/>
          <w:color w:val="auto"/>
          <w:highlight w:val="none"/>
        </w:rPr>
        <w:t>部门概况</w:t>
      </w:r>
      <w:r>
        <w:tab/>
      </w:r>
      <w:r>
        <w:fldChar w:fldCharType="begin"/>
      </w:r>
      <w:r>
        <w:instrText xml:space="preserve"> PAGEREF _Toc20737 </w:instrText>
      </w:r>
      <w:r>
        <w:fldChar w:fldCharType="separate"/>
      </w:r>
      <w:r>
        <w:t>3</w:t>
      </w:r>
      <w:r>
        <w:fldChar w:fldCharType="end"/>
      </w:r>
    </w:p>
    <w:p>
      <w:pPr>
        <w:pStyle w:val="16"/>
        <w:tabs>
          <w:tab w:val="right" w:leader="dot" w:pos="8306"/>
          <w:tab w:val="clear" w:pos="8296"/>
        </w:tabs>
      </w:pPr>
      <w:r>
        <w:rPr>
          <w:rFonts w:hint="eastAsia" w:ascii="黑体" w:hAnsi="黑体" w:eastAsia="黑体"/>
          <w:color w:val="auto"/>
          <w:lang w:eastAsia="zh-CN"/>
        </w:rPr>
        <w:t>一、</w:t>
      </w:r>
      <w:r>
        <w:rPr>
          <w:rFonts w:hint="eastAsia" w:ascii="黑体" w:hAnsi="黑体" w:eastAsia="黑体"/>
          <w:color w:val="auto"/>
          <w:highlight w:val="none"/>
          <w:lang w:eastAsia="zh-CN"/>
        </w:rPr>
        <w:t>部门职责</w:t>
      </w:r>
      <w:r>
        <w:tab/>
      </w:r>
      <w:r>
        <w:fldChar w:fldCharType="begin"/>
      </w:r>
      <w:r>
        <w:instrText xml:space="preserve"> PAGEREF _Toc7564 </w:instrText>
      </w:r>
      <w:r>
        <w:fldChar w:fldCharType="separate"/>
      </w:r>
      <w:r>
        <w:t>3</w:t>
      </w:r>
      <w:r>
        <w:fldChar w:fldCharType="end"/>
      </w:r>
    </w:p>
    <w:p>
      <w:pPr>
        <w:pStyle w:val="16"/>
        <w:tabs>
          <w:tab w:val="right" w:leader="dot" w:pos="8306"/>
          <w:tab w:val="clear" w:pos="8296"/>
        </w:tabs>
      </w:pPr>
      <w:r>
        <w:rPr>
          <w:rFonts w:hint="eastAsia" w:ascii="黑体" w:eastAsia="黑体"/>
          <w:color w:val="auto"/>
          <w:highlight w:val="none"/>
        </w:rPr>
        <w:t>二、</w:t>
      </w:r>
      <w:r>
        <w:rPr>
          <w:rFonts w:hint="eastAsia" w:ascii="黑体" w:hAnsi="黑体" w:eastAsia="黑体"/>
          <w:color w:val="auto"/>
          <w:highlight w:val="none"/>
        </w:rPr>
        <w:t>机</w:t>
      </w:r>
      <w:r>
        <w:rPr>
          <w:rFonts w:hint="eastAsia" w:ascii="黑体" w:hAnsi="黑体" w:eastAsia="黑体"/>
          <w:bCs w:val="0"/>
          <w:color w:val="auto"/>
          <w:highlight w:val="none"/>
        </w:rPr>
        <w:t>构设置</w:t>
      </w:r>
      <w:r>
        <w:tab/>
      </w:r>
      <w:r>
        <w:fldChar w:fldCharType="begin"/>
      </w:r>
      <w:r>
        <w:instrText xml:space="preserve"> PAGEREF _Toc15758 </w:instrText>
      </w:r>
      <w:r>
        <w:fldChar w:fldCharType="separate"/>
      </w:r>
      <w:r>
        <w:t>4</w:t>
      </w:r>
      <w:r>
        <w:fldChar w:fldCharType="end"/>
      </w:r>
    </w:p>
    <w:p>
      <w:pPr>
        <w:pStyle w:val="14"/>
        <w:tabs>
          <w:tab w:val="right" w:leader="dot" w:pos="8306"/>
          <w:tab w:val="clear" w:pos="8296"/>
        </w:tabs>
      </w:pPr>
      <w:r>
        <w:rPr>
          <w:rFonts w:hint="eastAsia" w:ascii="黑体" w:hAnsi="黑体" w:eastAsia="黑体"/>
          <w:bCs/>
          <w:color w:val="auto"/>
          <w:highlight w:val="none"/>
        </w:rPr>
        <w:t xml:space="preserve">第二部分 </w:t>
      </w:r>
      <w:r>
        <w:rPr>
          <w:rFonts w:hint="eastAsia" w:ascii="黑体" w:hAnsi="黑体" w:eastAsia="黑体"/>
          <w:bCs/>
          <w:color w:val="auto"/>
          <w:highlight w:val="none"/>
          <w:lang w:val="en-US" w:eastAsia="zh-CN"/>
        </w:rPr>
        <w:t>2022年度</w:t>
      </w:r>
      <w:r>
        <w:rPr>
          <w:rFonts w:hint="eastAsia" w:ascii="黑体" w:hAnsi="黑体" w:eastAsia="黑体"/>
          <w:bCs/>
          <w:color w:val="auto"/>
          <w:highlight w:val="none"/>
        </w:rPr>
        <w:t>部门决算情况说明</w:t>
      </w:r>
      <w:r>
        <w:tab/>
      </w:r>
      <w:r>
        <w:fldChar w:fldCharType="begin"/>
      </w:r>
      <w:r>
        <w:instrText xml:space="preserve"> PAGEREF _Toc24263 </w:instrText>
      </w:r>
      <w:r>
        <w:fldChar w:fldCharType="separate"/>
      </w:r>
      <w:r>
        <w:t>5</w:t>
      </w:r>
      <w:r>
        <w:fldChar w:fldCharType="end"/>
      </w:r>
    </w:p>
    <w:p>
      <w:pPr>
        <w:pStyle w:val="16"/>
        <w:tabs>
          <w:tab w:val="right" w:leader="dot" w:pos="8306"/>
          <w:tab w:val="clear" w:pos="8296"/>
        </w:tabs>
      </w:pPr>
      <w:r>
        <w:rPr>
          <w:rFonts w:hint="default" w:ascii="黑体" w:hAnsi="黑体" w:eastAsia="黑体"/>
          <w:color w:val="auto"/>
        </w:rPr>
        <w:t xml:space="preserve">一、 </w:t>
      </w:r>
      <w:r>
        <w:rPr>
          <w:rFonts w:hint="eastAsia" w:ascii="黑体" w:hAnsi="黑体" w:eastAsia="黑体"/>
          <w:color w:val="auto"/>
          <w:szCs w:val="32"/>
          <w:highlight w:val="none"/>
        </w:rPr>
        <w:t>收</w:t>
      </w:r>
      <w:r>
        <w:rPr>
          <w:rFonts w:hint="eastAsia" w:ascii="黑体" w:hAnsi="黑体" w:eastAsia="黑体"/>
          <w:color w:val="auto"/>
          <w:highlight w:val="none"/>
        </w:rPr>
        <w:t>入支出决算总体情况说明</w:t>
      </w:r>
      <w:r>
        <w:tab/>
      </w:r>
      <w:r>
        <w:fldChar w:fldCharType="begin"/>
      </w:r>
      <w:r>
        <w:instrText xml:space="preserve"> PAGEREF _Toc5009 </w:instrText>
      </w:r>
      <w:r>
        <w:fldChar w:fldCharType="separate"/>
      </w:r>
      <w:r>
        <w:t>5</w:t>
      </w:r>
      <w:r>
        <w:fldChar w:fldCharType="end"/>
      </w:r>
    </w:p>
    <w:p>
      <w:pPr>
        <w:pStyle w:val="16"/>
        <w:tabs>
          <w:tab w:val="right" w:leader="dot" w:pos="8306"/>
          <w:tab w:val="clear" w:pos="8296"/>
        </w:tabs>
      </w:pPr>
      <w:r>
        <w:rPr>
          <w:rFonts w:hint="default" w:ascii="黑体" w:hAnsi="黑体" w:eastAsia="黑体"/>
          <w:color w:val="auto"/>
        </w:rPr>
        <w:t xml:space="preserve">二、 </w:t>
      </w:r>
      <w:r>
        <w:rPr>
          <w:rFonts w:hint="eastAsia" w:ascii="黑体" w:hAnsi="黑体" w:eastAsia="黑体"/>
          <w:color w:val="auto"/>
          <w:szCs w:val="32"/>
          <w:highlight w:val="none"/>
        </w:rPr>
        <w:t>收</w:t>
      </w:r>
      <w:r>
        <w:rPr>
          <w:rFonts w:hint="eastAsia" w:ascii="黑体" w:hAnsi="黑体" w:eastAsia="黑体"/>
          <w:color w:val="auto"/>
          <w:highlight w:val="none"/>
        </w:rPr>
        <w:t>入决算情况说明</w:t>
      </w:r>
      <w:r>
        <w:tab/>
      </w:r>
      <w:r>
        <w:fldChar w:fldCharType="begin"/>
      </w:r>
      <w:r>
        <w:instrText xml:space="preserve"> PAGEREF _Toc31046 </w:instrText>
      </w:r>
      <w:r>
        <w:fldChar w:fldCharType="separate"/>
      </w:r>
      <w:r>
        <w:t>5</w:t>
      </w:r>
      <w:r>
        <w:fldChar w:fldCharType="end"/>
      </w:r>
    </w:p>
    <w:p>
      <w:pPr>
        <w:pStyle w:val="16"/>
        <w:tabs>
          <w:tab w:val="right" w:leader="dot" w:pos="8306"/>
          <w:tab w:val="clear" w:pos="8296"/>
        </w:tabs>
      </w:pPr>
      <w:r>
        <w:rPr>
          <w:rFonts w:hint="default" w:ascii="黑体" w:hAnsi="黑体" w:eastAsia="黑体"/>
          <w:color w:val="auto"/>
        </w:rPr>
        <w:t xml:space="preserve">三、 </w:t>
      </w:r>
      <w:r>
        <w:rPr>
          <w:rFonts w:hint="eastAsia" w:ascii="黑体" w:hAnsi="黑体" w:eastAsia="黑体"/>
          <w:color w:val="auto"/>
          <w:szCs w:val="32"/>
          <w:highlight w:val="none"/>
        </w:rPr>
        <w:t>支</w:t>
      </w:r>
      <w:r>
        <w:rPr>
          <w:rFonts w:hint="eastAsia" w:ascii="黑体" w:hAnsi="黑体" w:eastAsia="黑体"/>
          <w:color w:val="auto"/>
          <w:highlight w:val="none"/>
        </w:rPr>
        <w:t>出决算情况说明</w:t>
      </w:r>
      <w:r>
        <w:tab/>
      </w:r>
      <w:r>
        <w:fldChar w:fldCharType="begin"/>
      </w:r>
      <w:r>
        <w:instrText xml:space="preserve"> PAGEREF _Toc5721 </w:instrText>
      </w:r>
      <w:r>
        <w:fldChar w:fldCharType="separate"/>
      </w:r>
      <w:r>
        <w:t>6</w:t>
      </w:r>
      <w:r>
        <w:fldChar w:fldCharType="end"/>
      </w:r>
    </w:p>
    <w:p>
      <w:pPr>
        <w:pStyle w:val="16"/>
        <w:tabs>
          <w:tab w:val="right" w:leader="dot" w:pos="8306"/>
          <w:tab w:val="clear" w:pos="8296"/>
        </w:tabs>
      </w:pPr>
      <w:r>
        <w:rPr>
          <w:rFonts w:hint="eastAsia" w:ascii="黑体" w:hAnsi="黑体" w:eastAsia="黑体"/>
          <w:color w:val="auto"/>
          <w:szCs w:val="32"/>
          <w:highlight w:val="none"/>
        </w:rPr>
        <w:t>四、财</w:t>
      </w:r>
      <w:r>
        <w:rPr>
          <w:rFonts w:hint="eastAsia" w:ascii="黑体" w:hAnsi="黑体" w:eastAsia="黑体"/>
          <w:color w:val="auto"/>
          <w:highlight w:val="none"/>
        </w:rPr>
        <w:t>政拨款收入支出决算总体情况说明</w:t>
      </w:r>
      <w:r>
        <w:tab/>
      </w:r>
      <w:r>
        <w:fldChar w:fldCharType="begin"/>
      </w:r>
      <w:r>
        <w:instrText xml:space="preserve"> PAGEREF _Toc16725 </w:instrText>
      </w:r>
      <w:r>
        <w:fldChar w:fldCharType="separate"/>
      </w:r>
      <w:r>
        <w:t>7</w:t>
      </w:r>
      <w:r>
        <w:fldChar w:fldCharType="end"/>
      </w:r>
    </w:p>
    <w:p>
      <w:pPr>
        <w:pStyle w:val="16"/>
        <w:tabs>
          <w:tab w:val="right" w:leader="dot" w:pos="8306"/>
          <w:tab w:val="clear" w:pos="8296"/>
        </w:tabs>
      </w:pPr>
      <w:r>
        <w:rPr>
          <w:rFonts w:hint="eastAsia" w:ascii="黑体" w:hAnsi="黑体" w:eastAsia="黑体"/>
          <w:color w:val="auto"/>
          <w:szCs w:val="32"/>
          <w:highlight w:val="none"/>
        </w:rPr>
        <w:t>五、一</w:t>
      </w:r>
      <w:r>
        <w:rPr>
          <w:rFonts w:hint="eastAsia" w:ascii="黑体" w:hAnsi="黑体" w:eastAsia="黑体"/>
          <w:color w:val="auto"/>
          <w:highlight w:val="none"/>
        </w:rPr>
        <w:t>般公共预算财政拨款支出决算情况说明</w:t>
      </w:r>
      <w:r>
        <w:tab/>
      </w:r>
      <w:r>
        <w:fldChar w:fldCharType="begin"/>
      </w:r>
      <w:r>
        <w:instrText xml:space="preserve"> PAGEREF _Toc8381 </w:instrText>
      </w:r>
      <w:r>
        <w:fldChar w:fldCharType="separate"/>
      </w:r>
      <w:r>
        <w:t>7</w:t>
      </w:r>
      <w:r>
        <w:fldChar w:fldCharType="end"/>
      </w:r>
    </w:p>
    <w:p>
      <w:pPr>
        <w:pStyle w:val="16"/>
        <w:tabs>
          <w:tab w:val="right" w:leader="dot" w:pos="8306"/>
          <w:tab w:val="clear" w:pos="8296"/>
        </w:tabs>
      </w:pPr>
      <w:r>
        <w:rPr>
          <w:rFonts w:hint="eastAsia" w:ascii="黑体" w:eastAsia="黑体"/>
          <w:color w:val="auto"/>
          <w:szCs w:val="32"/>
          <w:highlight w:val="none"/>
        </w:rPr>
        <w:t>六、</w:t>
      </w:r>
      <w:r>
        <w:rPr>
          <w:rFonts w:hint="eastAsia" w:ascii="黑体" w:hAnsi="黑体" w:eastAsia="黑体"/>
          <w:color w:val="auto"/>
          <w:szCs w:val="32"/>
          <w:highlight w:val="none"/>
        </w:rPr>
        <w:t>一</w:t>
      </w:r>
      <w:r>
        <w:rPr>
          <w:rFonts w:hint="eastAsia" w:ascii="黑体" w:hAnsi="黑体" w:eastAsia="黑体"/>
          <w:color w:val="auto"/>
          <w:highlight w:val="none"/>
        </w:rPr>
        <w:t>般公共预算财政拨款基本支出决算情况说明</w:t>
      </w:r>
      <w:r>
        <w:tab/>
      </w:r>
      <w:r>
        <w:fldChar w:fldCharType="begin"/>
      </w:r>
      <w:r>
        <w:instrText xml:space="preserve"> PAGEREF _Toc6480 </w:instrText>
      </w:r>
      <w:r>
        <w:fldChar w:fldCharType="separate"/>
      </w:r>
      <w:r>
        <w:t>11</w:t>
      </w:r>
      <w:r>
        <w:fldChar w:fldCharType="end"/>
      </w:r>
    </w:p>
    <w:p>
      <w:pPr>
        <w:pStyle w:val="16"/>
        <w:tabs>
          <w:tab w:val="right" w:leader="dot" w:pos="8306"/>
          <w:tab w:val="clear" w:pos="8296"/>
        </w:tabs>
      </w:pPr>
      <w:r>
        <w:rPr>
          <w:rFonts w:hint="eastAsia" w:ascii="黑体" w:eastAsia="黑体"/>
          <w:color w:val="auto"/>
          <w:szCs w:val="32"/>
          <w:highlight w:val="none"/>
        </w:rPr>
        <w:t>七、</w:t>
      </w:r>
      <w:r>
        <w:rPr>
          <w:rFonts w:hint="eastAsia" w:ascii="黑体" w:hAnsi="黑体" w:eastAsia="黑体"/>
          <w:color w:val="auto"/>
          <w:highlight w:val="none"/>
        </w:rPr>
        <w:t>财政拨款“三公”经费支出决算情况说明</w:t>
      </w:r>
      <w:r>
        <w:tab/>
      </w:r>
      <w:r>
        <w:fldChar w:fldCharType="begin"/>
      </w:r>
      <w:r>
        <w:instrText xml:space="preserve"> PAGEREF _Toc19048 </w:instrText>
      </w:r>
      <w:r>
        <w:fldChar w:fldCharType="separate"/>
      </w:r>
      <w:r>
        <w:t>11</w:t>
      </w:r>
      <w:r>
        <w:fldChar w:fldCharType="end"/>
      </w:r>
    </w:p>
    <w:p>
      <w:pPr>
        <w:pStyle w:val="16"/>
        <w:tabs>
          <w:tab w:val="right" w:leader="dot" w:pos="8306"/>
          <w:tab w:val="clear" w:pos="8296"/>
        </w:tabs>
        <w:rPr>
          <w:rFonts w:hint="eastAsia" w:ascii="黑体" w:hAnsi="Times New Roman" w:eastAsia="黑体" w:cs="Times New Roman"/>
          <w:color w:val="auto"/>
          <w:szCs w:val="32"/>
          <w:highlight w:val="none"/>
        </w:rPr>
      </w:pPr>
      <w:r>
        <w:rPr>
          <w:rFonts w:hint="default" w:ascii="黑体" w:hAnsi="Times New Roman" w:eastAsia="黑体" w:cs="Times New Roman"/>
          <w:color w:val="auto"/>
          <w:szCs w:val="32"/>
          <w:highlight w:val="none"/>
        </w:rPr>
        <w:t>八、政府性基金预算支出决算情况说明</w:t>
      </w:r>
      <w:r>
        <w:rPr>
          <w:rFonts w:hint="eastAsia" w:ascii="黑体" w:hAnsi="Times New Roman" w:eastAsia="黑体" w:cs="Times New Roman"/>
          <w:color w:val="auto"/>
          <w:szCs w:val="32"/>
          <w:highlight w:val="none"/>
        </w:rPr>
        <w:tab/>
      </w:r>
      <w:r>
        <w:rPr>
          <w:rFonts w:hint="eastAsia" w:ascii="黑体" w:hAnsi="Times New Roman" w:eastAsia="黑体" w:cs="Times New Roman"/>
          <w:color w:val="auto"/>
          <w:szCs w:val="32"/>
          <w:highlight w:val="none"/>
        </w:rPr>
        <w:fldChar w:fldCharType="begin"/>
      </w:r>
      <w:r>
        <w:rPr>
          <w:rFonts w:hint="eastAsia" w:ascii="黑体" w:hAnsi="Times New Roman" w:eastAsia="黑体" w:cs="Times New Roman"/>
          <w:color w:val="auto"/>
          <w:szCs w:val="32"/>
          <w:highlight w:val="none"/>
        </w:rPr>
        <w:instrText xml:space="preserve"> PAGEREF _Toc4408 </w:instrText>
      </w:r>
      <w:r>
        <w:rPr>
          <w:rFonts w:hint="eastAsia" w:ascii="黑体" w:hAnsi="Times New Roman" w:eastAsia="黑体" w:cs="Times New Roman"/>
          <w:color w:val="auto"/>
          <w:szCs w:val="32"/>
          <w:highlight w:val="none"/>
        </w:rPr>
        <w:fldChar w:fldCharType="separate"/>
      </w:r>
      <w:r>
        <w:rPr>
          <w:rFonts w:hint="eastAsia" w:ascii="黑体" w:hAnsi="Times New Roman" w:eastAsia="黑体" w:cs="Times New Roman"/>
          <w:color w:val="auto"/>
          <w:szCs w:val="32"/>
          <w:highlight w:val="none"/>
        </w:rPr>
        <w:t>13</w:t>
      </w:r>
      <w:r>
        <w:rPr>
          <w:rFonts w:hint="eastAsia" w:ascii="黑体" w:hAnsi="Times New Roman" w:eastAsia="黑体" w:cs="Times New Roman"/>
          <w:color w:val="auto"/>
          <w:szCs w:val="32"/>
          <w:highlight w:val="none"/>
        </w:rPr>
        <w:fldChar w:fldCharType="end"/>
      </w:r>
    </w:p>
    <w:p>
      <w:pPr>
        <w:pStyle w:val="16"/>
        <w:tabs>
          <w:tab w:val="right" w:leader="dot" w:pos="8306"/>
          <w:tab w:val="clear" w:pos="8296"/>
        </w:tabs>
        <w:rPr>
          <w:rFonts w:hint="eastAsia" w:ascii="黑体" w:hAnsi="Times New Roman" w:eastAsia="黑体" w:cs="Times New Roman"/>
          <w:color w:val="auto"/>
          <w:szCs w:val="32"/>
          <w:highlight w:val="none"/>
        </w:rPr>
      </w:pPr>
      <w:r>
        <w:rPr>
          <w:rFonts w:hint="eastAsia" w:ascii="黑体" w:hAnsi="Times New Roman" w:eastAsia="黑体" w:cs="Times New Roman"/>
          <w:color w:val="auto"/>
          <w:szCs w:val="32"/>
          <w:highlight w:val="none"/>
        </w:rPr>
        <w:t xml:space="preserve">九、 </w:t>
      </w:r>
      <w:r>
        <w:rPr>
          <w:rFonts w:hint="default" w:ascii="黑体" w:hAnsi="Times New Roman" w:eastAsia="黑体" w:cs="Times New Roman"/>
          <w:color w:val="auto"/>
          <w:szCs w:val="32"/>
          <w:highlight w:val="none"/>
        </w:rPr>
        <w:t>国有资本经营预算支出决算情况说明</w:t>
      </w:r>
      <w:r>
        <w:rPr>
          <w:rFonts w:hint="eastAsia" w:ascii="黑体" w:hAnsi="Times New Roman" w:eastAsia="黑体" w:cs="Times New Roman"/>
          <w:color w:val="auto"/>
          <w:szCs w:val="32"/>
          <w:highlight w:val="none"/>
        </w:rPr>
        <w:tab/>
      </w:r>
      <w:r>
        <w:rPr>
          <w:rFonts w:hint="eastAsia" w:ascii="黑体" w:hAnsi="Times New Roman" w:eastAsia="黑体" w:cs="Times New Roman"/>
          <w:color w:val="auto"/>
          <w:szCs w:val="32"/>
          <w:highlight w:val="none"/>
        </w:rPr>
        <w:fldChar w:fldCharType="begin"/>
      </w:r>
      <w:r>
        <w:rPr>
          <w:rFonts w:hint="eastAsia" w:ascii="黑体" w:hAnsi="Times New Roman" w:eastAsia="黑体" w:cs="Times New Roman"/>
          <w:color w:val="auto"/>
          <w:szCs w:val="32"/>
          <w:highlight w:val="none"/>
        </w:rPr>
        <w:instrText xml:space="preserve"> PAGEREF _Toc19310 </w:instrText>
      </w:r>
      <w:r>
        <w:rPr>
          <w:rFonts w:hint="eastAsia" w:ascii="黑体" w:hAnsi="Times New Roman" w:eastAsia="黑体" w:cs="Times New Roman"/>
          <w:color w:val="auto"/>
          <w:szCs w:val="32"/>
          <w:highlight w:val="none"/>
        </w:rPr>
        <w:fldChar w:fldCharType="separate"/>
      </w:r>
      <w:r>
        <w:rPr>
          <w:rFonts w:hint="eastAsia" w:ascii="黑体" w:hAnsi="Times New Roman" w:eastAsia="黑体" w:cs="Times New Roman"/>
          <w:color w:val="auto"/>
          <w:szCs w:val="32"/>
          <w:highlight w:val="none"/>
        </w:rPr>
        <w:t>13</w:t>
      </w:r>
      <w:r>
        <w:rPr>
          <w:rFonts w:hint="eastAsia" w:ascii="黑体" w:hAnsi="Times New Roman" w:eastAsia="黑体" w:cs="Times New Roman"/>
          <w:color w:val="auto"/>
          <w:szCs w:val="32"/>
          <w:highlight w:val="none"/>
        </w:rPr>
        <w:fldChar w:fldCharType="end"/>
      </w:r>
    </w:p>
    <w:p>
      <w:pPr>
        <w:pStyle w:val="16"/>
        <w:tabs>
          <w:tab w:val="right" w:leader="dot" w:pos="8306"/>
          <w:tab w:val="clear" w:pos="8296"/>
        </w:tabs>
      </w:pPr>
      <w:r>
        <w:rPr>
          <w:rFonts w:hint="eastAsia" w:ascii="黑体" w:hAnsi="黑体" w:eastAsia="黑体"/>
          <w:color w:val="auto"/>
        </w:rPr>
        <w:t xml:space="preserve">十、 </w:t>
      </w:r>
      <w:r>
        <w:rPr>
          <w:rFonts w:hint="eastAsia" w:ascii="黑体" w:hAnsi="黑体" w:eastAsia="黑体"/>
          <w:color w:val="auto"/>
          <w:highlight w:val="none"/>
        </w:rPr>
        <w:t>国有资本经营预算支出决算情况说明</w:t>
      </w:r>
      <w:r>
        <w:tab/>
      </w:r>
      <w:r>
        <w:fldChar w:fldCharType="begin"/>
      </w:r>
      <w:r>
        <w:instrText xml:space="preserve"> PAGEREF _Toc18634 </w:instrText>
      </w:r>
      <w:r>
        <w:fldChar w:fldCharType="separate"/>
      </w:r>
      <w:r>
        <w:t>13</w:t>
      </w:r>
      <w:r>
        <w:fldChar w:fldCharType="end"/>
      </w:r>
    </w:p>
    <w:p>
      <w:pPr>
        <w:pStyle w:val="16"/>
        <w:tabs>
          <w:tab w:val="right" w:leader="dot" w:pos="8306"/>
          <w:tab w:val="clear" w:pos="8296"/>
        </w:tabs>
      </w:pPr>
      <w:r>
        <w:rPr>
          <w:rFonts w:hint="eastAsia" w:ascii="黑体" w:hAnsi="黑体" w:eastAsia="黑体"/>
          <w:color w:val="auto"/>
        </w:rPr>
        <w:t xml:space="preserve">十一、 </w:t>
      </w:r>
      <w:r>
        <w:rPr>
          <w:rFonts w:hint="eastAsia" w:ascii="黑体" w:hAnsi="黑体" w:eastAsia="黑体"/>
          <w:color w:val="auto"/>
          <w:highlight w:val="none"/>
        </w:rPr>
        <w:t>其他重要事项的情况说明</w:t>
      </w:r>
      <w:r>
        <w:tab/>
      </w:r>
      <w:r>
        <w:fldChar w:fldCharType="begin"/>
      </w:r>
      <w:r>
        <w:instrText xml:space="preserve"> PAGEREF _Toc20912 </w:instrText>
      </w:r>
      <w:r>
        <w:fldChar w:fldCharType="separate"/>
      </w:r>
      <w:r>
        <w:t>13</w:t>
      </w:r>
      <w:r>
        <w:fldChar w:fldCharType="end"/>
      </w:r>
    </w:p>
    <w:p>
      <w:pPr>
        <w:pStyle w:val="14"/>
        <w:tabs>
          <w:tab w:val="right" w:leader="dot" w:pos="8306"/>
          <w:tab w:val="clear" w:pos="8296"/>
        </w:tabs>
      </w:pPr>
      <w:r>
        <w:rPr>
          <w:rFonts w:hint="eastAsia" w:ascii="黑体" w:hAnsi="黑体" w:eastAsia="黑体"/>
          <w:color w:val="auto"/>
        </w:rPr>
        <w:t xml:space="preserve">第三部分 </w:t>
      </w:r>
      <w:r>
        <w:rPr>
          <w:rFonts w:hint="eastAsia" w:ascii="黑体" w:hAnsi="黑体" w:eastAsia="黑体"/>
          <w:color w:val="auto"/>
          <w:szCs w:val="44"/>
          <w:highlight w:val="none"/>
        </w:rPr>
        <w:t>名</w:t>
      </w:r>
      <w:r>
        <w:rPr>
          <w:rFonts w:hint="eastAsia" w:ascii="黑体" w:hAnsi="黑体" w:eastAsia="黑体"/>
          <w:color w:val="auto"/>
          <w:highlight w:val="none"/>
        </w:rPr>
        <w:t>词解释</w:t>
      </w:r>
      <w:r>
        <w:tab/>
      </w:r>
      <w:r>
        <w:fldChar w:fldCharType="begin"/>
      </w:r>
      <w:r>
        <w:instrText xml:space="preserve"> PAGEREF _Toc29984 </w:instrText>
      </w:r>
      <w:r>
        <w:fldChar w:fldCharType="separate"/>
      </w:r>
      <w:r>
        <w:t>15</w:t>
      </w:r>
      <w:r>
        <w:fldChar w:fldCharType="end"/>
      </w:r>
    </w:p>
    <w:p>
      <w:pPr>
        <w:pStyle w:val="14"/>
        <w:tabs>
          <w:tab w:val="right" w:leader="dot" w:pos="8306"/>
          <w:tab w:val="clear" w:pos="8296"/>
        </w:tabs>
      </w:pPr>
      <w:r>
        <w:rPr>
          <w:rFonts w:hint="eastAsia" w:ascii="黑体" w:hAnsi="黑体" w:eastAsia="黑体"/>
          <w:color w:val="auto"/>
          <w:szCs w:val="44"/>
          <w:highlight w:val="none"/>
        </w:rPr>
        <w:t>第</w:t>
      </w:r>
      <w:r>
        <w:rPr>
          <w:rFonts w:hint="eastAsia" w:ascii="黑体" w:hAnsi="黑体" w:eastAsia="黑体"/>
          <w:color w:val="auto"/>
          <w:highlight w:val="none"/>
        </w:rPr>
        <w:t>四部分 附件</w:t>
      </w:r>
      <w:r>
        <w:tab/>
      </w:r>
      <w:r>
        <w:fldChar w:fldCharType="begin"/>
      </w:r>
      <w:r>
        <w:instrText xml:space="preserve"> PAGEREF _Toc19068 </w:instrText>
      </w:r>
      <w:r>
        <w:fldChar w:fldCharType="separate"/>
      </w:r>
      <w:r>
        <w:t>18</w:t>
      </w:r>
      <w:r>
        <w:fldChar w:fldCharType="end"/>
      </w:r>
    </w:p>
    <w:p>
      <w:pPr>
        <w:pStyle w:val="14"/>
        <w:tabs>
          <w:tab w:val="right" w:leader="dot" w:pos="8306"/>
          <w:tab w:val="clear" w:pos="8296"/>
        </w:tabs>
      </w:pPr>
      <w:r>
        <w:rPr>
          <w:rFonts w:hint="eastAsia" w:ascii="黑体" w:hAnsi="黑体" w:eastAsia="黑体" w:cs="黑体"/>
          <w:color w:val="auto"/>
          <w:szCs w:val="32"/>
          <w:highlight w:val="none"/>
        </w:rPr>
        <w:t>附件</w:t>
      </w:r>
      <w:r>
        <w:tab/>
      </w:r>
      <w:r>
        <w:fldChar w:fldCharType="begin"/>
      </w:r>
      <w:r>
        <w:instrText xml:space="preserve"> PAGEREF _Toc10701 </w:instrText>
      </w:r>
      <w:r>
        <w:fldChar w:fldCharType="separate"/>
      </w:r>
      <w:r>
        <w:t>18</w:t>
      </w:r>
      <w:r>
        <w:fldChar w:fldCharType="end"/>
      </w:r>
    </w:p>
    <w:p>
      <w:pPr>
        <w:pStyle w:val="14"/>
        <w:tabs>
          <w:tab w:val="right" w:leader="dot" w:pos="8306"/>
          <w:tab w:val="clear" w:pos="8296"/>
        </w:tabs>
      </w:pPr>
      <w:r>
        <w:rPr>
          <w:rFonts w:hint="eastAsia" w:ascii="黑体" w:hAnsi="黑体" w:eastAsia="黑体"/>
          <w:color w:val="auto"/>
          <w:szCs w:val="44"/>
          <w:highlight w:val="none"/>
        </w:rPr>
        <w:t>第</w:t>
      </w:r>
      <w:r>
        <w:rPr>
          <w:rFonts w:hint="eastAsia" w:ascii="黑体" w:hAnsi="黑体" w:eastAsia="黑体"/>
          <w:color w:val="auto"/>
          <w:highlight w:val="none"/>
        </w:rPr>
        <w:t>五部分 附表</w:t>
      </w:r>
      <w:r>
        <w:tab/>
      </w:r>
      <w:r>
        <w:fldChar w:fldCharType="begin"/>
      </w:r>
      <w:r>
        <w:instrText xml:space="preserve"> PAGEREF _Toc7700 </w:instrText>
      </w:r>
      <w:r>
        <w:fldChar w:fldCharType="separate"/>
      </w:r>
      <w:r>
        <w:t>26</w:t>
      </w:r>
      <w:r>
        <w:fldChar w:fldCharType="end"/>
      </w:r>
    </w:p>
    <w:p>
      <w:pPr>
        <w:pStyle w:val="16"/>
        <w:tabs>
          <w:tab w:val="right" w:leader="dot" w:pos="8306"/>
          <w:tab w:val="clear" w:pos="8296"/>
        </w:tabs>
      </w:pPr>
      <w:r>
        <w:rPr>
          <w:rFonts w:hint="eastAsia" w:ascii="仿宋" w:hAnsi="仿宋" w:eastAsia="仿宋"/>
          <w:color w:val="auto"/>
          <w:highlight w:val="none"/>
        </w:rPr>
        <w:t>一、收</w:t>
      </w:r>
      <w:r>
        <w:rPr>
          <w:rFonts w:hint="eastAsia" w:ascii="仿宋" w:hAnsi="仿宋" w:eastAsia="仿宋"/>
          <w:bCs w:val="0"/>
          <w:color w:val="auto"/>
          <w:highlight w:val="none"/>
        </w:rPr>
        <w:t>入支出决算总表</w:t>
      </w:r>
      <w:r>
        <w:tab/>
      </w:r>
      <w:r>
        <w:fldChar w:fldCharType="begin"/>
      </w:r>
      <w:r>
        <w:instrText xml:space="preserve"> PAGEREF _Toc1673 </w:instrText>
      </w:r>
      <w:r>
        <w:fldChar w:fldCharType="separate"/>
      </w:r>
      <w:r>
        <w:t>26</w:t>
      </w:r>
      <w:r>
        <w:fldChar w:fldCharType="end"/>
      </w:r>
    </w:p>
    <w:p>
      <w:pPr>
        <w:pStyle w:val="16"/>
        <w:tabs>
          <w:tab w:val="right" w:leader="dot" w:pos="8306"/>
          <w:tab w:val="clear" w:pos="8296"/>
        </w:tabs>
      </w:pPr>
      <w:r>
        <w:rPr>
          <w:rFonts w:hint="eastAsia" w:ascii="仿宋" w:hAnsi="仿宋" w:eastAsia="仿宋"/>
          <w:color w:val="auto"/>
          <w:highlight w:val="none"/>
        </w:rPr>
        <w:t>二、收</w:t>
      </w:r>
      <w:r>
        <w:rPr>
          <w:rFonts w:hint="eastAsia" w:ascii="仿宋" w:hAnsi="仿宋" w:eastAsia="仿宋"/>
          <w:bCs w:val="0"/>
          <w:color w:val="auto"/>
          <w:highlight w:val="none"/>
        </w:rPr>
        <w:t>入决算表</w:t>
      </w:r>
      <w:r>
        <w:tab/>
      </w:r>
      <w:r>
        <w:fldChar w:fldCharType="begin"/>
      </w:r>
      <w:r>
        <w:instrText xml:space="preserve"> PAGEREF _Toc16236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三、</w:t>
      </w:r>
      <w:r>
        <w:rPr>
          <w:rFonts w:hint="eastAsia" w:ascii="仿宋" w:hAnsi="仿宋" w:eastAsia="仿宋"/>
          <w:color w:val="auto"/>
          <w:highlight w:val="none"/>
        </w:rPr>
        <w:t>支</w:t>
      </w:r>
      <w:r>
        <w:rPr>
          <w:rFonts w:hint="eastAsia" w:ascii="仿宋" w:hAnsi="仿宋" w:eastAsia="仿宋"/>
          <w:bCs w:val="0"/>
          <w:color w:val="auto"/>
          <w:highlight w:val="none"/>
        </w:rPr>
        <w:t>出决算表</w:t>
      </w:r>
      <w:r>
        <w:tab/>
      </w:r>
      <w:r>
        <w:fldChar w:fldCharType="begin"/>
      </w:r>
      <w:r>
        <w:instrText xml:space="preserve"> PAGEREF _Toc3828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四、</w:t>
      </w:r>
      <w:r>
        <w:rPr>
          <w:rFonts w:hint="eastAsia" w:ascii="仿宋" w:hAnsi="仿宋" w:eastAsia="仿宋"/>
          <w:color w:val="auto"/>
          <w:highlight w:val="none"/>
        </w:rPr>
        <w:t>财</w:t>
      </w:r>
      <w:r>
        <w:rPr>
          <w:rFonts w:hint="eastAsia" w:ascii="仿宋" w:hAnsi="仿宋" w:eastAsia="仿宋"/>
          <w:bCs w:val="0"/>
          <w:color w:val="auto"/>
          <w:highlight w:val="none"/>
        </w:rPr>
        <w:t>政拨款收入支出决算总表</w:t>
      </w:r>
      <w:r>
        <w:tab/>
      </w:r>
      <w:r>
        <w:fldChar w:fldCharType="begin"/>
      </w:r>
      <w:r>
        <w:instrText xml:space="preserve"> PAGEREF _Toc32501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五、</w:t>
      </w:r>
      <w:r>
        <w:rPr>
          <w:rFonts w:hint="eastAsia" w:ascii="仿宋" w:hAnsi="仿宋" w:eastAsia="仿宋"/>
          <w:color w:val="auto"/>
          <w:highlight w:val="none"/>
        </w:rPr>
        <w:t>财</w:t>
      </w:r>
      <w:r>
        <w:rPr>
          <w:rFonts w:hint="eastAsia" w:ascii="仿宋" w:hAnsi="仿宋" w:eastAsia="仿宋"/>
          <w:bCs w:val="0"/>
          <w:color w:val="auto"/>
          <w:highlight w:val="none"/>
        </w:rPr>
        <w:t>政拨款支出决算明细表</w:t>
      </w:r>
      <w:r>
        <w:tab/>
      </w:r>
      <w:r>
        <w:fldChar w:fldCharType="begin"/>
      </w:r>
      <w:r>
        <w:instrText xml:space="preserve"> PAGEREF _Toc27537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六、</w:t>
      </w:r>
      <w:r>
        <w:rPr>
          <w:rFonts w:hint="eastAsia" w:ascii="仿宋" w:hAnsi="仿宋" w:eastAsia="仿宋"/>
          <w:color w:val="auto"/>
          <w:highlight w:val="none"/>
        </w:rPr>
        <w:t>一</w:t>
      </w:r>
      <w:r>
        <w:rPr>
          <w:rFonts w:hint="eastAsia" w:ascii="仿宋" w:hAnsi="仿宋" w:eastAsia="仿宋"/>
          <w:bCs w:val="0"/>
          <w:color w:val="auto"/>
          <w:highlight w:val="none"/>
        </w:rPr>
        <w:t>般公共预算财政拨款支出决算表</w:t>
      </w:r>
      <w:r>
        <w:tab/>
      </w:r>
      <w:r>
        <w:fldChar w:fldCharType="begin"/>
      </w:r>
      <w:r>
        <w:instrText xml:space="preserve"> PAGEREF _Toc9877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七、</w:t>
      </w:r>
      <w:r>
        <w:rPr>
          <w:rFonts w:hint="eastAsia" w:ascii="仿宋" w:hAnsi="仿宋" w:eastAsia="仿宋"/>
          <w:color w:val="auto"/>
          <w:highlight w:val="none"/>
        </w:rPr>
        <w:t>一</w:t>
      </w:r>
      <w:r>
        <w:rPr>
          <w:rFonts w:hint="eastAsia" w:ascii="仿宋" w:hAnsi="仿宋" w:eastAsia="仿宋"/>
          <w:bCs w:val="0"/>
          <w:color w:val="auto"/>
          <w:highlight w:val="none"/>
        </w:rPr>
        <w:t>般公共预算财政拨款支出决算明细表</w:t>
      </w:r>
      <w:r>
        <w:tab/>
      </w:r>
      <w:r>
        <w:fldChar w:fldCharType="begin"/>
      </w:r>
      <w:r>
        <w:instrText xml:space="preserve"> PAGEREF _Toc3830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八、</w:t>
      </w:r>
      <w:r>
        <w:rPr>
          <w:rFonts w:hint="eastAsia" w:ascii="仿宋" w:hAnsi="仿宋" w:eastAsia="仿宋"/>
          <w:color w:val="auto"/>
          <w:highlight w:val="none"/>
        </w:rPr>
        <w:t>一</w:t>
      </w:r>
      <w:r>
        <w:rPr>
          <w:rFonts w:hint="eastAsia" w:ascii="仿宋" w:hAnsi="仿宋" w:eastAsia="仿宋"/>
          <w:bCs w:val="0"/>
          <w:color w:val="auto"/>
          <w:highlight w:val="none"/>
        </w:rPr>
        <w:t>般公共预算财政拨款基本支出决算表</w:t>
      </w:r>
      <w:r>
        <w:tab/>
      </w:r>
      <w:r>
        <w:fldChar w:fldCharType="begin"/>
      </w:r>
      <w:r>
        <w:instrText xml:space="preserve"> PAGEREF _Toc30138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九、</w:t>
      </w:r>
      <w:r>
        <w:rPr>
          <w:rFonts w:hint="eastAsia" w:ascii="仿宋" w:hAnsi="仿宋" w:eastAsia="仿宋"/>
          <w:color w:val="auto"/>
          <w:highlight w:val="none"/>
        </w:rPr>
        <w:t>一</w:t>
      </w:r>
      <w:r>
        <w:rPr>
          <w:rFonts w:hint="eastAsia" w:ascii="仿宋" w:hAnsi="仿宋" w:eastAsia="仿宋"/>
          <w:bCs w:val="0"/>
          <w:color w:val="auto"/>
          <w:highlight w:val="none"/>
        </w:rPr>
        <w:t>般公共预算财政拨款项目支出决算表</w:t>
      </w:r>
      <w:r>
        <w:tab/>
      </w:r>
      <w:r>
        <w:fldChar w:fldCharType="begin"/>
      </w:r>
      <w:r>
        <w:instrText xml:space="preserve"> PAGEREF _Toc23845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十、</w:t>
      </w:r>
      <w:r>
        <w:rPr>
          <w:rFonts w:hint="eastAsia" w:ascii="仿宋" w:hAnsi="仿宋" w:eastAsia="仿宋"/>
          <w:color w:val="auto"/>
          <w:highlight w:val="none"/>
        </w:rPr>
        <w:t>政</w:t>
      </w:r>
      <w:r>
        <w:rPr>
          <w:rFonts w:hint="eastAsia" w:ascii="仿宋" w:hAnsi="仿宋" w:eastAsia="仿宋"/>
          <w:bCs w:val="0"/>
          <w:color w:val="auto"/>
          <w:highlight w:val="none"/>
        </w:rPr>
        <w:t>府性基金预算财政拨款收入支出决算表</w:t>
      </w:r>
      <w:r>
        <w:tab/>
      </w:r>
      <w:r>
        <w:fldChar w:fldCharType="begin"/>
      </w:r>
      <w:r>
        <w:instrText xml:space="preserve"> PAGEREF _Toc8558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十一、</w:t>
      </w:r>
      <w:r>
        <w:rPr>
          <w:rFonts w:hint="eastAsia" w:ascii="仿宋" w:hAnsi="仿宋" w:eastAsia="仿宋"/>
          <w:color w:val="auto"/>
          <w:highlight w:val="none"/>
        </w:rPr>
        <w:t>国</w:t>
      </w:r>
      <w:r>
        <w:rPr>
          <w:rFonts w:hint="eastAsia" w:ascii="仿宋" w:hAnsi="仿宋" w:eastAsia="仿宋"/>
          <w:bCs w:val="0"/>
          <w:color w:val="auto"/>
          <w:highlight w:val="none"/>
        </w:rPr>
        <w:t>有资本经营预算</w:t>
      </w:r>
      <w:r>
        <w:rPr>
          <w:rFonts w:hint="eastAsia" w:ascii="仿宋" w:hAnsi="仿宋" w:eastAsia="仿宋"/>
          <w:bCs w:val="0"/>
          <w:color w:val="auto"/>
          <w:highlight w:val="none"/>
          <w:lang w:eastAsia="zh-CN"/>
        </w:rPr>
        <w:t>财政拨款收入</w:t>
      </w:r>
      <w:r>
        <w:rPr>
          <w:rFonts w:hint="eastAsia" w:ascii="仿宋" w:hAnsi="仿宋" w:eastAsia="仿宋"/>
          <w:bCs w:val="0"/>
          <w:color w:val="auto"/>
          <w:highlight w:val="none"/>
        </w:rPr>
        <w:t>支出决算表</w:t>
      </w:r>
      <w:r>
        <w:tab/>
      </w:r>
      <w:r>
        <w:fldChar w:fldCharType="begin"/>
      </w:r>
      <w:r>
        <w:instrText xml:space="preserve"> PAGEREF _Toc15336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十二、</w:t>
      </w:r>
      <w:r>
        <w:rPr>
          <w:rFonts w:hint="eastAsia" w:ascii="仿宋" w:hAnsi="仿宋" w:eastAsia="仿宋"/>
          <w:bCs w:val="0"/>
          <w:color w:val="auto"/>
          <w:highlight w:val="none"/>
          <w:lang w:eastAsia="zh-CN"/>
        </w:rPr>
        <w:t>国有资本经营预算财政拨款支出决算表</w:t>
      </w:r>
      <w:r>
        <w:tab/>
      </w:r>
      <w:r>
        <w:fldChar w:fldCharType="begin"/>
      </w:r>
      <w:r>
        <w:instrText xml:space="preserve"> PAGEREF _Toc29098 </w:instrText>
      </w:r>
      <w:r>
        <w:fldChar w:fldCharType="separate"/>
      </w:r>
      <w:r>
        <w:t>26</w:t>
      </w:r>
      <w:r>
        <w:fldChar w:fldCharType="end"/>
      </w:r>
    </w:p>
    <w:p>
      <w:pPr>
        <w:pStyle w:val="16"/>
        <w:tabs>
          <w:tab w:val="right" w:leader="dot" w:pos="8306"/>
          <w:tab w:val="clear" w:pos="8296"/>
        </w:tabs>
      </w:pPr>
      <w:r>
        <w:rPr>
          <w:rFonts w:hint="eastAsia" w:ascii="仿宋" w:hAnsi="仿宋" w:eastAsia="仿宋"/>
          <w:bCs w:val="0"/>
          <w:color w:val="auto"/>
          <w:highlight w:val="none"/>
        </w:rPr>
        <w:t>十三、</w:t>
      </w:r>
      <w:r>
        <w:rPr>
          <w:rFonts w:hint="eastAsia" w:ascii="仿宋" w:hAnsi="仿宋" w:eastAsia="仿宋"/>
          <w:bCs w:val="0"/>
          <w:color w:val="auto"/>
          <w:highlight w:val="none"/>
          <w:lang w:eastAsia="zh-CN"/>
        </w:rPr>
        <w:t>财政拨款“三公”经费支出决算表</w:t>
      </w:r>
      <w:r>
        <w:tab/>
      </w:r>
      <w:r>
        <w:fldChar w:fldCharType="begin"/>
      </w:r>
      <w:r>
        <w:instrText xml:space="preserve"> PAGEREF _Toc20291 </w:instrText>
      </w:r>
      <w:r>
        <w:fldChar w:fldCharType="separate"/>
      </w:r>
      <w:r>
        <w:t>26</w:t>
      </w:r>
      <w:r>
        <w:fldChar w:fldCharType="end"/>
      </w:r>
    </w:p>
    <w:p>
      <w:pPr>
        <w:widowControl/>
        <w:spacing w:line="440" w:lineRule="exact"/>
        <w:jc w:val="left"/>
        <w:rPr>
          <w:rFonts w:ascii="仿宋" w:hAnsi="仿宋" w:eastAsia="仿宋"/>
          <w:bCs/>
          <w:color w:val="auto"/>
          <w:kern w:val="44"/>
          <w:sz w:val="24"/>
          <w:highlight w:val="none"/>
        </w:rPr>
      </w:pPr>
      <w:r>
        <w:rPr>
          <w:rFonts w:hint="eastAsia" w:ascii="Calibri" w:hAnsi="Calibri" w:eastAsia="宋体" w:cs="Times New Roman"/>
          <w:bCs w:val="0"/>
          <w:caps w:val="0"/>
          <w:smallCaps w:val="0"/>
          <w:color w:val="auto"/>
          <w:kern w:val="2"/>
          <w:szCs w:val="24"/>
          <w:highlight w:val="none"/>
          <w:lang w:val="en-US" w:eastAsia="zh-CN" w:bidi="ar-SA"/>
        </w:rPr>
        <w:fldChar w:fldCharType="end"/>
      </w:r>
      <w:r>
        <w:rPr>
          <w:rFonts w:ascii="仿宋" w:hAnsi="仿宋" w:eastAsia="仿宋"/>
          <w:b/>
          <w:color w:val="auto"/>
          <w:sz w:val="24"/>
          <w:highlight w:val="none"/>
        </w:rPr>
        <w:br w:type="page"/>
      </w:r>
    </w:p>
    <w:p>
      <w:pPr>
        <w:pStyle w:val="3"/>
        <w:jc w:val="center"/>
        <w:rPr>
          <w:rStyle w:val="30"/>
          <w:rFonts w:ascii="黑体" w:hAnsi="黑体" w:eastAsia="黑体"/>
          <w:b/>
          <w:bCs w:val="0"/>
          <w:color w:val="auto"/>
          <w:highlight w:val="none"/>
        </w:rPr>
      </w:pPr>
      <w:bookmarkStart w:id="16" w:name="_Toc20737"/>
      <w:r>
        <w:rPr>
          <w:rFonts w:hint="eastAsia" w:ascii="黑体" w:hAnsi="黑体" w:eastAsia="黑体"/>
          <w:b w:val="0"/>
          <w:color w:val="auto"/>
          <w:highlight w:val="none"/>
        </w:rPr>
        <w:t xml:space="preserve">第一部分 </w:t>
      </w:r>
      <w:r>
        <w:rPr>
          <w:rStyle w:val="30"/>
          <w:rFonts w:hint="eastAsia" w:ascii="黑体" w:hAnsi="黑体" w:eastAsia="黑体"/>
          <w:b w:val="0"/>
          <w:bCs w:val="0"/>
          <w:color w:val="auto"/>
          <w:highlight w:val="none"/>
        </w:rPr>
        <w:t>部门概况</w:t>
      </w:r>
      <w:bookmarkEnd w:id="14"/>
      <w:bookmarkEnd w:id="15"/>
      <w:bookmarkEnd w:id="16"/>
    </w:p>
    <w:p>
      <w:pPr>
        <w:widowControl/>
        <w:jc w:val="left"/>
        <w:rPr>
          <w:rFonts w:ascii="黑体" w:eastAsia="黑体"/>
          <w:color w:val="auto"/>
          <w:sz w:val="32"/>
          <w:szCs w:val="32"/>
          <w:highlight w:val="none"/>
        </w:rPr>
      </w:pPr>
    </w:p>
    <w:p>
      <w:pPr>
        <w:pStyle w:val="4"/>
        <w:numPr>
          <w:ilvl w:val="0"/>
          <w:numId w:val="1"/>
        </w:numPr>
        <w:rPr>
          <w:rFonts w:hint="eastAsia" w:ascii="黑体" w:hAnsi="黑体" w:eastAsia="黑体"/>
          <w:b w:val="0"/>
          <w:color w:val="auto"/>
          <w:highlight w:val="none"/>
          <w:lang w:eastAsia="zh-CN"/>
        </w:rPr>
      </w:pPr>
      <w:bookmarkStart w:id="17" w:name="_Toc7564"/>
      <w:r>
        <w:rPr>
          <w:rFonts w:hint="eastAsia" w:ascii="黑体" w:hAnsi="黑体" w:eastAsia="黑体"/>
          <w:b w:val="0"/>
          <w:color w:val="auto"/>
          <w:highlight w:val="none"/>
          <w:lang w:eastAsia="zh-CN"/>
        </w:rPr>
        <w:t>部门职责</w:t>
      </w:r>
      <w:bookmarkEnd w:id="17"/>
    </w:p>
    <w:p>
      <w:pPr>
        <w:pStyle w:val="7"/>
        <w:pageBreakBefore w:val="0"/>
        <w:kinsoku/>
        <w:wordWrap/>
        <w:overflowPunct/>
        <w:topLinePunct w:val="0"/>
        <w:autoSpaceDE/>
        <w:autoSpaceDN/>
        <w:bidi w:val="0"/>
        <w:adjustRightInd w:val="0"/>
        <w:snapToGrid w:val="0"/>
        <w:spacing w:beforeLines="0" w:line="560" w:lineRule="exact"/>
        <w:textAlignment w:val="auto"/>
        <w:outlineLvl w:val="2"/>
        <w:rPr>
          <w:rFonts w:ascii="仿宋" w:hAnsi="仿宋" w:eastAsia="仿宋"/>
          <w:bCs/>
          <w:color w:val="000000"/>
          <w:sz w:val="32"/>
          <w:szCs w:val="32"/>
        </w:rPr>
      </w:pPr>
      <w:bookmarkStart w:id="18" w:name="_Toc18202"/>
      <w:r>
        <w:rPr>
          <w:rFonts w:hint="eastAsia" w:ascii="仿宋" w:hAnsi="仿宋" w:eastAsia="仿宋"/>
          <w:bCs/>
          <w:color w:val="000000"/>
          <w:sz w:val="32"/>
          <w:szCs w:val="32"/>
        </w:rPr>
        <w:t>（一）主要职能</w:t>
      </w:r>
      <w:bookmarkEnd w:id="18"/>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bookmarkStart w:id="19" w:name="_Toc79163604"/>
      <w:bookmarkStart w:id="20" w:name="_Toc15377199"/>
      <w:bookmarkStart w:id="21" w:name="_Toc15378446"/>
      <w:r>
        <w:rPr>
          <w:rFonts w:hint="eastAsia" w:ascii="仿宋_GB2312" w:hAnsi="黑体" w:eastAsia="仿宋_GB2312" w:cs="Times New Roman"/>
          <w:sz w:val="32"/>
          <w:szCs w:val="32"/>
        </w:rPr>
        <w:t>1.受理人民群众来信、负责县委、县政府上访群众的接访工作；承办县委、县政府领导及上级机关领导批示交办、转办的信访案件。</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2.根据县委、县政府领导意见，向乡（镇）及有关部门、企事业单位交办、转办有关信访案件。</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3.协调处理跨地区、跨部门的重要信访问题；直接调查处理信访老户和重要信访案件。</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4.检查、指导、督促各乡（镇）、县级机关各部门、各单位的信访工作。</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5.为来信、来电、来访人员提供有关政策咨询，做好信访人员的思想疏导、矛盾化解工作。</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rPr>
        <w:t>6.综合分析人民群众来信来访反映的问题和情况，征集、</w:t>
      </w:r>
      <w:r>
        <w:rPr>
          <w:rFonts w:hint="eastAsia" w:ascii="仿宋_GB2312" w:hAnsi="黑体" w:eastAsia="仿宋_GB2312" w:cs="Times New Roman"/>
          <w:sz w:val="32"/>
          <w:szCs w:val="32"/>
          <w:highlight w:val="none"/>
          <w:shd w:val="clear" w:color="auto" w:fill="auto"/>
        </w:rPr>
        <w:t>筛选和提供信访信息和建议；对带有全局性的重要信访问题开展调查研究，向县委、县政府提出解决问题的意见或办法。</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7.负责组织实施全县信访工作目标管理，提高信访工作质量，开展信访干部培训和信访宣传工作。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p>
    <w:bookmarkEnd w:id="19"/>
    <w:bookmarkEnd w:id="20"/>
    <w:bookmarkEnd w:id="21"/>
    <w:p>
      <w:pPr>
        <w:pStyle w:val="4"/>
        <w:rPr>
          <w:rStyle w:val="31"/>
          <w:b w:val="0"/>
          <w:bCs w:val="0"/>
          <w:color w:val="auto"/>
          <w:highlight w:val="none"/>
        </w:rPr>
      </w:pPr>
      <w:bookmarkStart w:id="22" w:name="_Toc15396601"/>
      <w:bookmarkStart w:id="23" w:name="_Toc15377200"/>
      <w:bookmarkStart w:id="24" w:name="_Toc15758"/>
      <w:r>
        <w:rPr>
          <w:rFonts w:hint="eastAsia" w:ascii="黑体" w:eastAsia="黑体"/>
          <w:b w:val="0"/>
          <w:color w:val="auto"/>
          <w:highlight w:val="none"/>
        </w:rPr>
        <w:t>二、</w:t>
      </w:r>
      <w:r>
        <w:rPr>
          <w:rFonts w:hint="eastAsia" w:ascii="黑体" w:hAnsi="黑体" w:eastAsia="黑体"/>
          <w:b w:val="0"/>
          <w:color w:val="auto"/>
          <w:highlight w:val="none"/>
        </w:rPr>
        <w:t>机</w:t>
      </w:r>
      <w:r>
        <w:rPr>
          <w:rStyle w:val="31"/>
          <w:rFonts w:hint="eastAsia" w:ascii="黑体" w:hAnsi="黑体" w:eastAsia="黑体"/>
          <w:b w:val="0"/>
          <w:bCs w:val="0"/>
          <w:color w:val="auto"/>
          <w:highlight w:val="none"/>
        </w:rPr>
        <w:t>构设置</w:t>
      </w:r>
      <w:bookmarkEnd w:id="22"/>
      <w:bookmarkEnd w:id="23"/>
      <w:bookmarkEnd w:id="24"/>
    </w:p>
    <w:p>
      <w:pPr>
        <w:numPr>
          <w:ilvl w:val="0"/>
          <w:numId w:val="0"/>
        </w:numPr>
        <w:ind w:firstLine="320" w:firstLineChars="100"/>
        <w:rPr>
          <w:rFonts w:hint="eastAsia"/>
          <w:lang w:eastAsia="zh-CN"/>
        </w:rPr>
      </w:pPr>
      <w:r>
        <w:rPr>
          <w:rFonts w:hint="eastAsia" w:ascii="仿宋" w:hAnsi="仿宋" w:eastAsia="仿宋"/>
          <w:sz w:val="32"/>
          <w:szCs w:val="32"/>
          <w:lang w:val="en-US" w:eastAsia="zh-CN"/>
        </w:rPr>
        <w:t>壤塘县信访工作局有两个下属二级单位，分别为阿坝州壤塘县信访工作局和阿坝州壤塘县信访接待中心。</w:t>
      </w:r>
    </w:p>
    <w:p>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pPr>
        <w:pStyle w:val="3"/>
        <w:ind w:right="440"/>
        <w:jc w:val="center"/>
        <w:rPr>
          <w:rStyle w:val="30"/>
          <w:rFonts w:ascii="黑体" w:hAnsi="黑体" w:eastAsia="黑体"/>
          <w:b w:val="0"/>
          <w:bCs/>
          <w:color w:val="auto"/>
          <w:highlight w:val="none"/>
        </w:rPr>
      </w:pPr>
      <w:bookmarkStart w:id="25" w:name="_Toc15377204"/>
      <w:bookmarkStart w:id="26" w:name="_Toc15396602"/>
      <w:bookmarkStart w:id="27" w:name="_Toc24263"/>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30"/>
          <w:rFonts w:hint="eastAsia" w:ascii="黑体" w:hAnsi="黑体" w:eastAsia="黑体"/>
          <w:b w:val="0"/>
          <w:bCs/>
          <w:color w:val="auto"/>
          <w:highlight w:val="none"/>
        </w:rPr>
        <w:t>部门决算情况说明</w:t>
      </w:r>
      <w:bookmarkEnd w:id="25"/>
      <w:bookmarkEnd w:id="26"/>
      <w:bookmarkEnd w:id="27"/>
    </w:p>
    <w:p>
      <w:pPr>
        <w:rPr>
          <w:color w:val="auto"/>
          <w:highlight w:val="none"/>
        </w:rPr>
      </w:pPr>
    </w:p>
    <w:p>
      <w:pPr>
        <w:pStyle w:val="29"/>
        <w:numPr>
          <w:ilvl w:val="0"/>
          <w:numId w:val="2"/>
        </w:numPr>
        <w:spacing w:line="600" w:lineRule="exact"/>
        <w:ind w:firstLineChars="0"/>
        <w:outlineLvl w:val="1"/>
        <w:rPr>
          <w:rStyle w:val="31"/>
          <w:rFonts w:ascii="黑体" w:hAnsi="黑体" w:eastAsia="黑体"/>
          <w:b w:val="0"/>
          <w:color w:val="auto"/>
          <w:highlight w:val="none"/>
        </w:rPr>
      </w:pPr>
      <w:bookmarkStart w:id="28" w:name="_Toc15377205"/>
      <w:bookmarkStart w:id="29" w:name="_Toc15396603"/>
      <w:bookmarkStart w:id="30" w:name="_Toc5009"/>
      <w:r>
        <w:rPr>
          <w:rFonts w:hint="eastAsia" w:ascii="黑体" w:hAnsi="黑体" w:eastAsia="黑体"/>
          <w:color w:val="auto"/>
          <w:sz w:val="32"/>
          <w:szCs w:val="32"/>
          <w:highlight w:val="none"/>
        </w:rPr>
        <w:t>收</w:t>
      </w:r>
      <w:r>
        <w:rPr>
          <w:rStyle w:val="31"/>
          <w:rFonts w:hint="eastAsia" w:ascii="黑体" w:hAnsi="黑体" w:eastAsia="黑体"/>
          <w:b w:val="0"/>
          <w:color w:val="auto"/>
          <w:highlight w:val="none"/>
        </w:rPr>
        <w:t>入支出决算总体情况说明</w:t>
      </w:r>
      <w:bookmarkEnd w:id="28"/>
      <w:bookmarkEnd w:id="29"/>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Times New Roman"/>
          <w:color w:val="auto"/>
          <w:sz w:val="32"/>
          <w:szCs w:val="32"/>
          <w:highlight w:val="none"/>
          <w:lang w:val="en-US" w:eastAsia="zh-CN"/>
        </w:rPr>
      </w:pPr>
      <w:r>
        <w:rPr>
          <w:rFonts w:hint="default" w:ascii="仿宋" w:hAnsi="仿宋" w:eastAsia="仿宋" w:cs="Times New Roman"/>
          <w:color w:val="auto"/>
          <w:sz w:val="32"/>
          <w:szCs w:val="32"/>
          <w:highlight w:val="none"/>
          <w:lang w:val="en-US" w:eastAsia="zh-CN"/>
        </w:rPr>
        <w:t>2022年度收入、支出各总计262.90</w:t>
      </w:r>
      <w:r>
        <w:rPr>
          <w:rFonts w:hint="eastAsia" w:ascii="仿宋" w:hAnsi="仿宋" w:eastAsia="仿宋" w:cs="Times New Roman"/>
          <w:color w:val="auto"/>
          <w:sz w:val="32"/>
          <w:szCs w:val="32"/>
          <w:highlight w:val="none"/>
          <w:lang w:val="en-US" w:eastAsia="zh-CN"/>
        </w:rPr>
        <w:t>万元、269.30万元。</w:t>
      </w:r>
      <w:r>
        <w:rPr>
          <w:rFonts w:hint="default" w:ascii="仿宋" w:hAnsi="仿宋" w:eastAsia="仿宋" w:cs="Times New Roman"/>
          <w:color w:val="auto"/>
          <w:sz w:val="32"/>
          <w:szCs w:val="32"/>
          <w:highlight w:val="none"/>
          <w:lang w:val="en-US" w:eastAsia="zh-CN"/>
        </w:rPr>
        <w:t>与2021年相比，收、支总计各增加83.13万元</w:t>
      </w:r>
      <w:r>
        <w:rPr>
          <w:rFonts w:hint="eastAsia" w:ascii="仿宋" w:hAnsi="仿宋" w:eastAsia="仿宋" w:cs="Times New Roman"/>
          <w:color w:val="auto"/>
          <w:sz w:val="32"/>
          <w:szCs w:val="32"/>
          <w:highlight w:val="none"/>
          <w:lang w:val="en-US" w:eastAsia="zh-CN"/>
        </w:rPr>
        <w:t>、48.42万元</w:t>
      </w:r>
      <w:r>
        <w:rPr>
          <w:rFonts w:hint="default" w:ascii="仿宋" w:hAnsi="仿宋" w:eastAsia="仿宋" w:cs="Times New Roman"/>
          <w:color w:val="auto"/>
          <w:sz w:val="32"/>
          <w:szCs w:val="32"/>
          <w:highlight w:val="none"/>
          <w:lang w:val="en-US" w:eastAsia="zh-CN"/>
        </w:rPr>
        <w:t>，上升46.24%</w:t>
      </w:r>
      <w:r>
        <w:rPr>
          <w:rFonts w:hint="eastAsia" w:ascii="仿宋" w:hAnsi="仿宋" w:eastAsia="仿宋" w:cs="Times New Roman"/>
          <w:color w:val="auto"/>
          <w:sz w:val="32"/>
          <w:szCs w:val="32"/>
          <w:highlight w:val="none"/>
          <w:lang w:val="en-US" w:eastAsia="zh-CN"/>
        </w:rPr>
        <w:t>、21.92%</w:t>
      </w:r>
      <w:r>
        <w:rPr>
          <w:rFonts w:hint="default" w:ascii="仿宋" w:hAnsi="仿宋" w:eastAsia="仿宋" w:cs="Times New Roman"/>
          <w:color w:val="auto"/>
          <w:sz w:val="32"/>
          <w:szCs w:val="32"/>
          <w:highlight w:val="none"/>
          <w:lang w:val="en-US" w:eastAsia="zh-CN"/>
        </w:rPr>
        <w:t>。主要变动原因项目较2022年增加，相应的资金也增加。</w:t>
      </w:r>
    </w:p>
    <w:p>
      <w:pPr>
        <w:pStyle w:val="38"/>
        <w:rPr>
          <w:rFonts w:hint="default" w:ascii="仿宋" w:hAnsi="仿宋" w:eastAsia="仿宋" w:cs="Times New Roman"/>
          <w:color w:val="auto"/>
          <w:sz w:val="32"/>
          <w:szCs w:val="32"/>
          <w:highlight w:val="none"/>
          <w:lang w:val="en-US" w:eastAsia="zh-CN"/>
        </w:rPr>
      </w:pPr>
    </w:p>
    <w:p>
      <w:pPr>
        <w:jc w:val="center"/>
        <w:rPr>
          <w:rFonts w:hint="default" w:ascii="仿宋" w:hAnsi="仿宋" w:eastAsia="仿宋" w:cs="Times New Roman"/>
          <w:color w:val="auto"/>
          <w:sz w:val="32"/>
          <w:szCs w:val="32"/>
          <w:highlight w:val="none"/>
          <w:lang w:val="en-US" w:eastAsia="zh-CN"/>
        </w:rPr>
      </w:pPr>
      <w:r>
        <w:drawing>
          <wp:inline distT="0" distB="0" distL="114300" distR="114300">
            <wp:extent cx="3592195" cy="1811020"/>
            <wp:effectExtent l="4445" t="4445" r="22860" b="13335"/>
            <wp:docPr id="105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rPr>
          <w:rFonts w:hint="default"/>
          <w:lang w:val="en-US" w:eastAsia="zh-CN"/>
        </w:rPr>
      </w:pPr>
    </w:p>
    <w:p>
      <w:pPr>
        <w:spacing w:line="600" w:lineRule="exact"/>
        <w:ind w:firstLine="640" w:firstLineChars="20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spacing w:line="600" w:lineRule="exact"/>
        <w:ind w:firstLine="640" w:firstLineChars="200"/>
        <w:jc w:val="left"/>
        <w:rPr>
          <w:rFonts w:ascii="仿宋_GB2312" w:eastAsia="仿宋_GB2312"/>
          <w:color w:val="auto"/>
          <w:sz w:val="32"/>
          <w:szCs w:val="32"/>
          <w:highlight w:val="none"/>
        </w:rPr>
      </w:pPr>
    </w:p>
    <w:p>
      <w:pPr>
        <w:pStyle w:val="29"/>
        <w:numPr>
          <w:ilvl w:val="0"/>
          <w:numId w:val="2"/>
        </w:numPr>
        <w:spacing w:line="600" w:lineRule="exact"/>
        <w:ind w:firstLineChars="0"/>
        <w:outlineLvl w:val="1"/>
        <w:rPr>
          <w:rStyle w:val="31"/>
          <w:rFonts w:ascii="黑体" w:hAnsi="黑体" w:eastAsia="黑体"/>
          <w:b w:val="0"/>
          <w:color w:val="auto"/>
          <w:highlight w:val="none"/>
        </w:rPr>
      </w:pPr>
      <w:bookmarkStart w:id="31" w:name="_Toc15396604"/>
      <w:bookmarkStart w:id="32" w:name="_Toc15377206"/>
      <w:bookmarkStart w:id="33" w:name="_Toc31046"/>
      <w:r>
        <w:rPr>
          <w:rFonts w:hint="eastAsia" w:ascii="黑体" w:hAnsi="黑体" w:eastAsia="黑体"/>
          <w:color w:val="auto"/>
          <w:sz w:val="32"/>
          <w:szCs w:val="32"/>
          <w:highlight w:val="none"/>
        </w:rPr>
        <w:t>收</w:t>
      </w:r>
      <w:r>
        <w:rPr>
          <w:rStyle w:val="31"/>
          <w:rFonts w:hint="eastAsia" w:ascii="黑体" w:hAnsi="黑体" w:eastAsia="黑体"/>
          <w:b w:val="0"/>
          <w:color w:val="auto"/>
          <w:highlight w:val="none"/>
        </w:rPr>
        <w:t>入决算情况说明</w:t>
      </w:r>
      <w:bookmarkEnd w:id="31"/>
      <w:bookmarkEnd w:id="32"/>
      <w:bookmarkEnd w:id="33"/>
    </w:p>
    <w:p>
      <w:pPr>
        <w:spacing w:line="600" w:lineRule="exact"/>
        <w:ind w:firstLine="640" w:firstLineChars="200"/>
        <w:outlineLvl w:val="1"/>
        <w:rPr>
          <w:rFonts w:hint="eastAsia" w:ascii="仿宋" w:hAnsi="仿宋" w:eastAsia="仿宋"/>
          <w:color w:val="auto"/>
          <w:sz w:val="32"/>
          <w:szCs w:val="32"/>
          <w:highlight w:val="none"/>
          <w:lang w:eastAsia="zh-CN"/>
        </w:rPr>
      </w:pPr>
      <w:bookmarkStart w:id="34" w:name="_Toc5024"/>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年本年收入合计</w:t>
      </w:r>
      <w:r>
        <w:rPr>
          <w:rFonts w:hint="default" w:ascii="仿宋" w:hAnsi="仿宋" w:eastAsia="仿宋" w:cs="Times New Roman"/>
          <w:color w:val="auto"/>
          <w:sz w:val="32"/>
          <w:szCs w:val="32"/>
          <w:highlight w:val="none"/>
          <w:lang w:val="en-US" w:eastAsia="zh-CN"/>
        </w:rPr>
        <w:t>262.90</w:t>
      </w:r>
      <w:r>
        <w:rPr>
          <w:rFonts w:hint="eastAsia" w:ascii="仿宋" w:hAnsi="仿宋" w:eastAsia="仿宋"/>
          <w:color w:val="auto"/>
          <w:sz w:val="32"/>
          <w:szCs w:val="32"/>
          <w:highlight w:val="none"/>
        </w:rPr>
        <w:t>万元，其中：一般公共预算财政拨款收入</w:t>
      </w:r>
      <w:r>
        <w:rPr>
          <w:rFonts w:hint="default" w:ascii="仿宋" w:hAnsi="仿宋" w:eastAsia="仿宋" w:cs="Times New Roman"/>
          <w:color w:val="auto"/>
          <w:sz w:val="32"/>
          <w:szCs w:val="32"/>
          <w:highlight w:val="none"/>
          <w:lang w:val="en-US" w:eastAsia="zh-CN"/>
        </w:rPr>
        <w:t>262.90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w:t>
      </w:r>
      <w:bookmarkEnd w:id="34"/>
    </w:p>
    <w:p>
      <w:pPr>
        <w:spacing w:line="600" w:lineRule="exact"/>
        <w:ind w:firstLine="643" w:firstLineChars="200"/>
        <w:outlineLvl w:val="1"/>
        <w:rPr>
          <w:rFonts w:ascii="仿宋" w:hAnsi="仿宋" w:eastAsia="仿宋"/>
          <w:b/>
          <w:color w:val="auto"/>
          <w:sz w:val="32"/>
          <w:szCs w:val="32"/>
          <w:highlight w:val="none"/>
        </w:rPr>
      </w:pPr>
      <w:bookmarkStart w:id="35" w:name="_Toc6934"/>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，仅罗列本部门涉及的收入。</w:t>
      </w:r>
      <w:r>
        <w:rPr>
          <w:rFonts w:ascii="仿宋" w:hAnsi="仿宋" w:eastAsia="仿宋"/>
          <w:b/>
          <w:color w:val="auto"/>
          <w:sz w:val="32"/>
          <w:szCs w:val="32"/>
          <w:highlight w:val="none"/>
        </w:rPr>
        <w:t>）</w:t>
      </w:r>
      <w:bookmarkEnd w:id="35"/>
    </w:p>
    <w:p>
      <w:pPr>
        <w:spacing w:line="600" w:lineRule="exact"/>
        <w:ind w:firstLine="640" w:firstLineChars="200"/>
        <w:outlineLvl w:val="1"/>
        <w:rPr>
          <w:rFonts w:ascii="仿宋" w:hAnsi="仿宋" w:eastAsia="仿宋"/>
          <w:color w:val="auto"/>
          <w:sz w:val="32"/>
          <w:szCs w:val="32"/>
          <w:highlight w:val="none"/>
        </w:rPr>
      </w:pPr>
    </w:p>
    <w:p>
      <w:pPr>
        <w:pStyle w:val="38"/>
        <w:ind w:left="0" w:leftChars="0" w:firstLine="0" w:firstLineChars="0"/>
        <w:rPr>
          <w:rFonts w:hint="eastAsia" w:ascii="仿宋" w:hAnsi="仿宋" w:eastAsia="仿宋"/>
          <w:color w:val="auto"/>
          <w:sz w:val="32"/>
          <w:szCs w:val="32"/>
          <w:highlight w:val="none"/>
        </w:rPr>
      </w:pPr>
    </w:p>
    <w:p>
      <w:pPr>
        <w:jc w:val="center"/>
        <w:rPr>
          <w:rFonts w:hint="eastAsia" w:ascii="仿宋" w:hAnsi="仿宋" w:eastAsia="仿宋"/>
          <w:color w:val="auto"/>
          <w:sz w:val="32"/>
          <w:szCs w:val="32"/>
          <w:highlight w:val="none"/>
        </w:rPr>
      </w:pPr>
      <w:r>
        <w:drawing>
          <wp:inline distT="0" distB="0" distL="114300" distR="114300">
            <wp:extent cx="2454910" cy="2129155"/>
            <wp:effectExtent l="4445" t="4445" r="17145" b="19050"/>
            <wp:docPr id="105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spacing w:line="600" w:lineRule="exact"/>
        <w:ind w:firstLine="640" w:firstLineChars="200"/>
        <w:rPr>
          <w:rFonts w:ascii="仿宋_GB2312" w:eastAsia="仿宋_GB2312"/>
          <w:color w:val="auto"/>
          <w:sz w:val="32"/>
          <w:szCs w:val="32"/>
          <w:highlight w:val="none"/>
        </w:rPr>
      </w:pPr>
    </w:p>
    <w:p>
      <w:pPr>
        <w:pStyle w:val="29"/>
        <w:numPr>
          <w:ilvl w:val="0"/>
          <w:numId w:val="2"/>
        </w:numPr>
        <w:spacing w:line="600" w:lineRule="exact"/>
        <w:ind w:firstLineChars="0"/>
        <w:outlineLvl w:val="1"/>
        <w:rPr>
          <w:rStyle w:val="31"/>
          <w:rFonts w:ascii="黑体" w:hAnsi="黑体" w:eastAsia="黑体"/>
          <w:b w:val="0"/>
          <w:color w:val="auto"/>
          <w:highlight w:val="none"/>
        </w:rPr>
      </w:pPr>
      <w:bookmarkStart w:id="36" w:name="_Toc15396605"/>
      <w:bookmarkStart w:id="37" w:name="_Toc15377207"/>
      <w:bookmarkStart w:id="38" w:name="_Toc5721"/>
      <w:r>
        <w:rPr>
          <w:rFonts w:hint="eastAsia" w:ascii="黑体" w:hAnsi="黑体" w:eastAsia="黑体"/>
          <w:color w:val="auto"/>
          <w:sz w:val="32"/>
          <w:szCs w:val="32"/>
          <w:highlight w:val="none"/>
        </w:rPr>
        <w:t>支</w:t>
      </w:r>
      <w:r>
        <w:rPr>
          <w:rStyle w:val="31"/>
          <w:rFonts w:hint="eastAsia" w:ascii="黑体" w:hAnsi="黑体" w:eastAsia="黑体"/>
          <w:b w:val="0"/>
          <w:color w:val="auto"/>
          <w:highlight w:val="none"/>
        </w:rPr>
        <w:t>出决算情况说明</w:t>
      </w:r>
      <w:bookmarkEnd w:id="36"/>
      <w:bookmarkEnd w:id="37"/>
      <w:bookmarkEnd w:id="38"/>
    </w:p>
    <w:p>
      <w:pPr>
        <w:spacing w:line="600" w:lineRule="exact"/>
        <w:ind w:firstLine="640" w:firstLineChars="200"/>
        <w:outlineLvl w:val="1"/>
        <w:rPr>
          <w:rFonts w:hint="eastAsia" w:ascii="仿宋" w:hAnsi="仿宋" w:eastAsia="仿宋"/>
          <w:color w:val="auto"/>
          <w:sz w:val="32"/>
          <w:szCs w:val="32"/>
          <w:highlight w:val="none"/>
          <w:lang w:eastAsia="zh-CN"/>
        </w:rPr>
      </w:pPr>
      <w:bookmarkStart w:id="39" w:name="_Toc28687"/>
      <w:r>
        <w:rPr>
          <w:rFonts w:hint="eastAsia" w:ascii="仿宋" w:hAnsi="仿宋" w:eastAsia="仿宋"/>
          <w:color w:val="auto"/>
          <w:sz w:val="32"/>
          <w:szCs w:val="32"/>
          <w:highlight w:val="none"/>
        </w:rPr>
        <w:t>2022年本年支出合计269</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30元，其中：基本支出263</w:t>
      </w:r>
      <w:r>
        <w:rPr>
          <w:rFonts w:hint="eastAsia" w:ascii="仿宋" w:hAnsi="仿宋" w:eastAsia="仿宋"/>
          <w:color w:val="auto"/>
          <w:sz w:val="32"/>
          <w:szCs w:val="32"/>
          <w:highlight w:val="none"/>
          <w:lang w:val="en-US" w:eastAsia="zh-CN"/>
        </w:rPr>
        <w:t>.46万</w:t>
      </w:r>
      <w:r>
        <w:rPr>
          <w:rFonts w:hint="eastAsia" w:ascii="仿宋" w:hAnsi="仿宋" w:eastAsia="仿宋"/>
          <w:color w:val="auto"/>
          <w:sz w:val="32"/>
          <w:szCs w:val="32"/>
          <w:highlight w:val="none"/>
        </w:rPr>
        <w:t>元，占总支出97.83%；项目支出5</w:t>
      </w:r>
      <w:r>
        <w:rPr>
          <w:rFonts w:hint="eastAsia" w:ascii="仿宋" w:hAnsi="仿宋" w:eastAsia="仿宋"/>
          <w:color w:val="auto"/>
          <w:sz w:val="32"/>
          <w:szCs w:val="32"/>
          <w:highlight w:val="none"/>
          <w:lang w:val="en-US" w:eastAsia="zh-CN"/>
        </w:rPr>
        <w:t>.84万</w:t>
      </w:r>
      <w:r>
        <w:rPr>
          <w:rFonts w:hint="eastAsia" w:ascii="仿宋" w:hAnsi="仿宋" w:eastAsia="仿宋"/>
          <w:color w:val="auto"/>
          <w:sz w:val="32"/>
          <w:szCs w:val="32"/>
          <w:highlight w:val="none"/>
        </w:rPr>
        <w:t>元，占总支出2.17%</w:t>
      </w:r>
      <w:r>
        <w:rPr>
          <w:rFonts w:hint="eastAsia" w:ascii="仿宋" w:hAnsi="仿宋" w:eastAsia="仿宋"/>
          <w:color w:val="auto"/>
          <w:sz w:val="32"/>
          <w:szCs w:val="32"/>
          <w:highlight w:val="none"/>
          <w:lang w:eastAsia="zh-CN"/>
        </w:rPr>
        <w:t>。</w:t>
      </w:r>
      <w:bookmarkEnd w:id="39"/>
    </w:p>
    <w:p>
      <w:pPr>
        <w:spacing w:line="600" w:lineRule="exact"/>
        <w:ind w:firstLine="640" w:firstLineChars="200"/>
        <w:outlineLvl w:val="1"/>
        <w:rPr>
          <w:rFonts w:ascii="仿宋" w:hAnsi="仿宋" w:eastAsia="仿宋"/>
          <w:color w:val="auto"/>
          <w:sz w:val="32"/>
          <w:szCs w:val="32"/>
          <w:highlight w:val="none"/>
        </w:rPr>
      </w:pPr>
    </w:p>
    <w:p>
      <w:pPr>
        <w:spacing w:line="600" w:lineRule="exact"/>
        <w:ind w:firstLine="643" w:firstLineChars="200"/>
        <w:outlineLvl w:val="1"/>
        <w:rPr>
          <w:rFonts w:ascii="仿宋" w:hAnsi="仿宋" w:eastAsia="仿宋"/>
          <w:b/>
          <w:color w:val="auto"/>
          <w:sz w:val="32"/>
          <w:szCs w:val="32"/>
          <w:highlight w:val="none"/>
        </w:rPr>
      </w:pPr>
      <w:bookmarkStart w:id="40" w:name="_Toc16156"/>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，仅罗列本部门涉及的支出。</w:t>
      </w:r>
      <w:r>
        <w:rPr>
          <w:rFonts w:hint="eastAsia" w:ascii="仿宋" w:hAnsi="仿宋" w:eastAsia="仿宋"/>
          <w:b/>
          <w:color w:val="auto"/>
          <w:sz w:val="32"/>
          <w:szCs w:val="32"/>
          <w:highlight w:val="none"/>
        </w:rPr>
        <w:t>）</w:t>
      </w:r>
      <w:bookmarkEnd w:id="40"/>
    </w:p>
    <w:p>
      <w:pPr>
        <w:bidi w:val="0"/>
        <w:jc w:val="left"/>
      </w:pPr>
    </w:p>
    <w:p>
      <w:pPr>
        <w:jc w:val="center"/>
        <w:rPr>
          <w:rFonts w:ascii="仿宋" w:hAnsi="仿宋" w:eastAsia="仿宋"/>
          <w:color w:val="auto"/>
          <w:sz w:val="32"/>
          <w:szCs w:val="32"/>
          <w:highlight w:val="none"/>
          <w:shd w:val="pct10" w:color="auto" w:fill="FFFFFF"/>
        </w:rPr>
      </w:pPr>
      <w:r>
        <w:drawing>
          <wp:inline distT="0" distB="0" distL="114300" distR="114300">
            <wp:extent cx="3585845" cy="2112645"/>
            <wp:effectExtent l="4445" t="4445" r="10160" b="16510"/>
            <wp:docPr id="106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
      <w:pPr>
        <w:spacing w:line="600" w:lineRule="exact"/>
        <w:ind w:firstLine="640" w:firstLineChars="20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spacing w:line="600" w:lineRule="exact"/>
        <w:ind w:firstLine="640" w:firstLineChars="200"/>
        <w:rPr>
          <w:rFonts w:ascii="仿宋_GB2312" w:eastAsia="仿宋_GB2312"/>
          <w:color w:val="auto"/>
          <w:sz w:val="32"/>
          <w:szCs w:val="32"/>
          <w:highlight w:val="none"/>
        </w:rPr>
      </w:pPr>
    </w:p>
    <w:p>
      <w:pPr>
        <w:spacing w:line="600" w:lineRule="exact"/>
        <w:ind w:firstLine="640" w:firstLineChars="200"/>
        <w:outlineLvl w:val="1"/>
        <w:rPr>
          <w:rStyle w:val="31"/>
          <w:rFonts w:ascii="黑体" w:hAnsi="黑体" w:eastAsia="黑体"/>
          <w:b w:val="0"/>
          <w:color w:val="auto"/>
          <w:highlight w:val="none"/>
        </w:rPr>
      </w:pPr>
      <w:bookmarkStart w:id="41" w:name="_Toc15396606"/>
      <w:bookmarkStart w:id="42" w:name="_Toc15377208"/>
      <w:bookmarkStart w:id="43" w:name="_Toc16725"/>
      <w:r>
        <w:rPr>
          <w:rFonts w:hint="eastAsia" w:ascii="黑体" w:hAnsi="黑体" w:eastAsia="黑体"/>
          <w:color w:val="auto"/>
          <w:sz w:val="32"/>
          <w:szCs w:val="32"/>
          <w:highlight w:val="none"/>
        </w:rPr>
        <w:t>四、财</w:t>
      </w:r>
      <w:r>
        <w:rPr>
          <w:rStyle w:val="31"/>
          <w:rFonts w:hint="eastAsia" w:ascii="黑体" w:hAnsi="黑体" w:eastAsia="黑体"/>
          <w:b w:val="0"/>
          <w:color w:val="auto"/>
          <w:highlight w:val="none"/>
        </w:rPr>
        <w:t>政拨款收入支出决算总体情况说明</w:t>
      </w:r>
      <w:bookmarkEnd w:id="41"/>
      <w:bookmarkEnd w:id="42"/>
      <w:bookmarkEnd w:id="43"/>
    </w:p>
    <w:p>
      <w:pPr>
        <w:spacing w:line="600" w:lineRule="exact"/>
        <w:ind w:firstLine="640"/>
        <w:rPr>
          <w:rFonts w:ascii="仿宋" w:hAnsi="仿宋" w:eastAsia="仿宋"/>
          <w:color w:val="auto"/>
          <w:sz w:val="32"/>
          <w:szCs w:val="32"/>
          <w:highlight w:val="none"/>
        </w:rPr>
      </w:pPr>
      <w:r>
        <w:rPr>
          <w:rFonts w:hint="default" w:ascii="仿宋" w:hAnsi="仿宋" w:eastAsia="仿宋" w:cs="Times New Roman"/>
          <w:color w:val="auto"/>
          <w:sz w:val="32"/>
          <w:szCs w:val="32"/>
          <w:highlight w:val="none"/>
          <w:lang w:val="en-US" w:eastAsia="zh-CN"/>
        </w:rPr>
        <w:t>2022年度收入、支出各总计262.90</w:t>
      </w:r>
      <w:r>
        <w:rPr>
          <w:rFonts w:hint="eastAsia" w:ascii="仿宋" w:hAnsi="仿宋" w:eastAsia="仿宋" w:cs="Times New Roman"/>
          <w:color w:val="auto"/>
          <w:sz w:val="32"/>
          <w:szCs w:val="32"/>
          <w:highlight w:val="none"/>
          <w:lang w:val="en-US" w:eastAsia="zh-CN"/>
        </w:rPr>
        <w:t>万元、269.30万元。</w:t>
      </w:r>
      <w:r>
        <w:rPr>
          <w:rFonts w:hint="default" w:ascii="仿宋" w:hAnsi="仿宋" w:eastAsia="仿宋" w:cs="Times New Roman"/>
          <w:color w:val="auto"/>
          <w:sz w:val="32"/>
          <w:szCs w:val="32"/>
          <w:highlight w:val="none"/>
          <w:lang w:val="en-US" w:eastAsia="zh-CN"/>
        </w:rPr>
        <w:t>与2021年相比，收、支总计各增加83.13万元</w:t>
      </w:r>
      <w:r>
        <w:rPr>
          <w:rFonts w:hint="eastAsia" w:ascii="仿宋" w:hAnsi="仿宋" w:eastAsia="仿宋" w:cs="Times New Roman"/>
          <w:color w:val="auto"/>
          <w:sz w:val="32"/>
          <w:szCs w:val="32"/>
          <w:highlight w:val="none"/>
          <w:lang w:val="en-US" w:eastAsia="zh-CN"/>
        </w:rPr>
        <w:t>、48.42万元</w:t>
      </w:r>
      <w:r>
        <w:rPr>
          <w:rFonts w:hint="default" w:ascii="仿宋" w:hAnsi="仿宋" w:eastAsia="仿宋" w:cs="Times New Roman"/>
          <w:color w:val="auto"/>
          <w:sz w:val="32"/>
          <w:szCs w:val="32"/>
          <w:highlight w:val="none"/>
          <w:lang w:val="en-US" w:eastAsia="zh-CN"/>
        </w:rPr>
        <w:t>，上升46.24%</w:t>
      </w:r>
      <w:r>
        <w:rPr>
          <w:rFonts w:hint="eastAsia" w:ascii="仿宋" w:hAnsi="仿宋" w:eastAsia="仿宋" w:cs="Times New Roman"/>
          <w:color w:val="auto"/>
          <w:sz w:val="32"/>
          <w:szCs w:val="32"/>
          <w:highlight w:val="none"/>
          <w:lang w:val="en-US" w:eastAsia="zh-CN"/>
        </w:rPr>
        <w:t>、21.92%</w:t>
      </w:r>
      <w:r>
        <w:rPr>
          <w:rFonts w:hint="default" w:ascii="仿宋" w:hAnsi="仿宋" w:eastAsia="仿宋" w:cs="Times New Roman"/>
          <w:color w:val="auto"/>
          <w:sz w:val="32"/>
          <w:szCs w:val="32"/>
          <w:highlight w:val="none"/>
          <w:lang w:val="en-US" w:eastAsia="zh-CN"/>
        </w:rPr>
        <w:t>。主要变动原因项目较2022年增加，相应的资金也增加</w:t>
      </w:r>
      <w:r>
        <w:rPr>
          <w:rFonts w:hint="eastAsia" w:ascii="仿宋" w:hAnsi="仿宋" w:eastAsia="仿宋" w:cs="Times New Roman"/>
          <w:color w:val="auto"/>
          <w:sz w:val="32"/>
          <w:szCs w:val="32"/>
          <w:highlight w:val="none"/>
          <w:lang w:val="en-US" w:eastAsia="zh-CN"/>
        </w:rPr>
        <w:t>。</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p>
    <w:p>
      <w:pPr>
        <w:pStyle w:val="38"/>
        <w:rPr>
          <w:rFonts w:ascii="仿宋" w:hAnsi="仿宋" w:eastAsia="仿宋"/>
          <w:color w:val="auto"/>
          <w:sz w:val="32"/>
          <w:szCs w:val="32"/>
          <w:highlight w:val="none"/>
        </w:rPr>
      </w:pPr>
    </w:p>
    <w:p>
      <w:pPr>
        <w:jc w:val="center"/>
        <w:rPr>
          <w:rFonts w:ascii="仿宋" w:hAnsi="仿宋" w:eastAsia="仿宋"/>
          <w:color w:val="auto"/>
          <w:sz w:val="32"/>
          <w:szCs w:val="32"/>
          <w:highlight w:val="none"/>
        </w:rPr>
      </w:pPr>
      <w:r>
        <w:drawing>
          <wp:inline distT="0" distB="0" distL="114300" distR="114300">
            <wp:extent cx="3592195" cy="1811020"/>
            <wp:effectExtent l="4445" t="4445" r="22860" b="1333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8"/>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31"/>
          <w:rFonts w:ascii="黑体" w:hAnsi="黑体" w:eastAsia="黑体"/>
          <w:b w:val="0"/>
          <w:color w:val="auto"/>
          <w:highlight w:val="none"/>
        </w:rPr>
      </w:pPr>
      <w:bookmarkStart w:id="44" w:name="_Toc15396607"/>
      <w:bookmarkStart w:id="45" w:name="_Toc15377209"/>
      <w:bookmarkStart w:id="46" w:name="_Toc8381"/>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1"/>
          <w:rFonts w:hint="eastAsia" w:ascii="黑体" w:hAnsi="黑体" w:eastAsia="黑体"/>
          <w:b w:val="0"/>
          <w:color w:val="auto"/>
          <w:highlight w:val="none"/>
        </w:rPr>
        <w:t>般公共预算财政拨款支出决算情况说明</w:t>
      </w:r>
      <w:bookmarkEnd w:id="44"/>
      <w:bookmarkEnd w:id="45"/>
      <w:bookmarkEnd w:id="46"/>
    </w:p>
    <w:p>
      <w:pPr>
        <w:spacing w:line="600" w:lineRule="exact"/>
        <w:ind w:firstLine="643" w:firstLineChars="200"/>
        <w:outlineLvl w:val="2"/>
        <w:rPr>
          <w:rFonts w:ascii="仿宋" w:hAnsi="仿宋" w:eastAsia="仿宋"/>
          <w:b/>
          <w:color w:val="auto"/>
          <w:sz w:val="32"/>
          <w:szCs w:val="32"/>
          <w:highlight w:val="none"/>
        </w:rPr>
      </w:pPr>
      <w:bookmarkStart w:id="47" w:name="_Toc15377210"/>
      <w:bookmarkStart w:id="48" w:name="_Toc29631"/>
      <w:r>
        <w:rPr>
          <w:rFonts w:hint="eastAsia" w:ascii="仿宋" w:hAnsi="仿宋" w:eastAsia="仿宋"/>
          <w:b/>
          <w:color w:val="auto"/>
          <w:sz w:val="32"/>
          <w:szCs w:val="32"/>
          <w:highlight w:val="none"/>
        </w:rPr>
        <w:t>（一）一般公共预算财政拨款支出决算总体情况</w:t>
      </w:r>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Times New Roman"/>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年一般公共预算财政拨款支出269.3万元，占本年支出合计的</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48.43</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21.93</w:t>
      </w:r>
      <w:r>
        <w:rPr>
          <w:rFonts w:hint="eastAsia" w:ascii="仿宋" w:hAnsi="仿宋" w:eastAsia="仿宋"/>
          <w:color w:val="auto"/>
          <w:sz w:val="32"/>
          <w:szCs w:val="32"/>
          <w:highlight w:val="none"/>
        </w:rPr>
        <w:t>%。主要变动原因</w:t>
      </w:r>
      <w:r>
        <w:rPr>
          <w:rFonts w:hint="default" w:ascii="仿宋" w:hAnsi="仿宋" w:eastAsia="仿宋" w:cs="Times New Roman"/>
          <w:color w:val="auto"/>
          <w:sz w:val="32"/>
          <w:szCs w:val="32"/>
          <w:highlight w:val="none"/>
          <w:lang w:val="en-US" w:eastAsia="zh-CN"/>
        </w:rPr>
        <w:t>项目较2022年增加，相应的资金也增加。</w:t>
      </w:r>
    </w:p>
    <w:p>
      <w:pPr>
        <w:spacing w:line="600" w:lineRule="exact"/>
        <w:ind w:firstLine="640" w:firstLineChars="200"/>
        <w:rPr>
          <w:rFonts w:ascii="仿宋" w:hAnsi="仿宋" w:eastAsia="仿宋"/>
          <w:color w:val="auto"/>
          <w:sz w:val="32"/>
          <w:szCs w:val="32"/>
          <w:highlight w:val="none"/>
        </w:rPr>
      </w:pPr>
    </w:p>
    <w:p>
      <w:pPr>
        <w:pStyle w:val="38"/>
        <w:rPr>
          <w:rFonts w:ascii="仿宋" w:hAnsi="仿宋" w:eastAsia="仿宋"/>
          <w:color w:val="auto"/>
          <w:sz w:val="32"/>
          <w:szCs w:val="32"/>
          <w:highlight w:val="none"/>
        </w:rPr>
      </w:pPr>
    </w:p>
    <w:p>
      <w:pPr>
        <w:pStyle w:val="38"/>
        <w:ind w:left="0" w:leftChars="0" w:firstLine="0" w:firstLineChars="0"/>
        <w:rPr>
          <w:rFonts w:ascii="仿宋" w:hAnsi="仿宋" w:eastAsia="仿宋"/>
          <w:color w:val="auto"/>
          <w:sz w:val="32"/>
          <w:szCs w:val="32"/>
          <w:highlight w:val="none"/>
        </w:rPr>
      </w:pPr>
    </w:p>
    <w:p>
      <w:pPr>
        <w:jc w:val="cente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p>
      <w:pPr>
        <w:spacing w:line="600" w:lineRule="exact"/>
        <w:ind w:firstLine="643" w:firstLineChars="200"/>
        <w:outlineLvl w:val="2"/>
        <w:rPr>
          <w:rFonts w:ascii="仿宋" w:hAnsi="仿宋" w:eastAsia="仿宋"/>
          <w:b/>
          <w:color w:val="auto"/>
          <w:sz w:val="32"/>
          <w:szCs w:val="32"/>
          <w:highlight w:val="none"/>
        </w:rPr>
      </w:pPr>
      <w:bookmarkStart w:id="49" w:name="_Toc31931"/>
      <w:bookmarkStart w:id="50" w:name="_Toc15377211"/>
      <w:r>
        <w:rPr>
          <w:rFonts w:hint="eastAsia" w:ascii="仿宋" w:hAnsi="仿宋" w:eastAsia="仿宋"/>
          <w:b/>
          <w:color w:val="auto"/>
          <w:sz w:val="32"/>
          <w:szCs w:val="32"/>
          <w:highlight w:val="none"/>
        </w:rPr>
        <w:t>（二）一般公共预算财政拨款支出决算结构情况</w:t>
      </w:r>
      <w:bookmarkEnd w:id="49"/>
      <w:bookmarkEnd w:id="50"/>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年一般公共预算财政拨款支出269.3万元，主要用于以下方面</w:t>
      </w:r>
      <w:r>
        <w:rPr>
          <w:rFonts w:ascii="仿宋" w:hAnsi="仿宋" w:eastAsia="仿宋"/>
          <w:color w:val="auto"/>
          <w:sz w:val="32"/>
          <w:szCs w:val="32"/>
          <w:highlight w:val="none"/>
        </w:rPr>
        <w:t>:</w:t>
      </w:r>
      <w:r>
        <w:rPr>
          <w:rFonts w:hint="eastAsia" w:ascii="仿宋" w:hAnsi="仿宋" w:eastAsia="仿宋"/>
          <w:color w:val="auto"/>
          <w:sz w:val="32"/>
          <w:szCs w:val="32"/>
          <w:highlight w:val="none"/>
        </w:rPr>
        <w:t>一般公共服务支出216</w:t>
      </w:r>
      <w:r>
        <w:rPr>
          <w:rFonts w:hint="eastAsia" w:ascii="仿宋" w:hAnsi="仿宋" w:eastAsia="仿宋"/>
          <w:color w:val="auto"/>
          <w:sz w:val="32"/>
          <w:szCs w:val="32"/>
          <w:highlight w:val="none"/>
          <w:lang w:val="en-US" w:eastAsia="zh-CN"/>
        </w:rPr>
        <w:t>.05</w:t>
      </w:r>
      <w:r>
        <w:rPr>
          <w:rFonts w:hint="eastAsia" w:ascii="仿宋" w:hAnsi="仿宋" w:eastAsia="仿宋"/>
          <w:color w:val="auto"/>
          <w:sz w:val="32"/>
          <w:szCs w:val="32"/>
          <w:highlight w:val="none"/>
        </w:rPr>
        <w:t>元，占80.23%； 社会保障和就业支出28</w:t>
      </w:r>
      <w:r>
        <w:rPr>
          <w:rFonts w:hint="eastAsia" w:ascii="仿宋" w:hAnsi="仿宋" w:eastAsia="仿宋"/>
          <w:color w:val="auto"/>
          <w:sz w:val="32"/>
          <w:szCs w:val="32"/>
          <w:highlight w:val="none"/>
          <w:lang w:val="en-US" w:eastAsia="zh-CN"/>
        </w:rPr>
        <w:t>.17</w:t>
      </w:r>
      <w:r>
        <w:rPr>
          <w:rFonts w:hint="eastAsia" w:ascii="仿宋" w:hAnsi="仿宋" w:eastAsia="仿宋"/>
          <w:color w:val="auto"/>
          <w:sz w:val="32"/>
          <w:szCs w:val="32"/>
          <w:highlight w:val="none"/>
        </w:rPr>
        <w:t>元，占10.46%； 卫生健康支出</w:t>
      </w:r>
      <w:r>
        <w:rPr>
          <w:rFonts w:hint="eastAsia" w:ascii="仿宋" w:hAnsi="仿宋" w:eastAsia="仿宋"/>
          <w:color w:val="auto"/>
          <w:sz w:val="32"/>
          <w:szCs w:val="32"/>
          <w:highlight w:val="none"/>
          <w:lang w:val="en-US" w:eastAsia="zh-CN"/>
        </w:rPr>
        <w:t>10.68</w:t>
      </w:r>
      <w:r>
        <w:rPr>
          <w:rFonts w:hint="eastAsia" w:ascii="仿宋" w:hAnsi="仿宋" w:eastAsia="仿宋"/>
          <w:color w:val="auto"/>
          <w:sz w:val="32"/>
          <w:szCs w:val="32"/>
          <w:highlight w:val="none"/>
        </w:rPr>
        <w:t>元，占3.97%； 住房保障支出</w:t>
      </w:r>
      <w:r>
        <w:rPr>
          <w:rFonts w:hint="eastAsia" w:ascii="仿宋" w:hAnsi="仿宋" w:eastAsia="仿宋"/>
          <w:color w:val="auto"/>
          <w:sz w:val="32"/>
          <w:szCs w:val="32"/>
          <w:highlight w:val="none"/>
          <w:lang w:val="en-US" w:eastAsia="zh-CN"/>
        </w:rPr>
        <w:t>14.41</w:t>
      </w:r>
      <w:r>
        <w:rPr>
          <w:rFonts w:hint="eastAsia" w:ascii="仿宋" w:hAnsi="仿宋" w:eastAsia="仿宋"/>
          <w:color w:val="auto"/>
          <w:sz w:val="32"/>
          <w:szCs w:val="32"/>
          <w:highlight w:val="none"/>
        </w:rPr>
        <w:t>元，占5.35%。</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本部门涉及的全部</w:t>
      </w:r>
      <w:r>
        <w:rPr>
          <w:rFonts w:hint="eastAsia" w:ascii="仿宋" w:hAnsi="仿宋" w:eastAsia="仿宋"/>
          <w:b/>
          <w:color w:val="auto"/>
          <w:sz w:val="32"/>
          <w:szCs w:val="32"/>
          <w:highlight w:val="none"/>
        </w:rPr>
        <w:t>功能分类科目，至类级。）</w:t>
      </w:r>
    </w:p>
    <w:p>
      <w:pPr>
        <w:spacing w:line="600" w:lineRule="exact"/>
        <w:ind w:firstLine="640"/>
        <w:rPr>
          <w:rFonts w:ascii="仿宋" w:hAnsi="仿宋" w:eastAsia="仿宋"/>
          <w:color w:val="auto"/>
          <w:sz w:val="32"/>
          <w:szCs w:val="32"/>
          <w:highlight w:val="none"/>
        </w:rPr>
      </w:pPr>
    </w:p>
    <w:p>
      <w:pPr>
        <w:pStyle w:val="38"/>
        <w:rPr>
          <w:rFonts w:ascii="仿宋" w:hAnsi="仿宋" w:eastAsia="仿宋"/>
          <w:color w:val="auto"/>
          <w:sz w:val="32"/>
          <w:szCs w:val="32"/>
          <w:highlight w:val="none"/>
        </w:rPr>
      </w:pPr>
    </w:p>
    <w:p>
      <w:pPr>
        <w:rPr>
          <w:rFonts w:ascii="仿宋" w:hAnsi="仿宋" w:eastAsia="仿宋"/>
          <w:color w:val="auto"/>
          <w:sz w:val="32"/>
          <w:szCs w:val="32"/>
          <w:highlight w:val="none"/>
        </w:rPr>
      </w:pPr>
    </w:p>
    <w:p>
      <w:pPr>
        <w:pStyle w:val="38"/>
        <w:rPr>
          <w:rFonts w:ascii="仿宋" w:hAnsi="仿宋" w:eastAsia="仿宋"/>
          <w:color w:val="auto"/>
          <w:sz w:val="32"/>
          <w:szCs w:val="32"/>
          <w:highlight w:val="none"/>
        </w:rPr>
      </w:pPr>
    </w:p>
    <w:p>
      <w:pPr>
        <w:rPr>
          <w:rFonts w:ascii="仿宋" w:hAnsi="仿宋" w:eastAsia="仿宋"/>
          <w:color w:val="auto"/>
          <w:sz w:val="32"/>
          <w:szCs w:val="32"/>
          <w:highlight w:val="none"/>
        </w:rPr>
      </w:pPr>
    </w:p>
    <w:p>
      <w:pPr>
        <w:pStyle w:val="38"/>
        <w:rPr>
          <w:rFonts w:ascii="仿宋" w:hAnsi="仿宋" w:eastAsia="仿宋"/>
          <w:color w:val="auto"/>
          <w:sz w:val="32"/>
          <w:szCs w:val="32"/>
          <w:highlight w:val="none"/>
        </w:rPr>
      </w:pPr>
    </w:p>
    <w:p>
      <w:pPr>
        <w:rPr>
          <w:rFonts w:ascii="仿宋" w:hAnsi="仿宋" w:eastAsia="仿宋"/>
          <w:color w:val="auto"/>
          <w:sz w:val="32"/>
          <w:szCs w:val="32"/>
          <w:highlight w:val="none"/>
        </w:rPr>
      </w:pPr>
    </w:p>
    <w:p>
      <w:pPr>
        <w:pStyle w:val="38"/>
        <w:rPr>
          <w:rFonts w:ascii="仿宋" w:hAnsi="仿宋" w:eastAsia="仿宋"/>
          <w:color w:val="auto"/>
          <w:sz w:val="32"/>
          <w:szCs w:val="32"/>
          <w:highlight w:val="none"/>
        </w:rPr>
      </w:pPr>
    </w:p>
    <w:p>
      <w:pPr>
        <w:pStyle w:val="38"/>
      </w:pPr>
      <w:r>
        <w:drawing>
          <wp:anchor distT="0" distB="0" distL="114300" distR="114300" simplePos="0" relativeHeight="251658240" behindDoc="0" locked="0" layoutInCell="1" allowOverlap="1">
            <wp:simplePos x="0" y="0"/>
            <wp:positionH relativeFrom="column">
              <wp:posOffset>271145</wp:posOffset>
            </wp:positionH>
            <wp:positionV relativeFrom="paragraph">
              <wp:posOffset>-1912620</wp:posOffset>
            </wp:positionV>
            <wp:extent cx="4001135" cy="2184400"/>
            <wp:effectExtent l="4445" t="4445" r="13970" b="20955"/>
            <wp:wrapSquare wrapText="bothSides"/>
            <wp:docPr id="105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51" w:name="_Toc15377212"/>
      <w:bookmarkStart w:id="52" w:name="_Toc6830"/>
      <w:r>
        <w:rPr>
          <w:rFonts w:hint="eastAsia" w:ascii="仿宋" w:hAnsi="仿宋" w:eastAsia="仿宋"/>
          <w:b/>
          <w:color w:val="auto"/>
          <w:sz w:val="32"/>
          <w:szCs w:val="32"/>
          <w:highlight w:val="none"/>
        </w:rPr>
        <w:t>（三）一般公共预算财政拨款支出决算具体情况</w:t>
      </w:r>
      <w:bookmarkEnd w:id="51"/>
      <w:bookmarkEnd w:id="52"/>
    </w:p>
    <w:p>
      <w:pPr>
        <w:spacing w:line="600" w:lineRule="exact"/>
        <w:ind w:firstLine="643" w:firstLineChars="200"/>
        <w:rPr>
          <w:rStyle w:val="19"/>
          <w:rFonts w:hint="eastAsia" w:ascii="仿宋" w:hAnsi="仿宋" w:eastAsia="仿宋" w:cs="Times New Roman"/>
          <w:bCs/>
          <w:color w:val="auto"/>
          <w:sz w:val="32"/>
          <w:szCs w:val="32"/>
          <w:highlight w:val="none"/>
        </w:rPr>
      </w:pPr>
      <w:r>
        <w:rPr>
          <w:rStyle w:val="19"/>
          <w:rFonts w:hint="eastAsia" w:ascii="仿宋" w:hAnsi="仿宋" w:eastAsia="仿宋" w:cs="Times New Roman"/>
          <w:bCs/>
          <w:color w:val="auto"/>
          <w:sz w:val="32"/>
          <w:szCs w:val="32"/>
          <w:highlight w:val="none"/>
        </w:rPr>
        <w:t>全年预算总额</w:t>
      </w:r>
      <w:r>
        <w:rPr>
          <w:rStyle w:val="19"/>
          <w:rFonts w:hint="eastAsia" w:ascii="仿宋" w:hAnsi="仿宋" w:eastAsia="仿宋" w:cs="Times New Roman"/>
          <w:bCs/>
          <w:color w:val="auto"/>
          <w:sz w:val="32"/>
          <w:szCs w:val="32"/>
          <w:highlight w:val="none"/>
          <w:lang w:val="en-US" w:eastAsia="zh-CN"/>
        </w:rPr>
        <w:t>269.30万元</w:t>
      </w:r>
      <w:r>
        <w:rPr>
          <w:rStyle w:val="19"/>
          <w:rFonts w:hint="eastAsia" w:ascii="仿宋" w:hAnsi="仿宋" w:eastAsia="仿宋" w:cs="Times New Roman"/>
          <w:bCs/>
          <w:color w:val="auto"/>
          <w:sz w:val="32"/>
          <w:szCs w:val="32"/>
          <w:highlight w:val="none"/>
        </w:rPr>
        <w:t>，决算支出</w:t>
      </w:r>
      <w:r>
        <w:rPr>
          <w:rStyle w:val="19"/>
          <w:rFonts w:hint="eastAsia" w:ascii="仿宋" w:hAnsi="仿宋" w:eastAsia="仿宋" w:cs="Times New Roman"/>
          <w:bCs/>
          <w:color w:val="auto"/>
          <w:sz w:val="32"/>
          <w:szCs w:val="32"/>
          <w:highlight w:val="none"/>
          <w:lang w:val="en-US" w:eastAsia="zh-CN"/>
        </w:rPr>
        <w:t>269.30万元</w:t>
      </w:r>
      <w:r>
        <w:rPr>
          <w:rStyle w:val="19"/>
          <w:rFonts w:hint="eastAsia" w:ascii="仿宋" w:hAnsi="仿宋" w:eastAsia="仿宋" w:cs="Times New Roman"/>
          <w:bCs/>
          <w:color w:val="auto"/>
          <w:sz w:val="32"/>
          <w:szCs w:val="32"/>
          <w:highlight w:val="none"/>
        </w:rPr>
        <w:t>，预算执行率100%。</w:t>
      </w:r>
    </w:p>
    <w:p>
      <w:pPr>
        <w:rPr>
          <w:rFonts w:hint="eastAsia"/>
        </w:rPr>
      </w:pPr>
    </w:p>
    <w:p>
      <w:pPr>
        <w:rPr>
          <w:rFonts w:hint="eastAsia"/>
        </w:rPr>
      </w:pPr>
    </w:p>
    <w:p>
      <w:pPr>
        <w:spacing w:line="600" w:lineRule="exact"/>
        <w:ind w:firstLine="643" w:firstLineChars="200"/>
        <w:rPr>
          <w:rStyle w:val="19"/>
          <w:rFonts w:hint="eastAsia" w:ascii="Times New Roman" w:hAnsi="Times New Roman" w:eastAsia="仿宋_GB2312" w:cs="Times New Roman"/>
          <w:b w:val="0"/>
          <w:bCs/>
          <w:sz w:val="32"/>
          <w:szCs w:val="32"/>
        </w:rPr>
      </w:pPr>
      <w:r>
        <w:rPr>
          <w:rStyle w:val="19"/>
          <w:rFonts w:hint="eastAsia" w:ascii="仿宋" w:hAnsi="仿宋" w:eastAsia="仿宋" w:cs="Times New Roman"/>
          <w:bCs/>
          <w:color w:val="auto"/>
          <w:sz w:val="32"/>
          <w:szCs w:val="32"/>
          <w:highlight w:val="none"/>
          <w:lang w:val="en-US" w:eastAsia="zh-CN"/>
        </w:rPr>
        <w:t>1.</w:t>
      </w:r>
      <w:r>
        <w:rPr>
          <w:rStyle w:val="19"/>
          <w:rFonts w:hint="eastAsia" w:ascii="仿宋" w:hAnsi="仿宋" w:eastAsia="仿宋" w:cs="Times New Roman"/>
          <w:bCs/>
          <w:color w:val="auto"/>
          <w:sz w:val="32"/>
          <w:szCs w:val="32"/>
          <w:highlight w:val="none"/>
        </w:rPr>
        <w:t>一般公共服务（类）政府办公厅（室）及相关机构事务（款）</w:t>
      </w:r>
      <w:r>
        <w:rPr>
          <w:rStyle w:val="19"/>
          <w:rFonts w:hint="eastAsia" w:ascii="Times New Roman" w:hAnsi="Times New Roman" w:eastAsia="仿宋_GB2312" w:cs="Times New Roman"/>
          <w:b w:val="0"/>
          <w:bCs/>
          <w:sz w:val="32"/>
          <w:szCs w:val="32"/>
        </w:rPr>
        <w:t>支出决算</w:t>
      </w:r>
      <w:r>
        <w:rPr>
          <w:rStyle w:val="19"/>
          <w:rFonts w:hint="eastAsia" w:ascii="Times New Roman" w:hAnsi="Times New Roman" w:eastAsia="仿宋_GB2312" w:cs="Times New Roman"/>
          <w:b w:val="0"/>
          <w:bCs/>
          <w:sz w:val="32"/>
          <w:szCs w:val="32"/>
          <w:lang w:eastAsia="zh-CN"/>
        </w:rPr>
        <w:t>为</w:t>
      </w:r>
      <w:r>
        <w:rPr>
          <w:rStyle w:val="19"/>
          <w:rFonts w:hint="eastAsia" w:ascii="Times New Roman" w:hAnsi="Times New Roman" w:eastAsia="仿宋_GB2312" w:cs="Times New Roman"/>
          <w:b w:val="0"/>
          <w:bCs/>
          <w:sz w:val="32"/>
          <w:szCs w:val="32"/>
          <w:lang w:val="en-US" w:eastAsia="zh-CN"/>
        </w:rPr>
        <w:t>216.05万</w:t>
      </w:r>
      <w:r>
        <w:rPr>
          <w:rStyle w:val="19"/>
          <w:rFonts w:hint="eastAsia" w:ascii="Times New Roman" w:hAnsi="Times New Roman" w:eastAsia="仿宋_GB2312" w:cs="Times New Roman"/>
          <w:b w:val="0"/>
          <w:bCs/>
          <w:sz w:val="32"/>
          <w:szCs w:val="32"/>
        </w:rPr>
        <w:t>元，执行率100%。</w:t>
      </w:r>
    </w:p>
    <w:p>
      <w:pPr>
        <w:spacing w:line="600" w:lineRule="exact"/>
        <w:ind w:firstLine="643" w:firstLineChars="200"/>
        <w:outlineLvl w:val="9"/>
        <w:rPr>
          <w:rFonts w:hint="eastAsia"/>
        </w:rPr>
      </w:pPr>
      <w:r>
        <w:rPr>
          <w:rStyle w:val="19"/>
          <w:rFonts w:hint="eastAsia" w:ascii="仿宋" w:hAnsi="仿宋" w:eastAsia="仿宋" w:cs="Times New Roman"/>
          <w:bCs/>
          <w:color w:val="auto"/>
          <w:sz w:val="32"/>
          <w:szCs w:val="32"/>
          <w:highlight w:val="none"/>
        </w:rPr>
        <w:t>（1）行政运行（项）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rPr>
        <w:t>支出</w:t>
      </w:r>
      <w:r>
        <w:rPr>
          <w:rStyle w:val="19"/>
          <w:rFonts w:hint="eastAsia" w:ascii="Times New Roman" w:hAnsi="Times New Roman" w:eastAsia="仿宋_GB2312" w:cs="Times New Roman"/>
          <w:b w:val="0"/>
          <w:bCs/>
          <w:sz w:val="32"/>
          <w:szCs w:val="32"/>
          <w:lang w:val="en-US" w:eastAsia="zh-CN"/>
        </w:rPr>
        <w:t>149.06</w:t>
      </w:r>
      <w:r>
        <w:rPr>
          <w:rStyle w:val="19"/>
          <w:rFonts w:hint="eastAsia" w:ascii="Times New Roman" w:hAnsi="Times New Roman" w:eastAsia="仿宋_GB2312" w:cs="Times New Roman"/>
          <w:b w:val="0"/>
          <w:bCs/>
          <w:sz w:val="32"/>
          <w:szCs w:val="32"/>
          <w:lang w:eastAsia="zh-CN"/>
        </w:rPr>
        <w:t>万</w:t>
      </w:r>
      <w:r>
        <w:rPr>
          <w:rStyle w:val="19"/>
          <w:rFonts w:hint="eastAsia" w:ascii="Times New Roman" w:hAnsi="Times New Roman" w:eastAsia="仿宋_GB2312" w:cs="Times New Roman"/>
          <w:b w:val="0"/>
          <w:bCs/>
          <w:sz w:val="32"/>
          <w:szCs w:val="32"/>
        </w:rPr>
        <w:t>元，</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p>
    <w:p>
      <w:pPr>
        <w:spacing w:line="600" w:lineRule="exact"/>
        <w:ind w:firstLine="643" w:firstLineChars="200"/>
        <w:outlineLvl w:val="9"/>
        <w:rPr>
          <w:rStyle w:val="19"/>
          <w:rFonts w:hint="default" w:ascii="Times New Roman" w:hAnsi="Times New Roman" w:eastAsia="仿宋_GB2312" w:cs="Times New Roman"/>
          <w:b w:val="0"/>
          <w:bCs/>
          <w:sz w:val="32"/>
          <w:szCs w:val="32"/>
          <w:lang w:eastAsia="zh-CN"/>
        </w:rPr>
      </w:pPr>
      <w:r>
        <w:rPr>
          <w:rStyle w:val="19"/>
          <w:rFonts w:hint="eastAsia" w:ascii="仿宋" w:hAnsi="仿宋" w:eastAsia="仿宋" w:cs="Times New Roman"/>
          <w:bCs/>
          <w:color w:val="auto"/>
          <w:sz w:val="32"/>
          <w:szCs w:val="32"/>
          <w:highlight w:val="none"/>
        </w:rPr>
        <w:t>（2）一般行政管理事务（项）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rPr>
        <w:t>支出</w:t>
      </w:r>
      <w:r>
        <w:rPr>
          <w:rStyle w:val="19"/>
          <w:rFonts w:hint="eastAsia" w:ascii="Times New Roman" w:hAnsi="Times New Roman" w:eastAsia="仿宋_GB2312" w:cs="Times New Roman"/>
          <w:b w:val="0"/>
          <w:bCs/>
          <w:sz w:val="32"/>
          <w:szCs w:val="32"/>
          <w:lang w:val="en-US" w:eastAsia="zh-CN"/>
        </w:rPr>
        <w:t>5万</w:t>
      </w:r>
      <w:r>
        <w:rPr>
          <w:rStyle w:val="19"/>
          <w:rFonts w:hint="eastAsia" w:ascii="Times New Roman" w:hAnsi="Times New Roman" w:eastAsia="仿宋_GB2312" w:cs="Times New Roman"/>
          <w:b w:val="0"/>
          <w:bCs/>
          <w:sz w:val="32"/>
          <w:szCs w:val="32"/>
        </w:rPr>
        <w:t>元，</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p>
    <w:p>
      <w:pPr>
        <w:spacing w:line="600" w:lineRule="exact"/>
        <w:ind w:firstLine="643" w:firstLineChars="200"/>
        <w:outlineLvl w:val="9"/>
        <w:rPr>
          <w:rStyle w:val="19"/>
          <w:rFonts w:hint="default" w:ascii="Times New Roman" w:hAnsi="Times New Roman" w:eastAsia="仿宋_GB2312" w:cs="Times New Roman"/>
          <w:b w:val="0"/>
          <w:bCs/>
          <w:sz w:val="32"/>
          <w:szCs w:val="32"/>
          <w:lang w:eastAsia="zh-CN"/>
        </w:rPr>
      </w:pPr>
      <w:r>
        <w:rPr>
          <w:rStyle w:val="19"/>
          <w:rFonts w:hint="eastAsia" w:ascii="仿宋" w:hAnsi="仿宋" w:eastAsia="仿宋" w:cs="Times New Roman"/>
          <w:bCs/>
          <w:color w:val="auto"/>
          <w:sz w:val="32"/>
          <w:szCs w:val="32"/>
          <w:highlight w:val="none"/>
        </w:rPr>
        <w:t>（3）信访事务（项）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rPr>
        <w:t>支出</w:t>
      </w:r>
      <w:r>
        <w:rPr>
          <w:rStyle w:val="19"/>
          <w:rFonts w:hint="eastAsia" w:ascii="Times New Roman" w:hAnsi="Times New Roman" w:eastAsia="仿宋_GB2312" w:cs="Times New Roman"/>
          <w:b w:val="0"/>
          <w:bCs/>
          <w:sz w:val="32"/>
          <w:szCs w:val="32"/>
          <w:lang w:val="en-US" w:eastAsia="zh-CN"/>
        </w:rPr>
        <w:t>0.84万</w:t>
      </w:r>
      <w:r>
        <w:rPr>
          <w:rStyle w:val="19"/>
          <w:rFonts w:hint="eastAsia" w:ascii="Times New Roman" w:hAnsi="Times New Roman" w:eastAsia="仿宋_GB2312" w:cs="Times New Roman"/>
          <w:b w:val="0"/>
          <w:bCs/>
          <w:sz w:val="32"/>
          <w:szCs w:val="32"/>
        </w:rPr>
        <w:t>元，</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p>
    <w:p>
      <w:pPr>
        <w:spacing w:line="600" w:lineRule="exact"/>
        <w:ind w:firstLine="643" w:firstLineChars="200"/>
        <w:outlineLvl w:val="9"/>
        <w:rPr>
          <w:rStyle w:val="19"/>
          <w:rFonts w:hint="default" w:ascii="Times New Roman" w:hAnsi="Times New Roman" w:eastAsia="仿宋_GB2312" w:cs="Times New Roman"/>
          <w:b w:val="0"/>
          <w:bCs/>
          <w:sz w:val="32"/>
          <w:szCs w:val="32"/>
          <w:lang w:eastAsia="zh-CN"/>
        </w:rPr>
      </w:pPr>
      <w:r>
        <w:rPr>
          <w:rStyle w:val="19"/>
          <w:rFonts w:hint="eastAsia" w:ascii="仿宋" w:hAnsi="仿宋" w:eastAsia="仿宋" w:cs="Times New Roman"/>
          <w:bCs/>
          <w:color w:val="auto"/>
          <w:sz w:val="32"/>
          <w:szCs w:val="32"/>
          <w:highlight w:val="none"/>
        </w:rPr>
        <w:t>（4）事业运行（项）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rPr>
        <w:t>支出</w:t>
      </w:r>
      <w:r>
        <w:rPr>
          <w:rStyle w:val="19"/>
          <w:rFonts w:hint="eastAsia" w:ascii="Times New Roman" w:hAnsi="Times New Roman" w:eastAsia="仿宋_GB2312" w:cs="Times New Roman"/>
          <w:b w:val="0"/>
          <w:bCs/>
          <w:sz w:val="32"/>
          <w:szCs w:val="32"/>
          <w:lang w:val="en-US" w:eastAsia="zh-CN"/>
        </w:rPr>
        <w:t>61.14万</w:t>
      </w:r>
      <w:r>
        <w:rPr>
          <w:rStyle w:val="19"/>
          <w:rFonts w:hint="eastAsia" w:ascii="Times New Roman" w:hAnsi="Times New Roman" w:eastAsia="仿宋_GB2312" w:cs="Times New Roman"/>
          <w:b w:val="0"/>
          <w:bCs/>
          <w:sz w:val="32"/>
          <w:szCs w:val="32"/>
        </w:rPr>
        <w:t>元，</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p>
    <w:p>
      <w:pPr>
        <w:rPr>
          <w:rFonts w:hint="eastAsia"/>
        </w:rPr>
      </w:pPr>
    </w:p>
    <w:p>
      <w:pPr>
        <w:spacing w:line="600" w:lineRule="exact"/>
        <w:ind w:firstLine="643" w:firstLineChars="200"/>
        <w:rPr>
          <w:rStyle w:val="19"/>
          <w:rFonts w:hint="eastAsia" w:ascii="仿宋" w:hAnsi="仿宋" w:eastAsia="仿宋" w:cs="Times New Roman"/>
          <w:bCs/>
          <w:color w:val="auto"/>
          <w:sz w:val="32"/>
          <w:szCs w:val="32"/>
          <w:highlight w:val="none"/>
        </w:rPr>
      </w:pPr>
      <w:r>
        <w:rPr>
          <w:rStyle w:val="19"/>
          <w:rFonts w:hint="eastAsia" w:ascii="仿宋" w:hAnsi="仿宋" w:eastAsia="仿宋" w:cs="Times New Roman"/>
          <w:bCs/>
          <w:color w:val="auto"/>
          <w:sz w:val="32"/>
          <w:szCs w:val="32"/>
          <w:highlight w:val="none"/>
        </w:rPr>
        <w:t>2. 社会保障和就业（类）行政事业单位养老支出（款）</w:t>
      </w:r>
    </w:p>
    <w:p>
      <w:pPr>
        <w:spacing w:line="600" w:lineRule="exact"/>
        <w:ind w:firstLine="640" w:firstLineChars="200"/>
        <w:outlineLvl w:val="9"/>
        <w:rPr>
          <w:rStyle w:val="19"/>
          <w:rFonts w:hint="eastAsia" w:ascii="Times New Roman" w:hAnsi="Times New Roman" w:eastAsia="仿宋_GB2312" w:cs="Times New Roman"/>
          <w:b w:val="0"/>
          <w:bCs/>
          <w:sz w:val="32"/>
          <w:szCs w:val="32"/>
        </w:rPr>
      </w:pPr>
      <w:r>
        <w:rPr>
          <w:rStyle w:val="19"/>
          <w:rFonts w:hint="eastAsia" w:ascii="Times New Roman" w:hAnsi="Times New Roman" w:eastAsia="仿宋_GB2312" w:cs="Times New Roman"/>
          <w:b w:val="0"/>
          <w:bCs/>
          <w:sz w:val="32"/>
          <w:szCs w:val="32"/>
        </w:rPr>
        <w:t>全年预算</w:t>
      </w:r>
      <w:r>
        <w:rPr>
          <w:rStyle w:val="19"/>
          <w:rFonts w:hint="eastAsia" w:ascii="Times New Roman" w:hAnsi="Times New Roman" w:eastAsia="仿宋_GB2312" w:cs="Times New Roman"/>
          <w:b w:val="0"/>
          <w:bCs/>
          <w:sz w:val="32"/>
          <w:szCs w:val="32"/>
          <w:lang w:val="en-US" w:eastAsia="zh-CN"/>
        </w:rPr>
        <w:t>28.17万</w:t>
      </w:r>
      <w:r>
        <w:rPr>
          <w:rStyle w:val="19"/>
          <w:rFonts w:hint="eastAsia" w:ascii="Times New Roman" w:hAnsi="Times New Roman" w:eastAsia="仿宋_GB2312" w:cs="Times New Roman"/>
          <w:b w:val="0"/>
          <w:bCs/>
          <w:sz w:val="32"/>
          <w:szCs w:val="32"/>
        </w:rPr>
        <w:t>元，决算支出</w:t>
      </w:r>
      <w:r>
        <w:rPr>
          <w:rStyle w:val="19"/>
          <w:rFonts w:hint="eastAsia" w:ascii="Times New Roman" w:hAnsi="Times New Roman" w:eastAsia="仿宋_GB2312" w:cs="Times New Roman"/>
          <w:b w:val="0"/>
          <w:bCs/>
          <w:sz w:val="32"/>
          <w:szCs w:val="32"/>
          <w:lang w:val="en-US" w:eastAsia="zh-CN"/>
        </w:rPr>
        <w:t>28.17万</w:t>
      </w:r>
      <w:r>
        <w:rPr>
          <w:rStyle w:val="19"/>
          <w:rFonts w:hint="eastAsia" w:ascii="Times New Roman" w:hAnsi="Times New Roman" w:eastAsia="仿宋_GB2312" w:cs="Times New Roman"/>
          <w:b w:val="0"/>
          <w:bCs/>
          <w:sz w:val="32"/>
          <w:szCs w:val="32"/>
        </w:rPr>
        <w:t>元，执行率100%。</w:t>
      </w:r>
    </w:p>
    <w:p>
      <w:pPr>
        <w:ind w:firstLine="321" w:firstLineChars="100"/>
        <w:rPr>
          <w:rStyle w:val="19"/>
          <w:rFonts w:hint="eastAsia" w:ascii="Times New Roman" w:hAnsi="Times New Roman" w:eastAsia="仿宋_GB2312" w:cs="Times New Roman"/>
          <w:b w:val="0"/>
          <w:bCs/>
          <w:sz w:val="32"/>
          <w:szCs w:val="32"/>
        </w:rPr>
      </w:pPr>
      <w:r>
        <w:rPr>
          <w:rStyle w:val="19"/>
          <w:rFonts w:hint="eastAsia" w:ascii="仿宋" w:hAnsi="仿宋" w:eastAsia="仿宋" w:cs="Times New Roman"/>
          <w:bCs/>
          <w:color w:val="auto"/>
          <w:sz w:val="32"/>
          <w:szCs w:val="32"/>
          <w:highlight w:val="none"/>
        </w:rPr>
        <w:t>（1）机关事业单位基本养老保险缴费支出（项）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lang w:val="en-US" w:eastAsia="zh-CN"/>
        </w:rPr>
        <w:t>决算</w:t>
      </w:r>
      <w:r>
        <w:rPr>
          <w:rStyle w:val="19"/>
          <w:rFonts w:hint="eastAsia" w:ascii="Times New Roman" w:hAnsi="Times New Roman" w:eastAsia="仿宋_GB2312" w:cs="Times New Roman"/>
          <w:b w:val="0"/>
          <w:bCs/>
          <w:sz w:val="32"/>
          <w:szCs w:val="32"/>
          <w:lang w:eastAsia="zh-CN"/>
        </w:rPr>
        <w:t>支出</w:t>
      </w:r>
      <w:r>
        <w:rPr>
          <w:rStyle w:val="19"/>
          <w:rFonts w:hint="eastAsia" w:ascii="Times New Roman" w:hAnsi="Times New Roman" w:eastAsia="仿宋_GB2312" w:cs="Times New Roman"/>
          <w:b w:val="0"/>
          <w:bCs/>
          <w:sz w:val="32"/>
          <w:szCs w:val="32"/>
          <w:lang w:val="en-US" w:eastAsia="zh-CN"/>
        </w:rPr>
        <w:t>18.34万</w:t>
      </w:r>
      <w:r>
        <w:rPr>
          <w:rStyle w:val="19"/>
          <w:rFonts w:hint="eastAsia" w:ascii="Times New Roman" w:hAnsi="Times New Roman" w:eastAsia="仿宋_GB2312" w:cs="Times New Roman"/>
          <w:b w:val="0"/>
          <w:bCs/>
          <w:sz w:val="32"/>
          <w:szCs w:val="32"/>
        </w:rPr>
        <w:t>元</w:t>
      </w:r>
      <w:r>
        <w:rPr>
          <w:rStyle w:val="19"/>
          <w:rFonts w:hint="eastAsia" w:ascii="Times New Roman" w:hAnsi="Times New Roman" w:eastAsia="仿宋_GB2312" w:cs="Times New Roman"/>
          <w:b w:val="0"/>
          <w:bCs/>
          <w:sz w:val="32"/>
          <w:szCs w:val="32"/>
          <w:lang w:val="en-US" w:eastAsia="zh-CN"/>
        </w:rPr>
        <w:t>,</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r>
        <w:rPr>
          <w:rStyle w:val="19"/>
          <w:rFonts w:hint="eastAsia" w:ascii="Times New Roman" w:hAnsi="Times New Roman" w:eastAsia="仿宋_GB2312" w:cs="Times New Roman"/>
          <w:b w:val="0"/>
          <w:bCs/>
          <w:sz w:val="32"/>
          <w:szCs w:val="32"/>
        </w:rPr>
        <w:t>；</w:t>
      </w:r>
    </w:p>
    <w:p>
      <w:pPr>
        <w:ind w:firstLine="321" w:firstLineChars="100"/>
        <w:rPr>
          <w:rStyle w:val="19"/>
          <w:rFonts w:hint="eastAsia" w:ascii="Times New Roman" w:hAnsi="Times New Roman" w:eastAsia="仿宋_GB2312" w:cs="Times New Roman"/>
          <w:b w:val="0"/>
          <w:bCs/>
          <w:sz w:val="32"/>
          <w:szCs w:val="32"/>
        </w:rPr>
      </w:pPr>
      <w:r>
        <w:rPr>
          <w:rStyle w:val="19"/>
          <w:rFonts w:hint="eastAsia" w:ascii="仿宋" w:hAnsi="仿宋" w:eastAsia="仿宋" w:cs="Times New Roman"/>
          <w:bCs/>
          <w:color w:val="auto"/>
          <w:sz w:val="32"/>
          <w:szCs w:val="32"/>
          <w:highlight w:val="none"/>
        </w:rPr>
        <w:t>（2）机关事业单位职业年金缴费支出（项）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lang w:val="en-US" w:eastAsia="zh-CN"/>
        </w:rPr>
        <w:t>决算</w:t>
      </w:r>
      <w:r>
        <w:rPr>
          <w:rStyle w:val="19"/>
          <w:rFonts w:hint="eastAsia" w:ascii="Times New Roman" w:hAnsi="Times New Roman" w:eastAsia="仿宋_GB2312" w:cs="Times New Roman"/>
          <w:b w:val="0"/>
          <w:bCs/>
          <w:sz w:val="32"/>
          <w:szCs w:val="32"/>
          <w:lang w:eastAsia="zh-CN"/>
        </w:rPr>
        <w:t>支出</w:t>
      </w:r>
      <w:r>
        <w:rPr>
          <w:rStyle w:val="19"/>
          <w:rFonts w:hint="eastAsia" w:ascii="Times New Roman" w:hAnsi="Times New Roman" w:eastAsia="仿宋_GB2312" w:cs="Times New Roman"/>
          <w:b w:val="0"/>
          <w:bCs/>
          <w:sz w:val="32"/>
          <w:szCs w:val="32"/>
          <w:lang w:val="en-US" w:eastAsia="zh-CN"/>
        </w:rPr>
        <w:t>9.83万</w:t>
      </w:r>
      <w:r>
        <w:rPr>
          <w:rStyle w:val="19"/>
          <w:rFonts w:hint="eastAsia" w:ascii="Times New Roman" w:hAnsi="Times New Roman" w:eastAsia="仿宋_GB2312" w:cs="Times New Roman"/>
          <w:b w:val="0"/>
          <w:bCs/>
          <w:sz w:val="32"/>
          <w:szCs w:val="32"/>
        </w:rPr>
        <w:t>元</w:t>
      </w:r>
      <w:r>
        <w:rPr>
          <w:rStyle w:val="19"/>
          <w:rFonts w:hint="eastAsia" w:ascii="Times New Roman" w:hAnsi="Times New Roman" w:eastAsia="仿宋_GB2312" w:cs="Times New Roman"/>
          <w:b w:val="0"/>
          <w:bCs/>
          <w:sz w:val="32"/>
          <w:szCs w:val="32"/>
          <w:lang w:val="en-US" w:eastAsia="zh-CN"/>
        </w:rPr>
        <w:t>,</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r>
        <w:rPr>
          <w:rStyle w:val="19"/>
          <w:rFonts w:hint="eastAsia" w:ascii="Times New Roman" w:hAnsi="Times New Roman" w:eastAsia="仿宋_GB2312" w:cs="Times New Roman"/>
          <w:b w:val="0"/>
          <w:bCs/>
          <w:sz w:val="32"/>
          <w:szCs w:val="32"/>
        </w:rPr>
        <w:t>。</w:t>
      </w:r>
    </w:p>
    <w:p>
      <w:pPr>
        <w:spacing w:line="600" w:lineRule="exact"/>
        <w:ind w:firstLine="643" w:firstLineChars="200"/>
        <w:rPr>
          <w:rStyle w:val="19"/>
          <w:rFonts w:hint="eastAsia" w:ascii="仿宋" w:hAnsi="仿宋" w:eastAsia="仿宋" w:cs="Times New Roman"/>
          <w:bCs/>
          <w:color w:val="auto"/>
          <w:sz w:val="32"/>
          <w:szCs w:val="32"/>
          <w:highlight w:val="none"/>
        </w:rPr>
      </w:pPr>
      <w:r>
        <w:rPr>
          <w:rStyle w:val="19"/>
          <w:rFonts w:hint="eastAsia" w:ascii="仿宋" w:hAnsi="仿宋" w:eastAsia="仿宋" w:cs="Times New Roman"/>
          <w:bCs/>
          <w:color w:val="auto"/>
          <w:sz w:val="32"/>
          <w:szCs w:val="32"/>
          <w:highlight w:val="none"/>
        </w:rPr>
        <w:t>3. 卫生健康（类）行政事业单位医疗（款）</w:t>
      </w:r>
    </w:p>
    <w:p>
      <w:pPr>
        <w:rPr>
          <w:rStyle w:val="19"/>
          <w:rFonts w:hint="eastAsia" w:ascii="Times New Roman" w:hAnsi="Times New Roman" w:eastAsia="仿宋_GB2312" w:cs="Times New Roman"/>
          <w:b w:val="0"/>
          <w:bCs/>
          <w:sz w:val="32"/>
          <w:szCs w:val="32"/>
        </w:rPr>
      </w:pPr>
      <w:r>
        <w:rPr>
          <w:rStyle w:val="19"/>
          <w:rFonts w:hint="eastAsia" w:ascii="Times New Roman" w:hAnsi="Times New Roman" w:eastAsia="仿宋_GB2312" w:cs="Times New Roman"/>
          <w:b w:val="0"/>
          <w:bCs/>
          <w:sz w:val="32"/>
          <w:szCs w:val="32"/>
        </w:rPr>
        <w:t>全年预算</w:t>
      </w:r>
      <w:r>
        <w:rPr>
          <w:rStyle w:val="19"/>
          <w:rFonts w:hint="eastAsia" w:ascii="Times New Roman" w:hAnsi="Times New Roman" w:eastAsia="仿宋_GB2312" w:cs="Times New Roman"/>
          <w:b w:val="0"/>
          <w:bCs/>
          <w:sz w:val="32"/>
          <w:szCs w:val="32"/>
          <w:lang w:val="en-US" w:eastAsia="zh-CN"/>
        </w:rPr>
        <w:t>10.68万</w:t>
      </w:r>
      <w:r>
        <w:rPr>
          <w:rStyle w:val="19"/>
          <w:rFonts w:hint="eastAsia" w:ascii="Times New Roman" w:hAnsi="Times New Roman" w:eastAsia="仿宋_GB2312" w:cs="Times New Roman"/>
          <w:b w:val="0"/>
          <w:bCs/>
          <w:sz w:val="32"/>
          <w:szCs w:val="32"/>
        </w:rPr>
        <w:t>元，决算支出</w:t>
      </w:r>
      <w:r>
        <w:rPr>
          <w:rStyle w:val="19"/>
          <w:rFonts w:hint="eastAsia" w:ascii="Times New Roman" w:hAnsi="Times New Roman" w:eastAsia="仿宋_GB2312" w:cs="Times New Roman"/>
          <w:b w:val="0"/>
          <w:bCs/>
          <w:sz w:val="32"/>
          <w:szCs w:val="32"/>
          <w:lang w:val="en-US" w:eastAsia="zh-CN"/>
        </w:rPr>
        <w:t>10.68万</w:t>
      </w:r>
      <w:r>
        <w:rPr>
          <w:rStyle w:val="19"/>
          <w:rFonts w:hint="eastAsia" w:ascii="Times New Roman" w:hAnsi="Times New Roman" w:eastAsia="仿宋_GB2312" w:cs="Times New Roman"/>
          <w:b w:val="0"/>
          <w:bCs/>
          <w:sz w:val="32"/>
          <w:szCs w:val="32"/>
        </w:rPr>
        <w:t>元，执行率100%。</w:t>
      </w:r>
    </w:p>
    <w:p>
      <w:pPr>
        <w:ind w:firstLine="321" w:firstLineChars="100"/>
        <w:rPr>
          <w:rFonts w:hint="eastAsia"/>
        </w:rPr>
      </w:pPr>
      <w:r>
        <w:rPr>
          <w:rStyle w:val="19"/>
          <w:rFonts w:hint="eastAsia" w:ascii="仿宋" w:hAnsi="仿宋" w:eastAsia="仿宋" w:cs="Times New Roman"/>
          <w:bCs/>
          <w:color w:val="auto"/>
          <w:sz w:val="32"/>
          <w:szCs w:val="32"/>
          <w:highlight w:val="none"/>
        </w:rPr>
        <w:t>（1）行政单位医疗（项）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lang w:val="en-US" w:eastAsia="zh-CN"/>
        </w:rPr>
        <w:t>决算</w:t>
      </w:r>
      <w:r>
        <w:rPr>
          <w:rStyle w:val="19"/>
          <w:rFonts w:hint="eastAsia" w:ascii="Times New Roman" w:hAnsi="Times New Roman" w:eastAsia="仿宋_GB2312" w:cs="Times New Roman"/>
          <w:b w:val="0"/>
          <w:bCs/>
          <w:sz w:val="32"/>
          <w:szCs w:val="32"/>
          <w:lang w:eastAsia="zh-CN"/>
        </w:rPr>
        <w:t>支出</w:t>
      </w:r>
      <w:r>
        <w:rPr>
          <w:rStyle w:val="19"/>
          <w:rFonts w:hint="eastAsia" w:ascii="Times New Roman" w:hAnsi="Times New Roman" w:eastAsia="仿宋_GB2312" w:cs="Times New Roman"/>
          <w:b w:val="0"/>
          <w:bCs/>
          <w:sz w:val="32"/>
          <w:szCs w:val="32"/>
          <w:lang w:val="en-US" w:eastAsia="zh-CN"/>
        </w:rPr>
        <w:t>5.67万</w:t>
      </w:r>
      <w:r>
        <w:rPr>
          <w:rStyle w:val="19"/>
          <w:rFonts w:hint="eastAsia" w:ascii="Times New Roman" w:hAnsi="Times New Roman" w:eastAsia="仿宋_GB2312" w:cs="Times New Roman"/>
          <w:b w:val="0"/>
          <w:bCs/>
          <w:sz w:val="32"/>
          <w:szCs w:val="32"/>
        </w:rPr>
        <w:t>元</w:t>
      </w:r>
      <w:r>
        <w:rPr>
          <w:rFonts w:hint="eastAsia"/>
          <w:lang w:val="en-US" w:eastAsia="zh-CN"/>
        </w:rPr>
        <w:t>,</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r>
        <w:rPr>
          <w:rFonts w:hint="eastAsia"/>
        </w:rPr>
        <w:t>；</w:t>
      </w:r>
    </w:p>
    <w:p>
      <w:pPr>
        <w:ind w:firstLine="321" w:firstLineChars="100"/>
        <w:rPr>
          <w:rFonts w:hint="eastAsia"/>
        </w:rPr>
      </w:pPr>
      <w:r>
        <w:rPr>
          <w:rStyle w:val="19"/>
          <w:rFonts w:hint="eastAsia" w:ascii="仿宋" w:hAnsi="仿宋" w:eastAsia="仿宋" w:cs="Times New Roman"/>
          <w:bCs/>
          <w:color w:val="auto"/>
          <w:sz w:val="32"/>
          <w:szCs w:val="32"/>
          <w:highlight w:val="none"/>
        </w:rPr>
        <w:t>（2）事业单位医疗（项）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lang w:val="en-US" w:eastAsia="zh-CN"/>
        </w:rPr>
        <w:t>决算</w:t>
      </w:r>
      <w:r>
        <w:rPr>
          <w:rStyle w:val="19"/>
          <w:rFonts w:hint="eastAsia" w:ascii="Times New Roman" w:hAnsi="Times New Roman" w:eastAsia="仿宋_GB2312" w:cs="Times New Roman"/>
          <w:b w:val="0"/>
          <w:bCs/>
          <w:sz w:val="32"/>
          <w:szCs w:val="32"/>
          <w:lang w:eastAsia="zh-CN"/>
        </w:rPr>
        <w:t>支出</w:t>
      </w:r>
      <w:r>
        <w:rPr>
          <w:rStyle w:val="19"/>
          <w:rFonts w:hint="eastAsia" w:ascii="Times New Roman" w:hAnsi="Times New Roman" w:eastAsia="仿宋_GB2312" w:cs="Times New Roman"/>
          <w:b w:val="0"/>
          <w:bCs/>
          <w:sz w:val="32"/>
          <w:szCs w:val="32"/>
          <w:lang w:val="en-US" w:eastAsia="zh-CN"/>
        </w:rPr>
        <w:t>3.22万</w:t>
      </w:r>
      <w:r>
        <w:rPr>
          <w:rStyle w:val="19"/>
          <w:rFonts w:hint="eastAsia" w:ascii="Times New Roman" w:hAnsi="Times New Roman" w:eastAsia="仿宋_GB2312" w:cs="Times New Roman"/>
          <w:b w:val="0"/>
          <w:bCs/>
          <w:sz w:val="32"/>
          <w:szCs w:val="32"/>
        </w:rPr>
        <w:t>元</w:t>
      </w:r>
      <w:r>
        <w:rPr>
          <w:rStyle w:val="19"/>
          <w:rFonts w:hint="eastAsia" w:ascii="Times New Roman" w:hAnsi="Times New Roman" w:eastAsia="仿宋_GB2312" w:cs="Times New Roman"/>
          <w:b w:val="0"/>
          <w:bCs/>
          <w:sz w:val="32"/>
          <w:szCs w:val="32"/>
          <w:lang w:val="en-US" w:eastAsia="zh-CN"/>
        </w:rPr>
        <w:t>,</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r>
        <w:rPr>
          <w:rFonts w:hint="eastAsia"/>
        </w:rPr>
        <w:t>；</w:t>
      </w:r>
    </w:p>
    <w:p>
      <w:pPr>
        <w:ind w:firstLine="321" w:firstLineChars="100"/>
        <w:rPr>
          <w:rFonts w:hint="eastAsia"/>
        </w:rPr>
      </w:pPr>
      <w:r>
        <w:rPr>
          <w:rStyle w:val="19"/>
          <w:rFonts w:hint="eastAsia" w:ascii="仿宋" w:hAnsi="仿宋" w:eastAsia="仿宋" w:cs="Times New Roman"/>
          <w:bCs/>
          <w:color w:val="auto"/>
          <w:sz w:val="32"/>
          <w:szCs w:val="32"/>
          <w:highlight w:val="none"/>
        </w:rPr>
        <w:t>（3）公务员医疗补助（项）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lang w:val="en-US" w:eastAsia="zh-CN"/>
        </w:rPr>
        <w:t>决算</w:t>
      </w:r>
      <w:r>
        <w:rPr>
          <w:rStyle w:val="19"/>
          <w:rFonts w:hint="eastAsia" w:ascii="Times New Roman" w:hAnsi="Times New Roman" w:eastAsia="仿宋_GB2312" w:cs="Times New Roman"/>
          <w:b w:val="0"/>
          <w:bCs/>
          <w:sz w:val="32"/>
          <w:szCs w:val="32"/>
          <w:lang w:eastAsia="zh-CN"/>
        </w:rPr>
        <w:t>支出</w:t>
      </w:r>
      <w:r>
        <w:rPr>
          <w:rStyle w:val="19"/>
          <w:rFonts w:hint="eastAsia" w:ascii="Times New Roman" w:hAnsi="Times New Roman" w:eastAsia="仿宋_GB2312" w:cs="Times New Roman"/>
          <w:b w:val="0"/>
          <w:bCs/>
          <w:sz w:val="32"/>
          <w:szCs w:val="32"/>
          <w:lang w:val="en-US" w:eastAsia="zh-CN"/>
        </w:rPr>
        <w:t>0.99万元,</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r>
        <w:rPr>
          <w:rFonts w:hint="eastAsia"/>
        </w:rPr>
        <w:t>；</w:t>
      </w:r>
    </w:p>
    <w:p>
      <w:pPr>
        <w:spacing w:line="600" w:lineRule="exact"/>
        <w:ind w:firstLine="321" w:firstLineChars="100"/>
        <w:outlineLvl w:val="9"/>
        <w:rPr>
          <w:rFonts w:hint="default" w:ascii="Times New Roman" w:hAnsi="Times New Roman" w:eastAsia="仿宋_GB2312" w:cs="Times New Roman"/>
          <w:b/>
          <w:sz w:val="32"/>
          <w:szCs w:val="32"/>
          <w:lang w:eastAsia="zh-CN"/>
        </w:rPr>
      </w:pPr>
      <w:r>
        <w:rPr>
          <w:rStyle w:val="19"/>
          <w:rFonts w:hint="eastAsia" w:ascii="仿宋" w:hAnsi="仿宋" w:eastAsia="仿宋" w:cs="Times New Roman"/>
          <w:bCs/>
          <w:color w:val="auto"/>
          <w:sz w:val="32"/>
          <w:szCs w:val="32"/>
          <w:highlight w:val="none"/>
        </w:rPr>
        <w:t>（4）其他行政事业单位医疗支出（</w:t>
      </w:r>
      <w:r>
        <w:rPr>
          <w:rStyle w:val="19"/>
          <w:rFonts w:hint="eastAsia" w:ascii="仿宋" w:hAnsi="仿宋" w:eastAsia="仿宋"/>
          <w:bCs/>
          <w:color w:val="auto"/>
          <w:sz w:val="32"/>
          <w:szCs w:val="32"/>
          <w:highlight w:val="none"/>
        </w:rPr>
        <w:t>项）</w:t>
      </w:r>
      <w:r>
        <w:rPr>
          <w:rStyle w:val="19"/>
          <w:rFonts w:hint="eastAsia" w:ascii="仿宋" w:hAnsi="仿宋" w:eastAsia="仿宋"/>
          <w:bCs/>
          <w:color w:val="auto"/>
          <w:sz w:val="32"/>
          <w:szCs w:val="32"/>
          <w:highlight w:val="none"/>
          <w:lang w:val="en-US" w:eastAsia="zh-CN"/>
        </w:rPr>
        <w:t>:</w:t>
      </w:r>
      <w:r>
        <w:rPr>
          <w:rStyle w:val="19"/>
          <w:rFonts w:hint="eastAsia" w:ascii="Times New Roman" w:hAnsi="Times New Roman" w:eastAsia="仿宋_GB2312" w:cs="Times New Roman"/>
          <w:b w:val="0"/>
          <w:bCs/>
          <w:sz w:val="32"/>
          <w:szCs w:val="32"/>
          <w:lang w:val="en-US" w:eastAsia="zh-CN"/>
        </w:rPr>
        <w:t>决算</w:t>
      </w:r>
      <w:r>
        <w:rPr>
          <w:rStyle w:val="19"/>
          <w:rFonts w:hint="eastAsia" w:ascii="Times New Roman" w:hAnsi="Times New Roman" w:eastAsia="仿宋_GB2312" w:cs="Times New Roman"/>
          <w:b w:val="0"/>
          <w:bCs/>
          <w:sz w:val="32"/>
          <w:szCs w:val="32"/>
          <w:lang w:eastAsia="zh-CN"/>
        </w:rPr>
        <w:t>支出</w:t>
      </w:r>
      <w:r>
        <w:rPr>
          <w:rStyle w:val="19"/>
          <w:rFonts w:hint="eastAsia" w:ascii="Times New Roman" w:hAnsi="Times New Roman" w:eastAsia="仿宋_GB2312" w:cs="Times New Roman"/>
          <w:b w:val="0"/>
          <w:bCs/>
          <w:sz w:val="32"/>
          <w:szCs w:val="32"/>
          <w:lang w:val="en-US" w:eastAsia="zh-CN"/>
        </w:rPr>
        <w:t>0.80万</w:t>
      </w:r>
      <w:r>
        <w:rPr>
          <w:rStyle w:val="19"/>
          <w:rFonts w:hint="eastAsia" w:ascii="Times New Roman" w:hAnsi="Times New Roman" w:eastAsia="仿宋_GB2312" w:cs="Times New Roman"/>
          <w:b w:val="0"/>
          <w:bCs/>
          <w:sz w:val="32"/>
          <w:szCs w:val="32"/>
        </w:rPr>
        <w:t>元</w:t>
      </w:r>
      <w:r>
        <w:rPr>
          <w:rStyle w:val="19"/>
          <w:rFonts w:hint="eastAsia" w:ascii="Times New Roman" w:hAnsi="Times New Roman" w:eastAsia="仿宋_GB2312" w:cs="Times New Roman"/>
          <w:b w:val="0"/>
          <w:bCs/>
          <w:sz w:val="32"/>
          <w:szCs w:val="32"/>
          <w:lang w:val="en-US" w:eastAsia="zh-CN"/>
        </w:rPr>
        <w:t>,</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p>
    <w:p>
      <w:pPr>
        <w:rPr>
          <w:rFonts w:hint="eastAsia"/>
        </w:rPr>
      </w:pPr>
    </w:p>
    <w:p>
      <w:pPr>
        <w:spacing w:line="600" w:lineRule="exact"/>
        <w:ind w:firstLine="643" w:firstLineChars="200"/>
        <w:rPr>
          <w:rStyle w:val="19"/>
          <w:rFonts w:hint="eastAsia" w:ascii="仿宋" w:hAnsi="仿宋" w:eastAsia="仿宋" w:cs="Times New Roman"/>
          <w:bCs/>
          <w:color w:val="auto"/>
          <w:sz w:val="32"/>
          <w:szCs w:val="32"/>
          <w:highlight w:val="none"/>
        </w:rPr>
      </w:pPr>
      <w:r>
        <w:rPr>
          <w:rStyle w:val="19"/>
          <w:rFonts w:hint="eastAsia" w:ascii="仿宋" w:hAnsi="仿宋" w:eastAsia="仿宋" w:cs="Times New Roman"/>
          <w:bCs/>
          <w:color w:val="auto"/>
          <w:sz w:val="32"/>
          <w:szCs w:val="32"/>
          <w:highlight w:val="none"/>
        </w:rPr>
        <w:t>4. 住房保障（类）住房改革支出（款）住房公积金（项）</w:t>
      </w:r>
      <w:r>
        <w:rPr>
          <w:rStyle w:val="19"/>
          <w:rFonts w:hint="eastAsia" w:ascii="仿宋" w:hAnsi="仿宋" w:eastAsia="仿宋" w:cs="Times New Roman"/>
          <w:bCs/>
          <w:color w:val="auto"/>
          <w:sz w:val="32"/>
          <w:szCs w:val="32"/>
          <w:highlight w:val="none"/>
          <w:lang w:val="en-US" w:eastAsia="zh-CN"/>
        </w:rPr>
        <w:t>:</w:t>
      </w:r>
    </w:p>
    <w:p>
      <w:pPr>
        <w:spacing w:line="600" w:lineRule="exact"/>
        <w:ind w:firstLine="640" w:firstLineChars="200"/>
        <w:outlineLvl w:val="9"/>
        <w:rPr>
          <w:rFonts w:hint="default" w:ascii="Times New Roman" w:hAnsi="Times New Roman" w:eastAsia="仿宋_GB2312" w:cs="Times New Roman"/>
          <w:b/>
          <w:sz w:val="32"/>
          <w:szCs w:val="32"/>
          <w:lang w:eastAsia="zh-CN"/>
        </w:rPr>
      </w:pPr>
      <w:r>
        <w:rPr>
          <w:rStyle w:val="19"/>
          <w:rFonts w:hint="eastAsia" w:ascii="Times New Roman" w:hAnsi="Times New Roman" w:eastAsia="仿宋_GB2312" w:cs="Times New Roman"/>
          <w:b w:val="0"/>
          <w:bCs/>
          <w:sz w:val="32"/>
          <w:szCs w:val="32"/>
        </w:rPr>
        <w:t>全年预算144070.00元，决算支出1</w:t>
      </w:r>
      <w:r>
        <w:rPr>
          <w:rStyle w:val="19"/>
          <w:rFonts w:hint="eastAsia" w:ascii="Times New Roman" w:hAnsi="Times New Roman" w:eastAsia="仿宋_GB2312" w:cs="Times New Roman"/>
          <w:b w:val="0"/>
          <w:bCs/>
          <w:sz w:val="32"/>
          <w:szCs w:val="32"/>
          <w:lang w:val="en-US" w:eastAsia="zh-CN"/>
        </w:rPr>
        <w:t>4.41</w:t>
      </w:r>
      <w:r>
        <w:rPr>
          <w:rStyle w:val="19"/>
          <w:rFonts w:hint="eastAsia" w:ascii="Times New Roman" w:hAnsi="Times New Roman" w:eastAsia="仿宋_GB2312" w:cs="Times New Roman"/>
          <w:b w:val="0"/>
          <w:bCs/>
          <w:sz w:val="32"/>
          <w:szCs w:val="32"/>
          <w:lang w:eastAsia="zh-CN"/>
        </w:rPr>
        <w:t>万</w:t>
      </w:r>
      <w:r>
        <w:rPr>
          <w:rStyle w:val="19"/>
          <w:rFonts w:hint="eastAsia" w:ascii="Times New Roman" w:hAnsi="Times New Roman" w:eastAsia="仿宋_GB2312" w:cs="Times New Roman"/>
          <w:b w:val="0"/>
          <w:bCs/>
          <w:sz w:val="32"/>
          <w:szCs w:val="32"/>
        </w:rPr>
        <w:t>元，</w:t>
      </w:r>
      <w:r>
        <w:rPr>
          <w:rStyle w:val="19"/>
          <w:rFonts w:hint="default" w:ascii="Times New Roman" w:hAnsi="Times New Roman" w:eastAsia="仿宋_GB2312" w:cs="Times New Roman"/>
          <w:b w:val="0"/>
          <w:bCs/>
          <w:sz w:val="32"/>
          <w:szCs w:val="32"/>
        </w:rPr>
        <w:t>完成预算</w:t>
      </w:r>
      <w:r>
        <w:rPr>
          <w:rStyle w:val="19"/>
          <w:rFonts w:hint="default" w:ascii="Times New Roman" w:hAnsi="Times New Roman" w:eastAsia="仿宋_GB2312" w:cs="Times New Roman"/>
          <w:b w:val="0"/>
          <w:bCs/>
          <w:sz w:val="32"/>
          <w:szCs w:val="32"/>
          <w:lang w:val="en-US" w:eastAsia="zh-CN"/>
        </w:rPr>
        <w:t>100</w:t>
      </w:r>
      <w:r>
        <w:rPr>
          <w:rStyle w:val="19"/>
          <w:rFonts w:hint="default" w:ascii="Times New Roman" w:hAnsi="Times New Roman" w:eastAsia="仿宋_GB2312" w:cs="Times New Roman"/>
          <w:b w:val="0"/>
          <w:bCs/>
          <w:sz w:val="32"/>
          <w:szCs w:val="32"/>
        </w:rPr>
        <w:t>%，</w:t>
      </w:r>
      <w:r>
        <w:rPr>
          <w:rStyle w:val="19"/>
          <w:rFonts w:hint="default" w:ascii="Times New Roman" w:hAnsi="Times New Roman" w:eastAsia="仿宋_GB2312" w:cs="Times New Roman"/>
          <w:b w:val="0"/>
          <w:bCs/>
          <w:sz w:val="32"/>
          <w:szCs w:val="32"/>
          <w:lang w:eastAsia="zh-CN"/>
        </w:rPr>
        <w:t>与预算数持平。</w:t>
      </w:r>
    </w:p>
    <w:p>
      <w:pPr>
        <w:rPr>
          <w:rFonts w:hint="eastAsia"/>
        </w:rPr>
      </w:pP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1-1表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w:t>
      </w:r>
      <w:r>
        <w:rPr>
          <w:rFonts w:hint="eastAsia" w:ascii="仿宋" w:hAnsi="仿宋" w:eastAsia="仿宋"/>
          <w:b/>
          <w:color w:val="auto"/>
          <w:sz w:val="32"/>
          <w:szCs w:val="32"/>
          <w:highlight w:val="none"/>
        </w:rPr>
        <w:t>全部功能分类科目</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rPr>
        <w:t>至项级。上述“预算”口径为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数。增减变动原因为决算数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和</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比较，与预算数持平可以不写原因。）</w:t>
      </w:r>
    </w:p>
    <w:p>
      <w:pPr>
        <w:spacing w:line="600" w:lineRule="exact"/>
        <w:ind w:firstLine="640"/>
        <w:rPr>
          <w:rFonts w:ascii="仿宋" w:hAnsi="仿宋" w:eastAsia="仿宋"/>
          <w:b/>
          <w:color w:val="auto"/>
          <w:sz w:val="32"/>
          <w:szCs w:val="32"/>
          <w:highlight w:val="none"/>
        </w:rPr>
      </w:pPr>
    </w:p>
    <w:p>
      <w:pPr>
        <w:tabs>
          <w:tab w:val="right" w:pos="8306"/>
        </w:tabs>
        <w:spacing w:line="600" w:lineRule="exact"/>
        <w:ind w:firstLine="640"/>
        <w:outlineLvl w:val="1"/>
        <w:rPr>
          <w:rStyle w:val="31"/>
          <w:color w:val="auto"/>
          <w:highlight w:val="none"/>
        </w:rPr>
      </w:pPr>
      <w:bookmarkStart w:id="53" w:name="_Toc6480"/>
      <w:bookmarkStart w:id="54" w:name="_Toc15377214"/>
      <w:bookmarkStart w:id="55" w:name="_Toc15396608"/>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1"/>
          <w:rFonts w:hint="eastAsia" w:ascii="黑体" w:hAnsi="黑体" w:eastAsia="黑体"/>
          <w:b w:val="0"/>
          <w:color w:val="auto"/>
          <w:highlight w:val="none"/>
        </w:rPr>
        <w:t>般公共预算财政拨款基本支出决算情况说明</w:t>
      </w:r>
      <w:bookmarkEnd w:id="53"/>
      <w:bookmarkEnd w:id="54"/>
      <w:bookmarkEnd w:id="55"/>
      <w:r>
        <w:rPr>
          <w:rStyle w:val="31"/>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年一般公共预算财政拨款基本支出263</w:t>
      </w:r>
      <w:r>
        <w:rPr>
          <w:rFonts w:hint="eastAsia" w:ascii="仿宋" w:hAnsi="仿宋" w:eastAsia="仿宋"/>
          <w:color w:val="auto"/>
          <w:sz w:val="32"/>
          <w:szCs w:val="32"/>
          <w:highlight w:val="none"/>
          <w:lang w:val="en-US" w:eastAsia="zh-CN"/>
        </w:rPr>
        <w:t>.46</w:t>
      </w:r>
      <w:r>
        <w:rPr>
          <w:rFonts w:hint="eastAsia" w:ascii="仿宋" w:hAnsi="仿宋" w:eastAsia="仿宋"/>
          <w:color w:val="auto"/>
          <w:sz w:val="32"/>
          <w:szCs w:val="32"/>
          <w:highlight w:val="none"/>
        </w:rPr>
        <w:t>万元，其中：</w:t>
      </w:r>
    </w:p>
    <w:p>
      <w:pPr>
        <w:spacing w:line="600" w:lineRule="exact"/>
        <w:ind w:firstLine="645"/>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人员经费205.66万元，主要包括：基本工资、津贴补贴、奖金、机关事业单位养老保险、职业年金、职工医疗保险、公务员医疗补助、其他社保缴费、住房公积金、医疗费补助、其他对个人和家庭补助等</w:t>
      </w:r>
      <w:r>
        <w:rPr>
          <w:rFonts w:hint="eastAsia" w:ascii="仿宋" w:hAnsi="仿宋" w:eastAsia="仿宋"/>
          <w:color w:val="auto"/>
          <w:sz w:val="32"/>
          <w:szCs w:val="32"/>
          <w:highlight w:val="none"/>
          <w:lang w:eastAsia="zh-CN"/>
        </w:rPr>
        <w:t>。</w:t>
      </w:r>
    </w:p>
    <w:p>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公用经费57.80万元，主要包括：办公费、印刷费、水费、电费、邮电费、差旅费、维修维护费、劳务费、工会经费、福利费、公务用车运行维护费等。</w:t>
      </w:r>
    </w:p>
    <w:p>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本部门实际支出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pPr>
        <w:spacing w:line="600" w:lineRule="exact"/>
        <w:ind w:firstLine="640"/>
        <w:rPr>
          <w:rFonts w:ascii="仿宋" w:hAnsi="仿宋" w:eastAsia="仿宋"/>
          <w:b/>
          <w:color w:val="auto"/>
          <w:sz w:val="32"/>
          <w:szCs w:val="32"/>
          <w:highlight w:val="none"/>
        </w:rPr>
      </w:pPr>
    </w:p>
    <w:p>
      <w:pPr>
        <w:spacing w:line="600" w:lineRule="exact"/>
        <w:ind w:firstLine="640"/>
        <w:outlineLvl w:val="1"/>
        <w:rPr>
          <w:rStyle w:val="31"/>
          <w:rFonts w:ascii="黑体" w:hAnsi="黑体" w:eastAsia="黑体"/>
          <w:b w:val="0"/>
          <w:color w:val="auto"/>
          <w:highlight w:val="none"/>
        </w:rPr>
      </w:pPr>
      <w:bookmarkStart w:id="56" w:name="_Toc15377215"/>
      <w:bookmarkStart w:id="57" w:name="_Toc15396609"/>
      <w:bookmarkStart w:id="58" w:name="_Toc19048"/>
      <w:r>
        <w:rPr>
          <w:rFonts w:hint="eastAsia" w:ascii="黑体" w:eastAsia="黑体"/>
          <w:color w:val="auto"/>
          <w:sz w:val="32"/>
          <w:szCs w:val="32"/>
          <w:highlight w:val="none"/>
        </w:rPr>
        <w:t>七、</w:t>
      </w:r>
      <w:r>
        <w:rPr>
          <w:rStyle w:val="31"/>
          <w:rFonts w:hint="eastAsia" w:ascii="黑体" w:hAnsi="黑体" w:eastAsia="黑体"/>
          <w:b w:val="0"/>
          <w:color w:val="auto"/>
          <w:highlight w:val="none"/>
        </w:rPr>
        <w:t>财政拨款</w:t>
      </w:r>
      <w:r>
        <w:rPr>
          <w:rStyle w:val="31"/>
          <w:rFonts w:hint="eastAsia" w:ascii="黑体" w:hAnsi="黑体" w:eastAsia="黑体"/>
          <w:color w:val="auto"/>
          <w:highlight w:val="none"/>
        </w:rPr>
        <w:t>“</w:t>
      </w:r>
      <w:r>
        <w:rPr>
          <w:rStyle w:val="31"/>
          <w:rFonts w:hint="eastAsia" w:ascii="黑体" w:hAnsi="黑体" w:eastAsia="黑体"/>
          <w:b w:val="0"/>
          <w:color w:val="auto"/>
          <w:highlight w:val="none"/>
        </w:rPr>
        <w:t>三公”经费支出决算情况说明</w:t>
      </w:r>
      <w:bookmarkEnd w:id="56"/>
      <w:bookmarkEnd w:id="57"/>
      <w:bookmarkEnd w:id="58"/>
    </w:p>
    <w:p>
      <w:pPr>
        <w:spacing w:line="600" w:lineRule="exact"/>
        <w:ind w:firstLine="640"/>
        <w:outlineLvl w:val="2"/>
        <w:rPr>
          <w:rFonts w:ascii="仿宋" w:hAnsi="仿宋" w:eastAsia="仿宋"/>
          <w:b/>
          <w:color w:val="auto"/>
          <w:sz w:val="32"/>
          <w:szCs w:val="32"/>
          <w:highlight w:val="none"/>
        </w:rPr>
      </w:pPr>
      <w:bookmarkStart w:id="59" w:name="_Toc15377216"/>
      <w:bookmarkStart w:id="60" w:name="_Toc19666"/>
      <w:r>
        <w:rPr>
          <w:rFonts w:hint="eastAsia" w:ascii="仿宋" w:hAnsi="仿宋" w:eastAsia="仿宋"/>
          <w:b/>
          <w:color w:val="auto"/>
          <w:sz w:val="32"/>
          <w:szCs w:val="32"/>
          <w:highlight w:val="none"/>
        </w:rPr>
        <w:t>（一）“三公”经费财政拨款支出决算总体情况说明</w:t>
      </w:r>
      <w:bookmarkEnd w:id="59"/>
      <w:bookmarkEnd w:id="60"/>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42.48</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与预算数持平。</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pPr>
        <w:spacing w:line="600" w:lineRule="exact"/>
        <w:ind w:firstLine="640"/>
        <w:outlineLvl w:val="2"/>
        <w:rPr>
          <w:rFonts w:ascii="仿宋" w:hAnsi="仿宋" w:eastAsia="仿宋"/>
          <w:b/>
          <w:color w:val="auto"/>
          <w:sz w:val="32"/>
          <w:szCs w:val="32"/>
          <w:highlight w:val="none"/>
        </w:rPr>
      </w:pPr>
      <w:bookmarkStart w:id="61" w:name="_Toc15377217"/>
      <w:bookmarkStart w:id="62" w:name="_Toc28271"/>
      <w:r>
        <w:rPr>
          <w:rFonts w:hint="eastAsia" w:ascii="仿宋" w:hAnsi="仿宋" w:eastAsia="仿宋"/>
          <w:b/>
          <w:color w:val="auto"/>
          <w:sz w:val="32"/>
          <w:szCs w:val="32"/>
          <w:highlight w:val="none"/>
        </w:rPr>
        <w:t>（二）“三公”经费财政拨款支出决算具体情况说明</w:t>
      </w:r>
      <w:bookmarkEnd w:id="61"/>
      <w:bookmarkEnd w:id="62"/>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2022年“三公”经费财政拨款支出决算中，因公出国（境）费支出决算0万元，占0%；公务用车</w:t>
      </w:r>
      <w:r>
        <w:rPr>
          <w:rFonts w:hint="eastAsia" w:ascii="仿宋_GB2312" w:hAnsi="仿宋_GB2312" w:eastAsia="仿宋_GB2312" w:cs="仿宋_GB2312"/>
          <w:color w:val="auto"/>
          <w:sz w:val="32"/>
          <w:szCs w:val="32"/>
          <w:highlight w:val="none"/>
          <w:lang w:val="en-US" w:eastAsia="zh-CN"/>
        </w:rPr>
        <w:t>购置及</w:t>
      </w:r>
      <w:r>
        <w:rPr>
          <w:rFonts w:hint="default" w:ascii="仿宋_GB2312" w:hAnsi="仿宋_GB2312" w:eastAsia="仿宋_GB2312" w:cs="仿宋_GB2312"/>
          <w:color w:val="auto"/>
          <w:sz w:val="32"/>
          <w:szCs w:val="32"/>
          <w:highlight w:val="none"/>
          <w:lang w:val="en-US" w:eastAsia="zh-CN"/>
        </w:rPr>
        <w:t>运行维护费支出决算</w:t>
      </w:r>
      <w:r>
        <w:rPr>
          <w:rFonts w:hint="eastAsia" w:ascii="仿宋_GB2312" w:hAnsi="仿宋_GB2312" w:eastAsia="仿宋_GB2312" w:cs="仿宋_GB2312"/>
          <w:color w:val="auto"/>
          <w:sz w:val="32"/>
          <w:szCs w:val="32"/>
          <w:highlight w:val="none"/>
          <w:lang w:val="en-US" w:eastAsia="zh-CN"/>
        </w:rPr>
        <w:t>42.48</w:t>
      </w:r>
      <w:r>
        <w:rPr>
          <w:rFonts w:hint="default" w:ascii="仿宋_GB2312" w:hAnsi="仿宋_GB2312" w:eastAsia="仿宋_GB2312" w:cs="仿宋_GB2312"/>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（其中公务用车购置为40万元，公务用车运行维护费为2.48万元）</w:t>
      </w:r>
      <w:r>
        <w:rPr>
          <w:rFonts w:hint="default" w:ascii="仿宋_GB2312" w:hAnsi="仿宋_GB2312" w:eastAsia="仿宋_GB2312" w:cs="仿宋_GB2312"/>
          <w:color w:val="auto"/>
          <w:sz w:val="32"/>
          <w:szCs w:val="32"/>
          <w:highlight w:val="none"/>
          <w:lang w:val="en-US" w:eastAsia="zh-CN"/>
        </w:rPr>
        <w:t>，占100%；公务接待费支出决算0万元，占0%。具体情况如下：</w:t>
      </w:r>
    </w:p>
    <w:p>
      <w:pPr>
        <w:pStyle w:val="28"/>
        <w:jc w:val="center"/>
        <w:rPr>
          <w:rFonts w:hint="eastAsia" w:ascii="仿宋" w:hAnsi="仿宋" w:eastAsia="仿宋"/>
          <w:sz w:val="32"/>
          <w:szCs w:val="32"/>
          <w:lang w:eastAsia="zh-CN"/>
        </w:rPr>
      </w:pPr>
      <w:r>
        <w:drawing>
          <wp:inline distT="0" distB="0" distL="114300" distR="114300">
            <wp:extent cx="3213735" cy="1971040"/>
            <wp:effectExtent l="4445" t="4445" r="20320" b="5715"/>
            <wp:docPr id="105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jc w:val="center"/>
        <w:rPr>
          <w:rFonts w:ascii="仿宋" w:hAnsi="仿宋" w:eastAsia="仿宋"/>
          <w:sz w:val="28"/>
          <w:szCs w:val="28"/>
        </w:rPr>
      </w:pPr>
      <w:r>
        <w:rPr>
          <w:rFonts w:hint="eastAsia" w:ascii="仿宋" w:hAnsi="仿宋" w:eastAsia="仿宋"/>
          <w:sz w:val="28"/>
          <w:szCs w:val="28"/>
        </w:rPr>
        <w:t>（图7：“三公”经费财政拨款支出结构）（饼状图）</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1.因公出国（境）经费支出</w:t>
      </w:r>
      <w:r>
        <w:rPr>
          <w:rFonts w:hint="default" w:ascii="仿宋_GB2312" w:hAnsi="仿宋_GB2312" w:eastAsia="仿宋_GB2312" w:cs="仿宋_GB2312"/>
          <w:color w:val="auto"/>
          <w:sz w:val="32"/>
          <w:szCs w:val="32"/>
          <w:highlight w:val="none"/>
          <w:lang w:val="en-US" w:eastAsia="zh-CN"/>
        </w:rPr>
        <w:t>0万元，完成预算0%。全年安排因公出国（境）团组0次，出国（境）0人。因公出国（境）支出决算比2021年增加0万元，增长0%。主要原因未安排因公出国（境）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bidi w:val="0"/>
        <w:snapToGrid/>
        <w:spacing w:line="560" w:lineRule="exact"/>
        <w:ind w:firstLine="640"/>
        <w:textAlignment w:val="auto"/>
        <w:rPr>
          <w:rFonts w:hint="default"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b/>
          <w:sz w:val="32"/>
          <w:szCs w:val="32"/>
        </w:rPr>
        <w:t>2.公务用车购置及运行维护费支出</w:t>
      </w:r>
      <w:r>
        <w:rPr>
          <w:rFonts w:hint="default" w:ascii="Times New Roman" w:hAnsi="Times New Roman" w:eastAsia="仿宋_GB2312" w:cs="Times New Roman"/>
          <w:b/>
          <w:sz w:val="32"/>
          <w:szCs w:val="32"/>
          <w:lang w:eastAsia="zh-CN"/>
        </w:rPr>
        <w:t>：</w:t>
      </w:r>
      <w:r>
        <w:rPr>
          <w:rFonts w:hint="eastAsia" w:ascii="仿宋_GB2312" w:hAnsi="仿宋_GB2312" w:eastAsia="仿宋_GB2312" w:cs="仿宋_GB2312"/>
          <w:color w:val="auto"/>
          <w:sz w:val="32"/>
          <w:szCs w:val="32"/>
          <w:highlight w:val="none"/>
          <w:lang w:val="en-US" w:eastAsia="zh-CN"/>
        </w:rPr>
        <w:t>42.48</w:t>
      </w:r>
      <w:r>
        <w:rPr>
          <w:rFonts w:hint="default" w:ascii="仿宋_GB2312" w:hAnsi="仿宋_GB2312" w:eastAsia="仿宋_GB2312" w:cs="仿宋_GB2312"/>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完成预算</w:t>
      </w:r>
      <w:r>
        <w:rPr>
          <w:rFonts w:hint="default" w:ascii="仿宋_GB2312" w:hAnsi="仿宋_GB2312" w:eastAsia="仿宋_GB2312" w:cs="仿宋_GB2312"/>
          <w:color w:val="auto"/>
          <w:sz w:val="32"/>
          <w:szCs w:val="32"/>
          <w:highlight w:val="none"/>
          <w:lang w:val="zh-CN" w:eastAsia="zh-CN"/>
        </w:rPr>
        <w:t>100%</w:t>
      </w:r>
      <w:r>
        <w:rPr>
          <w:rFonts w:hint="default" w:ascii="仿宋_GB2312" w:hAnsi="仿宋_GB2312" w:eastAsia="仿宋_GB2312" w:cs="仿宋_GB2312"/>
          <w:color w:val="auto"/>
          <w:sz w:val="32"/>
          <w:szCs w:val="32"/>
          <w:highlight w:val="none"/>
          <w:lang w:val="en-US" w:eastAsia="zh-CN"/>
        </w:rPr>
        <w:t>。公务用车购置及运行维护费支出决算比2021年增加</w:t>
      </w:r>
      <w:r>
        <w:rPr>
          <w:rFonts w:hint="eastAsia" w:ascii="仿宋_GB2312" w:hAnsi="仿宋_GB2312" w:eastAsia="仿宋_GB2312" w:cs="仿宋_GB2312"/>
          <w:color w:val="auto"/>
          <w:sz w:val="32"/>
          <w:szCs w:val="32"/>
          <w:highlight w:val="none"/>
          <w:lang w:val="en-US" w:eastAsia="zh-CN"/>
        </w:rPr>
        <w:t>42.48</w:t>
      </w:r>
      <w:r>
        <w:rPr>
          <w:rFonts w:hint="default" w:ascii="仿宋_GB2312" w:hAnsi="仿宋_GB2312" w:eastAsia="仿宋_GB2312" w:cs="仿宋_GB2312"/>
          <w:color w:val="auto"/>
          <w:sz w:val="32"/>
          <w:szCs w:val="32"/>
          <w:highlight w:val="none"/>
          <w:lang w:val="en-US" w:eastAsia="zh-CN"/>
        </w:rPr>
        <w:t>万元。</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sz w:val="32"/>
          <w:szCs w:val="32"/>
        </w:rPr>
        <w:t>其中：</w:t>
      </w:r>
      <w:r>
        <w:rPr>
          <w:rFonts w:hint="default" w:ascii="Times New Roman" w:hAnsi="Times New Roman" w:eastAsia="仿宋_GB2312" w:cs="Times New Roman"/>
          <w:b/>
          <w:sz w:val="32"/>
          <w:szCs w:val="32"/>
        </w:rPr>
        <w:t>公务用车购置支出</w:t>
      </w:r>
      <w:r>
        <w:rPr>
          <w:rFonts w:hint="default" w:ascii="Times New Roman" w:hAnsi="Times New Roman" w:eastAsia="仿宋_GB2312" w:cs="Times New Roman"/>
          <w:b/>
          <w:sz w:val="32"/>
          <w:szCs w:val="32"/>
          <w:lang w:eastAsia="zh-CN"/>
        </w:rPr>
        <w:t>：</w:t>
      </w:r>
      <w:r>
        <w:rPr>
          <w:rFonts w:hint="eastAsia" w:ascii="仿宋_GB2312" w:hAnsi="仿宋_GB2312" w:eastAsia="仿宋_GB2312" w:cs="仿宋_GB2312"/>
          <w:color w:val="auto"/>
          <w:sz w:val="32"/>
          <w:szCs w:val="32"/>
          <w:highlight w:val="none"/>
          <w:lang w:val="en-US" w:eastAsia="zh-CN"/>
        </w:rPr>
        <w:t>40</w:t>
      </w:r>
      <w:r>
        <w:rPr>
          <w:rFonts w:hint="default" w:ascii="仿宋_GB2312" w:hAnsi="仿宋_GB2312" w:eastAsia="仿宋_GB2312" w:cs="仿宋_GB2312"/>
          <w:color w:val="auto"/>
          <w:sz w:val="32"/>
          <w:szCs w:val="32"/>
          <w:highlight w:val="none"/>
          <w:lang w:val="en-US" w:eastAsia="zh-CN"/>
        </w:rPr>
        <w:t>万元。全年按规定更新购置公务用车0辆，其中：轿车0辆、金额0万元，越野车</w:t>
      </w:r>
      <w:r>
        <w:rPr>
          <w:rFonts w:hint="eastAsia" w:ascii="仿宋_GB2312" w:hAnsi="仿宋_GB2312" w:eastAsia="仿宋_GB2312" w:cs="仿宋_GB2312"/>
          <w:color w:val="auto"/>
          <w:sz w:val="32"/>
          <w:szCs w:val="32"/>
          <w:highlight w:val="none"/>
          <w:lang w:val="en-US" w:eastAsia="zh-CN"/>
        </w:rPr>
        <w:t>0</w:t>
      </w:r>
      <w:r>
        <w:rPr>
          <w:rFonts w:hint="default" w:ascii="仿宋_GB2312" w:hAnsi="仿宋_GB2312" w:eastAsia="仿宋_GB2312" w:cs="仿宋_GB2312"/>
          <w:color w:val="auto"/>
          <w:sz w:val="32"/>
          <w:szCs w:val="32"/>
          <w:highlight w:val="none"/>
          <w:lang w:val="en-US" w:eastAsia="zh-CN"/>
        </w:rPr>
        <w:t>辆、金额0万元，载客汽车0辆、金额0万元</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2022年12月底，单位共有公务用车1辆，其中：轿车0辆、越野车1辆、载客汽车0辆。</w:t>
      </w:r>
    </w:p>
    <w:p>
      <w:pPr>
        <w:keepNext w:val="0"/>
        <w:keepLines w:val="0"/>
        <w:pageBreakBefore w:val="0"/>
        <w:widowControl w:val="0"/>
        <w:kinsoku/>
        <w:wordWrap/>
        <w:overflowPunct/>
        <w:topLinePunct w:val="0"/>
        <w:bidi w:val="0"/>
        <w:snapToGrid/>
        <w:spacing w:line="560" w:lineRule="exact"/>
        <w:ind w:firstLine="640"/>
        <w:textAlignment w:val="auto"/>
        <w:rPr>
          <w:rFonts w:hint="default"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b/>
          <w:sz w:val="32"/>
          <w:szCs w:val="32"/>
        </w:rPr>
        <w:t>公务用车运行维护费支出</w:t>
      </w:r>
      <w:r>
        <w:rPr>
          <w:rFonts w:hint="default" w:ascii="Times New Roman" w:hAnsi="Times New Roman" w:eastAsia="仿宋_GB2312" w:cs="Times New Roman"/>
          <w:b/>
          <w:sz w:val="32"/>
          <w:szCs w:val="32"/>
          <w:lang w:eastAsia="zh-CN"/>
        </w:rPr>
        <w:t>：</w:t>
      </w:r>
      <w:r>
        <w:rPr>
          <w:rFonts w:hint="eastAsia" w:ascii="仿宋_GB2312" w:hAnsi="仿宋_GB2312" w:eastAsia="仿宋_GB2312" w:cs="仿宋_GB2312"/>
          <w:color w:val="auto"/>
          <w:sz w:val="32"/>
          <w:szCs w:val="32"/>
          <w:highlight w:val="none"/>
          <w:lang w:val="en-US" w:eastAsia="zh-CN"/>
        </w:rPr>
        <w:t>2.48</w:t>
      </w:r>
      <w:r>
        <w:rPr>
          <w:rFonts w:hint="default" w:ascii="仿宋_GB2312" w:hAnsi="仿宋_GB2312" w:eastAsia="仿宋_GB2312" w:cs="仿宋_GB2312"/>
          <w:color w:val="auto"/>
          <w:sz w:val="32"/>
          <w:szCs w:val="32"/>
          <w:highlight w:val="none"/>
          <w:lang w:val="en-US" w:eastAsia="zh-CN"/>
        </w:rPr>
        <w:t>万元。完成预算100%。主要用于所需的公务用车燃料费、维修费、过路过桥费、保险费等支出。</w:t>
      </w:r>
    </w:p>
    <w:p>
      <w:pPr>
        <w:keepNext w:val="0"/>
        <w:keepLines w:val="0"/>
        <w:pageBreakBefore w:val="0"/>
        <w:widowControl w:val="0"/>
        <w:kinsoku/>
        <w:wordWrap/>
        <w:overflowPunct/>
        <w:topLinePunct w:val="0"/>
        <w:bidi w:val="0"/>
        <w:snapToGrid/>
        <w:spacing w:line="560" w:lineRule="exact"/>
        <w:ind w:firstLine="640"/>
        <w:textAlignment w:val="auto"/>
        <w:rPr>
          <w:rFonts w:hint="default"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b/>
          <w:sz w:val="32"/>
          <w:szCs w:val="32"/>
        </w:rPr>
        <w:t>3.公务接待费支出</w:t>
      </w:r>
      <w:r>
        <w:rPr>
          <w:rFonts w:hint="default" w:ascii="Times New Roman" w:hAnsi="Times New Roman" w:eastAsia="仿宋_GB2312" w:cs="Times New Roman"/>
          <w:b/>
          <w:sz w:val="32"/>
          <w:szCs w:val="32"/>
          <w:lang w:eastAsia="zh-CN"/>
        </w:rPr>
        <w:t>：</w:t>
      </w:r>
      <w:r>
        <w:rPr>
          <w:rFonts w:hint="default" w:ascii="仿宋_GB2312" w:hAnsi="仿宋_GB2312" w:eastAsia="仿宋_GB2312" w:cs="仿宋_GB2312"/>
          <w:color w:val="auto"/>
          <w:sz w:val="32"/>
          <w:szCs w:val="32"/>
          <w:highlight w:val="none"/>
          <w:lang w:val="en-US" w:eastAsia="zh-CN"/>
        </w:rPr>
        <w:t>0万元，完成预算0%。公务接待费支出决算比2021年减少0万元，下降0%。主要原因厉行勤俭节约。其中：</w:t>
      </w:r>
      <w:r>
        <w:rPr>
          <w:rFonts w:hint="default" w:ascii="Times New Roman" w:hAnsi="Times New Roman" w:eastAsia="仿宋_GB2312" w:cs="Times New Roman"/>
          <w:b/>
          <w:sz w:val="32"/>
          <w:szCs w:val="32"/>
        </w:rPr>
        <w:t>国内公务接待支出</w:t>
      </w:r>
      <w:r>
        <w:rPr>
          <w:rFonts w:hint="default" w:ascii="Times New Roman" w:hAnsi="Times New Roman" w:eastAsia="仿宋_GB2312" w:cs="Times New Roman"/>
          <w:sz w:val="32"/>
          <w:szCs w:val="32"/>
          <w:lang w:val="en-US" w:eastAsia="zh-CN"/>
        </w:rPr>
        <w:t>：</w:t>
      </w:r>
      <w:r>
        <w:rPr>
          <w:rFonts w:hint="default" w:ascii="仿宋_GB2312" w:hAnsi="仿宋_GB2312" w:eastAsia="仿宋_GB2312" w:cs="仿宋_GB2312"/>
          <w:color w:val="auto"/>
          <w:sz w:val="32"/>
          <w:szCs w:val="32"/>
          <w:highlight w:val="none"/>
          <w:lang w:val="en-US" w:eastAsia="zh-CN"/>
        </w:rPr>
        <w:t>0万元，主要用于执行公务、开展业务活动开支的交通费、住宿费、用餐费等，共计支出0万元。</w:t>
      </w:r>
      <w:r>
        <w:rPr>
          <w:rFonts w:hint="default" w:ascii="Times New Roman" w:hAnsi="Times New Roman" w:eastAsia="仿宋_GB2312" w:cs="Times New Roman"/>
          <w:b/>
          <w:sz w:val="32"/>
          <w:szCs w:val="32"/>
        </w:rPr>
        <w:t>外事接待支出</w:t>
      </w:r>
      <w:r>
        <w:rPr>
          <w:rFonts w:hint="eastAsia" w:ascii="Times New Roman" w:hAnsi="Times New Roman" w:eastAsia="仿宋_GB2312" w:cs="Times New Roman"/>
          <w:b/>
          <w:sz w:val="32"/>
          <w:szCs w:val="32"/>
          <w:lang w:eastAsia="zh-CN"/>
        </w:rPr>
        <w:t>：</w:t>
      </w:r>
      <w:r>
        <w:rPr>
          <w:rFonts w:hint="default" w:ascii="仿宋_GB2312" w:hAnsi="仿宋_GB2312" w:eastAsia="仿宋_GB2312" w:cs="仿宋_GB2312"/>
          <w:color w:val="auto"/>
          <w:sz w:val="32"/>
          <w:szCs w:val="32"/>
          <w:highlight w:val="none"/>
          <w:lang w:val="en-US" w:eastAsia="zh-CN"/>
        </w:rPr>
        <w:t>0万元，外事接待0批次，0人，共计支出0万元。</w:t>
      </w:r>
    </w:p>
    <w:p>
      <w:pPr>
        <w:keepNext w:val="0"/>
        <w:keepLines w:val="0"/>
        <w:pageBreakBefore w:val="0"/>
        <w:widowControl w:val="0"/>
        <w:kinsoku/>
        <w:wordWrap/>
        <w:overflowPunct/>
        <w:topLinePunct w:val="0"/>
        <w:bidi w:val="0"/>
        <w:snapToGrid/>
        <w:spacing w:line="560" w:lineRule="exact"/>
        <w:ind w:firstLine="640"/>
        <w:textAlignment w:val="auto"/>
        <w:outlineLvl w:val="1"/>
        <w:rPr>
          <w:rStyle w:val="31"/>
          <w:rFonts w:hint="default" w:ascii="Times New Roman" w:hAnsi="Times New Roman" w:eastAsia="仿宋_GB2312" w:cs="Times New Roman"/>
          <w:b/>
          <w:bCs w:val="0"/>
          <w:sz w:val="32"/>
          <w:szCs w:val="32"/>
        </w:rPr>
      </w:pPr>
      <w:bookmarkStart w:id="63" w:name="_Toc8675"/>
      <w:bookmarkStart w:id="64" w:name="_Toc4408"/>
      <w:r>
        <w:rPr>
          <w:rFonts w:hint="default" w:ascii="Times New Roman" w:hAnsi="Times New Roman" w:eastAsia="仿宋_GB2312" w:cs="Times New Roman"/>
          <w:b/>
          <w:bCs w:val="0"/>
          <w:sz w:val="32"/>
          <w:szCs w:val="32"/>
        </w:rPr>
        <w:t>八、</w:t>
      </w:r>
      <w:r>
        <w:rPr>
          <w:rStyle w:val="31"/>
          <w:rFonts w:hint="default" w:ascii="Times New Roman" w:hAnsi="Times New Roman" w:eastAsia="仿宋_GB2312" w:cs="Times New Roman"/>
          <w:b/>
          <w:bCs w:val="0"/>
          <w:sz w:val="32"/>
          <w:szCs w:val="32"/>
        </w:rPr>
        <w:t>政府性基金预算支出决算情况说明</w:t>
      </w:r>
      <w:bookmarkEnd w:id="63"/>
      <w:bookmarkEnd w:id="64"/>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2022年政府性基金预算财政拨款支出0万元。</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2022年国有资本经营预算财政拨款支出0万元。</w:t>
      </w:r>
    </w:p>
    <w:p>
      <w:pPr>
        <w:keepNext w:val="0"/>
        <w:keepLines w:val="0"/>
        <w:pageBreakBefore w:val="0"/>
        <w:widowControl w:val="0"/>
        <w:kinsoku/>
        <w:wordWrap/>
        <w:overflowPunct/>
        <w:topLinePunct w:val="0"/>
        <w:bidi w:val="0"/>
        <w:snapToGrid/>
        <w:spacing w:line="560" w:lineRule="exact"/>
        <w:ind w:firstLine="640"/>
        <w:textAlignment w:val="auto"/>
        <w:outlineLvl w:val="1"/>
        <w:rPr>
          <w:rFonts w:hint="default" w:ascii="Times New Roman" w:hAnsi="Times New Roman" w:eastAsia="仿宋_GB2312" w:cs="Times New Roman"/>
          <w:b/>
          <w:bCs w:val="0"/>
          <w:sz w:val="32"/>
          <w:szCs w:val="32"/>
        </w:rPr>
      </w:pPr>
      <w:bookmarkStart w:id="65" w:name="_Toc3268"/>
      <w:bookmarkStart w:id="66" w:name="_Toc19310"/>
      <w:r>
        <w:rPr>
          <w:rFonts w:hint="eastAsia" w:ascii="Times New Roman" w:hAnsi="Times New Roman" w:eastAsia="仿宋_GB2312" w:cs="Times New Roman"/>
          <w:b/>
          <w:bCs w:val="0"/>
          <w:sz w:val="32"/>
          <w:szCs w:val="32"/>
          <w:lang w:eastAsia="zh-CN"/>
        </w:rPr>
        <w:t>九、</w:t>
      </w:r>
      <w:r>
        <w:rPr>
          <w:rFonts w:hint="default" w:ascii="Times New Roman" w:hAnsi="Times New Roman" w:eastAsia="仿宋_GB2312" w:cs="Times New Roman"/>
          <w:b/>
          <w:bCs w:val="0"/>
          <w:sz w:val="32"/>
          <w:szCs w:val="32"/>
        </w:rPr>
        <w:t>国有资本经营预算支出决算情况说明</w:t>
      </w:r>
      <w:bookmarkEnd w:id="65"/>
      <w:bookmarkEnd w:id="66"/>
    </w:p>
    <w:p>
      <w:pPr>
        <w:pStyle w:val="9"/>
      </w:pPr>
    </w:p>
    <w:p>
      <w:pPr>
        <w:keepNext w:val="0"/>
        <w:keepLines w:val="0"/>
        <w:pageBreakBefore w:val="0"/>
        <w:widowControl w:val="0"/>
        <w:kinsoku/>
        <w:wordWrap/>
        <w:overflowPunct/>
        <w:topLinePunct w:val="0"/>
        <w:bidi w:val="0"/>
        <w:snapToGrid/>
        <w:spacing w:line="560" w:lineRule="exact"/>
        <w:ind w:firstLine="640"/>
        <w:textAlignment w:val="auto"/>
        <w:outlineLvl w:val="1"/>
        <w:rPr>
          <w:rFonts w:hint="default" w:ascii="Times New Roman" w:hAnsi="Times New Roman" w:eastAsia="仿宋_GB2312" w:cs="Times New Roman"/>
          <w:b/>
          <w:bCs w:val="0"/>
          <w:sz w:val="32"/>
          <w:szCs w:val="32"/>
          <w:lang w:eastAsia="zh-CN"/>
        </w:rPr>
      </w:pPr>
      <w:bookmarkStart w:id="67" w:name="_Toc15377219"/>
      <w:bookmarkStart w:id="68" w:name="_Toc15396611"/>
      <w:bookmarkStart w:id="69" w:name="_Toc18634"/>
      <w:r>
        <w:rPr>
          <w:rFonts w:hint="eastAsia" w:ascii="Times New Roman" w:hAnsi="Times New Roman" w:eastAsia="仿宋_GB2312" w:cs="Times New Roman"/>
          <w:b/>
          <w:bCs w:val="0"/>
          <w:sz w:val="32"/>
          <w:szCs w:val="32"/>
          <w:lang w:eastAsia="zh-CN"/>
        </w:rPr>
        <w:t>十、国有资本经营预算支出决算情况说明</w:t>
      </w:r>
      <w:bookmarkEnd w:id="67"/>
      <w:bookmarkEnd w:id="68"/>
      <w:bookmarkEnd w:id="69"/>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2022年国有资本经营预算财政拨款支出0万元。</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bidi w:val="0"/>
        <w:snapToGrid/>
        <w:spacing w:line="560" w:lineRule="exact"/>
        <w:ind w:firstLine="640"/>
        <w:textAlignment w:val="auto"/>
        <w:outlineLvl w:val="1"/>
        <w:rPr>
          <w:rFonts w:hint="eastAsia" w:ascii="Times New Roman" w:hAnsi="Times New Roman" w:eastAsia="仿宋_GB2312" w:cs="Times New Roman"/>
          <w:b/>
          <w:bCs w:val="0"/>
          <w:sz w:val="32"/>
          <w:szCs w:val="32"/>
          <w:lang w:eastAsia="zh-CN"/>
        </w:rPr>
      </w:pPr>
      <w:bookmarkStart w:id="70" w:name="_Toc15377221"/>
      <w:bookmarkStart w:id="71" w:name="_Toc15396612"/>
      <w:bookmarkStart w:id="72" w:name="_Toc20912"/>
      <w:r>
        <w:rPr>
          <w:rFonts w:hint="eastAsia" w:ascii="Times New Roman" w:hAnsi="Times New Roman" w:eastAsia="仿宋_GB2312" w:cs="Times New Roman"/>
          <w:b/>
          <w:bCs w:val="0"/>
          <w:sz w:val="32"/>
          <w:szCs w:val="32"/>
          <w:lang w:eastAsia="zh-CN"/>
        </w:rPr>
        <w:t>十一、其他重要事项的情况说明</w:t>
      </w:r>
      <w:bookmarkEnd w:id="70"/>
      <w:bookmarkEnd w:id="71"/>
      <w:bookmarkEnd w:id="72"/>
    </w:p>
    <w:p>
      <w:pPr>
        <w:spacing w:line="600" w:lineRule="exact"/>
        <w:ind w:firstLine="643" w:firstLineChars="200"/>
        <w:outlineLvl w:val="2"/>
        <w:rPr>
          <w:rFonts w:ascii="仿宋" w:hAnsi="仿宋" w:eastAsia="仿宋"/>
          <w:color w:val="auto"/>
          <w:sz w:val="32"/>
          <w:szCs w:val="32"/>
          <w:highlight w:val="none"/>
        </w:rPr>
      </w:pPr>
      <w:bookmarkStart w:id="73" w:name="_Toc15377222"/>
      <w:bookmarkStart w:id="74" w:name="_Toc25917"/>
      <w:r>
        <w:rPr>
          <w:rFonts w:hint="eastAsia" w:ascii="仿宋" w:hAnsi="仿宋" w:eastAsia="仿宋"/>
          <w:b/>
          <w:color w:val="auto"/>
          <w:sz w:val="32"/>
          <w:szCs w:val="32"/>
          <w:highlight w:val="none"/>
        </w:rPr>
        <w:t>（一）机关运行经费支出情况</w:t>
      </w:r>
      <w:bookmarkEnd w:id="73"/>
      <w:bookmarkEnd w:id="74"/>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val="en-US" w:eastAsia="zh-CN"/>
        </w:rPr>
        <w:t>22年，</w:t>
      </w:r>
      <w:r>
        <w:rPr>
          <w:rFonts w:hint="default" w:ascii="仿宋_GB2312" w:hAnsi="仿宋_GB2312" w:eastAsia="仿宋_GB2312" w:cs="仿宋_GB2312"/>
          <w:color w:val="auto"/>
          <w:sz w:val="32"/>
          <w:szCs w:val="32"/>
          <w:highlight w:val="none"/>
          <w:lang w:val="en-US" w:eastAsia="zh-CN"/>
        </w:rPr>
        <w:t>2022年，机关运行经费支出</w:t>
      </w:r>
      <w:r>
        <w:rPr>
          <w:rFonts w:hint="default" w:ascii="仿宋_GB2312" w:hAnsi="仿宋_GB2312" w:eastAsia="仿宋_GB2312" w:cs="仿宋_GB2312"/>
          <w:color w:val="auto"/>
          <w:sz w:val="32"/>
          <w:szCs w:val="32"/>
          <w:highlight w:val="none"/>
          <w:lang w:val="zh-CN" w:eastAsia="zh-CN"/>
        </w:rPr>
        <w:t>51.74</w:t>
      </w:r>
      <w:r>
        <w:rPr>
          <w:rFonts w:hint="default" w:ascii="仿宋_GB2312" w:hAnsi="仿宋_GB2312" w:eastAsia="仿宋_GB2312" w:cs="仿宋_GB2312"/>
          <w:color w:val="auto"/>
          <w:sz w:val="32"/>
          <w:szCs w:val="32"/>
          <w:highlight w:val="none"/>
          <w:lang w:val="en-US" w:eastAsia="zh-CN"/>
        </w:rPr>
        <w:t>万元，比2021年</w:t>
      </w:r>
      <w:r>
        <w:rPr>
          <w:rFonts w:hint="eastAsia" w:ascii="仿宋_GB2312" w:hAnsi="仿宋_GB2312" w:eastAsia="仿宋_GB2312" w:cs="仿宋_GB2312"/>
          <w:color w:val="auto"/>
          <w:sz w:val="32"/>
          <w:szCs w:val="32"/>
          <w:highlight w:val="none"/>
          <w:lang w:val="en-US" w:eastAsia="zh-CN"/>
        </w:rPr>
        <w:t>增加35.13</w:t>
      </w:r>
      <w:r>
        <w:rPr>
          <w:rFonts w:hint="default" w:ascii="仿宋_GB2312" w:hAnsi="仿宋_GB2312" w:eastAsia="仿宋_GB2312" w:cs="仿宋_GB2312"/>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上升211.38</w:t>
      </w:r>
      <w:r>
        <w:rPr>
          <w:rFonts w:hint="default" w:ascii="仿宋_GB2312" w:hAnsi="仿宋_GB2312" w:eastAsia="仿宋_GB2312" w:cs="仿宋_GB2312"/>
          <w:color w:val="auto"/>
          <w:sz w:val="32"/>
          <w:szCs w:val="32"/>
          <w:highlight w:val="none"/>
          <w:lang w:val="en-US" w:eastAsia="zh-CN"/>
        </w:rPr>
        <w:t>%，主要原因人员</w:t>
      </w:r>
      <w:r>
        <w:rPr>
          <w:rFonts w:hint="eastAsia" w:ascii="仿宋_GB2312" w:hAnsi="仿宋_GB2312" w:eastAsia="仿宋_GB2312" w:cs="仿宋_GB2312"/>
          <w:color w:val="auto"/>
          <w:sz w:val="32"/>
          <w:szCs w:val="32"/>
          <w:highlight w:val="none"/>
          <w:lang w:val="en-US" w:eastAsia="zh-CN"/>
        </w:rPr>
        <w:t>增加</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用车增加，</w:t>
      </w:r>
      <w:r>
        <w:rPr>
          <w:rFonts w:hint="default" w:ascii="仿宋_GB2312" w:hAnsi="仿宋_GB2312" w:eastAsia="仿宋_GB2312" w:cs="仿宋_GB2312"/>
          <w:color w:val="auto"/>
          <w:sz w:val="32"/>
          <w:szCs w:val="32"/>
          <w:highlight w:val="none"/>
          <w:lang w:val="en-US" w:eastAsia="zh-CN"/>
        </w:rPr>
        <w:t>公用经费相应</w:t>
      </w:r>
      <w:r>
        <w:rPr>
          <w:rFonts w:hint="eastAsia" w:ascii="仿宋_GB2312" w:hAnsi="仿宋_GB2312" w:eastAsia="仿宋_GB2312" w:cs="仿宋_GB2312"/>
          <w:color w:val="auto"/>
          <w:sz w:val="32"/>
          <w:szCs w:val="32"/>
          <w:highlight w:val="none"/>
          <w:lang w:val="en-US" w:eastAsia="zh-CN"/>
        </w:rPr>
        <w:t>增加</w:t>
      </w:r>
      <w:r>
        <w:rPr>
          <w:rFonts w:hint="default" w:ascii="仿宋_GB2312" w:hAnsi="仿宋_GB2312" w:eastAsia="仿宋_GB2312" w:cs="仿宋_GB2312"/>
          <w:color w:val="auto"/>
          <w:sz w:val="32"/>
          <w:szCs w:val="32"/>
          <w:highlight w:val="none"/>
          <w:lang w:val="en-US" w:eastAsia="zh-CN"/>
        </w:rPr>
        <w:t>。</w:t>
      </w:r>
    </w:p>
    <w:p>
      <w:pPr>
        <w:spacing w:line="600" w:lineRule="exact"/>
        <w:ind w:firstLine="640" w:firstLineChars="200"/>
        <w:rPr>
          <w:rFonts w:hint="eastAsia" w:ascii="仿宋_GB2312" w:eastAsia="仿宋_GB2312"/>
          <w:color w:val="auto"/>
          <w:sz w:val="32"/>
          <w:szCs w:val="32"/>
          <w:highlight w:val="none"/>
          <w:lang w:eastAsia="zh-CN"/>
        </w:rPr>
      </w:pP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75" w:name="_Toc15377223"/>
      <w:bookmarkStart w:id="76" w:name="_Toc19525"/>
      <w:r>
        <w:rPr>
          <w:rFonts w:hint="eastAsia" w:ascii="仿宋" w:hAnsi="仿宋" w:eastAsia="仿宋"/>
          <w:b/>
          <w:color w:val="auto"/>
          <w:sz w:val="32"/>
          <w:szCs w:val="32"/>
          <w:highlight w:val="none"/>
        </w:rPr>
        <w:t>（二）政府采购支出情况</w:t>
      </w:r>
      <w:bookmarkEnd w:id="75"/>
      <w:bookmarkEnd w:id="76"/>
    </w:p>
    <w:p>
      <w:pPr>
        <w:spacing w:line="600" w:lineRule="exact"/>
        <w:ind w:firstLine="640" w:firstLineChars="200"/>
        <w:rPr>
          <w:rFonts w:hint="eastAsia" w:ascii="仿宋_GB2312" w:hAnsi="Times New Roman" w:eastAsia="仿宋_GB2312" w:cs="Times New Roman"/>
          <w:color w:val="auto"/>
          <w:sz w:val="32"/>
          <w:szCs w:val="32"/>
          <w:highlight w:val="none"/>
        </w:rPr>
      </w:pPr>
      <w:r>
        <w:rPr>
          <w:rFonts w:hint="default" w:ascii="仿宋_GB2312" w:hAnsi="仿宋_GB2312" w:eastAsia="仿宋_GB2312" w:cs="仿宋_GB2312"/>
          <w:color w:val="auto"/>
          <w:sz w:val="32"/>
          <w:szCs w:val="32"/>
          <w:highlight w:val="none"/>
        </w:rPr>
        <w:t>202</w:t>
      </w:r>
      <w:r>
        <w:rPr>
          <w:rFonts w:hint="default"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rPr>
        <w:t>年，政府采购支出总额</w:t>
      </w:r>
      <w:r>
        <w:rPr>
          <w:rFonts w:hint="eastAsia" w:ascii="仿宋_GB2312" w:hAnsi="仿宋_GB2312" w:eastAsia="仿宋_GB2312" w:cs="仿宋_GB2312"/>
          <w:color w:val="auto"/>
          <w:sz w:val="32"/>
          <w:szCs w:val="32"/>
          <w:highlight w:val="none"/>
          <w:lang w:val="en-US" w:eastAsia="zh-CN"/>
        </w:rPr>
        <w:t>40</w:t>
      </w:r>
      <w:r>
        <w:rPr>
          <w:rFonts w:hint="default" w:ascii="仿宋_GB2312" w:hAnsi="仿宋_GB2312" w:eastAsia="仿宋_GB2312" w:cs="仿宋_GB2312"/>
          <w:color w:val="auto"/>
          <w:sz w:val="32"/>
          <w:szCs w:val="32"/>
          <w:highlight w:val="none"/>
        </w:rPr>
        <w:t>万元，其中：政府采购货物支出</w:t>
      </w:r>
      <w:r>
        <w:rPr>
          <w:rFonts w:hint="eastAsia" w:ascii="仿宋_GB2312" w:hAnsi="仿宋_GB2312" w:eastAsia="仿宋_GB2312" w:cs="仿宋_GB2312"/>
          <w:color w:val="auto"/>
          <w:sz w:val="32"/>
          <w:szCs w:val="32"/>
          <w:highlight w:val="none"/>
          <w:lang w:val="en-US" w:eastAsia="zh-CN"/>
        </w:rPr>
        <w:t>40</w:t>
      </w:r>
      <w:r>
        <w:rPr>
          <w:rFonts w:hint="default" w:ascii="仿宋_GB2312" w:hAnsi="仿宋_GB2312" w:eastAsia="仿宋_GB2312" w:cs="仿宋_GB2312"/>
          <w:color w:val="auto"/>
          <w:sz w:val="32"/>
          <w:szCs w:val="32"/>
          <w:highlight w:val="none"/>
        </w:rPr>
        <w:t>万元、政府采购工程支出</w:t>
      </w:r>
      <w:r>
        <w:rPr>
          <w:rFonts w:hint="default" w:ascii="仿宋_GB2312" w:hAnsi="仿宋_GB2312" w:eastAsia="仿宋_GB2312" w:cs="仿宋_GB2312"/>
          <w:color w:val="auto"/>
          <w:sz w:val="32"/>
          <w:szCs w:val="32"/>
          <w:highlight w:val="none"/>
          <w:lang w:val="en-US" w:eastAsia="zh-CN"/>
        </w:rPr>
        <w:t>0</w:t>
      </w:r>
      <w:r>
        <w:rPr>
          <w:rFonts w:hint="default" w:ascii="仿宋_GB2312" w:hAnsi="仿宋_GB2312" w:eastAsia="仿宋_GB2312" w:cs="仿宋_GB2312"/>
          <w:color w:val="auto"/>
          <w:sz w:val="32"/>
          <w:szCs w:val="32"/>
          <w:highlight w:val="none"/>
        </w:rPr>
        <w:t>万元、政府采购服务支出</w:t>
      </w:r>
      <w:r>
        <w:rPr>
          <w:rFonts w:hint="eastAsia" w:ascii="仿宋_GB2312" w:hAnsi="仿宋_GB2312" w:eastAsia="仿宋_GB2312" w:cs="仿宋_GB2312"/>
          <w:color w:val="auto"/>
          <w:sz w:val="32"/>
          <w:szCs w:val="32"/>
          <w:highlight w:val="none"/>
          <w:lang w:val="en-US" w:eastAsia="zh-CN"/>
        </w:rPr>
        <w:t>0</w:t>
      </w:r>
      <w:r>
        <w:rPr>
          <w:rFonts w:hint="default" w:ascii="仿宋_GB2312" w:hAnsi="仿宋_GB2312" w:eastAsia="仿宋_GB2312" w:cs="仿宋_GB2312"/>
          <w:color w:val="auto"/>
          <w:sz w:val="32"/>
          <w:szCs w:val="32"/>
          <w:highlight w:val="none"/>
        </w:rPr>
        <w:t>万元</w:t>
      </w:r>
      <w:r>
        <w:rPr>
          <w:rFonts w:hint="default" w:ascii="仿宋_GB2312" w:hAnsi="Times New Roman" w:eastAsia="仿宋_GB2312" w:cs="Times New Roman"/>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77" w:name="_Toc15377224"/>
      <w:bookmarkStart w:id="78" w:name="_Toc27856"/>
      <w:r>
        <w:rPr>
          <w:rFonts w:hint="eastAsia" w:ascii="仿宋" w:hAnsi="仿宋" w:eastAsia="仿宋"/>
          <w:b/>
          <w:color w:val="auto"/>
          <w:sz w:val="32"/>
          <w:szCs w:val="32"/>
          <w:highlight w:val="none"/>
        </w:rPr>
        <w:t>（三）国有资产占有使用情况</w:t>
      </w:r>
      <w:bookmarkEnd w:id="77"/>
      <w:bookmarkEnd w:id="78"/>
    </w:p>
    <w:p>
      <w:pPr>
        <w:spacing w:line="600" w:lineRule="exact"/>
        <w:ind w:firstLine="640" w:firstLineChars="200"/>
        <w:rPr>
          <w:rFonts w:hint="default" w:ascii="仿宋_GB2312" w:hAnsi="Times New Roman" w:eastAsia="仿宋_GB2312" w:cs="Times New Roman"/>
          <w:color w:val="auto"/>
          <w:sz w:val="32"/>
          <w:szCs w:val="32"/>
          <w:highlight w:val="none"/>
        </w:rPr>
      </w:pPr>
      <w:r>
        <w:rPr>
          <w:rFonts w:hint="default" w:ascii="仿宋_GB2312" w:hAnsi="Times New Roman" w:eastAsia="仿宋_GB2312" w:cs="Times New Roman"/>
          <w:color w:val="auto"/>
          <w:sz w:val="32"/>
          <w:szCs w:val="32"/>
          <w:highlight w:val="none"/>
        </w:rPr>
        <w:t>202</w:t>
      </w:r>
      <w:r>
        <w:rPr>
          <w:rFonts w:hint="default" w:ascii="仿宋_GB2312" w:hAnsi="Times New Roman" w:eastAsia="仿宋_GB2312" w:cs="Times New Roman"/>
          <w:color w:val="auto"/>
          <w:sz w:val="32"/>
          <w:szCs w:val="32"/>
          <w:highlight w:val="none"/>
          <w:lang w:val="en-US" w:eastAsia="zh-CN"/>
        </w:rPr>
        <w:t>2</w:t>
      </w:r>
      <w:r>
        <w:rPr>
          <w:rFonts w:hint="default" w:ascii="仿宋_GB2312" w:hAnsi="Times New Roman" w:eastAsia="仿宋_GB2312" w:cs="Times New Roman"/>
          <w:color w:val="auto"/>
          <w:sz w:val="32"/>
          <w:szCs w:val="32"/>
          <w:highlight w:val="none"/>
        </w:rPr>
        <w:t>年12月31日，共有车辆</w:t>
      </w:r>
      <w:r>
        <w:rPr>
          <w:rFonts w:hint="default" w:ascii="仿宋_GB2312" w:hAnsi="Times New Roman" w:eastAsia="仿宋_GB2312" w:cs="Times New Roman"/>
          <w:color w:val="auto"/>
          <w:sz w:val="32"/>
          <w:szCs w:val="32"/>
          <w:highlight w:val="none"/>
          <w:lang w:val="en-US" w:eastAsia="zh-CN"/>
        </w:rPr>
        <w:t>1</w:t>
      </w:r>
      <w:r>
        <w:rPr>
          <w:rFonts w:hint="default" w:ascii="仿宋_GB2312" w:hAnsi="Times New Roman" w:eastAsia="仿宋_GB2312" w:cs="Times New Roman"/>
          <w:color w:val="auto"/>
          <w:sz w:val="32"/>
          <w:szCs w:val="32"/>
          <w:highlight w:val="none"/>
        </w:rPr>
        <w:t>辆，其中：主要领导干部用车</w:t>
      </w:r>
      <w:r>
        <w:rPr>
          <w:rFonts w:hint="default" w:ascii="仿宋_GB2312" w:hAnsi="Times New Roman" w:eastAsia="仿宋_GB2312" w:cs="Times New Roman"/>
          <w:color w:val="auto"/>
          <w:sz w:val="32"/>
          <w:szCs w:val="32"/>
          <w:highlight w:val="none"/>
          <w:lang w:val="en-US" w:eastAsia="zh-CN"/>
        </w:rPr>
        <w:t>0</w:t>
      </w:r>
      <w:r>
        <w:rPr>
          <w:rFonts w:hint="default" w:ascii="仿宋_GB2312" w:hAnsi="Times New Roman" w:eastAsia="仿宋_GB2312" w:cs="Times New Roman"/>
          <w:color w:val="auto"/>
          <w:sz w:val="32"/>
          <w:szCs w:val="32"/>
          <w:highlight w:val="none"/>
        </w:rPr>
        <w:t>辆、机要通信用车</w:t>
      </w:r>
      <w:r>
        <w:rPr>
          <w:rFonts w:hint="default" w:ascii="仿宋_GB2312" w:hAnsi="Times New Roman" w:eastAsia="仿宋_GB2312" w:cs="Times New Roman"/>
          <w:color w:val="auto"/>
          <w:sz w:val="32"/>
          <w:szCs w:val="32"/>
          <w:highlight w:val="none"/>
          <w:lang w:val="en-US" w:eastAsia="zh-CN"/>
        </w:rPr>
        <w:t>0</w:t>
      </w:r>
      <w:r>
        <w:rPr>
          <w:rFonts w:hint="default" w:ascii="仿宋_GB2312" w:hAnsi="Times New Roman" w:eastAsia="仿宋_GB2312" w:cs="Times New Roman"/>
          <w:color w:val="auto"/>
          <w:sz w:val="32"/>
          <w:szCs w:val="32"/>
          <w:highlight w:val="none"/>
        </w:rPr>
        <w:t>辆、应急保障用车</w:t>
      </w:r>
      <w:r>
        <w:rPr>
          <w:rFonts w:hint="default" w:ascii="仿宋_GB2312" w:hAnsi="Times New Roman" w:eastAsia="仿宋_GB2312" w:cs="Times New Roman"/>
          <w:color w:val="auto"/>
          <w:sz w:val="32"/>
          <w:szCs w:val="32"/>
          <w:highlight w:val="none"/>
          <w:lang w:val="en-US" w:eastAsia="zh-CN"/>
        </w:rPr>
        <w:t>0</w:t>
      </w:r>
      <w:r>
        <w:rPr>
          <w:rFonts w:hint="default" w:ascii="仿宋_GB2312" w:hAnsi="Times New Roman" w:eastAsia="仿宋_GB2312" w:cs="Times New Roman"/>
          <w:color w:val="auto"/>
          <w:sz w:val="32"/>
          <w:szCs w:val="32"/>
          <w:highlight w:val="none"/>
        </w:rPr>
        <w:t>辆、其他用车</w:t>
      </w:r>
      <w:r>
        <w:rPr>
          <w:rFonts w:hint="default" w:ascii="仿宋_GB2312" w:hAnsi="Times New Roman" w:eastAsia="仿宋_GB2312" w:cs="Times New Roman"/>
          <w:color w:val="auto"/>
          <w:sz w:val="32"/>
          <w:szCs w:val="32"/>
          <w:highlight w:val="none"/>
          <w:lang w:val="en-US" w:eastAsia="zh-CN"/>
        </w:rPr>
        <w:t>1</w:t>
      </w:r>
      <w:r>
        <w:rPr>
          <w:rFonts w:hint="default" w:ascii="仿宋_GB2312" w:hAnsi="Times New Roman" w:eastAsia="仿宋_GB2312" w:cs="Times New Roman"/>
          <w:color w:val="auto"/>
          <w:sz w:val="32"/>
          <w:szCs w:val="32"/>
          <w:highlight w:val="none"/>
        </w:rPr>
        <w:t>辆</w:t>
      </w:r>
      <w:r>
        <w:rPr>
          <w:rFonts w:hint="default" w:ascii="仿宋_GB2312" w:hAnsi="Times New Roman" w:eastAsia="仿宋_GB2312" w:cs="Times New Roman"/>
          <w:color w:val="auto"/>
          <w:sz w:val="32"/>
          <w:szCs w:val="32"/>
          <w:highlight w:val="none"/>
          <w:lang w:eastAsia="zh-CN"/>
        </w:rPr>
        <w:t>。</w:t>
      </w:r>
      <w:r>
        <w:rPr>
          <w:rFonts w:hint="default" w:ascii="仿宋_GB2312" w:hAnsi="Times New Roman" w:eastAsia="仿宋_GB2312" w:cs="Times New Roman"/>
          <w:color w:val="auto"/>
          <w:sz w:val="32"/>
          <w:szCs w:val="32"/>
          <w:highlight w:val="none"/>
        </w:rPr>
        <w:t>单价50万元以上通用设备</w:t>
      </w:r>
      <w:r>
        <w:rPr>
          <w:rFonts w:hint="default" w:ascii="仿宋_GB2312" w:hAnsi="Times New Roman" w:eastAsia="仿宋_GB2312" w:cs="Times New Roman"/>
          <w:color w:val="auto"/>
          <w:sz w:val="32"/>
          <w:szCs w:val="32"/>
          <w:highlight w:val="none"/>
          <w:lang w:val="en-US" w:eastAsia="zh-CN"/>
        </w:rPr>
        <w:t>0</w:t>
      </w:r>
      <w:r>
        <w:rPr>
          <w:rFonts w:hint="default" w:ascii="仿宋_GB2312" w:hAnsi="Times New Roman" w:eastAsia="仿宋_GB2312" w:cs="Times New Roman"/>
          <w:color w:val="auto"/>
          <w:sz w:val="32"/>
          <w:szCs w:val="32"/>
          <w:highlight w:val="none"/>
        </w:rPr>
        <w:t>台（套），单价100万元以上专用设备</w:t>
      </w:r>
      <w:r>
        <w:rPr>
          <w:rFonts w:hint="default" w:ascii="仿宋_GB2312" w:hAnsi="Times New Roman" w:eastAsia="仿宋_GB2312" w:cs="Times New Roman"/>
          <w:color w:val="auto"/>
          <w:sz w:val="32"/>
          <w:szCs w:val="32"/>
          <w:highlight w:val="none"/>
          <w:lang w:val="en-US" w:eastAsia="zh-CN"/>
        </w:rPr>
        <w:t>0</w:t>
      </w:r>
      <w:r>
        <w:rPr>
          <w:rFonts w:hint="default" w:ascii="仿宋_GB2312" w:hAnsi="Times New Roman" w:eastAsia="仿宋_GB2312" w:cs="Times New Roman"/>
          <w:color w:val="auto"/>
          <w:sz w:val="32"/>
          <w:szCs w:val="32"/>
          <w:highlight w:val="none"/>
        </w:rPr>
        <w:t>台（套）。</w:t>
      </w:r>
    </w:p>
    <w:p>
      <w:pPr>
        <w:autoSpaceDE w:val="0"/>
        <w:autoSpaceDN w:val="0"/>
        <w:adjustRightInd w:val="0"/>
        <w:spacing w:line="60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79" w:name="_Toc6711"/>
      <w:r>
        <w:rPr>
          <w:rFonts w:hint="eastAsia" w:ascii="仿宋" w:hAnsi="仿宋" w:eastAsia="仿宋"/>
          <w:b/>
          <w:color w:val="auto"/>
          <w:sz w:val="32"/>
          <w:szCs w:val="32"/>
          <w:highlight w:val="none"/>
        </w:rPr>
        <w:t>（四）预算绩效管理情况</w:t>
      </w:r>
      <w:bookmarkEnd w:id="79"/>
    </w:p>
    <w:p>
      <w:pPr>
        <w:spacing w:line="600" w:lineRule="exact"/>
        <w:ind w:firstLine="640" w:firstLineChars="200"/>
        <w:rPr>
          <w:rFonts w:hint="default" w:ascii="仿宋_GB2312" w:hAnsi="Times New Roman" w:eastAsia="仿宋_GB2312" w:cs="Times New Roman"/>
          <w:color w:val="auto"/>
          <w:sz w:val="32"/>
          <w:szCs w:val="32"/>
          <w:highlight w:val="none"/>
        </w:rPr>
      </w:pPr>
      <w:r>
        <w:rPr>
          <w:rFonts w:hint="default" w:ascii="仿宋_GB2312" w:hAnsi="Times New Roman" w:eastAsia="仿宋_GB2312" w:cs="Times New Roman"/>
          <w:color w:val="auto"/>
          <w:sz w:val="32"/>
          <w:szCs w:val="32"/>
          <w:highlight w:val="none"/>
        </w:rPr>
        <w:t>根据预算绩效管理要求，本部门（单位）在年初预算编制阶段，</w:t>
      </w:r>
      <w:r>
        <w:rPr>
          <w:rFonts w:hint="default" w:ascii="仿宋_GB2312" w:hAnsi="Times New Roman" w:eastAsia="仿宋_GB2312" w:cs="Times New Roman"/>
          <w:color w:val="auto"/>
          <w:sz w:val="32"/>
          <w:szCs w:val="32"/>
          <w:highlight w:val="none"/>
          <w:lang w:val="en-US" w:eastAsia="zh-CN"/>
        </w:rPr>
        <w:t>2022年预算编制无项目预算</w:t>
      </w:r>
      <w:r>
        <w:rPr>
          <w:rFonts w:hint="default" w:ascii="仿宋_GB2312" w:hAnsi="Times New Roman" w:eastAsia="仿宋_GB2312" w:cs="Times New Roman"/>
          <w:color w:val="auto"/>
          <w:sz w:val="32"/>
          <w:szCs w:val="32"/>
          <w:highlight w:val="none"/>
        </w:rPr>
        <w:t>。</w:t>
      </w:r>
    </w:p>
    <w:p>
      <w:pPr>
        <w:spacing w:line="600" w:lineRule="exact"/>
        <w:ind w:firstLine="640" w:firstLineChars="200"/>
        <w:rPr>
          <w:rFonts w:ascii="仿宋_GB2312" w:eastAsia="仿宋_GB2312"/>
          <w:b/>
          <w:color w:val="auto"/>
          <w:sz w:val="32"/>
          <w:szCs w:val="32"/>
          <w:highlight w:val="none"/>
        </w:rPr>
      </w:pPr>
      <w:r>
        <w:rPr>
          <w:rFonts w:hint="default" w:ascii="仿宋_GB2312" w:hAnsi="Times New Roman" w:eastAsia="仿宋_GB2312" w:cs="Times New Roman"/>
          <w:color w:val="auto"/>
          <w:sz w:val="32"/>
          <w:szCs w:val="32"/>
          <w:highlight w:val="none"/>
        </w:rPr>
        <w:t>本部门按要求对202</w:t>
      </w:r>
      <w:r>
        <w:rPr>
          <w:rFonts w:hint="default" w:ascii="仿宋_GB2312" w:hAnsi="Times New Roman" w:eastAsia="仿宋_GB2312" w:cs="Times New Roman"/>
          <w:color w:val="auto"/>
          <w:sz w:val="32"/>
          <w:szCs w:val="32"/>
          <w:highlight w:val="none"/>
          <w:lang w:val="en-US" w:eastAsia="zh-CN"/>
        </w:rPr>
        <w:t>2</w:t>
      </w:r>
      <w:r>
        <w:rPr>
          <w:rFonts w:hint="default" w:ascii="仿宋_GB2312" w:hAnsi="Times New Roman" w:eastAsia="仿宋_GB2312" w:cs="Times New Roman"/>
          <w:color w:val="auto"/>
          <w:sz w:val="32"/>
          <w:szCs w:val="32"/>
          <w:highlight w:val="none"/>
        </w:rPr>
        <w:t>年部门整体支出开展绩效自评，从评价情况来看</w:t>
      </w:r>
      <w:r>
        <w:rPr>
          <w:rFonts w:hint="default" w:ascii="仿宋_GB2312" w:hAnsi="Times New Roman" w:eastAsia="仿宋_GB2312" w:cs="Times New Roman"/>
          <w:color w:val="auto"/>
          <w:sz w:val="32"/>
          <w:szCs w:val="32"/>
          <w:highlight w:val="none"/>
          <w:lang w:val="en-US" w:eastAsia="zh-CN"/>
        </w:rPr>
        <w:t>2022年整体支出情况较好</w:t>
      </w:r>
      <w:r>
        <w:rPr>
          <w:rFonts w:hint="default" w:ascii="仿宋_GB2312" w:hAnsi="Times New Roman" w:eastAsia="仿宋_GB2312" w:cs="Times New Roman"/>
          <w:color w:val="auto"/>
          <w:sz w:val="32"/>
          <w:szCs w:val="32"/>
          <w:highlight w:val="none"/>
        </w:rPr>
        <w:t>。</w:t>
      </w:r>
      <w:r>
        <w:rPr>
          <w:rFonts w:hint="default" w:ascii="仿宋_GB2312" w:hAnsi="Times New Roman" w:eastAsia="仿宋_GB2312" w:cs="Times New Roman"/>
          <w:color w:val="auto"/>
          <w:sz w:val="32"/>
          <w:szCs w:val="32"/>
          <w:highlight w:val="none"/>
          <w:lang w:val="en-US" w:eastAsia="zh-CN"/>
        </w:rPr>
        <w:t>由于2022年单位无专项项目，因而未开展项目绩效自评</w:t>
      </w:r>
      <w:r>
        <w:rPr>
          <w:rFonts w:hint="default" w:ascii="仿宋_GB2312" w:hAnsi="Times New Roman" w:eastAsia="仿宋_GB2312" w:cs="Times New Roman"/>
          <w:color w:val="auto"/>
          <w:sz w:val="32"/>
          <w:szCs w:val="32"/>
          <w:highlight w:val="none"/>
          <w:lang w:eastAsia="zh-CN"/>
        </w:rPr>
        <w:t>。</w:t>
      </w:r>
      <w:r>
        <w:rPr>
          <w:rFonts w:ascii="仿宋_GB2312" w:eastAsia="仿宋_GB2312"/>
          <w:b/>
          <w:color w:val="auto"/>
          <w:sz w:val="32"/>
          <w:szCs w:val="32"/>
          <w:highlight w:val="none"/>
        </w:rPr>
        <w:br w:type="page"/>
      </w:r>
    </w:p>
    <w:p>
      <w:pPr>
        <w:numPr>
          <w:ilvl w:val="0"/>
          <w:numId w:val="3"/>
        </w:numPr>
        <w:spacing w:line="600" w:lineRule="exact"/>
        <w:ind w:firstLine="660" w:firstLineChars="150"/>
        <w:jc w:val="center"/>
        <w:outlineLvl w:val="0"/>
        <w:rPr>
          <w:rStyle w:val="30"/>
          <w:rFonts w:ascii="黑体" w:hAnsi="黑体" w:eastAsia="黑体"/>
          <w:b w:val="0"/>
          <w:color w:val="auto"/>
          <w:highlight w:val="none"/>
        </w:rPr>
      </w:pPr>
      <w:bookmarkStart w:id="80" w:name="_Toc15396613"/>
      <w:bookmarkStart w:id="81" w:name="_Toc15377225"/>
      <w:bookmarkStart w:id="82" w:name="_Toc29984"/>
      <w:r>
        <w:rPr>
          <w:rFonts w:hint="eastAsia" w:ascii="黑体" w:hAnsi="黑体" w:eastAsia="黑体"/>
          <w:color w:val="auto"/>
          <w:sz w:val="44"/>
          <w:szCs w:val="44"/>
          <w:highlight w:val="none"/>
        </w:rPr>
        <w:t>名</w:t>
      </w:r>
      <w:r>
        <w:rPr>
          <w:rStyle w:val="30"/>
          <w:rFonts w:hint="eastAsia" w:ascii="黑体" w:hAnsi="黑体" w:eastAsia="黑体"/>
          <w:b w:val="0"/>
          <w:color w:val="auto"/>
          <w:highlight w:val="none"/>
        </w:rPr>
        <w:t>词解释</w:t>
      </w:r>
      <w:bookmarkEnd w:id="80"/>
      <w:bookmarkEnd w:id="81"/>
      <w:bookmarkEnd w:id="82"/>
    </w:p>
    <w:p>
      <w:pPr>
        <w:spacing w:line="600" w:lineRule="exact"/>
        <w:jc w:val="left"/>
        <w:rPr>
          <w:rFonts w:ascii="宋体"/>
          <w:b/>
          <w:color w:val="auto"/>
          <w:sz w:val="44"/>
          <w:szCs w:val="44"/>
          <w:highlight w:val="none"/>
        </w:rPr>
      </w:pP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财政拨款收入：指单位从同级财政部门取得的财政预算资金。</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事业收入：指事业单位开展专业业务活动及辅助活动取得的收入。</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3</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4</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其他收入：指单位取得的除上述收入以外的各项收入。主要是援建资金。</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5</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年初结转和结余：指以前年度尚未完成、结转到本年按有关规定继续使用的资金。</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6</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年末结转和结余：指单位按有关规定结转到下年或以后年度继续使用的资金。</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7</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社会保障和就业支出（类）行政事业单位养老支出（款）机关事业单位基本养老保险缴费支出（项）：指机关事业单位实施养老保险制度由单位缴纳的基本养老保险费支出。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8</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社会保障和就业支出（类）行政事业单位养老支出（款）机关事业单位职业年金缴费支出（项）：指机关事业单位实施养老保险制度由单位实际缴纳的职业年金。</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9</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一般公共服务支出（类）人力资源事务（款）引进人才费用（项）：指按规定用于人力资源中引进人才的费用。</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卫生健康支出（类）行政事业单位医疗（款）行政单位医疗（项）：指财政部门集中安排的行政单位基本医疗保险缴费经费。</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11</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农林水支出（类）农业农村（款）科技转化与推广服务（项）：指用于农业科技成果转化，农业新品种、新机具、新技术引进、试验、示范。推广及服务农村人居环境整治等方面的技术试验示范支出。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12</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资源勘探工业信息等支出（类）制造业（款）其他制造业支出（项）：指其他用于制造业方面的支出。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13</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资源勘探工业信息等支出（类）支持中小企业发展和管理支出（款）中小企业发展专项（项）：指用于支持中小企业公共服务体系和融资服务体系建设等方面的支出。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14</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商业服务业等支出（类）商业流通事务（款）行政运行（项）：指按规定补助优抚对象的医疗经费。</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15</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商业服务业等支出（类）商业流通事务（款）一般行政管理事务（项）：指按规定补助优抚对象的医疗经费。</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16</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商业服务业等支出（类）商业流通事务（款）民贸企业补贴（项）：指按规定补助优抚对象的医疗经费。</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17</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商业服务业等支出（类）商业流通事务（款）其他商业流通事务支出（项）：指其他用于商业流通事务方面的支出。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18</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商业服务业等支出（类）其他商业服务业等支出（款）  其他商业流通事务支出（项）：指在商业服务业中其他用于商业流通事务方面的支出。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19</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住房保障支出（类）住房改革支出（款）住房公积金（项）：指行政事业单位</w:t>
      </w:r>
      <w:r>
        <w:rPr>
          <w:rFonts w:hint="eastAsia" w:ascii="仿宋_GB2312" w:eastAsia="仿宋_GB2312"/>
          <w:color w:val="auto"/>
          <w:sz w:val="32"/>
          <w:szCs w:val="32"/>
          <w:highlight w:val="none"/>
          <w:lang w:eastAsia="zh-CN"/>
        </w:rPr>
        <w:t>按</w:t>
      </w:r>
      <w:r>
        <w:rPr>
          <w:rFonts w:hint="eastAsia" w:ascii="仿宋_GB2312" w:eastAsia="仿宋_GB2312"/>
          <w:color w:val="auto"/>
          <w:sz w:val="32"/>
          <w:szCs w:val="32"/>
          <w:highlight w:val="none"/>
        </w:rPr>
        <w:t>工资比例为职工缴纳的住房公积金。</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基本支出：指为保障机构正常运转、完成日常工作任务而发生的人员支出和公用支出。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项目支出：指在基本支出之外为完成特定行政任务和事业发展目标所发生的支出。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22</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23</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24</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bidi w:val="0"/>
        <w:snapToGrid/>
        <w:spacing w:line="56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（名词解释部分请根据各部门实际列支情况罗列，并根据本部门职责职能增减名词解释内容。）</w:t>
      </w:r>
    </w:p>
    <w:p>
      <w:pPr>
        <w:spacing w:line="600" w:lineRule="exact"/>
        <w:jc w:val="center"/>
        <w:outlineLvl w:val="0"/>
        <w:rPr>
          <w:rStyle w:val="30"/>
          <w:rFonts w:hint="eastAsia" w:ascii="黑体" w:hAnsi="黑体" w:eastAsia="黑体"/>
          <w:b w:val="0"/>
          <w:color w:val="auto"/>
          <w:highlight w:val="none"/>
          <w:lang w:eastAsia="zh-CN"/>
        </w:rPr>
      </w:pPr>
      <w:bookmarkStart w:id="83" w:name="_Toc15377226"/>
      <w:r>
        <w:rPr>
          <w:rFonts w:ascii="宋体"/>
          <w:b/>
          <w:color w:val="auto"/>
          <w:sz w:val="44"/>
          <w:szCs w:val="44"/>
          <w:highlight w:val="none"/>
        </w:rPr>
        <w:br w:type="page"/>
      </w:r>
      <w:bookmarkStart w:id="84" w:name="_Toc15396614"/>
      <w:bookmarkStart w:id="85" w:name="_Toc19068"/>
      <w:r>
        <w:rPr>
          <w:rFonts w:hint="eastAsia" w:ascii="黑体" w:hAnsi="黑体" w:eastAsia="黑体"/>
          <w:color w:val="auto"/>
          <w:sz w:val="44"/>
          <w:szCs w:val="44"/>
          <w:highlight w:val="none"/>
        </w:rPr>
        <w:t>第</w:t>
      </w:r>
      <w:r>
        <w:rPr>
          <w:rStyle w:val="30"/>
          <w:rFonts w:hint="eastAsia" w:ascii="黑体" w:hAnsi="黑体" w:eastAsia="黑体"/>
          <w:b w:val="0"/>
          <w:color w:val="auto"/>
          <w:highlight w:val="none"/>
        </w:rPr>
        <w:t>四部分 附件</w:t>
      </w:r>
      <w:bookmarkEnd w:id="84"/>
      <w:bookmarkEnd w:id="85"/>
    </w:p>
    <w:p>
      <w:pPr>
        <w:keepNext w:val="0"/>
        <w:keepLines w:val="0"/>
        <w:pageBreakBefore w:val="0"/>
        <w:kinsoku/>
        <w:wordWrap/>
        <w:overflowPunct/>
        <w:topLinePunct w:val="0"/>
        <w:autoSpaceDE/>
        <w:autoSpaceDN/>
        <w:bidi w:val="0"/>
        <w:spacing w:line="572" w:lineRule="exact"/>
        <w:jc w:val="left"/>
        <w:textAlignment w:val="auto"/>
        <w:outlineLvl w:val="0"/>
        <w:rPr>
          <w:rFonts w:ascii="方正小标宋简体" w:hAnsi="方正小标宋简体" w:eastAsia="方正小标宋简体" w:cs="方正小标宋简体"/>
          <w:color w:val="auto"/>
          <w:sz w:val="44"/>
          <w:szCs w:val="44"/>
          <w:highlight w:val="none"/>
        </w:rPr>
      </w:pPr>
      <w:bookmarkStart w:id="86" w:name="_Toc10701"/>
      <w:r>
        <w:rPr>
          <w:rFonts w:hint="eastAsia" w:ascii="黑体" w:hAnsi="黑体" w:eastAsia="黑体" w:cs="黑体"/>
          <w:color w:val="auto"/>
          <w:sz w:val="32"/>
          <w:szCs w:val="32"/>
          <w:highlight w:val="none"/>
        </w:rPr>
        <w:t>附件</w:t>
      </w:r>
      <w:bookmarkEnd w:id="86"/>
    </w:p>
    <w:p>
      <w:pPr>
        <w:spacing w:line="360" w:lineRule="auto"/>
        <w:ind w:firstLine="643" w:firstLineChars="200"/>
        <w:outlineLvl w:val="0"/>
        <w:rPr>
          <w:rFonts w:hint="eastAsia" w:ascii="仿宋" w:hAnsi="仿宋" w:eastAsia="仿宋" w:cs="仿宋"/>
          <w:b/>
          <w:bCs/>
          <w:sz w:val="32"/>
          <w:szCs w:val="32"/>
        </w:rPr>
      </w:pPr>
      <w:bookmarkStart w:id="87" w:name="_Toc30872"/>
      <w:r>
        <w:rPr>
          <w:rFonts w:hint="eastAsia" w:ascii="仿宋" w:hAnsi="仿宋" w:eastAsia="仿宋" w:cs="仿宋"/>
          <w:b/>
          <w:bCs/>
          <w:kern w:val="0"/>
          <w:sz w:val="32"/>
          <w:szCs w:val="32"/>
        </w:rPr>
        <w:t>一、部门（单位）概况</w:t>
      </w:r>
      <w:bookmarkEnd w:id="87"/>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壤塘县信访局：行政，机构地址：四川省阿坝藏族羌族自治州壤塘县壤柯镇罗吾塘前街22号，单位负责人：</w:t>
      </w:r>
      <w:r>
        <w:rPr>
          <w:rFonts w:hint="eastAsia" w:ascii="仿宋" w:hAnsi="仿宋" w:eastAsia="仿宋" w:cs="仿宋"/>
          <w:sz w:val="32"/>
          <w:szCs w:val="32"/>
          <w:lang w:val="en-US" w:eastAsia="zh-CN"/>
        </w:rPr>
        <w:t>银凤</w:t>
      </w:r>
      <w:r>
        <w:rPr>
          <w:rFonts w:hint="eastAsia" w:ascii="仿宋" w:hAnsi="仿宋" w:eastAsia="仿宋" w:cs="仿宋"/>
          <w:sz w:val="32"/>
          <w:szCs w:val="32"/>
        </w:rPr>
        <w:t>。</w:t>
      </w:r>
    </w:p>
    <w:p>
      <w:pPr>
        <w:widowControl/>
        <w:adjustRightInd w:val="0"/>
        <w:snapToGrid w:val="0"/>
        <w:spacing w:line="560" w:lineRule="exact"/>
        <w:ind w:firstLine="640" w:firstLineChars="200"/>
        <w:contextualSpacing/>
        <w:jc w:val="left"/>
        <w:outlineLvl w:val="1"/>
        <w:rPr>
          <w:rFonts w:hint="eastAsia" w:ascii="仿宋" w:hAnsi="仿宋" w:eastAsia="仿宋" w:cs="仿宋"/>
          <w:color w:val="000000"/>
          <w:kern w:val="0"/>
          <w:sz w:val="32"/>
          <w:szCs w:val="32"/>
          <w:shd w:val="clear" w:color="auto" w:fill="FFFFFF"/>
        </w:rPr>
      </w:pPr>
      <w:bookmarkStart w:id="88" w:name="_Toc25902"/>
      <w:r>
        <w:rPr>
          <w:rFonts w:hint="eastAsia" w:ascii="仿宋" w:hAnsi="仿宋" w:eastAsia="仿宋" w:cs="仿宋"/>
          <w:color w:val="000000"/>
          <w:kern w:val="0"/>
          <w:sz w:val="32"/>
          <w:szCs w:val="32"/>
          <w:shd w:val="clear" w:color="auto" w:fill="FFFFFF"/>
          <w:lang w:bidi="ar"/>
        </w:rPr>
        <w:t>（一）机构组成</w:t>
      </w:r>
      <w:bookmarkEnd w:id="88"/>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壤塘县信访局（简称县信访局）是壤塘县人民政府工作部门，为正科级。</w:t>
      </w:r>
    </w:p>
    <w:p>
      <w:pPr>
        <w:widowControl/>
        <w:adjustRightInd w:val="0"/>
        <w:snapToGrid w:val="0"/>
        <w:spacing w:line="560" w:lineRule="exact"/>
        <w:ind w:firstLine="640" w:firstLineChars="200"/>
        <w:contextualSpacing/>
        <w:jc w:val="left"/>
        <w:rPr>
          <w:rFonts w:hint="eastAsia" w:ascii="仿宋" w:hAnsi="仿宋" w:eastAsia="仿宋" w:cs="仿宋"/>
          <w:b/>
          <w:bCs/>
          <w:sz w:val="32"/>
          <w:szCs w:val="32"/>
        </w:rPr>
      </w:pPr>
      <w:r>
        <w:rPr>
          <w:rFonts w:hint="eastAsia" w:ascii="仿宋" w:hAnsi="仿宋" w:eastAsia="仿宋" w:cs="仿宋"/>
          <w:color w:val="000000"/>
          <w:kern w:val="0"/>
          <w:sz w:val="32"/>
          <w:szCs w:val="32"/>
          <w:shd w:val="clear" w:color="auto" w:fill="FFFFFF"/>
          <w:lang w:bidi="ar"/>
        </w:rPr>
        <w:t>（二）机构职能</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1.受理人民群众来信、负责县委、县政府上访群众的接访工作；承办县委、县政府领导及上级机关领导批示交办、转办的信访案件。</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2.根据县委、县政府领导意见，向乡（镇）及有关部门、企事业单位交办、转办有关信访案件。</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3.协调处理跨地区、跨部门的重要信访问题；直接调查处理信访老户和重要信访案件。</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4.检查、指导、督促各乡（镇）、县级机关各部门、各单位的信访工作。</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5.为来信、来电、来访人员提供有关政策咨询，做好信访人员的思想疏导、矛盾化解工作。</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rPr>
        <w:t>6.综合分析人民群众来信来访反映的问题和情况，征集、</w:t>
      </w:r>
      <w:r>
        <w:rPr>
          <w:rFonts w:hint="eastAsia" w:ascii="仿宋_GB2312" w:hAnsi="黑体" w:eastAsia="仿宋_GB2312" w:cs="Times New Roman"/>
          <w:sz w:val="32"/>
          <w:szCs w:val="32"/>
          <w:highlight w:val="none"/>
          <w:shd w:val="clear" w:color="auto" w:fill="auto"/>
        </w:rPr>
        <w:t>筛选和提供信访信息和建议；对带有全局性的重要信访问题开展调查研究，向县委、县政府提出解决问题的意见或办法。</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7.负责组织实施全县信访工作目标管理，提高信访工作质量，开展信访干部培训和信访宣传工作。</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highlight w:val="none"/>
          <w:shd w:val="clear" w:color="auto" w:fill="FFFFFF"/>
          <w:lang w:bidi="ar"/>
        </w:rPr>
      </w:pPr>
      <w:r>
        <w:rPr>
          <w:rFonts w:hint="eastAsia" w:ascii="仿宋" w:hAnsi="仿宋" w:eastAsia="仿宋" w:cs="仿宋"/>
          <w:color w:val="000000"/>
          <w:kern w:val="0"/>
          <w:sz w:val="32"/>
          <w:szCs w:val="32"/>
          <w:highlight w:val="none"/>
          <w:shd w:val="clear" w:color="auto" w:fill="FFFFFF"/>
          <w:lang w:bidi="ar"/>
        </w:rPr>
        <w:t>（三）人员概况</w:t>
      </w:r>
    </w:p>
    <w:p>
      <w:pPr>
        <w:ind w:firstLine="640" w:firstLineChars="200"/>
        <w:rPr>
          <w:rFonts w:hint="eastAsia" w:ascii="仿宋" w:hAnsi="仿宋" w:eastAsia="仿宋" w:cs="仿宋"/>
          <w:sz w:val="32"/>
          <w:szCs w:val="32"/>
          <w:highlight w:val="none"/>
        </w:rPr>
      </w:pPr>
      <w:r>
        <w:rPr>
          <w:rFonts w:hint="eastAsia" w:ascii="仿宋" w:hAnsi="仿宋" w:eastAsia="仿宋" w:cs="仿宋"/>
          <w:kern w:val="0"/>
          <w:sz w:val="32"/>
          <w:szCs w:val="32"/>
          <w:highlight w:val="none"/>
          <w:lang w:val="en-US" w:eastAsia="zh-CN"/>
        </w:rPr>
        <w:t>2022年12月31日，</w:t>
      </w:r>
      <w:r>
        <w:rPr>
          <w:rFonts w:hint="eastAsia" w:ascii="仿宋" w:hAnsi="仿宋" w:eastAsia="仿宋" w:cs="仿宋"/>
          <w:kern w:val="0"/>
          <w:sz w:val="32"/>
          <w:szCs w:val="32"/>
          <w:highlight w:val="none"/>
        </w:rPr>
        <w:t>单位</w:t>
      </w:r>
      <w:r>
        <w:rPr>
          <w:rFonts w:hint="eastAsia" w:ascii="仿宋" w:hAnsi="仿宋" w:eastAsia="仿宋" w:cs="仿宋"/>
          <w:kern w:val="0"/>
          <w:sz w:val="32"/>
          <w:szCs w:val="32"/>
          <w:highlight w:val="none"/>
          <w:lang w:val="en-US" w:eastAsia="zh-CN"/>
        </w:rPr>
        <w:t>在职人员共9</w:t>
      </w:r>
      <w:r>
        <w:rPr>
          <w:rFonts w:hint="eastAsia" w:ascii="仿宋" w:hAnsi="仿宋" w:eastAsia="仿宋" w:cs="仿宋"/>
          <w:kern w:val="0"/>
          <w:sz w:val="32"/>
          <w:szCs w:val="32"/>
          <w:highlight w:val="none"/>
        </w:rPr>
        <w:t>人。</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二、部门财政资金收支情况</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（一）部门财政资金收入情况</w:t>
      </w:r>
    </w:p>
    <w:p>
      <w:pPr>
        <w:pStyle w:val="39"/>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2年财</w:t>
      </w:r>
      <w:r>
        <w:rPr>
          <w:rFonts w:hint="eastAsia" w:ascii="仿宋" w:hAnsi="仿宋" w:eastAsia="仿宋" w:cs="仿宋"/>
          <w:sz w:val="32"/>
          <w:szCs w:val="32"/>
          <w:lang w:eastAsia="zh-CN"/>
        </w:rPr>
        <w:t>政下达壤塘县信访局年初预算收入</w:t>
      </w:r>
      <w:r>
        <w:rPr>
          <w:rFonts w:hint="eastAsia" w:ascii="仿宋" w:hAnsi="仿宋" w:eastAsia="仿宋" w:cs="仿宋"/>
          <w:sz w:val="32"/>
          <w:szCs w:val="32"/>
          <w:lang w:val="en-US" w:eastAsia="zh-CN"/>
        </w:rPr>
        <w:t>168.04</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当年追加预算94.86万元，年末收入总计为262.90万元。</w:t>
      </w:r>
      <w:r>
        <w:rPr>
          <w:rFonts w:hint="eastAsia" w:ascii="仿宋" w:hAnsi="仿宋" w:eastAsia="仿宋" w:cs="仿宋"/>
          <w:sz w:val="32"/>
          <w:szCs w:val="32"/>
          <w:lang w:eastAsia="zh-CN"/>
        </w:rPr>
        <w:t xml:space="preserve">   </w:t>
      </w:r>
    </w:p>
    <w:p>
      <w:pPr>
        <w:widowControl/>
        <w:adjustRightInd w:val="0"/>
        <w:snapToGrid w:val="0"/>
        <w:spacing w:line="560" w:lineRule="exact"/>
        <w:ind w:firstLine="640" w:firstLineChars="200"/>
        <w:contextualSpacing/>
        <w:jc w:val="left"/>
        <w:rPr>
          <w:rFonts w:hint="default" w:ascii="仿宋" w:hAnsi="仿宋" w:eastAsia="仿宋" w:cs="仿宋"/>
          <w:sz w:val="32"/>
          <w:szCs w:val="32"/>
          <w:lang w:val="en-US" w:eastAsia="zh-CN"/>
        </w:rPr>
      </w:pPr>
      <w:r>
        <w:rPr>
          <w:rFonts w:hint="eastAsia" w:ascii="仿宋" w:hAnsi="仿宋" w:eastAsia="仿宋" w:cs="仿宋"/>
          <w:color w:val="000000"/>
          <w:kern w:val="0"/>
          <w:sz w:val="32"/>
          <w:szCs w:val="32"/>
          <w:shd w:val="clear" w:color="auto" w:fill="FFFFFF"/>
          <w:lang w:bidi="ar"/>
        </w:rPr>
        <w:t>（二）部门财政资金支出情况</w:t>
      </w:r>
    </w:p>
    <w:p>
      <w:pPr>
        <w:pStyle w:val="39"/>
        <w:spacing w:line="360" w:lineRule="auto"/>
        <w:ind w:firstLine="640"/>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壤塘县信访局</w:t>
      </w:r>
      <w:r>
        <w:rPr>
          <w:rFonts w:hint="eastAsia" w:ascii="仿宋" w:hAnsi="仿宋" w:eastAsia="仿宋" w:cs="仿宋"/>
          <w:sz w:val="32"/>
          <w:szCs w:val="32"/>
        </w:rPr>
        <w:t>共计预算支出</w:t>
      </w:r>
      <w:r>
        <w:rPr>
          <w:rFonts w:hint="eastAsia" w:ascii="仿宋" w:hAnsi="仿宋" w:eastAsia="仿宋" w:cs="仿宋"/>
          <w:sz w:val="32"/>
          <w:szCs w:val="32"/>
          <w:lang w:val="en-US" w:eastAsia="zh-CN"/>
        </w:rPr>
        <w:t>269.30</w:t>
      </w:r>
      <w:r>
        <w:rPr>
          <w:rFonts w:hint="eastAsia" w:ascii="仿宋" w:hAnsi="仿宋" w:eastAsia="仿宋" w:cs="仿宋"/>
          <w:sz w:val="32"/>
          <w:szCs w:val="32"/>
        </w:rPr>
        <w:t>万元，基本支出</w:t>
      </w:r>
      <w:r>
        <w:rPr>
          <w:rFonts w:hint="eastAsia" w:ascii="仿宋" w:hAnsi="仿宋" w:eastAsia="仿宋" w:cs="仿宋"/>
          <w:sz w:val="32"/>
          <w:szCs w:val="32"/>
          <w:lang w:val="en-US" w:eastAsia="zh-CN"/>
        </w:rPr>
        <w:t>263.46</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5.84</w:t>
      </w:r>
      <w:r>
        <w:rPr>
          <w:rFonts w:hint="eastAsia" w:ascii="仿宋" w:hAnsi="仿宋" w:eastAsia="仿宋" w:cs="仿宋"/>
          <w:sz w:val="32"/>
          <w:szCs w:val="32"/>
        </w:rPr>
        <w:t>万元。</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三、部门整体预算绩效管理情况</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（一）部门预算管理</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1、部门绩效目标制定情况</w:t>
      </w:r>
    </w:p>
    <w:p>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坚按照预算绩效管理要求，本部门对</w:t>
      </w:r>
      <w:r>
        <w:rPr>
          <w:rFonts w:hint="eastAsia" w:ascii="仿宋" w:hAnsi="仿宋" w:eastAsia="仿宋" w:cs="仿宋"/>
          <w:color w:val="333333"/>
          <w:kern w:val="0"/>
          <w:sz w:val="32"/>
          <w:szCs w:val="32"/>
          <w:shd w:val="clear" w:color="auto" w:fill="FFFFFF"/>
          <w:lang w:eastAsia="zh-CN"/>
        </w:rPr>
        <w:t>202</w:t>
      </w: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年一般公共预算项目支出开展了绩效目标管理，共编制绩效目标覆盖率达到100%。</w:t>
      </w:r>
    </w:p>
    <w:p>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2、</w:t>
      </w:r>
      <w:r>
        <w:rPr>
          <w:rFonts w:hint="eastAsia" w:ascii="仿宋" w:hAnsi="仿宋" w:eastAsia="仿宋" w:cs="仿宋"/>
          <w:color w:val="333333"/>
          <w:kern w:val="0"/>
          <w:sz w:val="32"/>
          <w:szCs w:val="32"/>
          <w:shd w:val="clear" w:color="auto" w:fill="FFFFFF"/>
          <w:lang w:eastAsia="zh-CN"/>
        </w:rPr>
        <w:t>202</w:t>
      </w: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年整体目标如下：</w:t>
      </w:r>
    </w:p>
    <w:p>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坚持以人民为中心，以社会治理创新为动力、以依法及时就地解决合理诉求为目标，深入信访工作制度改革，持续开展信访矛盾化解攻坚战，紧紧围绕信访工作目标责任，始终把信访工作摆在突出的重要位置，加强信访积案化解工作力度，强化领导干部下访，积极排查信访矛盾纠纷，解决好信访突出问题，扎实做好我县</w:t>
      </w:r>
      <w:r>
        <w:rPr>
          <w:rFonts w:hint="eastAsia" w:ascii="仿宋" w:hAnsi="仿宋" w:eastAsia="仿宋" w:cs="仿宋"/>
          <w:color w:val="333333"/>
          <w:kern w:val="0"/>
          <w:sz w:val="32"/>
          <w:szCs w:val="32"/>
          <w:shd w:val="clear" w:color="auto" w:fill="FFFFFF"/>
          <w:lang w:eastAsia="zh-CN"/>
        </w:rPr>
        <w:t>矛盾化解</w:t>
      </w:r>
      <w:r>
        <w:rPr>
          <w:rFonts w:hint="eastAsia" w:ascii="仿宋" w:hAnsi="仿宋" w:eastAsia="仿宋" w:cs="仿宋"/>
          <w:color w:val="333333"/>
          <w:kern w:val="0"/>
          <w:sz w:val="32"/>
          <w:szCs w:val="32"/>
          <w:shd w:val="clear" w:color="auto" w:fill="FFFFFF"/>
        </w:rPr>
        <w:t>工作，对信访重点人员落实稳控责任，逐一落实包案领导、责任单位和责任人，促进我县的社会和谐稳定。</w:t>
      </w:r>
    </w:p>
    <w:p>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lang w:val="en-US" w:eastAsia="zh-CN"/>
        </w:rPr>
        <w:t>3</w:t>
      </w:r>
      <w:r>
        <w:rPr>
          <w:rFonts w:hint="eastAsia" w:ascii="仿宋" w:hAnsi="仿宋" w:eastAsia="仿宋" w:cs="仿宋"/>
          <w:color w:val="333333"/>
          <w:kern w:val="0"/>
          <w:sz w:val="32"/>
          <w:szCs w:val="32"/>
          <w:shd w:val="clear" w:color="auto" w:fill="FFFFFF"/>
        </w:rPr>
        <w:t>.预算编制准确</w:t>
      </w:r>
    </w:p>
    <w:p>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在预算编制中进一步夯实预算编制基础，及时更新相关基础数据，严格控制“三公”经费预算及支出，预算编制及决算编制做到了及时、完整、准确、合理、高效。</w:t>
      </w:r>
    </w:p>
    <w:p>
      <w:pPr>
        <w:widowControl/>
        <w:numPr>
          <w:ilvl w:val="0"/>
          <w:numId w:val="4"/>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highlight w:val="none"/>
          <w:shd w:val="clear" w:color="auto" w:fill="FFFFFF"/>
          <w:lang w:bidi="ar"/>
        </w:rPr>
      </w:pPr>
      <w:r>
        <w:rPr>
          <w:rFonts w:hint="eastAsia" w:ascii="仿宋" w:hAnsi="仿宋" w:eastAsia="仿宋" w:cs="仿宋"/>
          <w:color w:val="000000"/>
          <w:kern w:val="0"/>
          <w:sz w:val="32"/>
          <w:szCs w:val="32"/>
          <w:highlight w:val="none"/>
          <w:shd w:val="clear" w:color="auto" w:fill="FFFFFF"/>
          <w:lang w:bidi="ar"/>
        </w:rPr>
        <w:t>目标完成情况</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一是开门接访。</w:t>
      </w:r>
      <w:r>
        <w:rPr>
          <w:rFonts w:hint="eastAsia" w:ascii="仿宋_GB2312" w:hAnsi="仿宋_GB2312" w:eastAsia="仿宋_GB2312" w:cs="仿宋_GB2312"/>
          <w:b w:val="0"/>
          <w:bCs/>
          <w:sz w:val="32"/>
          <w:szCs w:val="32"/>
          <w:lang w:val="en-US" w:eastAsia="zh-CN"/>
        </w:rPr>
        <w:t>县委常委会会议、县政府常务会定期研究信访工作，坚持用法治思维谋划信访工作、靠法治方式解决信访问题。落实领导干部定期接访制度，县级领导每月至少1次在县群众来访接待中心接访，部门乡镇领导每周至少1次在本单位接待信访群众，村组干部每天在党群活动室值班接访。</w:t>
      </w:r>
      <w:r>
        <w:rPr>
          <w:rFonts w:hint="eastAsia" w:ascii="仿宋_GB2312" w:hAnsi="仿宋_GB2312" w:eastAsia="仿宋_GB2312" w:cs="仿宋_GB2312"/>
          <w:b/>
          <w:bCs w:val="0"/>
          <w:sz w:val="32"/>
          <w:szCs w:val="32"/>
          <w:lang w:val="en-US" w:eastAsia="zh-CN"/>
        </w:rPr>
        <w:t>二是下沉接访。</w:t>
      </w:r>
      <w:r>
        <w:rPr>
          <w:rFonts w:hint="eastAsia" w:ascii="仿宋_GB2312" w:hAnsi="仿宋_GB2312" w:eastAsia="仿宋_GB2312" w:cs="仿宋_GB2312"/>
          <w:b w:val="0"/>
          <w:bCs/>
          <w:sz w:val="32"/>
          <w:szCs w:val="32"/>
          <w:lang w:val="en-US" w:eastAsia="zh-CN"/>
        </w:rPr>
        <w:t>弘扬“四下基层”优良作风，实行“访前调查准备+访中会商研究+访后限期办结”闭环工作模式，及时就地解决群众合理诉求。联系乡领导每月至少1次到联系乡镇督导信访工作、研究信访问题、走访群众收集解决急难盼愁问题。部门、乡镇领导每月至少1次在群众家门口“接单问诊”，重点排化历史遗留、城乡建设、 自然资源、劳动保障等高发领域的信访问题。</w:t>
      </w:r>
      <w:r>
        <w:rPr>
          <w:rFonts w:hint="eastAsia" w:ascii="仿宋_GB2312" w:hAnsi="仿宋_GB2312" w:eastAsia="仿宋_GB2312" w:cs="仿宋_GB2312"/>
          <w:b/>
          <w:bCs w:val="0"/>
          <w:sz w:val="32"/>
          <w:szCs w:val="32"/>
          <w:lang w:val="en-US" w:eastAsia="zh-CN"/>
        </w:rPr>
        <w:t>三是跟踪回访。</w:t>
      </w:r>
      <w:r>
        <w:rPr>
          <w:rFonts w:hint="eastAsia" w:ascii="仿宋_GB2312" w:hAnsi="仿宋_GB2312" w:eastAsia="仿宋_GB2312" w:cs="仿宋_GB2312"/>
          <w:b w:val="0"/>
          <w:bCs/>
          <w:sz w:val="32"/>
          <w:szCs w:val="32"/>
          <w:lang w:val="en-US" w:eastAsia="zh-CN"/>
        </w:rPr>
        <w:t>加强群众反映问题调查处理情况的跟踪反馈，及时告知群众进展情况和处理结果;对群众诉求依法按政策不能解决的，耐心细致地做好解疑释惑和情绪疏导工作，取得群众的理解和支持，切实提高群众满意率。</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方正楷体_GBK" w:hAnsi="方正楷体_GBK" w:eastAsia="方正楷体_GBK" w:cs="方正楷体_GBK"/>
          <w:b/>
          <w:bCs w:val="0"/>
          <w:sz w:val="32"/>
          <w:szCs w:val="32"/>
          <w:lang w:val="en-US" w:eastAsia="zh-CN"/>
        </w:rPr>
        <w:t>突出基层主体，打好源头治理“组合拳”。</w:t>
      </w:r>
      <w:r>
        <w:rPr>
          <w:rFonts w:hint="eastAsia" w:ascii="仿宋_GB2312" w:hAnsi="仿宋_GB2312" w:eastAsia="仿宋_GB2312" w:cs="仿宋_GB2312"/>
          <w:b w:val="0"/>
          <w:bCs/>
          <w:sz w:val="32"/>
          <w:szCs w:val="32"/>
          <w:lang w:val="en-US" w:eastAsia="zh-CN"/>
        </w:rPr>
        <w:t>树牢“人民信访为人民”工作理念，夯实基层基础，注重源头预防，把信访工作做到群众心坎上。抓源头，减少信访事项发生。坚持和发展新时代“枫桥经验”，深入开展信访问题源头治理三年攻坚行动，11个乡镇建立信访工作联席会议机制，预防在先、发现在早、解决在小，坚持信访跟着项目、民生等重点领域走，坚持每季度开展1次县域信访形势分析研判，梳理突出矛盾隐患6件，有力推动各部门依法行政、科学决策。</w:t>
      </w:r>
    </w:p>
    <w:p>
      <w:pPr>
        <w:widowControl/>
        <w:adjustRightInd w:val="0"/>
        <w:snapToGrid w:val="0"/>
        <w:spacing w:line="560" w:lineRule="exact"/>
        <w:ind w:firstLine="643" w:firstLineChars="200"/>
        <w:contextualSpacing/>
        <w:jc w:val="left"/>
        <w:rPr>
          <w:rFonts w:hint="eastAsia" w:ascii="仿宋" w:hAnsi="仿宋" w:eastAsia="仿宋" w:cs="仿宋"/>
          <w:color w:val="000000"/>
          <w:kern w:val="0"/>
          <w:sz w:val="32"/>
          <w:szCs w:val="32"/>
          <w:shd w:val="clear" w:color="auto" w:fill="FFFFFF"/>
          <w:lang w:val="en-US" w:eastAsia="zh-CN" w:bidi="ar"/>
        </w:rPr>
      </w:pPr>
      <w:r>
        <w:rPr>
          <w:rFonts w:hint="eastAsia" w:ascii="方正楷体_GBK" w:hAnsi="方正楷体_GBK" w:eastAsia="方正楷体_GBK" w:cs="方正楷体_GBK"/>
          <w:b/>
          <w:bCs w:val="0"/>
          <w:sz w:val="32"/>
          <w:szCs w:val="32"/>
          <w:lang w:val="en-US" w:eastAsia="zh-CN"/>
        </w:rPr>
        <w:t>突出治理主线，守牢基层信访工作底线。</w:t>
      </w:r>
      <w:r>
        <w:rPr>
          <w:rFonts w:hint="eastAsia" w:ascii="仿宋" w:hAnsi="仿宋" w:eastAsia="仿宋" w:cs="仿宋"/>
          <w:color w:val="000000"/>
          <w:kern w:val="0"/>
          <w:sz w:val="32"/>
          <w:szCs w:val="32"/>
          <w:shd w:val="clear" w:color="auto" w:fill="FFFFFF"/>
          <w:lang w:val="en-US" w:eastAsia="zh-CN" w:bidi="ar"/>
        </w:rPr>
        <w:t>兼顾暖心疏导与依法处置，既全力保障群众合理诉求顺畅解决，又依规处置缠访闹访等违法行为。做实普法宣传，让群众懂法会维权。常态化开展《信访工作条例》进村入户宣讲，印制信访办事指引、政策明白纸等实用资料5000余份。结合街头摆摊宣传、村寨院坝座谈、短视频普法推送等接地气方式，面对面讲清信访渠道、办事流程与边界规定，手把手引导群众走正规途径反映问题，避免盲目越级走访。局共接到群众来信、来访、来电28批次，52人次，其中：四川省网上信访信息系统4件（国家信访局来信转送1件、省信访局网上投诉转送1件、州信访局来信转送1件、州委书记领导留言转送1件、州长留言转送2件；人民网领导留言板2件（州委书记1件、州长1件）。已化解27件，1件正在化解中；二是省委第八巡视组在巡视壤塘期间，转交给我县4件信访案件，其中（来电1件、来信3件），分别已转送给涉及的相关部门调查处理，化解率达96%。</w:t>
      </w:r>
      <w:bookmarkStart w:id="123" w:name="_GoBack"/>
      <w:bookmarkEnd w:id="123"/>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bidi="ar"/>
        </w:rPr>
        <w:t>5</w:t>
      </w:r>
      <w:r>
        <w:rPr>
          <w:rFonts w:hint="eastAsia" w:ascii="仿宋" w:hAnsi="仿宋" w:eastAsia="仿宋" w:cs="仿宋"/>
          <w:color w:val="000000"/>
          <w:kern w:val="0"/>
          <w:sz w:val="32"/>
          <w:szCs w:val="32"/>
          <w:shd w:val="clear" w:color="auto" w:fill="FFFFFF"/>
          <w:lang w:bidi="ar"/>
        </w:rPr>
        <w:t>、执行进度情况</w:t>
      </w:r>
    </w:p>
    <w:p>
      <w:pPr>
        <w:pStyle w:val="39"/>
        <w:spacing w:line="360" w:lineRule="auto"/>
        <w:ind w:firstLine="640"/>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2年财</w:t>
      </w:r>
      <w:r>
        <w:rPr>
          <w:rFonts w:hint="eastAsia" w:ascii="仿宋" w:hAnsi="仿宋" w:eastAsia="仿宋" w:cs="仿宋"/>
          <w:sz w:val="32"/>
          <w:szCs w:val="32"/>
          <w:lang w:eastAsia="zh-CN"/>
        </w:rPr>
        <w:t>政下达壤塘县信访局年初预算收入</w:t>
      </w:r>
      <w:r>
        <w:rPr>
          <w:rFonts w:hint="eastAsia" w:ascii="仿宋" w:hAnsi="仿宋" w:eastAsia="仿宋" w:cs="仿宋"/>
          <w:sz w:val="32"/>
          <w:szCs w:val="32"/>
          <w:lang w:val="en-US" w:eastAsia="zh-CN"/>
        </w:rPr>
        <w:t>168.04</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当年追加预算94.86万元，年末收入总计为262.90万元。</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bidi="ar"/>
        </w:rPr>
        <w:t>6</w:t>
      </w:r>
      <w:r>
        <w:rPr>
          <w:rFonts w:hint="eastAsia" w:ascii="仿宋" w:hAnsi="仿宋" w:eastAsia="仿宋" w:cs="仿宋"/>
          <w:color w:val="000000"/>
          <w:kern w:val="0"/>
          <w:sz w:val="32"/>
          <w:szCs w:val="32"/>
          <w:shd w:val="clear" w:color="auto" w:fill="FFFFFF"/>
          <w:lang w:bidi="ar"/>
        </w:rPr>
        <w:t>、预算完成情况</w:t>
      </w:r>
    </w:p>
    <w:p>
      <w:pPr>
        <w:pStyle w:val="39"/>
        <w:spacing w:line="360" w:lineRule="auto"/>
        <w:ind w:firstLine="640"/>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2年财</w:t>
      </w:r>
      <w:r>
        <w:rPr>
          <w:rFonts w:hint="eastAsia" w:ascii="仿宋" w:hAnsi="仿宋" w:eastAsia="仿宋" w:cs="仿宋"/>
          <w:sz w:val="32"/>
          <w:szCs w:val="32"/>
          <w:lang w:eastAsia="zh-CN"/>
        </w:rPr>
        <w:t>政下达壤塘县信访局年初预算收入</w:t>
      </w:r>
      <w:r>
        <w:rPr>
          <w:rFonts w:hint="eastAsia" w:ascii="仿宋" w:hAnsi="仿宋" w:eastAsia="仿宋" w:cs="仿宋"/>
          <w:sz w:val="32"/>
          <w:szCs w:val="32"/>
          <w:lang w:val="en-US" w:eastAsia="zh-CN"/>
        </w:rPr>
        <w:t>168.04</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当年追加预算94.86万元，年末收入总计为262.90万元。</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w:t>
      </w:r>
    </w:p>
    <w:p>
      <w:pPr>
        <w:pStyle w:val="39"/>
        <w:spacing w:line="360" w:lineRule="auto"/>
        <w:ind w:firstLine="640"/>
        <w:rPr>
          <w:rFonts w:hint="eastAsia" w:ascii="仿宋" w:hAnsi="仿宋" w:eastAsia="仿宋" w:cs="仿宋"/>
          <w:b/>
          <w:bCs/>
          <w:kern w:val="0"/>
          <w:sz w:val="32"/>
          <w:szCs w:val="32"/>
        </w:rPr>
      </w:pPr>
      <w:r>
        <w:rPr>
          <w:rFonts w:hint="eastAsia" w:ascii="仿宋" w:hAnsi="仿宋" w:eastAsia="仿宋" w:cs="仿宋"/>
          <w:b/>
          <w:bCs/>
          <w:kern w:val="0"/>
          <w:sz w:val="32"/>
          <w:szCs w:val="32"/>
          <w:lang w:val="en-US" w:eastAsia="zh-CN"/>
        </w:rPr>
        <w:t>6、</w:t>
      </w:r>
      <w:r>
        <w:rPr>
          <w:rFonts w:hint="eastAsia" w:ascii="仿宋" w:hAnsi="仿宋" w:eastAsia="仿宋" w:cs="仿宋"/>
          <w:b/>
          <w:bCs/>
          <w:kern w:val="0"/>
          <w:sz w:val="32"/>
          <w:szCs w:val="32"/>
        </w:rPr>
        <w:t>行政成本</w:t>
      </w:r>
    </w:p>
    <w:p>
      <w:pPr>
        <w:pStyle w:val="39"/>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rPr>
        <w:t>“三公”经费控制。</w:t>
      </w:r>
      <w:r>
        <w:rPr>
          <w:rFonts w:hint="eastAsia" w:ascii="仿宋" w:hAnsi="仿宋" w:eastAsia="仿宋" w:cs="仿宋"/>
          <w:sz w:val="32"/>
          <w:szCs w:val="32"/>
          <w:lang w:eastAsia="zh-CN"/>
        </w:rPr>
        <w:t>购买一辆公务用车。</w:t>
      </w:r>
    </w:p>
    <w:p>
      <w:pPr>
        <w:pStyle w:val="39"/>
        <w:spacing w:line="360" w:lineRule="auto"/>
        <w:ind w:firstLine="640"/>
        <w:outlineLvl w:val="1"/>
        <w:rPr>
          <w:rFonts w:hint="eastAsia" w:ascii="仿宋" w:hAnsi="仿宋" w:eastAsia="仿宋" w:cs="仿宋"/>
          <w:b/>
          <w:bCs/>
          <w:kern w:val="0"/>
          <w:sz w:val="32"/>
          <w:szCs w:val="32"/>
        </w:rPr>
      </w:pPr>
      <w:bookmarkStart w:id="89" w:name="_Toc16180"/>
      <w:bookmarkStart w:id="90" w:name="_Toc28206"/>
      <w:bookmarkStart w:id="91" w:name="_Toc30459"/>
      <w:r>
        <w:rPr>
          <w:rFonts w:hint="eastAsia" w:ascii="仿宋" w:hAnsi="仿宋" w:eastAsia="仿宋" w:cs="仿宋"/>
          <w:b/>
          <w:bCs/>
          <w:kern w:val="0"/>
          <w:sz w:val="32"/>
          <w:szCs w:val="32"/>
          <w:lang w:val="en-US" w:eastAsia="zh-CN"/>
        </w:rPr>
        <w:t>7、</w:t>
      </w:r>
      <w:r>
        <w:rPr>
          <w:rFonts w:hint="eastAsia" w:ascii="仿宋" w:hAnsi="仿宋" w:eastAsia="仿宋" w:cs="仿宋"/>
          <w:b/>
          <w:bCs/>
          <w:kern w:val="0"/>
          <w:sz w:val="32"/>
          <w:szCs w:val="32"/>
        </w:rPr>
        <w:t>政府采购</w:t>
      </w:r>
      <w:bookmarkEnd w:id="89"/>
      <w:bookmarkEnd w:id="90"/>
      <w:bookmarkEnd w:id="91"/>
    </w:p>
    <w:p>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年壤塘县信访局</w:t>
      </w:r>
      <w:r>
        <w:rPr>
          <w:rFonts w:hint="eastAsia" w:ascii="仿宋" w:hAnsi="仿宋" w:eastAsia="仿宋" w:cs="仿宋"/>
          <w:sz w:val="32"/>
          <w:szCs w:val="32"/>
        </w:rPr>
        <w:t>政府采购</w:t>
      </w:r>
      <w:r>
        <w:rPr>
          <w:rFonts w:hint="eastAsia" w:ascii="仿宋" w:hAnsi="仿宋" w:eastAsia="仿宋" w:cs="仿宋"/>
          <w:sz w:val="32"/>
          <w:szCs w:val="32"/>
          <w:lang w:val="en-US" w:eastAsia="zh-CN"/>
        </w:rPr>
        <w:t>支出为购买一辆公务用车</w:t>
      </w:r>
      <w:r>
        <w:rPr>
          <w:rFonts w:hint="eastAsia" w:ascii="仿宋" w:hAnsi="仿宋" w:eastAsia="仿宋" w:cs="仿宋"/>
          <w:sz w:val="32"/>
          <w:szCs w:val="32"/>
        </w:rPr>
        <w:t>。</w:t>
      </w:r>
    </w:p>
    <w:p>
      <w:pPr>
        <w:numPr>
          <w:ilvl w:val="0"/>
          <w:numId w:val="0"/>
        </w:numPr>
        <w:snapToGrid w:val="0"/>
        <w:spacing w:line="360" w:lineRule="auto"/>
        <w:ind w:firstLine="643" w:firstLineChars="200"/>
        <w:outlineLvl w:val="1"/>
        <w:rPr>
          <w:rFonts w:hint="eastAsia" w:ascii="仿宋" w:hAnsi="仿宋" w:eastAsia="仿宋" w:cs="仿宋"/>
          <w:b/>
          <w:bCs/>
          <w:sz w:val="32"/>
          <w:szCs w:val="32"/>
        </w:rPr>
      </w:pPr>
      <w:bookmarkStart w:id="92" w:name="_Toc7598"/>
      <w:bookmarkStart w:id="93" w:name="_Toc7148"/>
      <w:bookmarkStart w:id="94" w:name="_Toc21401"/>
      <w:r>
        <w:rPr>
          <w:rFonts w:hint="eastAsia" w:ascii="仿宋" w:hAnsi="仿宋" w:eastAsia="仿宋" w:cs="仿宋"/>
          <w:b/>
          <w:bCs/>
          <w:kern w:val="0"/>
          <w:sz w:val="32"/>
          <w:szCs w:val="32"/>
          <w:lang w:val="en-US" w:eastAsia="zh-CN"/>
        </w:rPr>
        <w:t>8、</w:t>
      </w:r>
      <w:r>
        <w:rPr>
          <w:rFonts w:hint="eastAsia" w:ascii="仿宋" w:hAnsi="仿宋" w:eastAsia="仿宋" w:cs="仿宋"/>
          <w:b/>
          <w:bCs/>
          <w:kern w:val="0"/>
          <w:sz w:val="32"/>
          <w:szCs w:val="32"/>
        </w:rPr>
        <w:t>资产管理</w:t>
      </w:r>
      <w:bookmarkEnd w:id="92"/>
      <w:bookmarkEnd w:id="93"/>
      <w:bookmarkEnd w:id="94"/>
      <w:r>
        <w:rPr>
          <w:rFonts w:hint="eastAsia" w:ascii="仿宋" w:hAnsi="仿宋" w:eastAsia="仿宋" w:cs="仿宋"/>
          <w:b/>
          <w:bCs/>
          <w:kern w:val="0"/>
          <w:sz w:val="32"/>
          <w:szCs w:val="32"/>
        </w:rPr>
        <w:t xml:space="preserve"> </w:t>
      </w:r>
      <w:r>
        <w:rPr>
          <w:rFonts w:hint="eastAsia" w:ascii="仿宋" w:hAnsi="仿宋" w:eastAsia="仿宋" w:cs="仿宋"/>
          <w:b/>
          <w:bCs/>
          <w:sz w:val="32"/>
          <w:szCs w:val="32"/>
        </w:rPr>
        <w:t xml:space="preserve"> </w:t>
      </w:r>
    </w:p>
    <w:p>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固定资产在用率。截止</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年</w:t>
      </w:r>
      <w:r>
        <w:rPr>
          <w:rFonts w:hint="eastAsia" w:ascii="仿宋" w:hAnsi="仿宋" w:eastAsia="仿宋" w:cs="仿宋"/>
          <w:sz w:val="32"/>
          <w:szCs w:val="32"/>
        </w:rPr>
        <w:t>12月31日，</w:t>
      </w:r>
      <w:r>
        <w:rPr>
          <w:rFonts w:hint="eastAsia" w:ascii="仿宋" w:hAnsi="仿宋" w:eastAsia="仿宋" w:cs="仿宋"/>
          <w:sz w:val="32"/>
          <w:szCs w:val="32"/>
          <w:lang w:eastAsia="zh-CN"/>
        </w:rPr>
        <w:t>壤塘县信访局会</w:t>
      </w:r>
      <w:r>
        <w:rPr>
          <w:rFonts w:hint="eastAsia" w:ascii="仿宋" w:hAnsi="仿宋" w:eastAsia="仿宋" w:cs="仿宋"/>
          <w:sz w:val="32"/>
          <w:szCs w:val="32"/>
        </w:rPr>
        <w:t>《行政单位资产管理系统》固定资产总计</w:t>
      </w:r>
      <w:r>
        <w:rPr>
          <w:rFonts w:hint="eastAsia" w:ascii="仿宋" w:hAnsi="仿宋" w:eastAsia="仿宋" w:cs="仿宋"/>
          <w:sz w:val="32"/>
          <w:szCs w:val="32"/>
          <w:lang w:val="en-US" w:eastAsia="zh-CN"/>
        </w:rPr>
        <w:t>14.42</w:t>
      </w:r>
      <w:r>
        <w:rPr>
          <w:rFonts w:hint="eastAsia" w:ascii="仿宋" w:hAnsi="仿宋" w:eastAsia="仿宋" w:cs="仿宋"/>
          <w:sz w:val="32"/>
          <w:szCs w:val="32"/>
        </w:rPr>
        <w:t>万元，在用的固定资产总计</w:t>
      </w:r>
      <w:r>
        <w:rPr>
          <w:rFonts w:hint="eastAsia" w:ascii="仿宋" w:hAnsi="仿宋" w:eastAsia="仿宋" w:cs="仿宋"/>
          <w:sz w:val="32"/>
          <w:szCs w:val="32"/>
          <w:lang w:val="en-US" w:eastAsia="zh-CN"/>
        </w:rPr>
        <w:t>14.42</w:t>
      </w:r>
      <w:r>
        <w:rPr>
          <w:rFonts w:hint="eastAsia" w:ascii="仿宋" w:hAnsi="仿宋" w:eastAsia="仿宋" w:cs="仿宋"/>
          <w:sz w:val="32"/>
          <w:szCs w:val="32"/>
        </w:rPr>
        <w:t>万元，固定资产在用率达100%。</w:t>
      </w:r>
    </w:p>
    <w:p>
      <w:pPr>
        <w:pStyle w:val="39"/>
        <w:spacing w:line="360" w:lineRule="auto"/>
        <w:ind w:left="420" w:leftChars="200" w:firstLine="321" w:firstLineChars="100"/>
        <w:rPr>
          <w:rFonts w:hint="eastAsia" w:ascii="仿宋" w:hAnsi="仿宋" w:eastAsia="仿宋" w:cs="仿宋"/>
          <w:b/>
          <w:bCs/>
          <w:kern w:val="0"/>
          <w:sz w:val="32"/>
          <w:szCs w:val="32"/>
        </w:rPr>
      </w:pPr>
      <w:r>
        <w:rPr>
          <w:rFonts w:hint="eastAsia" w:ascii="仿宋" w:hAnsi="仿宋" w:eastAsia="仿宋" w:cs="仿宋"/>
          <w:b/>
          <w:bCs/>
          <w:kern w:val="0"/>
          <w:sz w:val="32"/>
          <w:szCs w:val="32"/>
          <w:lang w:val="en-US" w:eastAsia="zh-CN"/>
        </w:rPr>
        <w:t>9、</w:t>
      </w:r>
      <w:r>
        <w:rPr>
          <w:rFonts w:hint="eastAsia" w:ascii="仿宋" w:hAnsi="仿宋" w:eastAsia="仿宋" w:cs="仿宋"/>
          <w:b/>
          <w:bCs/>
          <w:kern w:val="0"/>
          <w:sz w:val="32"/>
          <w:szCs w:val="32"/>
        </w:rPr>
        <w:t>信息公开</w:t>
      </w:r>
    </w:p>
    <w:p>
      <w:pPr>
        <w:widowControl/>
        <w:adjustRightInd w:val="0"/>
        <w:snapToGrid w:val="0"/>
        <w:spacing w:line="560" w:lineRule="exact"/>
        <w:ind w:firstLine="640" w:firstLineChars="200"/>
        <w:contextualSpacing/>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按时公开。</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（二）结果应用情况</w:t>
      </w:r>
    </w:p>
    <w:p>
      <w:pPr>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成立自评工作小组，组织实施本单位</w:t>
      </w:r>
      <w:r>
        <w:rPr>
          <w:rFonts w:hint="eastAsia" w:ascii="仿宋" w:hAnsi="仿宋" w:eastAsia="仿宋" w:cs="仿宋"/>
          <w:color w:val="000000"/>
          <w:kern w:val="0"/>
          <w:sz w:val="32"/>
          <w:szCs w:val="32"/>
          <w:lang w:eastAsia="zh-CN" w:bidi="ar"/>
        </w:rPr>
        <w:t>202</w:t>
      </w:r>
      <w:r>
        <w:rPr>
          <w:rFonts w:hint="eastAsia" w:ascii="仿宋" w:hAnsi="仿宋" w:eastAsia="仿宋" w:cs="仿宋"/>
          <w:color w:val="000000"/>
          <w:kern w:val="0"/>
          <w:sz w:val="32"/>
          <w:szCs w:val="32"/>
          <w:lang w:val="en-US" w:eastAsia="zh-CN" w:bidi="ar"/>
        </w:rPr>
        <w:t>2</w:t>
      </w:r>
      <w:r>
        <w:rPr>
          <w:rFonts w:hint="eastAsia" w:ascii="仿宋" w:hAnsi="仿宋" w:eastAsia="仿宋" w:cs="仿宋"/>
          <w:color w:val="000000"/>
          <w:kern w:val="0"/>
          <w:sz w:val="32"/>
          <w:szCs w:val="32"/>
          <w:lang w:bidi="ar"/>
        </w:rPr>
        <w:t>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执行财务管理制度，根据年初预算合理安排日常公用经费资金，做到厉行节约、精打细算，把有效的资金用到刀刃上，让财政资金发挥最大的社会及经济效益并保证各项工作的正常运转。</w:t>
      </w:r>
    </w:p>
    <w:p>
      <w:pPr>
        <w:widowControl/>
        <w:numPr>
          <w:ilvl w:val="0"/>
          <w:numId w:val="5"/>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评价结论及建议</w:t>
      </w:r>
    </w:p>
    <w:p>
      <w:pPr>
        <w:widowControl/>
        <w:numPr>
          <w:ilvl w:val="0"/>
          <w:numId w:val="6"/>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评价结论</w:t>
      </w:r>
    </w:p>
    <w:p>
      <w:pPr>
        <w:pStyle w:val="15"/>
        <w:ind w:left="0" w:leftChars="0"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val="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将继续努力，科学合理编制预决算，进行绩效评价，加强精细管理，完善不足。</w:t>
      </w:r>
    </w:p>
    <w:p>
      <w:pPr>
        <w:widowControl/>
        <w:numPr>
          <w:ilvl w:val="0"/>
          <w:numId w:val="6"/>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存在问题</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val="zh-CN" w:bidi="ar"/>
        </w:rPr>
      </w:pPr>
      <w:r>
        <w:rPr>
          <w:rFonts w:hint="eastAsia" w:ascii="仿宋" w:hAnsi="仿宋" w:eastAsia="仿宋" w:cs="仿宋"/>
          <w:color w:val="000000"/>
          <w:kern w:val="0"/>
          <w:sz w:val="32"/>
          <w:szCs w:val="32"/>
          <w:lang w:bidi="ar"/>
        </w:rPr>
        <w:t>1、预算编制前根据年度内单位可预见的工作任务，确定了单位年度预算目标，细化了预算指标，但预算编制的精准性有待进一步提高。</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w:t>
      </w:r>
      <w:r>
        <w:rPr>
          <w:rFonts w:hint="eastAsia" w:ascii="仿宋" w:hAnsi="仿宋" w:eastAsia="仿宋" w:cs="仿宋"/>
          <w:color w:val="000000"/>
          <w:kern w:val="0"/>
          <w:sz w:val="32"/>
          <w:szCs w:val="32"/>
          <w:lang w:val="zh-CN" w:bidi="ar"/>
        </w:rPr>
        <w:t>是对部门整体支出预算评价工作不够重视，没有把预算财务分析作为常态化工作。</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（三）改进建议</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1.加强学习，提高思想认识。组织单位财务人员认真学习《</w:t>
      </w:r>
      <w:r>
        <w:rPr>
          <w:rFonts w:hint="eastAsia" w:ascii="仿宋" w:hAnsi="仿宋" w:eastAsia="仿宋" w:cs="仿宋"/>
          <w:color w:val="000000"/>
          <w:kern w:val="0"/>
          <w:sz w:val="32"/>
          <w:szCs w:val="32"/>
          <w:lang w:eastAsia="zh-CN" w:bidi="ar"/>
        </w:rPr>
        <w:t>中华人民共和国</w:t>
      </w:r>
      <w:r>
        <w:rPr>
          <w:rFonts w:hint="eastAsia" w:ascii="仿宋" w:hAnsi="仿宋" w:eastAsia="仿宋" w:cs="仿宋"/>
          <w:color w:val="000000"/>
          <w:kern w:val="0"/>
          <w:sz w:val="32"/>
          <w:szCs w:val="32"/>
          <w:lang w:bidi="ar"/>
        </w:rPr>
        <w:t>预算法》、《项目支出绩效评价》等文件</w:t>
      </w:r>
      <w:r>
        <w:rPr>
          <w:rFonts w:hint="eastAsia" w:ascii="仿宋" w:hAnsi="仿宋" w:eastAsia="仿宋" w:cs="仿宋"/>
          <w:color w:val="000000"/>
          <w:kern w:val="0"/>
          <w:sz w:val="32"/>
          <w:szCs w:val="32"/>
          <w:lang w:eastAsia="zh-CN" w:bidi="ar"/>
        </w:rPr>
        <w:t>相关要求</w:t>
      </w:r>
      <w:r>
        <w:rPr>
          <w:rFonts w:hint="eastAsia" w:ascii="仿宋" w:hAnsi="仿宋" w:eastAsia="仿宋" w:cs="仿宋"/>
          <w:color w:val="000000"/>
          <w:kern w:val="0"/>
          <w:sz w:val="32"/>
          <w:szCs w:val="32"/>
          <w:lang w:bidi="ar"/>
        </w:rPr>
        <w:t>，提高单位领导对全面预算管理及绩效评价工作的重视程度，增强意识。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bidi="ar"/>
        </w:rPr>
      </w:pPr>
      <w:r>
        <w:rPr>
          <w:rFonts w:hint="eastAsia" w:ascii="仿宋" w:hAnsi="仿宋" w:eastAsia="仿宋" w:cs="仿宋"/>
          <w:color w:val="000000"/>
          <w:kern w:val="0"/>
          <w:sz w:val="32"/>
          <w:szCs w:val="32"/>
          <w:lang w:bidi="ar"/>
        </w:rPr>
        <w:t>2.提高预算编制的可操作性，强化预算执行约束力，尽量减少预算调整。</w:t>
      </w:r>
    </w:p>
    <w:p>
      <w:pPr>
        <w:pStyle w:val="9"/>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p>
      <w:pPr>
        <w:widowControl/>
        <w:jc w:val="left"/>
        <w:rPr>
          <w:rStyle w:val="30"/>
          <w:rFonts w:ascii="黑体" w:hAnsi="黑体" w:eastAsia="黑体"/>
          <w:b w:val="0"/>
          <w:color w:val="auto"/>
          <w:highlight w:val="none"/>
        </w:rPr>
      </w:pPr>
      <w:r>
        <w:rPr>
          <w:rStyle w:val="30"/>
          <w:rFonts w:ascii="黑体" w:hAnsi="黑体" w:eastAsia="黑体"/>
          <w:b w:val="0"/>
          <w:color w:val="auto"/>
          <w:highlight w:val="none"/>
        </w:rPr>
        <w:br w:type="page"/>
      </w:r>
    </w:p>
    <w:p>
      <w:pPr>
        <w:spacing w:line="600" w:lineRule="exact"/>
        <w:jc w:val="center"/>
        <w:outlineLvl w:val="0"/>
        <w:rPr>
          <w:rFonts w:hint="eastAsia" w:ascii="仿宋" w:hAnsi="仿宋" w:eastAsia="仿宋"/>
          <w:b w:val="0"/>
          <w:color w:val="auto"/>
          <w:highlight w:val="none"/>
        </w:rPr>
      </w:pPr>
      <w:bookmarkStart w:id="95" w:name="_Toc15396618"/>
      <w:bookmarkStart w:id="96" w:name="_Toc7700"/>
      <w:r>
        <w:rPr>
          <w:rFonts w:hint="eastAsia" w:ascii="黑体" w:hAnsi="黑体" w:eastAsia="黑体"/>
          <w:color w:val="auto"/>
          <w:sz w:val="44"/>
          <w:szCs w:val="44"/>
          <w:highlight w:val="none"/>
        </w:rPr>
        <w:t>第</w:t>
      </w:r>
      <w:r>
        <w:rPr>
          <w:rStyle w:val="30"/>
          <w:rFonts w:hint="eastAsia" w:ascii="黑体" w:hAnsi="黑体" w:eastAsia="黑体"/>
          <w:b w:val="0"/>
          <w:color w:val="auto"/>
          <w:highlight w:val="none"/>
        </w:rPr>
        <w:t>五部分 附表</w:t>
      </w:r>
      <w:bookmarkEnd w:id="83"/>
      <w:bookmarkEnd w:id="95"/>
      <w:bookmarkEnd w:id="96"/>
      <w:bookmarkStart w:id="97" w:name="_Toc15396619"/>
    </w:p>
    <w:p>
      <w:pPr>
        <w:pStyle w:val="4"/>
        <w:rPr>
          <w:rFonts w:ascii="仿宋" w:hAnsi="仿宋" w:eastAsia="仿宋"/>
          <w:color w:val="auto"/>
          <w:highlight w:val="none"/>
        </w:rPr>
      </w:pPr>
      <w:bookmarkStart w:id="98" w:name="_Toc1673"/>
      <w:r>
        <w:rPr>
          <w:rFonts w:hint="eastAsia" w:ascii="仿宋" w:hAnsi="仿宋" w:eastAsia="仿宋"/>
          <w:b w:val="0"/>
          <w:color w:val="auto"/>
          <w:highlight w:val="none"/>
        </w:rPr>
        <w:t>一、收</w:t>
      </w:r>
      <w:r>
        <w:rPr>
          <w:rStyle w:val="31"/>
          <w:rFonts w:hint="eastAsia" w:ascii="仿宋" w:hAnsi="仿宋" w:eastAsia="仿宋"/>
          <w:b w:val="0"/>
          <w:bCs w:val="0"/>
          <w:color w:val="auto"/>
          <w:highlight w:val="none"/>
        </w:rPr>
        <w:t>入支出决算总表</w:t>
      </w:r>
      <w:bookmarkEnd w:id="97"/>
      <w:bookmarkEnd w:id="98"/>
    </w:p>
    <w:p>
      <w:pPr>
        <w:pStyle w:val="4"/>
        <w:rPr>
          <w:rFonts w:ascii="仿宋" w:hAnsi="仿宋" w:eastAsia="仿宋"/>
          <w:color w:val="auto"/>
          <w:highlight w:val="none"/>
        </w:rPr>
      </w:pPr>
      <w:bookmarkStart w:id="99" w:name="_Toc15396620"/>
      <w:bookmarkStart w:id="100" w:name="_Toc16236"/>
      <w:r>
        <w:rPr>
          <w:rFonts w:hint="eastAsia" w:ascii="仿宋" w:hAnsi="仿宋" w:eastAsia="仿宋"/>
          <w:b w:val="0"/>
          <w:color w:val="auto"/>
          <w:highlight w:val="none"/>
        </w:rPr>
        <w:t>二、收</w:t>
      </w:r>
      <w:r>
        <w:rPr>
          <w:rStyle w:val="31"/>
          <w:rFonts w:hint="eastAsia" w:ascii="仿宋" w:hAnsi="仿宋" w:eastAsia="仿宋"/>
          <w:b w:val="0"/>
          <w:bCs w:val="0"/>
          <w:color w:val="auto"/>
          <w:highlight w:val="none"/>
        </w:rPr>
        <w:t>入决算表</w:t>
      </w:r>
      <w:bookmarkEnd w:id="99"/>
      <w:bookmarkEnd w:id="100"/>
    </w:p>
    <w:p>
      <w:pPr>
        <w:pStyle w:val="4"/>
        <w:rPr>
          <w:rFonts w:ascii="仿宋" w:hAnsi="仿宋" w:eastAsia="仿宋"/>
          <w:color w:val="auto"/>
          <w:highlight w:val="none"/>
        </w:rPr>
      </w:pPr>
      <w:bookmarkStart w:id="101" w:name="_Toc15396621"/>
      <w:bookmarkStart w:id="102" w:name="_Toc3828"/>
      <w:r>
        <w:rPr>
          <w:rStyle w:val="31"/>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1"/>
          <w:rFonts w:hint="eastAsia" w:ascii="仿宋" w:hAnsi="仿宋" w:eastAsia="仿宋"/>
          <w:b w:val="0"/>
          <w:bCs w:val="0"/>
          <w:color w:val="auto"/>
          <w:highlight w:val="none"/>
        </w:rPr>
        <w:t>出决算表</w:t>
      </w:r>
      <w:bookmarkEnd w:id="101"/>
      <w:bookmarkEnd w:id="102"/>
    </w:p>
    <w:p>
      <w:pPr>
        <w:pStyle w:val="4"/>
        <w:rPr>
          <w:rFonts w:ascii="仿宋" w:hAnsi="仿宋" w:eastAsia="仿宋"/>
          <w:b w:val="0"/>
          <w:color w:val="auto"/>
          <w:highlight w:val="none"/>
        </w:rPr>
      </w:pPr>
      <w:bookmarkStart w:id="103" w:name="_Toc15396622"/>
      <w:bookmarkStart w:id="104" w:name="_Toc32501"/>
      <w:r>
        <w:rPr>
          <w:rStyle w:val="31"/>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1"/>
          <w:rFonts w:hint="eastAsia" w:ascii="仿宋" w:hAnsi="仿宋" w:eastAsia="仿宋"/>
          <w:b w:val="0"/>
          <w:bCs w:val="0"/>
          <w:color w:val="auto"/>
          <w:highlight w:val="none"/>
        </w:rPr>
        <w:t>政拨款收入支出决算总表</w:t>
      </w:r>
      <w:bookmarkEnd w:id="103"/>
      <w:bookmarkEnd w:id="104"/>
    </w:p>
    <w:p>
      <w:pPr>
        <w:pStyle w:val="4"/>
        <w:rPr>
          <w:rStyle w:val="31"/>
          <w:rFonts w:ascii="仿宋" w:hAnsi="仿宋" w:eastAsia="仿宋"/>
          <w:b w:val="0"/>
          <w:bCs w:val="0"/>
          <w:color w:val="auto"/>
          <w:highlight w:val="none"/>
        </w:rPr>
      </w:pPr>
      <w:bookmarkStart w:id="105" w:name="_Toc15396623"/>
      <w:bookmarkStart w:id="106" w:name="_Toc27537"/>
      <w:r>
        <w:rPr>
          <w:rStyle w:val="31"/>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1"/>
          <w:rFonts w:hint="eastAsia" w:ascii="仿宋" w:hAnsi="仿宋" w:eastAsia="仿宋"/>
          <w:b w:val="0"/>
          <w:bCs w:val="0"/>
          <w:color w:val="auto"/>
          <w:highlight w:val="none"/>
        </w:rPr>
        <w:t>政拨款支出决算明细表</w:t>
      </w:r>
      <w:bookmarkEnd w:id="105"/>
      <w:bookmarkEnd w:id="106"/>
      <w:bookmarkStart w:id="107" w:name="_Toc15396624"/>
    </w:p>
    <w:p>
      <w:pPr>
        <w:pStyle w:val="4"/>
        <w:rPr>
          <w:rFonts w:ascii="仿宋" w:hAnsi="仿宋" w:eastAsia="仿宋"/>
          <w:color w:val="auto"/>
          <w:highlight w:val="none"/>
        </w:rPr>
      </w:pPr>
      <w:bookmarkStart w:id="108" w:name="_Toc9877"/>
      <w:r>
        <w:rPr>
          <w:rStyle w:val="31"/>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般公共预算财政拨款支出决算表</w:t>
      </w:r>
      <w:bookmarkEnd w:id="107"/>
      <w:bookmarkEnd w:id="108"/>
    </w:p>
    <w:p>
      <w:pPr>
        <w:pStyle w:val="4"/>
        <w:rPr>
          <w:rFonts w:ascii="仿宋" w:hAnsi="仿宋" w:eastAsia="仿宋"/>
          <w:color w:val="auto"/>
          <w:highlight w:val="none"/>
        </w:rPr>
      </w:pPr>
      <w:bookmarkStart w:id="109" w:name="_Toc15396625"/>
      <w:bookmarkStart w:id="110" w:name="_Toc3830"/>
      <w:r>
        <w:rPr>
          <w:rStyle w:val="31"/>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般公共预算财政拨款支出决算明细表</w:t>
      </w:r>
      <w:bookmarkEnd w:id="109"/>
      <w:bookmarkEnd w:id="110"/>
    </w:p>
    <w:p>
      <w:pPr>
        <w:pStyle w:val="4"/>
        <w:rPr>
          <w:rFonts w:ascii="仿宋" w:hAnsi="仿宋" w:eastAsia="仿宋"/>
          <w:color w:val="auto"/>
          <w:highlight w:val="none"/>
        </w:rPr>
      </w:pPr>
      <w:bookmarkStart w:id="111" w:name="_Toc15396626"/>
      <w:bookmarkStart w:id="112" w:name="_Toc30138"/>
      <w:r>
        <w:rPr>
          <w:rStyle w:val="31"/>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般公共预算财政拨款基本支出决算表</w:t>
      </w:r>
      <w:bookmarkEnd w:id="111"/>
      <w:bookmarkEnd w:id="112"/>
    </w:p>
    <w:p>
      <w:pPr>
        <w:pStyle w:val="4"/>
        <w:rPr>
          <w:rFonts w:ascii="仿宋" w:hAnsi="仿宋" w:eastAsia="仿宋"/>
          <w:color w:val="auto"/>
          <w:highlight w:val="none"/>
        </w:rPr>
      </w:pPr>
      <w:bookmarkStart w:id="113" w:name="_Toc15396627"/>
      <w:bookmarkStart w:id="114" w:name="_Toc23845"/>
      <w:r>
        <w:rPr>
          <w:rStyle w:val="31"/>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般公共预算财政拨款项目支出决算表</w:t>
      </w:r>
      <w:bookmarkEnd w:id="113"/>
      <w:bookmarkEnd w:id="114"/>
    </w:p>
    <w:p>
      <w:pPr>
        <w:pStyle w:val="4"/>
        <w:rPr>
          <w:rFonts w:ascii="仿宋" w:hAnsi="仿宋" w:eastAsia="仿宋"/>
          <w:color w:val="auto"/>
          <w:highlight w:val="none"/>
        </w:rPr>
      </w:pPr>
      <w:bookmarkStart w:id="115" w:name="_Toc15396628"/>
      <w:bookmarkStart w:id="116" w:name="_Toc8558"/>
      <w:r>
        <w:rPr>
          <w:rStyle w:val="31"/>
          <w:rFonts w:hint="eastAsia" w:ascii="仿宋" w:hAnsi="仿宋" w:eastAsia="仿宋"/>
          <w:b w:val="0"/>
          <w:bCs w:val="0"/>
          <w:color w:val="auto"/>
          <w:highlight w:val="none"/>
        </w:rPr>
        <w:t>十、</w:t>
      </w:r>
      <w:bookmarkEnd w:id="115"/>
      <w:r>
        <w:rPr>
          <w:rFonts w:hint="eastAsia" w:ascii="仿宋" w:hAnsi="仿宋" w:eastAsia="仿宋"/>
          <w:b w:val="0"/>
          <w:color w:val="auto"/>
          <w:highlight w:val="none"/>
        </w:rPr>
        <w:t>政</w:t>
      </w:r>
      <w:r>
        <w:rPr>
          <w:rStyle w:val="31"/>
          <w:rFonts w:hint="eastAsia" w:ascii="仿宋" w:hAnsi="仿宋" w:eastAsia="仿宋"/>
          <w:b w:val="0"/>
          <w:bCs w:val="0"/>
          <w:color w:val="auto"/>
          <w:highlight w:val="none"/>
        </w:rPr>
        <w:t>府性基金预算财政拨款收入支出决算表</w:t>
      </w:r>
      <w:bookmarkEnd w:id="116"/>
    </w:p>
    <w:p>
      <w:pPr>
        <w:pStyle w:val="4"/>
        <w:rPr>
          <w:rFonts w:ascii="仿宋" w:hAnsi="仿宋" w:eastAsia="仿宋"/>
          <w:color w:val="auto"/>
          <w:highlight w:val="none"/>
        </w:rPr>
      </w:pPr>
      <w:bookmarkStart w:id="117" w:name="_Toc15396629"/>
      <w:bookmarkStart w:id="118" w:name="_Toc15336"/>
      <w:r>
        <w:rPr>
          <w:rStyle w:val="31"/>
          <w:rFonts w:hint="eastAsia" w:ascii="仿宋" w:hAnsi="仿宋" w:eastAsia="仿宋"/>
          <w:b w:val="0"/>
          <w:bCs w:val="0"/>
          <w:color w:val="auto"/>
          <w:highlight w:val="none"/>
        </w:rPr>
        <w:t>十一、</w:t>
      </w:r>
      <w:bookmarkEnd w:id="117"/>
      <w:r>
        <w:rPr>
          <w:rFonts w:hint="eastAsia" w:ascii="仿宋" w:hAnsi="仿宋" w:eastAsia="仿宋"/>
          <w:b w:val="0"/>
          <w:color w:val="auto"/>
          <w:highlight w:val="none"/>
        </w:rPr>
        <w:t>国</w:t>
      </w:r>
      <w:r>
        <w:rPr>
          <w:rStyle w:val="31"/>
          <w:rFonts w:hint="eastAsia" w:ascii="仿宋" w:hAnsi="仿宋" w:eastAsia="仿宋"/>
          <w:b w:val="0"/>
          <w:bCs w:val="0"/>
          <w:color w:val="auto"/>
          <w:highlight w:val="none"/>
        </w:rPr>
        <w:t>有资本经营预算</w:t>
      </w:r>
      <w:r>
        <w:rPr>
          <w:rStyle w:val="31"/>
          <w:rFonts w:hint="eastAsia" w:ascii="仿宋" w:hAnsi="仿宋" w:eastAsia="仿宋"/>
          <w:b w:val="0"/>
          <w:bCs w:val="0"/>
          <w:color w:val="auto"/>
          <w:highlight w:val="none"/>
          <w:lang w:eastAsia="zh-CN"/>
        </w:rPr>
        <w:t>财政拨款收入</w:t>
      </w:r>
      <w:r>
        <w:rPr>
          <w:rStyle w:val="31"/>
          <w:rFonts w:hint="eastAsia" w:ascii="仿宋" w:hAnsi="仿宋" w:eastAsia="仿宋"/>
          <w:b w:val="0"/>
          <w:bCs w:val="0"/>
          <w:color w:val="auto"/>
          <w:highlight w:val="none"/>
        </w:rPr>
        <w:t>支出决算表</w:t>
      </w:r>
      <w:bookmarkEnd w:id="118"/>
    </w:p>
    <w:p>
      <w:pPr>
        <w:pStyle w:val="4"/>
        <w:rPr>
          <w:rFonts w:ascii="仿宋" w:hAnsi="仿宋" w:eastAsia="仿宋"/>
          <w:color w:val="auto"/>
          <w:highlight w:val="none"/>
        </w:rPr>
      </w:pPr>
      <w:bookmarkStart w:id="119" w:name="_Toc15396630"/>
      <w:bookmarkStart w:id="120" w:name="_Toc29098"/>
      <w:r>
        <w:rPr>
          <w:rStyle w:val="31"/>
          <w:rFonts w:hint="eastAsia" w:ascii="仿宋" w:hAnsi="仿宋" w:eastAsia="仿宋"/>
          <w:b w:val="0"/>
          <w:bCs w:val="0"/>
          <w:color w:val="auto"/>
          <w:highlight w:val="none"/>
        </w:rPr>
        <w:t>十二、</w:t>
      </w:r>
      <w:bookmarkEnd w:id="119"/>
      <w:r>
        <w:rPr>
          <w:rStyle w:val="31"/>
          <w:rFonts w:hint="eastAsia" w:ascii="仿宋" w:hAnsi="仿宋" w:eastAsia="仿宋"/>
          <w:b w:val="0"/>
          <w:bCs w:val="0"/>
          <w:color w:val="auto"/>
          <w:highlight w:val="none"/>
          <w:lang w:eastAsia="zh-CN"/>
        </w:rPr>
        <w:t>国有资本经营预算财政拨款支出决算表</w:t>
      </w:r>
      <w:bookmarkEnd w:id="120"/>
    </w:p>
    <w:p>
      <w:pPr>
        <w:pStyle w:val="4"/>
        <w:rPr>
          <w:rFonts w:hint="eastAsia" w:eastAsia="仿宋"/>
          <w:color w:val="auto"/>
          <w:highlight w:val="none"/>
          <w:lang w:eastAsia="zh-CN"/>
        </w:rPr>
      </w:pPr>
      <w:bookmarkStart w:id="121" w:name="_Toc15396631"/>
      <w:bookmarkStart w:id="122" w:name="_Toc20291"/>
      <w:r>
        <w:rPr>
          <w:rStyle w:val="31"/>
          <w:rFonts w:hint="eastAsia" w:ascii="仿宋" w:hAnsi="仿宋" w:eastAsia="仿宋"/>
          <w:b w:val="0"/>
          <w:bCs w:val="0"/>
          <w:color w:val="auto"/>
          <w:highlight w:val="none"/>
        </w:rPr>
        <w:t>十三、</w:t>
      </w:r>
      <w:bookmarkEnd w:id="121"/>
      <w:r>
        <w:rPr>
          <w:rStyle w:val="31"/>
          <w:rFonts w:hint="eastAsia" w:ascii="仿宋" w:hAnsi="仿宋" w:eastAsia="仿宋"/>
          <w:b w:val="0"/>
          <w:bCs w:val="0"/>
          <w:color w:val="auto"/>
          <w:highlight w:val="none"/>
          <w:lang w:eastAsia="zh-CN"/>
        </w:rPr>
        <w:t>财政拨款“三公”经费支出决算表</w:t>
      </w:r>
      <w:bookmarkEnd w:id="12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8</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FB70D025"/>
    <w:multiLevelType w:val="singleLevel"/>
    <w:tmpl w:val="FB70D025"/>
    <w:lvl w:ilvl="0" w:tentative="0">
      <w:start w:val="1"/>
      <w:numFmt w:val="chineseCounting"/>
      <w:suff w:val="nothing"/>
      <w:lvlText w:val="%1、"/>
      <w:lvlJc w:val="left"/>
      <w:rPr>
        <w:rFonts w:hint="eastAsia"/>
      </w:rPr>
    </w:lvl>
  </w:abstractNum>
  <w:abstractNum w:abstractNumId="2">
    <w:nsid w:val="06CCE1D5"/>
    <w:multiLevelType w:val="singleLevel"/>
    <w:tmpl w:val="06CCE1D5"/>
    <w:lvl w:ilvl="0" w:tentative="0">
      <w:start w:val="4"/>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B905EE6"/>
    <w:multiLevelType w:val="singleLevel"/>
    <w:tmpl w:val="2B905EE6"/>
    <w:lvl w:ilvl="0" w:tentative="0">
      <w:start w:val="4"/>
      <w:numFmt w:val="decimal"/>
      <w:suff w:val="nothing"/>
      <w:lvlText w:val="%1、"/>
      <w:lvlJc w:val="left"/>
    </w:lvl>
  </w:abstractNum>
  <w:abstractNum w:abstractNumId="5">
    <w:nsid w:val="43BF398C"/>
    <w:multiLevelType w:val="singleLevel"/>
    <w:tmpl w:val="43BF398C"/>
    <w:lvl w:ilvl="0" w:tentative="0">
      <w:start w:val="1"/>
      <w:numFmt w:val="chineseCounting"/>
      <w:suff w:val="nothing"/>
      <w:lvlText w:val="（%1）"/>
      <w:lvlJc w:val="left"/>
      <w:rPr>
        <w:rFonts w:hint="eastAsia"/>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60F3FF6"/>
    <w:rsid w:val="066E0107"/>
    <w:rsid w:val="07996F6E"/>
    <w:rsid w:val="0A2032A3"/>
    <w:rsid w:val="0B2B0F38"/>
    <w:rsid w:val="0F98263C"/>
    <w:rsid w:val="101860EC"/>
    <w:rsid w:val="10852B3C"/>
    <w:rsid w:val="10C055FF"/>
    <w:rsid w:val="118107EC"/>
    <w:rsid w:val="13D50BC4"/>
    <w:rsid w:val="16BB723D"/>
    <w:rsid w:val="1BE8440E"/>
    <w:rsid w:val="1D155CEE"/>
    <w:rsid w:val="1EF95861"/>
    <w:rsid w:val="1FF35744"/>
    <w:rsid w:val="20E05C1B"/>
    <w:rsid w:val="23860B96"/>
    <w:rsid w:val="240371BF"/>
    <w:rsid w:val="29FD04D3"/>
    <w:rsid w:val="2C8A61B5"/>
    <w:rsid w:val="2DF04E50"/>
    <w:rsid w:val="2EB901B3"/>
    <w:rsid w:val="2F040D46"/>
    <w:rsid w:val="300E44B6"/>
    <w:rsid w:val="319F7F4E"/>
    <w:rsid w:val="3304709D"/>
    <w:rsid w:val="34C44DC2"/>
    <w:rsid w:val="36AA5135"/>
    <w:rsid w:val="372D0135"/>
    <w:rsid w:val="376D39B2"/>
    <w:rsid w:val="376F7D28"/>
    <w:rsid w:val="37935A87"/>
    <w:rsid w:val="37E16F03"/>
    <w:rsid w:val="38D469F0"/>
    <w:rsid w:val="3D98207C"/>
    <w:rsid w:val="3E78745D"/>
    <w:rsid w:val="44E268DA"/>
    <w:rsid w:val="46BE7B71"/>
    <w:rsid w:val="4A627F82"/>
    <w:rsid w:val="4B0E749A"/>
    <w:rsid w:val="4B4F25DA"/>
    <w:rsid w:val="4B8204FE"/>
    <w:rsid w:val="4BE068DB"/>
    <w:rsid w:val="4D577224"/>
    <w:rsid w:val="4EAB630A"/>
    <w:rsid w:val="4ECE2238"/>
    <w:rsid w:val="4FB3346A"/>
    <w:rsid w:val="537E6D0A"/>
    <w:rsid w:val="5AF92295"/>
    <w:rsid w:val="5B8419FD"/>
    <w:rsid w:val="5CD71FC4"/>
    <w:rsid w:val="5ED95308"/>
    <w:rsid w:val="6C4A05C8"/>
    <w:rsid w:val="6E7E3605"/>
    <w:rsid w:val="6FF5CC65"/>
    <w:rsid w:val="71480100"/>
    <w:rsid w:val="715C0E4B"/>
    <w:rsid w:val="72734D90"/>
    <w:rsid w:val="73AD73D5"/>
    <w:rsid w:val="73B6EB34"/>
    <w:rsid w:val="744731E5"/>
    <w:rsid w:val="76E3355F"/>
    <w:rsid w:val="778769C8"/>
    <w:rsid w:val="79EE5BA4"/>
    <w:rsid w:val="7A894339"/>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outlineLvl w:val="3"/>
    </w:pPr>
    <w:rPr>
      <w:rFonts w:ascii="Arial" w:hAnsi="Arial" w:eastAsia="黑体" w:cs="Times New Roman"/>
      <w:b/>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unhideWhenUsed/>
    <w:qFormat/>
    <w:uiPriority w:val="99"/>
    <w:pPr>
      <w:ind w:left="2940"/>
    </w:pPr>
  </w:style>
  <w:style w:type="paragraph" w:styleId="7">
    <w:name w:val="Body Text"/>
    <w:basedOn w:val="1"/>
    <w:next w:val="6"/>
    <w:link w:val="27"/>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next w:val="1"/>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1"/>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7">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38">
    <w:name w:val="正文2"/>
    <w:basedOn w:val="1"/>
    <w:next w:val="1"/>
    <w:qFormat/>
    <w:uiPriority w:val="0"/>
    <w:pPr>
      <w:spacing w:line="576" w:lineRule="exact"/>
      <w:ind w:firstLine="200" w:firstLineChars="200"/>
    </w:pPr>
    <w:rPr>
      <w:rFonts w:cs="宋体"/>
      <w:szCs w:val="32"/>
      <w:lang w:bidi="ar-SA"/>
    </w:rPr>
  </w:style>
  <w:style w:type="paragraph" w:customStyle="1" w:styleId="39">
    <w:name w:val="列出段落1"/>
    <w:basedOn w:val="1"/>
    <w:qFormat/>
    <w:uiPriority w:val="34"/>
    <w:pPr>
      <w:ind w:firstLine="420" w:firstLineChars="200"/>
    </w:pPr>
    <w:rPr>
      <w:rFonts w:ascii="Calibri" w:hAnsi="Calibri" w:eastAsia="宋体" w:cs="Times New Roman"/>
    </w:rPr>
  </w:style>
  <w:style w:type="paragraph" w:customStyle="1" w:styleId="40">
    <w:name w:val="正文文本1"/>
    <w:basedOn w:val="1"/>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20915;&#31639;&#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0915;&#31639;&#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20915;&#31639;&#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20915;&#31639;&#20998;&#26512;&#22270;&#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0915;&#31639;&#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20915;&#31639;&#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20915;&#31639;&#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chemeClr val="tx1">
                    <a:lumMod val="75000"/>
                    <a:lumOff val="25000"/>
                  </a:schemeClr>
                </a:solidFill>
                <a:latin typeface="+mn-lt"/>
                <a:ea typeface="+mn-ea"/>
                <a:cs typeface="+mn-cs"/>
              </a:defRPr>
            </a:pPr>
            <a:r>
              <a:rPr lang="zh-CN" sz="1100" b="1" i="0" u="none" strike="noStrike" kern="1200" baseline="0">
                <a:solidFill>
                  <a:schemeClr val="tx1">
                    <a:lumMod val="75000"/>
                    <a:lumOff val="25000"/>
                  </a:schemeClr>
                </a:solidFill>
                <a:latin typeface="+mn-lt"/>
                <a:ea typeface="+mn-ea"/>
                <a:cs typeface="+mn-cs"/>
              </a:rPr>
              <a:t>收、支决算总计变动情况图</a:t>
            </a:r>
            <a:endParaRPr lang="en-US" altLang="zh-CN" sz="1100" b="1" i="0" u="none" strike="noStrike" kern="1200" baseline="0">
              <a:solidFill>
                <a:schemeClr val="tx1">
                  <a:lumMod val="75000"/>
                  <a:lumOff val="25000"/>
                </a:schemeClr>
              </a:solidFill>
              <a:latin typeface="+mn-lt"/>
              <a:ea typeface="+mn-ea"/>
              <a:cs typeface="+mn-cs"/>
            </a:endParaRPr>
          </a:p>
        </c:rich>
      </c:tx>
      <c:layout>
        <c:manualLayout>
          <c:xMode val="edge"/>
          <c:yMode val="edge"/>
          <c:x val="0.272083554611436"/>
          <c:y val="0.0473352033660589"/>
        </c:manualLayout>
      </c:layout>
      <c:overlay val="0"/>
      <c:spPr>
        <a:noFill/>
        <a:ln>
          <a:noFill/>
        </a:ln>
        <a:effectLst/>
      </c:spPr>
    </c:title>
    <c:autoTitleDeleted val="0"/>
    <c:plotArea>
      <c:layout/>
      <c:barChart>
        <c:barDir val="col"/>
        <c:grouping val="clustered"/>
        <c:varyColors val="0"/>
        <c:ser>
          <c:idx val="0"/>
          <c:order val="0"/>
          <c:tx>
            <c:strRef>
              <c:f>'[决算分析图表.xls]1'!$C$2</c:f>
              <c:strCache>
                <c:ptCount val="1"/>
                <c:pt idx="0">
                  <c:v>2021年</c:v>
                </c:pt>
              </c:strCache>
            </c:strRef>
          </c:tx>
          <c:spPr>
            <a:solidFill>
              <a:schemeClr val="accent1"/>
            </a:solidFill>
            <a:ln w="28575" cmpd="sng">
              <a:solidFill>
                <a:schemeClr val="accent1"/>
              </a:solidFill>
              <a:prstDash val="solid"/>
            </a:ln>
            <a:effectLst/>
          </c:spPr>
          <c:invertIfNegative val="0"/>
          <c:dLbls>
            <c:delete val="1"/>
          </c:dLbls>
          <c:cat>
            <c:strRef>
              <c:f>'[决算分析图表.xls]1'!$D$1:$E$1</c:f>
              <c:strCache>
                <c:ptCount val="2"/>
                <c:pt idx="0">
                  <c:v>收入</c:v>
                </c:pt>
                <c:pt idx="1">
                  <c:v>支出</c:v>
                </c:pt>
              </c:strCache>
            </c:strRef>
          </c:cat>
          <c:val>
            <c:numRef>
              <c:f>'[决算分析图表.xls]1'!$D$2:$E$2</c:f>
              <c:numCache>
                <c:formatCode>#,##0.00</c:formatCode>
                <c:ptCount val="2"/>
                <c:pt idx="0">
                  <c:v>179.76587</c:v>
                </c:pt>
                <c:pt idx="1">
                  <c:v>220.875803</c:v>
                </c:pt>
              </c:numCache>
            </c:numRef>
          </c:val>
        </c:ser>
        <c:ser>
          <c:idx val="1"/>
          <c:order val="1"/>
          <c:tx>
            <c:strRef>
              <c:f>'[决算分析图表.xls]1'!$C$3</c:f>
              <c:strCache>
                <c:ptCount val="1"/>
                <c:pt idx="0">
                  <c:v>2022年</c:v>
                </c:pt>
              </c:strCache>
            </c:strRef>
          </c:tx>
          <c:spPr>
            <a:solidFill>
              <a:schemeClr val="accent2"/>
            </a:solidFill>
            <a:ln>
              <a:noFill/>
            </a:ln>
            <a:effectLst/>
          </c:spPr>
          <c:invertIfNegative val="0"/>
          <c:dLbls>
            <c:delete val="1"/>
          </c:dLbls>
          <c:cat>
            <c:strRef>
              <c:f>'[决算分析图表.xls]1'!$D$1:$E$1</c:f>
              <c:strCache>
                <c:ptCount val="2"/>
                <c:pt idx="0">
                  <c:v>收入</c:v>
                </c:pt>
                <c:pt idx="1">
                  <c:v>支出</c:v>
                </c:pt>
              </c:strCache>
            </c:strRef>
          </c:cat>
          <c:val>
            <c:numRef>
              <c:f>'[决算分析图表.xls]1'!$D$3:$E$3</c:f>
              <c:numCache>
                <c:formatCode>General</c:formatCode>
                <c:ptCount val="2"/>
                <c:pt idx="0">
                  <c:v>262.901392</c:v>
                </c:pt>
                <c:pt idx="1" c:formatCode="#,##0.00">
                  <c:v>269.303692</c:v>
                </c:pt>
              </c:numCache>
            </c:numRef>
          </c:val>
        </c:ser>
        <c:dLbls>
          <c:showLegendKey val="0"/>
          <c:showVal val="0"/>
          <c:showCatName val="0"/>
          <c:showSerName val="0"/>
          <c:showPercent val="0"/>
          <c:showBubbleSize val="0"/>
        </c:dLbls>
        <c:gapWidth val="246"/>
        <c:overlap val="-28"/>
        <c:axId val="414511995"/>
        <c:axId val="244015728"/>
      </c:barChart>
      <c:catAx>
        <c:axId val="41451199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4015728"/>
        <c:crosses val="autoZero"/>
        <c:auto val="1"/>
        <c:lblAlgn val="ctr"/>
        <c:lblOffset val="100"/>
        <c:noMultiLvlLbl val="0"/>
      </c:catAx>
      <c:valAx>
        <c:axId val="244015728"/>
        <c:scaling>
          <c:orientation val="minMax"/>
        </c:scaling>
        <c:delete val="0"/>
        <c:axPos val="l"/>
        <c:majorGridlines>
          <c:spPr>
            <a:ln w="9525" cap="flat" cmpd="sng" algn="ctr">
              <a:solidFill>
                <a:schemeClr val="lt1">
                  <a:lumMod val="902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4511995"/>
        <c:crosses val="autoZero"/>
        <c:crossBetween val="between"/>
      </c:valAx>
      <c:spPr>
        <a:noFill/>
        <a:ln>
          <a:noFill/>
        </a:ln>
        <a:effectLst/>
      </c:spPr>
    </c:plotArea>
    <c:legend>
      <c:legendPos val="b"/>
      <c:layout>
        <c:manualLayout>
          <c:xMode val="edge"/>
          <c:yMode val="edge"/>
          <c:x val="0.34775"/>
          <c:y val="0.8185"/>
          <c:w val="0.304"/>
          <c:h val="0.13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'[决算分析图表.xls]1'!$B$33</c:f>
              <c:strCache>
                <c:ptCount val="1"/>
                <c:pt idx="0">
                  <c:v>本年收入结构图</c:v>
                </c:pt>
              </c:strCache>
            </c:strRef>
          </c:tx>
          <c:explosion val="0"/>
          <c:dPt>
            <c:idx val="0"/>
            <c:bubble3D val="0"/>
            <c:explosion val="0"/>
            <c:spPr>
              <a:solidFill>
                <a:schemeClr val="accent1"/>
              </a:solidFill>
              <a:ln>
                <a:solidFill>
                  <a:schemeClr val="bg1"/>
                </a:solidFill>
              </a:ln>
              <a:effectLst/>
            </c:spPr>
          </c:dPt>
          <c:dPt>
            <c:idx val="1"/>
            <c:bubble3D val="0"/>
            <c:explosion val="0"/>
          </c:dPt>
          <c:dPt>
            <c:idx val="2"/>
            <c:bubble3D val="0"/>
            <c:explosion val="0"/>
          </c:dPt>
          <c:dLbls>
            <c:delete val="1"/>
          </c:dLbls>
          <c:cat>
            <c:strRef>
              <c:f>'[决算分析图表.xls]1'!$C$32:$E$32</c:f>
              <c:strCache>
                <c:ptCount val="3"/>
                <c:pt idx="0">
                  <c:v>一般公共预算财政拨款收入</c:v>
                </c:pt>
              </c:strCache>
            </c:strRef>
          </c:cat>
          <c:val>
            <c:numRef>
              <c:f>'[决算分析图表.xls]1'!$C$33:$E$33</c:f>
              <c:numCache>
                <c:formatCode>#,##0.00</c:formatCode>
                <c:ptCount val="3"/>
                <c:pt idx="0">
                  <c:v>262.9</c:v>
                </c:pt>
              </c:numCache>
            </c:numRef>
          </c:val>
        </c:ser>
        <c:ser>
          <c:idx val="1"/>
          <c:order val="1"/>
          <c:tx>
            <c:strRef>
              <c:f>'[决算分析图表.xls]1'!$B$34</c:f>
              <c:strCache>
                <c:ptCount val="1"/>
                <c:pt idx="0">
                  <c:v>占比</c:v>
                </c:pt>
              </c:strCache>
            </c:strRef>
          </c:tx>
          <c:explosion val="0"/>
          <c:dPt>
            <c:idx val="0"/>
            <c:bubble3D val="0"/>
          </c:dPt>
          <c:dPt>
            <c:idx val="1"/>
            <c:bubble3D val="0"/>
          </c:dPt>
          <c:dPt>
            <c:idx val="2"/>
            <c:bubble3D val="0"/>
          </c:dPt>
          <c:dLbls>
            <c:delete val="1"/>
          </c:dLbls>
          <c:cat>
            <c:strRef>
              <c:f>'[决算分析图表.xls]1'!$C$32:$E$32</c:f>
              <c:strCache>
                <c:ptCount val="3"/>
                <c:pt idx="0">
                  <c:v>一般公共预算财政拨款收入</c:v>
                </c:pt>
              </c:strCache>
            </c:strRef>
          </c:cat>
          <c:val>
            <c:numRef>
              <c:f>'[决算分析图表.xls]1'!$C$34:$E$34</c:f>
              <c:numCache>
                <c:formatCode>0.00%</c:formatCode>
                <c:ptCount val="3"/>
                <c:pt idx="0">
                  <c:v>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t"/>
      <c:layout>
        <c:manualLayout>
          <c:xMode val="edge"/>
          <c:yMode val="edge"/>
          <c:x val="0.278317757009346"/>
          <c:y val="0.210591514400743"/>
          <c:w val="0.480373831775701"/>
          <c:h val="0.1625890368535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'[决算分析图表.xls]1'!$B$111</c:f>
              <c:strCache>
                <c:ptCount val="1"/>
                <c:pt idx="0">
                  <c:v>财政拨款支出结构图</c:v>
                </c:pt>
              </c:strCache>
            </c:strRef>
          </c:tx>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Lbls>
            <c:delete val="1"/>
          </c:dLbls>
          <c:cat>
            <c:strRef>
              <c:f>'[决算分析图表.xls]1'!$C$110:$D$110</c:f>
              <c:strCache>
                <c:ptCount val="2"/>
                <c:pt idx="0">
                  <c:v>基本支出</c:v>
                </c:pt>
                <c:pt idx="1">
                  <c:v>项目支出</c:v>
                </c:pt>
              </c:strCache>
            </c:strRef>
          </c:cat>
          <c:val>
            <c:numRef>
              <c:f>'[决算分析图表.xls]1'!$C$111:$D$111</c:f>
              <c:numCache>
                <c:formatCode>General</c:formatCode>
                <c:ptCount val="2"/>
                <c:pt idx="0">
                  <c:v>263.46</c:v>
                </c:pt>
                <c:pt idx="1">
                  <c:v>5.84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chemeClr val="tx1">
                    <a:lumMod val="75000"/>
                    <a:lumOff val="25000"/>
                  </a:schemeClr>
                </a:solidFill>
                <a:latin typeface="+mn-lt"/>
                <a:ea typeface="+mn-ea"/>
                <a:cs typeface="+mn-cs"/>
              </a:defRPr>
            </a:pPr>
            <a:r>
              <a:rPr lang="en-US" altLang="zh-CN" sz="1100" b="1" i="0" u="none" strike="noStrike" kern="1200" baseline="0">
                <a:solidFill>
                  <a:schemeClr val="tx1">
                    <a:lumMod val="75000"/>
                    <a:lumOff val="25000"/>
                  </a:schemeClr>
                </a:solidFill>
                <a:latin typeface="+mn-lt"/>
                <a:ea typeface="+mn-ea"/>
                <a:cs typeface="+mn-cs"/>
              </a:rPr>
              <a:t>财政拨款收、支决算总计变动情况</a:t>
            </a:r>
            <a:endParaRPr lang="en-US" altLang="zh-CN" sz="1100" b="1" i="0" u="none" strike="noStrike" kern="1200" baseline="0">
              <a:solidFill>
                <a:schemeClr val="tx1">
                  <a:lumMod val="75000"/>
                  <a:lumOff val="25000"/>
                </a:schemeClr>
              </a:solidFill>
              <a:latin typeface="+mn-lt"/>
              <a:ea typeface="+mn-ea"/>
              <a:cs typeface="+mn-cs"/>
            </a:endParaRPr>
          </a:p>
        </c:rich>
      </c:tx>
      <c:layout>
        <c:manualLayout>
          <c:xMode val="edge"/>
          <c:yMode val="edge"/>
          <c:x val="0.272083554611436"/>
          <c:y val="0.0473352033660589"/>
        </c:manualLayout>
      </c:layout>
      <c:overlay val="0"/>
      <c:spPr>
        <a:noFill/>
        <a:ln>
          <a:noFill/>
        </a:ln>
        <a:effectLst/>
      </c:spPr>
    </c:title>
    <c:autoTitleDeleted val="0"/>
    <c:plotArea>
      <c:layout/>
      <c:barChart>
        <c:barDir val="col"/>
        <c:grouping val="clustered"/>
        <c:varyColors val="0"/>
        <c:ser>
          <c:idx val="0"/>
          <c:order val="0"/>
          <c:tx>
            <c:strRef>
              <c:f>'[决算分析图表.xls]1'!$C$2</c:f>
              <c:strCache>
                <c:ptCount val="1"/>
                <c:pt idx="0">
                  <c:v>2021年</c:v>
                </c:pt>
              </c:strCache>
            </c:strRef>
          </c:tx>
          <c:spPr>
            <a:solidFill>
              <a:schemeClr val="accent1"/>
            </a:solidFill>
            <a:ln w="28575" cmpd="sng">
              <a:solidFill>
                <a:schemeClr val="accent1"/>
              </a:solidFill>
              <a:prstDash val="solid"/>
            </a:ln>
            <a:effectLst/>
          </c:spPr>
          <c:invertIfNegative val="0"/>
          <c:dLbls>
            <c:delete val="1"/>
          </c:dLbls>
          <c:cat>
            <c:strRef>
              <c:f>'[决算分析图表.xls]1'!$D$1:$E$1</c:f>
              <c:strCache>
                <c:ptCount val="2"/>
                <c:pt idx="0">
                  <c:v>财政拨款收入</c:v>
                </c:pt>
                <c:pt idx="1">
                  <c:v>财政拨款支出</c:v>
                </c:pt>
              </c:strCache>
            </c:strRef>
          </c:cat>
          <c:val>
            <c:numRef>
              <c:f>'[决算分析图表.xls]1'!$D$2:$E$2</c:f>
              <c:numCache>
                <c:formatCode>#,##0.00</c:formatCode>
                <c:ptCount val="2"/>
                <c:pt idx="0">
                  <c:v>179.76587</c:v>
                </c:pt>
                <c:pt idx="1">
                  <c:v>220.875803</c:v>
                </c:pt>
              </c:numCache>
            </c:numRef>
          </c:val>
        </c:ser>
        <c:ser>
          <c:idx val="1"/>
          <c:order val="1"/>
          <c:tx>
            <c:strRef>
              <c:f>'[决算分析图表.xls]1'!$C$3</c:f>
              <c:strCache>
                <c:ptCount val="1"/>
                <c:pt idx="0">
                  <c:v>2022年</c:v>
                </c:pt>
              </c:strCache>
            </c:strRef>
          </c:tx>
          <c:spPr>
            <a:solidFill>
              <a:schemeClr val="accent2"/>
            </a:solidFill>
            <a:ln>
              <a:noFill/>
            </a:ln>
            <a:effectLst/>
          </c:spPr>
          <c:invertIfNegative val="0"/>
          <c:dLbls>
            <c:delete val="1"/>
          </c:dLbls>
          <c:cat>
            <c:strRef>
              <c:f>'[决算分析图表.xls]1'!$D$1:$E$1</c:f>
              <c:strCache>
                <c:ptCount val="2"/>
                <c:pt idx="0">
                  <c:v>财政拨款收入</c:v>
                </c:pt>
                <c:pt idx="1">
                  <c:v>财政拨款支出</c:v>
                </c:pt>
              </c:strCache>
            </c:strRef>
          </c:cat>
          <c:val>
            <c:numRef>
              <c:f>'[决算分析图表.xls]1'!$D$3:$E$3</c:f>
              <c:numCache>
                <c:formatCode>General</c:formatCode>
                <c:ptCount val="2"/>
                <c:pt idx="0">
                  <c:v>262.901392</c:v>
                </c:pt>
                <c:pt idx="1" c:formatCode="#,##0.00">
                  <c:v>269.303692</c:v>
                </c:pt>
              </c:numCache>
            </c:numRef>
          </c:val>
        </c:ser>
        <c:dLbls>
          <c:showLegendKey val="0"/>
          <c:showVal val="0"/>
          <c:showCatName val="0"/>
          <c:showSerName val="0"/>
          <c:showPercent val="0"/>
          <c:showBubbleSize val="0"/>
        </c:dLbls>
        <c:gapWidth val="246"/>
        <c:overlap val="-28"/>
        <c:axId val="414511995"/>
        <c:axId val="244015728"/>
      </c:barChart>
      <c:catAx>
        <c:axId val="41451199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4015728"/>
        <c:crosses val="autoZero"/>
        <c:auto val="1"/>
        <c:lblAlgn val="ctr"/>
        <c:lblOffset val="100"/>
        <c:noMultiLvlLbl val="0"/>
      </c:catAx>
      <c:valAx>
        <c:axId val="244015728"/>
        <c:scaling>
          <c:orientation val="minMax"/>
        </c:scaling>
        <c:delete val="0"/>
        <c:axPos val="l"/>
        <c:majorGridlines>
          <c:spPr>
            <a:ln w="9525" cap="flat" cmpd="sng" algn="ctr">
              <a:solidFill>
                <a:schemeClr val="lt1">
                  <a:lumMod val="902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4511995"/>
        <c:crosses val="autoZero"/>
        <c:crossBetween val="between"/>
      </c:valAx>
    </c:plotArea>
    <c:legend>
      <c:legendPos val="b"/>
      <c:layout>
        <c:manualLayout>
          <c:xMode val="edge"/>
          <c:yMode val="edge"/>
          <c:x val="0.34775"/>
          <c:y val="0.8185"/>
          <c:w val="0.304"/>
          <c:h val="0.13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48472222222222"/>
          <c:y val="0.0243055555555556"/>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'[决算分析图表.xls]1'!$H$52</c:f>
              <c:strCache>
                <c:ptCount val="1"/>
                <c:pt idx="0">
                  <c:v>一般公共预算财政拨款支出决算变动情况</c:v>
                </c:pt>
              </c:strCache>
            </c:strRef>
          </c:tx>
          <c:spPr>
            <a:solidFill>
              <a:schemeClr val="accent1"/>
            </a:solidFill>
            <a:ln>
              <a:noFill/>
            </a:ln>
            <a:effectLst/>
          </c:spPr>
          <c:invertIfNegative val="0"/>
          <c:dLbls>
            <c:delete val="1"/>
          </c:dLbls>
          <c:cat>
            <c:numRef>
              <c:f>'[决算分析图表.xls]1'!$I$51:$J$51</c:f>
              <c:numCache>
                <c:formatCode>General</c:formatCode>
                <c:ptCount val="2"/>
                <c:pt idx="0">
                  <c:v>2021</c:v>
                </c:pt>
                <c:pt idx="1">
                  <c:v>2022</c:v>
                </c:pt>
              </c:numCache>
            </c:numRef>
          </c:cat>
          <c:val>
            <c:numRef>
              <c:f>'[决算分析图表.xls]1'!$I$52:$J$52</c:f>
              <c:numCache>
                <c:formatCode>General</c:formatCode>
                <c:ptCount val="2"/>
                <c:pt idx="0">
                  <c:v>220.8758</c:v>
                </c:pt>
                <c:pt idx="1">
                  <c:v>269.3</c:v>
                </c:pt>
              </c:numCache>
            </c:numRef>
          </c:val>
        </c:ser>
        <c:dLbls>
          <c:showLegendKey val="0"/>
          <c:showVal val="0"/>
          <c:showCatName val="0"/>
          <c:showSerName val="0"/>
          <c:showPercent val="0"/>
          <c:showBubbleSize val="0"/>
        </c:dLbls>
        <c:gapWidth val="219"/>
        <c:overlap val="-27"/>
        <c:axId val="831539595"/>
        <c:axId val="287314867"/>
      </c:barChart>
      <c:catAx>
        <c:axId val="8315395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7314867"/>
        <c:crosses val="autoZero"/>
        <c:auto val="1"/>
        <c:lblAlgn val="ctr"/>
        <c:lblOffset val="100"/>
        <c:noMultiLvlLbl val="0"/>
      </c:catAx>
      <c:valAx>
        <c:axId val="2873148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5395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'[决算分析图表.xls]1'!$A$17</c:f>
              <c:strCache>
                <c:ptCount val="1"/>
                <c:pt idx="0">
                  <c:v>本年支出结构图</c:v>
                </c:pt>
              </c:strCache>
            </c:strRef>
          </c:tx>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Pt>
            <c:idx val="2"/>
            <c:bubble3D val="0"/>
            <c:explosion val="0"/>
            <c:spPr>
              <a:solidFill>
                <a:schemeClr val="accent3"/>
              </a:solidFill>
              <a:ln>
                <a:solidFill>
                  <a:schemeClr val="bg1"/>
                </a:solidFill>
              </a:ln>
              <a:effectLst/>
            </c:spPr>
          </c:dPt>
          <c:dPt>
            <c:idx val="3"/>
            <c:bubble3D val="0"/>
            <c:explosion val="0"/>
            <c:spPr>
              <a:solidFill>
                <a:schemeClr val="accent4"/>
              </a:solidFill>
              <a:ln>
                <a:solidFill>
                  <a:schemeClr val="bg1"/>
                </a:solidFill>
              </a:ln>
              <a:effectLst/>
            </c:spPr>
          </c:dPt>
          <c:dLbls>
            <c:delete val="1"/>
          </c:dLbls>
          <c:cat>
            <c:strRef>
              <c:f>'[决算分析图表.xls]1'!$C$16:$F$16</c:f>
              <c:strCache>
                <c:ptCount val="4"/>
                <c:pt idx="0">
                  <c:v>一般公共服务支出</c:v>
                </c:pt>
                <c:pt idx="1">
                  <c:v>社会保障和就业支出</c:v>
                </c:pt>
                <c:pt idx="2">
                  <c:v>卫生健康支出</c:v>
                </c:pt>
                <c:pt idx="3">
                  <c:v>住房保障支出</c:v>
                </c:pt>
              </c:strCache>
            </c:strRef>
          </c:cat>
          <c:val>
            <c:numRef>
              <c:f>'[决算分析图表.xls]1'!$C$17:$F$17</c:f>
              <c:numCache>
                <c:formatCode>0.00_ </c:formatCode>
                <c:ptCount val="4"/>
                <c:pt idx="0">
                  <c:v>216.04</c:v>
                </c:pt>
                <c:pt idx="1">
                  <c:v>28.16</c:v>
                </c:pt>
                <c:pt idx="2">
                  <c:v>10.68</c:v>
                </c:pt>
                <c:pt idx="3" c:formatCode="#,##0.00">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981709059731352"/>
          <c:y val="0.718115124153499"/>
          <c:w val="0.80365818805373"/>
          <c:h val="0.24802483069977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'[决算分析图表.xls]1'!$B$94</c:f>
              <c:strCache>
                <c:ptCount val="1"/>
                <c:pt idx="0">
                  <c:v>“三公”经费财政拨款支出结构</c:v>
                </c:pt>
              </c:strCache>
            </c:strRef>
          </c:tx>
          <c:explosion val="0"/>
          <c:dPt>
            <c:idx val="0"/>
            <c:bubble3D val="0"/>
            <c:explosion val="0"/>
            <c:spPr>
              <a:solidFill>
                <a:schemeClr val="accent1"/>
              </a:solidFill>
              <a:ln>
                <a:solidFill>
                  <a:schemeClr val="bg1"/>
                </a:solidFill>
              </a:ln>
              <a:effectLst/>
            </c:spPr>
          </c:dPt>
          <c:dPt>
            <c:idx val="1"/>
            <c:bubble3D val="0"/>
            <c:explosion val="0"/>
          </c:dPt>
          <c:dPt>
            <c:idx val="2"/>
            <c:bubble3D val="0"/>
          </c:dPt>
          <c:dLbls>
            <c:delete val="1"/>
          </c:dLbls>
          <c:cat>
            <c:strRef>
              <c:f>'[决算分析图表.xls]1'!$C$93:$E$93</c:f>
              <c:strCache>
                <c:ptCount val="3"/>
                <c:pt idx="0">
                  <c:v>公务用车购置费</c:v>
                </c:pt>
                <c:pt idx="1">
                  <c:v>公务用车运行维护费</c:v>
                </c:pt>
                <c:pt idx="2">
                  <c:v>公务接待费</c:v>
                </c:pt>
              </c:strCache>
            </c:strRef>
          </c:cat>
          <c:val>
            <c:numRef>
              <c:f>'[决算分析图表.xls]1'!$C$94:$E$94</c:f>
              <c:numCache>
                <c:formatCode>#,##0.00</c:formatCode>
                <c:ptCount val="3"/>
                <c:pt idx="0">
                  <c:v>40</c:v>
                </c:pt>
                <c:pt idx="1">
                  <c:v>2.48</c:v>
                </c:pt>
                <c:pt idx="2"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t"/>
      <c:layout>
        <c:manualLayout>
          <c:xMode val="edge"/>
          <c:yMode val="edge"/>
          <c:x val="0.145907473309609"/>
          <c:y val="0.213337988826816"/>
          <c:w val="0.788393101560361"/>
          <c:h val="0.1885474860335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0</TotalTime>
  <ScaleCrop>false</ScaleCrop>
  <LinksUpToDate>false</LinksUpToDate>
  <CharactersWithSpaces>8692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Lenovo</cp:lastModifiedBy>
  <cp:lastPrinted>2026-07-21T08:42:00Z</cp:lastPrinted>
  <dcterms:modified xsi:type="dcterms:W3CDTF">2026-07-22T08:47:46Z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