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DD563">
      <w:pPr>
        <w:spacing w:line="578" w:lineRule="exact"/>
        <w:contextualSpacing/>
        <w:rPr>
          <w:rFonts w:eastAsia="黑体"/>
          <w:szCs w:val="32"/>
          <w:lang w:val="zh-CN"/>
        </w:rPr>
      </w:pPr>
      <w:r>
        <w:rPr>
          <w:rFonts w:eastAsia="黑体"/>
          <w:szCs w:val="32"/>
          <w:lang w:val="zh-CN"/>
        </w:rPr>
        <w:t>附件</w:t>
      </w:r>
      <w:r>
        <w:rPr>
          <w:rFonts w:hint="eastAsia" w:eastAsia="黑体"/>
          <w:szCs w:val="32"/>
        </w:rPr>
        <w:t>2</w:t>
      </w:r>
    </w:p>
    <w:p w14:paraId="30BD6F72">
      <w:pPr>
        <w:widowControl/>
        <w:spacing w:line="578" w:lineRule="exact"/>
        <w:contextualSpacing/>
        <w:jc w:val="left"/>
        <w:rPr>
          <w:rFonts w:eastAsia="宋体"/>
          <w:b/>
          <w:sz w:val="44"/>
          <w:szCs w:val="44"/>
          <w:shd w:val="clear" w:color="auto" w:fill="FFFFFF"/>
        </w:rPr>
      </w:pPr>
    </w:p>
    <w:p w14:paraId="7BF82054">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壤塘县</w:t>
      </w:r>
      <w:r>
        <w:rPr>
          <w:rFonts w:hint="eastAsia" w:ascii="方正小标宋_GBK" w:hAnsi="方正小标宋_GBK" w:eastAsia="方正小标宋_GBK" w:cs="方正小标宋_GBK"/>
          <w:b w:val="0"/>
          <w:bCs/>
          <w:sz w:val="44"/>
          <w:szCs w:val="44"/>
          <w:shd w:val="clear" w:color="auto" w:fill="FFFFFF"/>
          <w:lang w:val="en-US" w:eastAsia="zh-CN"/>
        </w:rPr>
        <w:t>藏医院</w:t>
      </w:r>
    </w:p>
    <w:p w14:paraId="212762AD">
      <w:pPr>
        <w:widowControl/>
        <w:spacing w:line="578" w:lineRule="exact"/>
        <w:contextualSpacing/>
        <w:jc w:val="center"/>
        <w:rPr>
          <w:szCs w:val="32"/>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025</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14:paraId="5AFBDCA2">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2E191DC0">
      <w:pPr>
        <w:widowControl/>
        <w:adjustRightInd w:val="0"/>
        <w:snapToGrid w:val="0"/>
        <w:spacing w:line="578" w:lineRule="exact"/>
        <w:ind w:firstLine="640" w:firstLineChars="200"/>
        <w:contextualSpacing/>
        <w:jc w:val="left"/>
        <w:rPr>
          <w:szCs w:val="32"/>
        </w:rPr>
      </w:pPr>
      <w:r>
        <w:rPr>
          <w:rFonts w:eastAsia="黑体"/>
          <w:color w:val="000000"/>
          <w:kern w:val="0"/>
          <w:szCs w:val="32"/>
          <w:shd w:val="clear" w:color="auto" w:fill="FFFFFF"/>
          <w:lang w:val="zh-CN"/>
        </w:rPr>
        <w:t>一、部门（单位）基本情况</w:t>
      </w:r>
    </w:p>
    <w:p w14:paraId="6CF3E970">
      <w:pPr>
        <w:keepNext w:val="0"/>
        <w:keepLines w:val="0"/>
        <w:pageBreakBefore w:val="0"/>
        <w:widowControl/>
        <w:kinsoku/>
        <w:wordWrap/>
        <w:overflowPunct/>
        <w:topLinePunct w:val="0"/>
        <w:autoSpaceDE/>
        <w:autoSpaceDN/>
        <w:bidi w:val="0"/>
        <w:spacing w:line="360" w:lineRule="auto"/>
        <w:ind w:firstLine="643" w:firstLineChars="200"/>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（一）机构组成。</w:t>
      </w:r>
    </w:p>
    <w:p w14:paraId="2ACB9CAA">
      <w:pPr>
        <w:widowControl/>
        <w:adjustRightInd w:val="0"/>
        <w:snapToGrid w:val="0"/>
        <w:spacing w:line="578" w:lineRule="exact"/>
        <w:ind w:firstLine="640" w:firstLineChars="200"/>
        <w:contextualSpacing/>
        <w:jc w:val="left"/>
        <w:rPr>
          <w:rFonts w:hint="eastAsia"/>
          <w:szCs w:val="32"/>
          <w:lang w:eastAsia="zh-CN"/>
        </w:rPr>
      </w:pPr>
      <w:r>
        <w:rPr>
          <w:rFonts w:hint="eastAsia"/>
          <w:szCs w:val="32"/>
          <w:lang w:val="en-US" w:eastAsia="zh-CN"/>
        </w:rPr>
        <w:t>壤塘县藏医院</w:t>
      </w:r>
      <w:r>
        <w:rPr>
          <w:rFonts w:hint="eastAsia"/>
          <w:szCs w:val="32"/>
        </w:rPr>
        <w:t>内设科室</w:t>
      </w:r>
      <w:r>
        <w:rPr>
          <w:rFonts w:hint="eastAsia"/>
          <w:szCs w:val="32"/>
          <w:lang w:val="en-US" w:eastAsia="zh-CN"/>
        </w:rPr>
        <w:t>有：外治科、住院部、医保科、医务科、护理部、院感科、信息科、党政办公室、病案科、门诊部、彩超室、检验科、放射科、医保科、挂号室、药剂科。</w:t>
      </w:r>
    </w:p>
    <w:p w14:paraId="7542AC0D">
      <w:pPr>
        <w:widowControl/>
        <w:adjustRightInd w:val="0"/>
        <w:snapToGrid w:val="0"/>
        <w:spacing w:line="578" w:lineRule="exact"/>
        <w:ind w:firstLine="640" w:firstLineChars="200"/>
        <w:contextualSpacing/>
        <w:jc w:val="left"/>
        <w:rPr>
          <w:rFonts w:hint="eastAsia"/>
          <w:szCs w:val="32"/>
        </w:rPr>
      </w:pPr>
      <w:r>
        <w:rPr>
          <w:rFonts w:hint="eastAsia"/>
          <w:szCs w:val="32"/>
        </w:rPr>
        <w:t>壤塘县藏医院属壤塘县卫生健康局下属二级预算单位。</w:t>
      </w:r>
    </w:p>
    <w:p w14:paraId="60158766">
      <w:pPr>
        <w:keepNext w:val="0"/>
        <w:keepLines w:val="0"/>
        <w:pageBreakBefore w:val="0"/>
        <w:widowControl/>
        <w:kinsoku/>
        <w:wordWrap/>
        <w:overflowPunct/>
        <w:topLinePunct w:val="0"/>
        <w:autoSpaceDE/>
        <w:autoSpaceDN/>
        <w:bidi w:val="0"/>
        <w:spacing w:line="360" w:lineRule="auto"/>
        <w:ind w:firstLine="643" w:firstLineChars="200"/>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14:paraId="0B949F79">
      <w:pPr>
        <w:widowControl/>
        <w:adjustRightInd w:val="0"/>
        <w:snapToGrid w:val="0"/>
        <w:spacing w:line="578" w:lineRule="exact"/>
        <w:ind w:firstLine="640" w:firstLineChars="200"/>
        <w:contextualSpacing/>
        <w:jc w:val="left"/>
        <w:rPr>
          <w:szCs w:val="32"/>
        </w:rPr>
      </w:pPr>
      <w:r>
        <w:rPr>
          <w:rFonts w:hint="eastAsia"/>
          <w:szCs w:val="32"/>
        </w:rPr>
        <w:t>1、为人民群众提供中藏医西医医疗、预防、保健、计划生育、康复等医疗卫生服务。</w:t>
      </w:r>
    </w:p>
    <w:p w14:paraId="497A71A5">
      <w:pPr>
        <w:widowControl/>
        <w:adjustRightInd w:val="0"/>
        <w:snapToGrid w:val="0"/>
        <w:spacing w:line="578" w:lineRule="exact"/>
        <w:ind w:firstLine="640" w:firstLineChars="200"/>
        <w:contextualSpacing/>
        <w:jc w:val="left"/>
        <w:rPr>
          <w:szCs w:val="32"/>
        </w:rPr>
      </w:pPr>
      <w:r>
        <w:rPr>
          <w:rFonts w:hint="eastAsia"/>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23B1D2F0">
      <w:pPr>
        <w:widowControl/>
        <w:adjustRightInd w:val="0"/>
        <w:snapToGrid w:val="0"/>
        <w:spacing w:line="578" w:lineRule="exact"/>
        <w:ind w:firstLine="640" w:firstLineChars="200"/>
        <w:contextualSpacing/>
        <w:jc w:val="left"/>
        <w:rPr>
          <w:szCs w:val="32"/>
        </w:rPr>
      </w:pPr>
      <w:r>
        <w:rPr>
          <w:rFonts w:hint="eastAsia"/>
          <w:szCs w:val="32"/>
        </w:rPr>
        <w:t>3、确保全县人民中藏西医疗健康需求，建立与地方经济发展相适应的中藏西医结合医疗环境。加强中医医院标准化管理。</w:t>
      </w:r>
    </w:p>
    <w:p w14:paraId="46171D40">
      <w:pPr>
        <w:widowControl/>
        <w:adjustRightInd w:val="0"/>
        <w:snapToGrid w:val="0"/>
        <w:spacing w:line="578" w:lineRule="exact"/>
        <w:ind w:firstLine="640" w:firstLineChars="200"/>
        <w:contextualSpacing/>
        <w:jc w:val="left"/>
        <w:rPr>
          <w:szCs w:val="32"/>
        </w:rPr>
      </w:pPr>
      <w:r>
        <w:rPr>
          <w:rFonts w:hint="eastAsia"/>
          <w:szCs w:val="32"/>
        </w:rPr>
        <w:t>4、贯彻落实国家基本药物制度和药品集中采购工作，执行医用耗材集中采购工作；负责医院内部的药品和医疗器械管理工作。</w:t>
      </w:r>
    </w:p>
    <w:p w14:paraId="0500DD3E">
      <w:pPr>
        <w:widowControl/>
        <w:adjustRightInd w:val="0"/>
        <w:snapToGrid w:val="0"/>
        <w:spacing w:line="578" w:lineRule="exact"/>
        <w:ind w:firstLine="640" w:firstLineChars="200"/>
        <w:contextualSpacing/>
        <w:jc w:val="left"/>
        <w:rPr>
          <w:szCs w:val="32"/>
        </w:rPr>
      </w:pPr>
      <w:r>
        <w:rPr>
          <w:rFonts w:hint="eastAsia"/>
          <w:szCs w:val="32"/>
        </w:rPr>
        <w:t>5、承担意外灾害事故、疫情等突发公共卫生事件的医疗急救及社区预防、保健和康复医疗服务工作，开展各种医疗保健卫生知识宣传普及。</w:t>
      </w:r>
    </w:p>
    <w:p w14:paraId="4DAD757D">
      <w:pPr>
        <w:widowControl/>
        <w:adjustRightInd w:val="0"/>
        <w:snapToGrid w:val="0"/>
        <w:spacing w:line="578" w:lineRule="exact"/>
        <w:ind w:firstLine="640" w:firstLineChars="200"/>
        <w:contextualSpacing/>
        <w:jc w:val="left"/>
        <w:rPr>
          <w:szCs w:val="32"/>
        </w:rPr>
      </w:pPr>
      <w:r>
        <w:rPr>
          <w:rFonts w:hint="eastAsia"/>
          <w:szCs w:val="32"/>
        </w:rPr>
        <w:t>6、充分发挥中医药在国家基本公共卫生服务中的优势和作用，负责全县基本公共卫生服务中医药健康管理项目的实施和日常管理。</w:t>
      </w:r>
    </w:p>
    <w:p w14:paraId="2344FB8F">
      <w:pPr>
        <w:widowControl/>
        <w:adjustRightInd w:val="0"/>
        <w:snapToGrid w:val="0"/>
        <w:spacing w:line="578" w:lineRule="exact"/>
        <w:ind w:firstLine="640" w:firstLineChars="200"/>
        <w:contextualSpacing/>
        <w:jc w:val="left"/>
        <w:rPr>
          <w:szCs w:val="32"/>
        </w:rPr>
      </w:pPr>
      <w:r>
        <w:rPr>
          <w:rFonts w:hint="eastAsia"/>
          <w:szCs w:val="32"/>
        </w:rPr>
        <w:t>7、组织实施中藏西医药科学研究，推进医学科技成果转化和推广应用；承担中藏医药人才培养，中医药继续医学教育工作。</w:t>
      </w:r>
    </w:p>
    <w:p w14:paraId="7C7A2117">
      <w:pPr>
        <w:widowControl/>
        <w:adjustRightInd w:val="0"/>
        <w:snapToGrid w:val="0"/>
        <w:spacing w:line="578" w:lineRule="exact"/>
        <w:ind w:firstLine="640" w:firstLineChars="200"/>
        <w:contextualSpacing/>
        <w:jc w:val="left"/>
        <w:rPr>
          <w:szCs w:val="32"/>
        </w:rPr>
      </w:pPr>
      <w:r>
        <w:rPr>
          <w:rFonts w:hint="eastAsia"/>
          <w:szCs w:val="32"/>
        </w:rPr>
        <w:t>8、做好城镇居民基本医疗保险和定点医疗机构的各项工作。</w:t>
      </w:r>
    </w:p>
    <w:p w14:paraId="223D544E">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（三）人员概况。</w:t>
      </w:r>
    </w:p>
    <w:p w14:paraId="1040BE9F">
      <w:pPr>
        <w:widowControl/>
        <w:adjustRightInd w:val="0"/>
        <w:snapToGrid w:val="0"/>
        <w:spacing w:line="578" w:lineRule="exact"/>
        <w:ind w:firstLine="640" w:firstLineChars="200"/>
        <w:contextualSpacing/>
        <w:jc w:val="left"/>
        <w:rPr>
          <w:rFonts w:hint="eastAsia"/>
          <w:szCs w:val="32"/>
          <w:lang w:val="zh-CN"/>
        </w:rPr>
      </w:pPr>
      <w:r>
        <w:rPr>
          <w:szCs w:val="32"/>
        </w:rPr>
        <w:t>202</w:t>
      </w:r>
      <w:r>
        <w:rPr>
          <w:rFonts w:hint="eastAsia"/>
          <w:szCs w:val="32"/>
        </w:rPr>
        <w:t>5</w:t>
      </w:r>
      <w:r>
        <w:rPr>
          <w:szCs w:val="32"/>
        </w:rPr>
        <w:t>年末</w:t>
      </w:r>
      <w:r>
        <w:rPr>
          <w:rFonts w:hint="eastAsia"/>
          <w:szCs w:val="32"/>
          <w:lang w:eastAsia="zh-CN"/>
        </w:rPr>
        <w:t>，</w:t>
      </w:r>
      <w:r>
        <w:rPr>
          <w:rFonts w:hint="eastAsia"/>
          <w:szCs w:val="32"/>
          <w:lang w:val="zh-CN"/>
        </w:rPr>
        <w:t>在职职工</w:t>
      </w:r>
      <w:r>
        <w:rPr>
          <w:rFonts w:hint="eastAsia"/>
          <w:szCs w:val="32"/>
        </w:rPr>
        <w:t>3</w:t>
      </w:r>
      <w:r>
        <w:rPr>
          <w:rFonts w:hint="eastAsia"/>
          <w:szCs w:val="32"/>
          <w:lang w:val="en-US" w:eastAsia="zh-CN"/>
        </w:rPr>
        <w:t>5</w:t>
      </w:r>
      <w:r>
        <w:rPr>
          <w:rFonts w:hint="eastAsia"/>
          <w:szCs w:val="32"/>
          <w:lang w:val="zh-CN"/>
        </w:rPr>
        <w:t>人，其中：事业</w:t>
      </w:r>
      <w:r>
        <w:rPr>
          <w:rFonts w:hint="eastAsia"/>
          <w:szCs w:val="32"/>
          <w:lang w:val="en-US" w:eastAsia="zh-CN"/>
        </w:rPr>
        <w:t>专技</w:t>
      </w:r>
      <w:r>
        <w:rPr>
          <w:rFonts w:hint="eastAsia"/>
          <w:szCs w:val="32"/>
          <w:lang w:val="zh-CN"/>
        </w:rPr>
        <w:t>人员</w:t>
      </w:r>
      <w:r>
        <w:rPr>
          <w:rFonts w:hint="eastAsia"/>
          <w:szCs w:val="32"/>
          <w:lang w:val="en-US" w:eastAsia="zh-CN"/>
        </w:rPr>
        <w:t>32</w:t>
      </w:r>
      <w:r>
        <w:rPr>
          <w:rFonts w:hint="eastAsia"/>
          <w:szCs w:val="32"/>
          <w:lang w:val="zh-CN"/>
        </w:rPr>
        <w:t>人，</w:t>
      </w:r>
      <w:r>
        <w:rPr>
          <w:rFonts w:hint="eastAsia"/>
          <w:szCs w:val="32"/>
          <w:lang w:val="en-US" w:eastAsia="zh-CN"/>
        </w:rPr>
        <w:t>事业管理人员1人，</w:t>
      </w:r>
      <w:r>
        <w:rPr>
          <w:rFonts w:hint="eastAsia"/>
          <w:szCs w:val="32"/>
          <w:lang w:val="zh-CN"/>
        </w:rPr>
        <w:t>事业工勤</w:t>
      </w:r>
      <w:r>
        <w:rPr>
          <w:rFonts w:hint="eastAsia"/>
          <w:szCs w:val="32"/>
          <w:lang w:val="en-US" w:eastAsia="zh-CN"/>
        </w:rPr>
        <w:t>人员</w:t>
      </w:r>
      <w:r>
        <w:rPr>
          <w:rFonts w:hint="eastAsia"/>
          <w:szCs w:val="32"/>
        </w:rPr>
        <w:t>2</w:t>
      </w:r>
      <w:r>
        <w:rPr>
          <w:rFonts w:hint="eastAsia"/>
          <w:szCs w:val="32"/>
          <w:lang w:val="zh-CN"/>
        </w:rPr>
        <w:t>人。</w:t>
      </w:r>
    </w:p>
    <w:p w14:paraId="10FC951D">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14:paraId="5C57FA14">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（一）收入情况。</w:t>
      </w:r>
      <w:r>
        <w:rPr>
          <w:rFonts w:hint="eastAsia" w:eastAsia="楷体_GB2312"/>
          <w:szCs w:val="32"/>
          <w:lang w:val="en-US" w:eastAsia="zh-CN"/>
        </w:rPr>
        <w:t>壤塘县藏医院</w:t>
      </w:r>
      <w:r>
        <w:rPr>
          <w:szCs w:val="32"/>
        </w:rPr>
        <w:t>202</w:t>
      </w:r>
      <w:r>
        <w:rPr>
          <w:rFonts w:hint="eastAsia"/>
          <w:szCs w:val="32"/>
        </w:rPr>
        <w:t>5</w:t>
      </w:r>
      <w:r>
        <w:rPr>
          <w:szCs w:val="32"/>
        </w:rPr>
        <w:t>年年初预算收入</w:t>
      </w:r>
      <w:r>
        <w:rPr>
          <w:rFonts w:hint="eastAsia"/>
          <w:szCs w:val="32"/>
          <w:lang w:val="en-US" w:eastAsia="zh-CN"/>
        </w:rPr>
        <w:t>7667140.6元，其中包括：财政拨款收入7667140.6元；</w:t>
      </w:r>
      <w:r>
        <w:rPr>
          <w:szCs w:val="32"/>
        </w:rPr>
        <w:t>决算报表收入</w:t>
      </w:r>
      <w:r>
        <w:rPr>
          <w:rFonts w:hint="eastAsia"/>
          <w:szCs w:val="32"/>
          <w:lang w:val="en-US" w:eastAsia="zh-CN"/>
        </w:rPr>
        <w:t>16279463.46元,其中包括：一般公共预算财政拨款收入11506677.45元，事业收入4712086.01元，其他收入60700元</w:t>
      </w:r>
      <w:r>
        <w:rPr>
          <w:szCs w:val="32"/>
        </w:rPr>
        <w:t>。</w:t>
      </w:r>
    </w:p>
    <w:p w14:paraId="6767AB8A">
      <w:pPr>
        <w:widowControl/>
        <w:adjustRightInd w:val="0"/>
        <w:snapToGrid w:val="0"/>
        <w:spacing w:line="578" w:lineRule="exact"/>
        <w:ind w:firstLine="643" w:firstLineChars="200"/>
        <w:contextualSpacing/>
        <w:jc w:val="left"/>
        <w:rPr>
          <w:rFonts w:hint="eastAsia"/>
          <w:szCs w:val="32"/>
          <w:lang w:val="en-US" w:eastAsia="zh-CN"/>
        </w:rPr>
      </w:pPr>
      <w:r>
        <w:rPr>
          <w:rFonts w:eastAsia="楷体_GB2312"/>
          <w:b/>
          <w:bCs/>
          <w:color w:val="000000"/>
          <w:kern w:val="0"/>
          <w:szCs w:val="32"/>
          <w:shd w:val="clear" w:color="auto" w:fill="FFFFFF"/>
          <w:lang w:val="zh-CN"/>
        </w:rPr>
        <w:t>（二）支出情况。</w:t>
      </w:r>
      <w:r>
        <w:rPr>
          <w:rFonts w:hint="eastAsia" w:eastAsia="楷体_GB2312"/>
          <w:szCs w:val="32"/>
          <w:lang w:val="en-US" w:eastAsia="zh-CN"/>
        </w:rPr>
        <w:t>壤塘县藏医院</w:t>
      </w:r>
      <w:r>
        <w:rPr>
          <w:szCs w:val="32"/>
        </w:rPr>
        <w:t>202</w:t>
      </w:r>
      <w:r>
        <w:rPr>
          <w:rFonts w:hint="eastAsia"/>
          <w:szCs w:val="32"/>
        </w:rPr>
        <w:t>5</w:t>
      </w:r>
      <w:r>
        <w:rPr>
          <w:szCs w:val="32"/>
        </w:rPr>
        <w:t>年年初预算支出</w:t>
      </w:r>
      <w:r>
        <w:rPr>
          <w:rFonts w:hint="eastAsia"/>
          <w:szCs w:val="32"/>
          <w:lang w:val="en-US" w:eastAsia="zh-CN"/>
        </w:rPr>
        <w:t>7667140.7元，其中包括：社会保障和就业支出1295142.96元，卫生健康支出5722545.62元，住房保障支出649452.12元；</w:t>
      </w:r>
      <w:r>
        <w:rPr>
          <w:szCs w:val="32"/>
        </w:rPr>
        <w:t>决算报表支出</w:t>
      </w:r>
      <w:r>
        <w:rPr>
          <w:rFonts w:hint="eastAsia"/>
          <w:szCs w:val="32"/>
          <w:lang w:val="en-US" w:eastAsia="zh-CN"/>
        </w:rPr>
        <w:t>14813353.65元</w:t>
      </w:r>
      <w:r>
        <w:rPr>
          <w:rFonts w:hint="eastAsia"/>
          <w:szCs w:val="32"/>
        </w:rPr>
        <w:t>，</w:t>
      </w:r>
      <w:r>
        <w:rPr>
          <w:rFonts w:hint="eastAsia"/>
          <w:szCs w:val="32"/>
          <w:lang w:val="en-US" w:eastAsia="zh-CN"/>
        </w:rPr>
        <w:t>其中包括：一般公共服务支出50000元，社会保障和就业支出1554873.4元，卫生健康支出12445900.25元，住房保障支出762580元。</w:t>
      </w:r>
    </w:p>
    <w:p w14:paraId="5CA7F36A">
      <w:pPr>
        <w:widowControl/>
        <w:adjustRightInd w:val="0"/>
        <w:snapToGrid w:val="0"/>
        <w:spacing w:line="578" w:lineRule="exact"/>
        <w:ind w:firstLine="643" w:firstLineChars="200"/>
        <w:contextualSpacing/>
        <w:jc w:val="left"/>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r>
        <w:rPr>
          <w:rFonts w:hint="eastAsia" w:eastAsia="楷体_GB2312"/>
          <w:szCs w:val="32"/>
          <w:lang w:val="en-US" w:eastAsia="zh-CN"/>
        </w:rPr>
        <w:t>壤塘县藏医院</w:t>
      </w:r>
      <w:r>
        <w:rPr>
          <w:szCs w:val="32"/>
        </w:rPr>
        <w:t>202</w:t>
      </w:r>
      <w:r>
        <w:rPr>
          <w:rFonts w:hint="eastAsia"/>
          <w:szCs w:val="32"/>
        </w:rPr>
        <w:t>5</w:t>
      </w:r>
      <w:r>
        <w:rPr>
          <w:szCs w:val="32"/>
        </w:rPr>
        <w:t>年决算报表</w:t>
      </w:r>
      <w:r>
        <w:rPr>
          <w:rFonts w:hint="eastAsia"/>
          <w:szCs w:val="32"/>
          <w:lang w:val="en-US" w:eastAsia="zh-CN"/>
        </w:rPr>
        <w:t>结余分配1405409.81元，年末结转结余60700元代管资金</w:t>
      </w:r>
      <w:r>
        <w:rPr>
          <w:color w:val="000000"/>
          <w:kern w:val="0"/>
          <w:szCs w:val="32"/>
          <w:shd w:val="clear" w:color="auto" w:fill="FFFFFF"/>
        </w:rPr>
        <w:t>。</w:t>
      </w:r>
    </w:p>
    <w:p w14:paraId="10380483">
      <w:pPr>
        <w:widowControl/>
        <w:adjustRightInd w:val="0"/>
        <w:snapToGrid w:val="0"/>
        <w:spacing w:line="578" w:lineRule="exact"/>
        <w:ind w:firstLine="640" w:firstLineChars="200"/>
        <w:contextualSpacing/>
        <w:jc w:val="left"/>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14:paraId="5717267A">
      <w:pPr>
        <w:adjustRightInd w:val="0"/>
        <w:snapToGrid w:val="0"/>
        <w:spacing w:line="578" w:lineRule="exact"/>
        <w:ind w:firstLine="643" w:firstLineChars="200"/>
        <w:contextualSpacing/>
        <w:jc w:val="left"/>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18F2D7B8">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p>
    <w:p w14:paraId="681CD811">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hint="eastAsia"/>
          <w:color w:val="000000"/>
          <w:kern w:val="0"/>
          <w:szCs w:val="32"/>
          <w:shd w:val="clear" w:color="auto" w:fill="FFFFFF"/>
          <w:lang w:val="zh-CN"/>
        </w:rPr>
        <w:t>本年度严格落实藏医医疗服务供给，规范临床用药行为，持续推进医药分开改革落地，患者就医满意度稳步提升，就医负担得到有效缓解，各项核心职能目标均按期完成，履职效能整体表现良好，充分发挥基层藏医医疗机构公益服务职能。</w:t>
      </w:r>
    </w:p>
    <w:p w14:paraId="3749C903">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2.</w:t>
      </w:r>
      <w:r>
        <w:rPr>
          <w:rFonts w:eastAsia="楷体_GB2312"/>
          <w:color w:val="000000"/>
          <w:kern w:val="0"/>
          <w:szCs w:val="32"/>
          <w:shd w:val="clear" w:color="auto" w:fill="FFFFFF"/>
          <w:lang w:val="zh-CN"/>
        </w:rPr>
        <w:t>预算管理。</w:t>
      </w:r>
    </w:p>
    <w:p w14:paraId="634FB55B">
      <w:pPr>
        <w:adjustRightInd w:val="0"/>
        <w:snapToGrid w:val="0"/>
        <w:spacing w:line="578" w:lineRule="exact"/>
        <w:ind w:firstLine="640" w:firstLineChars="200"/>
        <w:contextualSpacing/>
        <w:jc w:val="left"/>
        <w:rPr>
          <w:rFonts w:hint="eastAsia"/>
          <w:color w:val="000000"/>
          <w:kern w:val="0"/>
          <w:szCs w:val="32"/>
          <w:shd w:val="clear" w:color="auto" w:fill="FFFFFF"/>
          <w:lang w:val="zh-CN"/>
        </w:rPr>
      </w:pPr>
      <w:r>
        <w:rPr>
          <w:rFonts w:hint="eastAsia"/>
          <w:color w:val="000000"/>
          <w:kern w:val="0"/>
          <w:szCs w:val="32"/>
          <w:shd w:val="clear" w:color="auto" w:fill="FFFFFF"/>
          <w:lang w:val="zh-CN"/>
        </w:rPr>
        <w:t>（1）预算编制合规完整。严格按照年度工作实际编制收支预算，坚持量入为出、收支平衡，无虚列预算、超编预算情况，基本覆盖全院业务运行及专项工作需求。</w:t>
      </w:r>
    </w:p>
    <w:p w14:paraId="4859BB02">
      <w:pPr>
        <w:adjustRightInd w:val="0"/>
        <w:snapToGrid w:val="0"/>
        <w:spacing w:line="578" w:lineRule="exact"/>
        <w:ind w:firstLine="640" w:firstLineChars="200"/>
        <w:contextualSpacing/>
        <w:jc w:val="left"/>
        <w:rPr>
          <w:rFonts w:hint="eastAsia"/>
          <w:color w:val="000000"/>
          <w:kern w:val="0"/>
          <w:szCs w:val="32"/>
          <w:shd w:val="clear" w:color="auto" w:fill="FFFFFF"/>
          <w:lang w:val="zh-CN"/>
        </w:rPr>
      </w:pPr>
      <w:r>
        <w:rPr>
          <w:rFonts w:hint="eastAsia"/>
          <w:color w:val="000000"/>
          <w:kern w:val="0"/>
          <w:szCs w:val="32"/>
          <w:shd w:val="clear" w:color="auto" w:fill="FFFFFF"/>
          <w:lang w:val="zh-CN"/>
        </w:rPr>
        <w:t>（2）预算执行规范有序。财政拨款预算编制偏离度、单位收入统筹度、预算年终结余率等指标均按期完成，一般性支出管控到位；预算执行贴合医院医疗业务、药品采购、人员保障等实际运转需求，资金拨付及时，保障日常诊疗工作稳定开展。</w:t>
      </w:r>
    </w:p>
    <w:p w14:paraId="549C3E6B">
      <w:pPr>
        <w:adjustRightInd w:val="0"/>
        <w:snapToGrid w:val="0"/>
        <w:spacing w:line="578" w:lineRule="exact"/>
        <w:ind w:firstLine="640" w:firstLineChars="200"/>
        <w:contextualSpacing/>
        <w:jc w:val="left"/>
        <w:rPr>
          <w:rFonts w:hint="eastAsia"/>
          <w:color w:val="000000"/>
          <w:kern w:val="0"/>
          <w:szCs w:val="32"/>
          <w:shd w:val="clear" w:color="auto" w:fill="FFFFFF"/>
          <w:lang w:val="zh-CN"/>
        </w:rPr>
      </w:pPr>
      <w:r>
        <w:rPr>
          <w:rFonts w:hint="eastAsia"/>
          <w:color w:val="000000"/>
          <w:kern w:val="0"/>
          <w:szCs w:val="32"/>
          <w:shd w:val="clear" w:color="auto" w:fill="FFFFFF"/>
          <w:lang w:val="zh-CN"/>
        </w:rPr>
        <w:t>（3）结余结转管理规范。2025年决算报表结余分配1405409.81元，年末结转结余60700元代管资金，结余资金核算清晰、管理合规，无违规占用、挪用结余资金问题。</w:t>
      </w:r>
    </w:p>
    <w:p w14:paraId="19C634A7">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14:paraId="13AA5F87">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hint="eastAsia"/>
          <w:color w:val="000000"/>
          <w:kern w:val="0"/>
          <w:szCs w:val="32"/>
          <w:shd w:val="clear" w:color="auto" w:fill="FFFFFF"/>
          <w:lang w:val="zh-CN"/>
        </w:rPr>
        <w:t>严格执行政府会计制度、医院财务管理制度，账务处理规范、会计核算精准，财务内控机制健全，资金审批、报销流程完善；财务信息真实完整，按时完成预决算公开、财务核算及报表编制工作，财务管理规范度达标，有效防范财务风险。</w:t>
      </w:r>
    </w:p>
    <w:p w14:paraId="1C62D580">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14:paraId="29ABD151">
      <w:pPr>
        <w:adjustRightInd w:val="0"/>
        <w:snapToGrid w:val="0"/>
        <w:spacing w:line="578" w:lineRule="exact"/>
        <w:ind w:firstLine="640" w:firstLineChars="200"/>
        <w:contextualSpacing/>
        <w:jc w:val="left"/>
        <w:rPr>
          <w:rFonts w:hint="eastAsia"/>
          <w:color w:val="000000"/>
          <w:kern w:val="0"/>
          <w:szCs w:val="32"/>
          <w:shd w:val="clear" w:color="auto" w:fill="FFFFFF"/>
          <w:lang w:val="zh-CN"/>
        </w:rPr>
      </w:pPr>
      <w:r>
        <w:rPr>
          <w:rFonts w:hint="eastAsia"/>
          <w:color w:val="000000"/>
          <w:kern w:val="0"/>
          <w:szCs w:val="32"/>
          <w:shd w:val="clear" w:color="auto" w:fill="FFFFFF"/>
          <w:lang w:val="zh-CN"/>
        </w:rPr>
        <w:t>核心诊疗设备、常用医疗器械日常开机使用频次较高，直接服务门诊、住院、藏医理疗，经营性、业务性资产整体利用率较好，有效支撑医疗服务开展。</w:t>
      </w:r>
    </w:p>
    <w:p w14:paraId="63330A94">
      <w:pPr>
        <w:adjustRightInd w:val="0"/>
        <w:snapToGrid w:val="0"/>
        <w:spacing w:line="578" w:lineRule="exact"/>
        <w:ind w:firstLine="640" w:firstLineChars="200"/>
        <w:contextualSpacing/>
        <w:jc w:val="left"/>
        <w:rPr>
          <w:rFonts w:hint="eastAsia"/>
          <w:color w:val="000000"/>
          <w:kern w:val="0"/>
          <w:szCs w:val="32"/>
          <w:shd w:val="clear" w:color="auto" w:fill="FFFFFF"/>
          <w:lang w:val="zh-CN"/>
        </w:rPr>
      </w:pPr>
      <w:r>
        <w:rPr>
          <w:rFonts w:hint="eastAsia"/>
          <w:color w:val="000000"/>
          <w:kern w:val="0"/>
          <w:szCs w:val="32"/>
          <w:shd w:val="clear" w:color="auto" w:fill="FFFFFF"/>
          <w:lang w:val="zh-CN"/>
        </w:rPr>
        <w:t>资产管理制度基本健全、资产安全可控、核心业务资产利用较好，能够保障医院履职需要。但存在资产配置不均衡、资产盘活率偏低等问题，资产精细化管理和效益化管理水平有待提升，资产管理绩效总体评价为良好。</w:t>
      </w:r>
    </w:p>
    <w:p w14:paraId="67C59586">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14:paraId="026B85E4">
      <w:pPr>
        <w:adjustRightInd w:val="0"/>
        <w:snapToGrid w:val="0"/>
        <w:spacing w:line="578" w:lineRule="exact"/>
        <w:ind w:firstLine="640" w:firstLineChars="200"/>
        <w:contextualSpacing/>
        <w:jc w:val="left"/>
        <w:rPr>
          <w:color w:val="000000"/>
          <w:kern w:val="0"/>
          <w:szCs w:val="32"/>
          <w:shd w:val="clear" w:color="auto" w:fill="FFFFFF"/>
          <w:lang w:val="zh-CN"/>
        </w:rPr>
      </w:pPr>
      <w:bookmarkStart w:id="1" w:name="_GoBack"/>
      <w:bookmarkEnd w:id="1"/>
      <w:r>
        <w:rPr>
          <w:rFonts w:hint="eastAsia"/>
          <w:color w:val="000000"/>
          <w:kern w:val="0"/>
          <w:szCs w:val="32"/>
          <w:shd w:val="clear" w:color="auto" w:fill="FFFFFF"/>
          <w:lang w:val="zh-CN"/>
        </w:rPr>
        <w:t>采购管理程序合规、总体执行有序，能够满足业务开展需求。但存在部分采购执行滞后、计划性不强等问题，采购管理绩效综合评价为良好。</w:t>
      </w:r>
    </w:p>
    <w:p w14:paraId="6C32C696">
      <w:pPr>
        <w:widowControl/>
        <w:adjustRightInd w:val="0"/>
        <w:snapToGrid w:val="0"/>
        <w:spacing w:line="578" w:lineRule="exact"/>
        <w:ind w:firstLine="643" w:firstLineChars="200"/>
        <w:contextualSpacing/>
        <w:jc w:val="left"/>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14:paraId="33E104EB">
      <w:pPr>
        <w:adjustRightInd w:val="0"/>
        <w:snapToGrid w:val="0"/>
        <w:spacing w:line="578" w:lineRule="exact"/>
        <w:ind w:firstLine="640" w:firstLineChars="200"/>
        <w:contextualSpacing/>
        <w:jc w:val="left"/>
        <w:rPr>
          <w:color w:val="000000"/>
          <w:kern w:val="0"/>
          <w:szCs w:val="32"/>
          <w:shd w:val="clear" w:color="auto" w:fill="FFFFFF"/>
          <w:lang w:val="zh-CN"/>
        </w:rPr>
      </w:pPr>
      <w:r>
        <w:rPr>
          <w:color w:val="000000"/>
          <w:kern w:val="0"/>
          <w:szCs w:val="32"/>
          <w:shd w:val="clear" w:color="auto" w:fill="FFFFFF"/>
        </w:rPr>
        <w:t>常年项目绩效分析。</w:t>
      </w:r>
      <w:r>
        <w:rPr>
          <w:color w:val="000000"/>
          <w:kern w:val="0"/>
          <w:szCs w:val="32"/>
          <w:shd w:val="clear" w:color="auto" w:fill="FFFFFF"/>
          <w:lang w:val="zh-CN"/>
        </w:rPr>
        <w:t>该类项目总数</w:t>
      </w:r>
      <w:r>
        <w:rPr>
          <w:rFonts w:hint="eastAsia"/>
          <w:color w:val="000000"/>
          <w:kern w:val="0"/>
          <w:szCs w:val="32"/>
          <w:shd w:val="clear" w:color="auto" w:fill="FFFFFF"/>
          <w:lang w:val="en-US" w:eastAsia="zh-CN"/>
        </w:rPr>
        <w:t>22</w:t>
      </w:r>
      <w:r>
        <w:rPr>
          <w:color w:val="000000"/>
          <w:kern w:val="0"/>
          <w:szCs w:val="32"/>
          <w:shd w:val="clear" w:color="auto" w:fill="FFFFFF"/>
          <w:lang w:val="zh-CN"/>
        </w:rPr>
        <w:t>个，涉及预算总金额</w:t>
      </w:r>
      <w:r>
        <w:rPr>
          <w:rFonts w:hint="eastAsia"/>
          <w:color w:val="000000"/>
          <w:kern w:val="0"/>
          <w:szCs w:val="32"/>
          <w:shd w:val="clear" w:color="auto" w:fill="FFFFFF"/>
          <w:lang w:val="en-US" w:eastAsia="zh-CN"/>
        </w:rPr>
        <w:t>975.05</w:t>
      </w:r>
      <w:r>
        <w:rPr>
          <w:color w:val="000000"/>
          <w:kern w:val="0"/>
          <w:szCs w:val="32"/>
          <w:shd w:val="clear" w:color="auto" w:fill="FFFFFF"/>
          <w:lang w:val="zh-CN"/>
        </w:rPr>
        <w:t>万元，1</w:t>
      </w:r>
      <w:r>
        <w:rPr>
          <w:rFonts w:hint="eastAsia"/>
          <w:color w:val="000000"/>
          <w:kern w:val="0"/>
          <w:szCs w:val="32"/>
          <w:shd w:val="clear" w:color="auto" w:fill="FFFFFF"/>
          <w:lang w:val="zh-CN"/>
        </w:rPr>
        <w:t>—</w:t>
      </w:r>
      <w:r>
        <w:rPr>
          <w:color w:val="000000"/>
          <w:kern w:val="0"/>
          <w:szCs w:val="32"/>
          <w:shd w:val="clear" w:color="auto" w:fill="FFFFFF"/>
          <w:lang w:val="zh-CN"/>
        </w:rPr>
        <w:t>1</w:t>
      </w:r>
      <w:r>
        <w:rPr>
          <w:color w:val="000000"/>
          <w:kern w:val="0"/>
          <w:szCs w:val="32"/>
          <w:shd w:val="clear" w:color="auto" w:fill="FFFFFF"/>
        </w:rPr>
        <w:t>2</w:t>
      </w:r>
      <w:r>
        <w:rPr>
          <w:color w:val="000000"/>
          <w:kern w:val="0"/>
          <w:szCs w:val="32"/>
          <w:shd w:val="clear" w:color="auto" w:fill="FFFFFF"/>
          <w:lang w:val="zh-CN"/>
        </w:rPr>
        <w:t>月预算执行总体进度为</w:t>
      </w:r>
      <w:r>
        <w:rPr>
          <w:rFonts w:hint="eastAsia"/>
          <w:color w:val="000000"/>
          <w:kern w:val="0"/>
          <w:szCs w:val="32"/>
          <w:shd w:val="clear" w:color="auto" w:fill="FFFFFF"/>
          <w:lang w:val="en-US" w:eastAsia="zh-CN"/>
        </w:rPr>
        <w:t>99.72</w:t>
      </w:r>
      <w:r>
        <w:rPr>
          <w:color w:val="000000"/>
          <w:kern w:val="0"/>
          <w:szCs w:val="32"/>
          <w:shd w:val="clear" w:color="auto" w:fill="FFFFFF"/>
          <w:lang w:val="zh-CN"/>
        </w:rPr>
        <w:t>%，其中：预算结余率大于</w:t>
      </w:r>
      <w:r>
        <w:rPr>
          <w:color w:val="000000"/>
          <w:kern w:val="0"/>
          <w:szCs w:val="32"/>
          <w:shd w:val="clear" w:color="auto" w:fill="FFFFFF"/>
        </w:rPr>
        <w:t>10%</w:t>
      </w:r>
      <w:r>
        <w:rPr>
          <w:color w:val="000000"/>
          <w:kern w:val="0"/>
          <w:szCs w:val="32"/>
          <w:shd w:val="clear" w:color="auto" w:fill="FFFFFF"/>
          <w:lang w:val="zh-CN"/>
        </w:rPr>
        <w:t>的项目共计</w:t>
      </w:r>
      <w:r>
        <w:rPr>
          <w:rFonts w:hint="eastAsia"/>
          <w:color w:val="000000"/>
          <w:kern w:val="0"/>
          <w:szCs w:val="32"/>
          <w:shd w:val="clear" w:color="auto" w:fill="FFFFFF"/>
          <w:lang w:val="en-US" w:eastAsia="zh-CN"/>
        </w:rPr>
        <w:t>1</w:t>
      </w:r>
      <w:r>
        <w:rPr>
          <w:color w:val="000000"/>
          <w:kern w:val="0"/>
          <w:szCs w:val="32"/>
          <w:shd w:val="clear" w:color="auto" w:fill="FFFFFF"/>
          <w:lang w:val="zh-CN"/>
        </w:rPr>
        <w:t>个。</w:t>
      </w:r>
    </w:p>
    <w:p w14:paraId="788AEE7D">
      <w:pPr>
        <w:adjustRightInd w:val="0"/>
        <w:snapToGrid w:val="0"/>
        <w:spacing w:line="578" w:lineRule="exact"/>
        <w:ind w:firstLine="640" w:firstLineChars="200"/>
        <w:contextualSpacing/>
        <w:jc w:val="left"/>
        <w:rPr>
          <w:color w:val="000000"/>
          <w:kern w:val="0"/>
          <w:szCs w:val="32"/>
          <w:shd w:val="clear" w:color="auto" w:fill="FFFFFF"/>
          <w:lang w:val="zh-CN"/>
        </w:rPr>
      </w:pPr>
      <w:r>
        <w:rPr>
          <w:color w:val="000000"/>
          <w:kern w:val="0"/>
          <w:szCs w:val="32"/>
          <w:shd w:val="clear" w:color="auto" w:fill="FFFFFF"/>
        </w:rPr>
        <w:t>阶段（</w:t>
      </w:r>
      <w:r>
        <w:rPr>
          <w:rFonts w:hint="eastAsia"/>
          <w:color w:val="000000"/>
          <w:kern w:val="0"/>
          <w:szCs w:val="32"/>
          <w:shd w:val="clear" w:color="auto" w:fill="FFFFFF"/>
        </w:rPr>
        <w:t>含</w:t>
      </w:r>
      <w:r>
        <w:rPr>
          <w:color w:val="000000"/>
          <w:kern w:val="0"/>
          <w:szCs w:val="32"/>
          <w:shd w:val="clear" w:color="auto" w:fill="FFFFFF"/>
        </w:rPr>
        <w:t>一次性）项目绩效分析。</w:t>
      </w:r>
      <w:r>
        <w:rPr>
          <w:color w:val="000000"/>
          <w:kern w:val="0"/>
          <w:szCs w:val="32"/>
          <w:shd w:val="clear" w:color="auto" w:fill="FFFFFF"/>
          <w:lang w:val="zh-CN"/>
        </w:rPr>
        <w:t>该类项目总数</w:t>
      </w:r>
      <w:r>
        <w:rPr>
          <w:rFonts w:hint="eastAsia"/>
          <w:color w:val="000000"/>
          <w:kern w:val="0"/>
          <w:szCs w:val="32"/>
          <w:shd w:val="clear" w:color="auto" w:fill="FFFFFF"/>
          <w:lang w:val="en-US" w:eastAsia="zh-CN"/>
        </w:rPr>
        <w:t>10</w:t>
      </w:r>
      <w:r>
        <w:rPr>
          <w:color w:val="000000"/>
          <w:kern w:val="0"/>
          <w:szCs w:val="32"/>
          <w:shd w:val="clear" w:color="auto" w:fill="FFFFFF"/>
          <w:lang w:val="zh-CN"/>
        </w:rPr>
        <w:t>个，涉及预算总金额</w:t>
      </w:r>
      <w:r>
        <w:rPr>
          <w:rFonts w:hint="eastAsia"/>
          <w:color w:val="000000"/>
          <w:kern w:val="0"/>
          <w:szCs w:val="32"/>
          <w:shd w:val="clear" w:color="auto" w:fill="FFFFFF"/>
          <w:lang w:val="en-US" w:eastAsia="zh-CN"/>
        </w:rPr>
        <w:t>230.56</w:t>
      </w:r>
      <w:r>
        <w:rPr>
          <w:color w:val="000000"/>
          <w:kern w:val="0"/>
          <w:szCs w:val="32"/>
          <w:shd w:val="clear" w:color="auto" w:fill="FFFFFF"/>
          <w:lang w:val="zh-CN"/>
        </w:rPr>
        <w:t>万元，1</w:t>
      </w:r>
      <w:r>
        <w:rPr>
          <w:rFonts w:hint="eastAsia"/>
          <w:color w:val="000000"/>
          <w:kern w:val="0"/>
          <w:szCs w:val="32"/>
          <w:shd w:val="clear" w:color="auto" w:fill="FFFFFF"/>
          <w:lang w:val="zh-CN"/>
        </w:rPr>
        <w:t>—</w:t>
      </w:r>
      <w:r>
        <w:rPr>
          <w:color w:val="000000"/>
          <w:kern w:val="0"/>
          <w:szCs w:val="32"/>
          <w:shd w:val="clear" w:color="auto" w:fill="FFFFFF"/>
          <w:lang w:val="zh-CN"/>
        </w:rPr>
        <w:t>1</w:t>
      </w:r>
      <w:r>
        <w:rPr>
          <w:color w:val="000000"/>
          <w:kern w:val="0"/>
          <w:szCs w:val="32"/>
          <w:shd w:val="clear" w:color="auto" w:fill="FFFFFF"/>
        </w:rPr>
        <w:t>2</w:t>
      </w:r>
      <w:r>
        <w:rPr>
          <w:color w:val="000000"/>
          <w:kern w:val="0"/>
          <w:szCs w:val="32"/>
          <w:shd w:val="clear" w:color="auto" w:fill="FFFFFF"/>
          <w:lang w:val="zh-CN"/>
        </w:rPr>
        <w:t>月预算执行总体进度为</w:t>
      </w:r>
      <w:r>
        <w:rPr>
          <w:rFonts w:hint="eastAsia"/>
          <w:color w:val="000000"/>
          <w:kern w:val="0"/>
          <w:szCs w:val="32"/>
          <w:shd w:val="clear" w:color="auto" w:fill="FFFFFF"/>
          <w:lang w:val="en-US" w:eastAsia="zh-CN"/>
        </w:rPr>
        <w:t>84.55</w:t>
      </w:r>
      <w:r>
        <w:rPr>
          <w:color w:val="000000"/>
          <w:kern w:val="0"/>
          <w:szCs w:val="32"/>
          <w:shd w:val="clear" w:color="auto" w:fill="FFFFFF"/>
          <w:lang w:val="zh-CN"/>
        </w:rPr>
        <w:t>%，其中：预算结余率大于</w:t>
      </w:r>
      <w:r>
        <w:rPr>
          <w:color w:val="000000"/>
          <w:kern w:val="0"/>
          <w:szCs w:val="32"/>
          <w:shd w:val="clear" w:color="auto" w:fill="FFFFFF"/>
        </w:rPr>
        <w:t>10%</w:t>
      </w:r>
      <w:r>
        <w:rPr>
          <w:color w:val="000000"/>
          <w:kern w:val="0"/>
          <w:szCs w:val="32"/>
          <w:shd w:val="clear" w:color="auto" w:fill="FFFFFF"/>
          <w:lang w:val="zh-CN"/>
        </w:rPr>
        <w:t>的项目共计</w:t>
      </w:r>
      <w:r>
        <w:rPr>
          <w:rFonts w:hint="eastAsia"/>
          <w:color w:val="000000"/>
          <w:kern w:val="0"/>
          <w:szCs w:val="32"/>
          <w:shd w:val="clear" w:color="auto" w:fill="FFFFFF"/>
          <w:lang w:val="en-US" w:eastAsia="zh-CN"/>
        </w:rPr>
        <w:t>3</w:t>
      </w:r>
      <w:r>
        <w:rPr>
          <w:color w:val="000000"/>
          <w:kern w:val="0"/>
          <w:szCs w:val="32"/>
          <w:shd w:val="clear" w:color="auto" w:fill="FFFFFF"/>
          <w:lang w:val="zh-CN"/>
        </w:rPr>
        <w:t>个。</w:t>
      </w:r>
    </w:p>
    <w:p w14:paraId="0C49E6DE">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14:paraId="64D6E451">
      <w:pPr>
        <w:adjustRightInd w:val="0"/>
        <w:snapToGrid w:val="0"/>
        <w:spacing w:line="578" w:lineRule="exact"/>
        <w:ind w:firstLine="640" w:firstLineChars="200"/>
        <w:contextualSpacing/>
        <w:jc w:val="left"/>
        <w:rPr>
          <w:rFonts w:hint="eastAsia"/>
          <w:color w:val="000000"/>
          <w:kern w:val="0"/>
          <w:szCs w:val="32"/>
          <w:shd w:val="clear" w:color="auto" w:fill="FFFFFF"/>
          <w:lang w:val="zh-CN"/>
        </w:rPr>
      </w:pPr>
      <w:r>
        <w:rPr>
          <w:rFonts w:hint="eastAsia"/>
          <w:color w:val="000000"/>
          <w:kern w:val="0"/>
          <w:szCs w:val="32"/>
          <w:shd w:val="clear" w:color="auto" w:fill="FFFFFF"/>
          <w:lang w:val="zh-CN"/>
        </w:rPr>
        <w:t>严格规范项目决策程序，所有项目均按医疗服务、藏医能力建设等核心职能科学设置绩效目标，目标量化清晰、贴合医院发展实际；项目全部按要求纳入预算项目库管理，入库资料完整，立项依据合规，无违规立项、重复立项问题，项目决策科学性、规范性良好。</w:t>
      </w:r>
    </w:p>
    <w:p w14:paraId="3427D97B">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14:paraId="405F6879">
      <w:pPr>
        <w:adjustRightInd w:val="0"/>
        <w:snapToGrid w:val="0"/>
        <w:spacing w:line="578" w:lineRule="exact"/>
        <w:ind w:firstLine="640" w:firstLineChars="200"/>
        <w:contextualSpacing/>
        <w:jc w:val="left"/>
        <w:rPr>
          <w:color w:val="000000"/>
          <w:kern w:val="0"/>
          <w:szCs w:val="32"/>
          <w:shd w:val="clear" w:color="auto" w:fill="FFFFFF"/>
          <w:lang w:val="zh-CN"/>
        </w:rPr>
      </w:pPr>
      <w:r>
        <w:rPr>
          <w:rFonts w:hint="eastAsia"/>
          <w:color w:val="000000"/>
          <w:kern w:val="0"/>
          <w:szCs w:val="32"/>
          <w:shd w:val="clear" w:color="auto" w:fill="FFFFFF"/>
          <w:lang w:val="zh-CN"/>
        </w:rPr>
        <w:t>项目资金执行方向严格</w:t>
      </w:r>
      <w:r>
        <w:rPr>
          <w:rFonts w:hint="eastAsia"/>
          <w:color w:val="000000"/>
          <w:kern w:val="0"/>
          <w:szCs w:val="32"/>
          <w:shd w:val="clear" w:color="auto" w:fill="FFFFFF"/>
          <w:lang w:val="en-US" w:eastAsia="zh-CN"/>
        </w:rPr>
        <w:t>按照</w:t>
      </w:r>
      <w:r>
        <w:rPr>
          <w:rFonts w:hint="eastAsia"/>
          <w:color w:val="000000"/>
          <w:kern w:val="0"/>
          <w:szCs w:val="32"/>
          <w:shd w:val="clear" w:color="auto" w:fill="FFFFFF"/>
          <w:lang w:val="zh-CN"/>
        </w:rPr>
        <w:t>立项用途，全部用于医疗业务开展、药品采购、人员保障、设备购置等，无挤占、挪用、截留资金情况；项目调整严格履行审批程序；预算执行进度整体达标，资金拨付及时高效，保障各项目按期落地实施，执行结果符合预期要求。</w:t>
      </w:r>
    </w:p>
    <w:p w14:paraId="62592155">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14:paraId="3BD1C720">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hint="eastAsia"/>
          <w:color w:val="000000"/>
          <w:kern w:val="0"/>
          <w:szCs w:val="32"/>
          <w:shd w:val="clear" w:color="auto" w:fill="FFFFFF"/>
          <w:lang w:val="zh-CN"/>
        </w:rPr>
        <w:t>各项目绩效目标均基本完成，医疗服务供给、合理用药规范，患者满意度提升等核心目标达成度较高；个别项目因县域就医需求波动存在小幅目标偏差，整体偏差可控；有效提升藏医诊疗服务能力，切实减轻群众就医负担，实现良好社会效益。</w:t>
      </w:r>
    </w:p>
    <w:p w14:paraId="23D20F1F">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szCs w:val="32"/>
          <w:lang w:val="zh-CN"/>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14:paraId="7AA51473">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仿宋_GB2312" w:hAnsi="宋体" w:cs="宋体"/>
          <w:color w:val="000000"/>
          <w:kern w:val="0"/>
          <w:szCs w:val="32"/>
          <w:shd w:val="clear" w:color="auto" w:fill="FFFFFF"/>
          <w:lang w:val="en-US" w:eastAsia="zh-CN"/>
        </w:rPr>
      </w:pPr>
      <w:r>
        <w:rPr>
          <w:rFonts w:hint="eastAsia" w:ascii="仿宋_GB2312" w:hAnsi="宋体" w:cs="宋体"/>
          <w:color w:val="000000"/>
          <w:kern w:val="0"/>
          <w:szCs w:val="32"/>
          <w:shd w:val="clear" w:color="auto" w:fill="FFFFFF"/>
          <w:lang w:val="en-US" w:eastAsia="zh-CN"/>
        </w:rPr>
        <w:t>本年度财务人员严格执行收支两条线制度，严格按照上级及各部门有关文件要求，县财政支出管理股室、国库审核无误后的经费财务报表为基础，根据每项经费指标的功能科目及经济分类科目以及该指标本年实际支付数在部门决算软件中逐笔据实填列。</w:t>
      </w:r>
    </w:p>
    <w:p w14:paraId="08659281">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b/>
          <w:szCs w:val="32"/>
        </w:rPr>
      </w:pPr>
      <w:r>
        <w:rPr>
          <w:rFonts w:hint="eastAsia" w:ascii="仿宋_GB2312" w:hAnsi="宋体" w:cs="宋体"/>
          <w:color w:val="000000"/>
          <w:kern w:val="0"/>
          <w:szCs w:val="32"/>
          <w:shd w:val="clear" w:color="auto" w:fill="FFFFFF"/>
        </w:rPr>
        <w:t>对部门预算绩效管理工作开展情况认真进行了自查自评。绩效评价自查开展覆盖单位重点支出，将评价结果作为预算安排的依据，根据项目预算执行情况、保障重点支出，调整支出结构，优化财政资金配置，不断强化绩效理念，推动我医院部门整体绩效管理水平不断提升。</w:t>
      </w:r>
    </w:p>
    <w:p w14:paraId="5B3B7DD5">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四、评价结论及建议</w:t>
      </w:r>
    </w:p>
    <w:p w14:paraId="39F653D7">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（一）评价结论。</w:t>
      </w:r>
    </w:p>
    <w:p w14:paraId="173D694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eastAsia="仿宋_GB2312"/>
          <w:color w:val="000000"/>
          <w:szCs w:val="32"/>
          <w:lang w:eastAsia="zh-CN"/>
        </w:rPr>
      </w:pPr>
      <w:r>
        <w:rPr>
          <w:rFonts w:hint="eastAsia" w:ascii="仿宋_GB2312" w:hAnsi="宋体" w:cs="宋体"/>
          <w:color w:val="000000"/>
          <w:kern w:val="0"/>
          <w:szCs w:val="32"/>
          <w:shd w:val="clear" w:color="auto" w:fill="FFFFFF"/>
        </w:rPr>
        <w:t>严格按照年初预算批复认真组织实施,严格执行财经纪律相关管理规定，做到各项收支安排使用符合事业发展计划和财政政策的要求，确保了医院正常运行和重大项目的实施，较好地完成了202</w:t>
      </w:r>
      <w:r>
        <w:rPr>
          <w:rFonts w:hint="eastAsia" w:ascii="仿宋_GB2312" w:hAnsi="宋体" w:cs="宋体"/>
          <w:color w:val="000000"/>
          <w:kern w:val="0"/>
          <w:szCs w:val="32"/>
          <w:shd w:val="clear" w:color="auto" w:fill="FFFFFF"/>
          <w:lang w:val="en-US" w:eastAsia="zh-CN"/>
        </w:rPr>
        <w:t>5</w:t>
      </w:r>
      <w:r>
        <w:rPr>
          <w:rFonts w:hint="eastAsia" w:ascii="仿宋_GB2312" w:hAnsi="宋体" w:cs="宋体"/>
          <w:color w:val="000000"/>
          <w:kern w:val="0"/>
          <w:szCs w:val="32"/>
          <w:shd w:val="clear" w:color="auto" w:fill="FFFFFF"/>
        </w:rPr>
        <w:t>年部门预算编制和决算</w:t>
      </w:r>
      <w:r>
        <w:rPr>
          <w:rFonts w:hint="eastAsia" w:ascii="仿宋_GB2312" w:hAnsi="宋体" w:cs="宋体"/>
          <w:color w:val="000000"/>
          <w:kern w:val="0"/>
          <w:szCs w:val="32"/>
          <w:shd w:val="clear" w:color="auto" w:fill="FFFFFF"/>
          <w:lang w:val="en-US" w:eastAsia="zh-CN"/>
        </w:rPr>
        <w:t>编制</w:t>
      </w:r>
      <w:r>
        <w:rPr>
          <w:rFonts w:hint="eastAsia" w:ascii="仿宋_GB2312" w:hAnsi="宋体" w:cs="宋体"/>
          <w:color w:val="000000"/>
          <w:kern w:val="0"/>
          <w:szCs w:val="32"/>
          <w:shd w:val="clear" w:color="auto" w:fill="FFFFFF"/>
        </w:rPr>
        <w:t>工作, 202</w:t>
      </w:r>
      <w:r>
        <w:rPr>
          <w:rFonts w:hint="eastAsia" w:ascii="仿宋_GB2312" w:hAnsi="宋体" w:cs="宋体"/>
          <w:color w:val="000000"/>
          <w:kern w:val="0"/>
          <w:szCs w:val="32"/>
          <w:shd w:val="clear" w:color="auto" w:fill="FFFFFF"/>
          <w:lang w:val="en-US" w:eastAsia="zh-CN"/>
        </w:rPr>
        <w:t>5</w:t>
      </w:r>
      <w:r>
        <w:rPr>
          <w:rFonts w:hint="eastAsia" w:ascii="仿宋_GB2312" w:hAnsi="宋体" w:cs="宋体"/>
          <w:color w:val="000000"/>
          <w:kern w:val="0"/>
          <w:szCs w:val="32"/>
          <w:shd w:val="clear" w:color="auto" w:fill="FFFFFF"/>
        </w:rPr>
        <w:t>年目标任务基本完成，预算执行情况较好。</w:t>
      </w:r>
      <w:r>
        <w:rPr>
          <w:color w:val="000000"/>
          <w:szCs w:val="32"/>
        </w:rPr>
        <w:t>自评得分</w:t>
      </w:r>
      <w:r>
        <w:rPr>
          <w:rFonts w:hint="eastAsia"/>
          <w:color w:val="000000"/>
          <w:szCs w:val="32"/>
          <w:lang w:val="en-US" w:eastAsia="zh-CN"/>
        </w:rPr>
        <w:t>85</w:t>
      </w:r>
      <w:r>
        <w:rPr>
          <w:color w:val="000000"/>
          <w:szCs w:val="32"/>
        </w:rPr>
        <w:t>分。（见</w:t>
      </w:r>
      <w:r>
        <w:rPr>
          <w:rFonts w:hint="eastAsia"/>
          <w:color w:val="000000"/>
          <w:szCs w:val="32"/>
        </w:rPr>
        <w:t>附件</w:t>
      </w:r>
      <w:r>
        <w:rPr>
          <w:rFonts w:hint="eastAsia"/>
          <w:color w:val="000000"/>
          <w:szCs w:val="32"/>
          <w:lang w:eastAsia="zh-CN"/>
        </w:rPr>
        <w:t>）</w:t>
      </w:r>
    </w:p>
    <w:p w14:paraId="760D50F7">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（二）存在问题</w:t>
      </w:r>
    </w:p>
    <w:p w14:paraId="247A0F0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eastAsia="楷体_GB2312"/>
          <w:b/>
          <w:bCs/>
          <w:color w:val="000000"/>
          <w:kern w:val="0"/>
          <w:szCs w:val="32"/>
          <w:shd w:val="clear" w:color="auto" w:fill="FFFFFF"/>
        </w:rPr>
      </w:pPr>
      <w:r>
        <w:rPr>
          <w:rFonts w:hint="eastAsia" w:ascii="仿宋_GB2312" w:hAnsi="宋体" w:cs="宋体"/>
          <w:color w:val="000000"/>
          <w:kern w:val="0"/>
          <w:szCs w:val="32"/>
          <w:shd w:val="clear" w:color="auto" w:fill="FFFFFF"/>
        </w:rPr>
        <w:t>存在的主要问题是单位预算管理人员对绩效管理的政策、绩效目标编制、绩效评价实施等方面的业务水平还有待进一步提高</w:t>
      </w:r>
      <w:r>
        <w:rPr>
          <w:w w:val="95"/>
          <w:kern w:val="0"/>
          <w:szCs w:val="32"/>
        </w:rPr>
        <w:t>。</w:t>
      </w:r>
    </w:p>
    <w:p w14:paraId="7ECEA813">
      <w:pPr>
        <w:pStyle w:val="4"/>
        <w:keepNext w:val="0"/>
        <w:keepLines w:val="0"/>
        <w:pageBreakBefore w:val="0"/>
        <w:kinsoku/>
        <w:wordWrap/>
        <w:overflowPunct/>
        <w:topLinePunct w:val="0"/>
        <w:autoSpaceDE/>
        <w:autoSpaceDN/>
        <w:bidi w:val="0"/>
        <w:spacing w:beforeLines="0" w:line="360" w:lineRule="auto"/>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（三）改进建议。</w:t>
      </w:r>
      <w:bookmarkStart w:id="0" w:name="_Hlk110546638"/>
    </w:p>
    <w:p w14:paraId="7763DB12">
      <w:pPr>
        <w:pStyle w:val="4"/>
        <w:keepNext w:val="0"/>
        <w:keepLines w:val="0"/>
        <w:pageBreakBefore w:val="0"/>
        <w:kinsoku/>
        <w:wordWrap/>
        <w:overflowPunct/>
        <w:topLinePunct w:val="0"/>
        <w:autoSpaceDE/>
        <w:autoSpaceDN/>
        <w:bidi w:val="0"/>
        <w:spacing w:beforeLines="0" w:line="360" w:lineRule="auto"/>
        <w:ind w:firstLine="640" w:firstLineChars="200"/>
        <w:textAlignment w:val="auto"/>
        <w:rPr>
          <w:rFonts w:eastAsia="黑体"/>
          <w:szCs w:val="32"/>
        </w:rPr>
      </w:pPr>
      <w:r>
        <w:rPr>
          <w:rFonts w:hAnsi="宋体" w:cs="宋体"/>
          <w:color w:val="000000"/>
          <w:sz w:val="32"/>
          <w:szCs w:val="32"/>
          <w:shd w:val="clear" w:color="auto" w:fill="FFFFFF"/>
        </w:rPr>
        <w:t>我们将进一步提高预算绩效管理认识，优化预算绩效管理方式，强化绩效结果运用</w:t>
      </w:r>
      <w:r>
        <w:rPr>
          <w:rFonts w:hint="eastAsia" w:hAnsi="宋体" w:cs="宋体"/>
          <w:color w:val="000000"/>
          <w:sz w:val="32"/>
          <w:szCs w:val="32"/>
          <w:shd w:val="clear" w:color="auto" w:fill="FFFFFF"/>
        </w:rPr>
        <w:t>，制定明确的财务监控监督措施且确保监控监督有效</w:t>
      </w:r>
      <w:r>
        <w:rPr>
          <w:rFonts w:hAnsi="宋体" w:cs="宋体"/>
          <w:color w:val="000000"/>
          <w:sz w:val="32"/>
          <w:szCs w:val="32"/>
          <w:shd w:val="clear" w:color="auto" w:fill="FFFFFF"/>
        </w:rPr>
        <w:t>。</w:t>
      </w:r>
      <w:r>
        <w:rPr>
          <w:rFonts w:hint="eastAsia" w:hAnsi="宋体" w:cs="宋体"/>
          <w:color w:val="000000"/>
          <w:sz w:val="32"/>
          <w:szCs w:val="32"/>
          <w:shd w:val="clear" w:color="auto" w:fill="FFFFFF"/>
        </w:rPr>
        <w:t>加</w:t>
      </w:r>
      <w:r>
        <w:rPr>
          <w:rFonts w:hint="eastAsia" w:hAnsi="宋体" w:cs="宋体"/>
          <w:color w:val="000000"/>
          <w:sz w:val="32"/>
          <w:szCs w:val="32"/>
          <w:shd w:val="clear" w:color="auto" w:fill="FFFFFF"/>
          <w:lang w:val="zh-CN"/>
        </w:rPr>
        <w:t>强单位相关人员对绩效目标的编制，专人对绩效目标进行编制和管理。</w:t>
      </w:r>
      <w:bookmarkEnd w:id="0"/>
    </w:p>
    <w:p w14:paraId="1C1574E5">
      <w:pPr>
        <w:spacing w:line="578" w:lineRule="exact"/>
        <w:ind w:firstLine="640" w:firstLineChars="200"/>
        <w:jc w:val="left"/>
        <w:rPr>
          <w:color w:val="000000"/>
          <w:kern w:val="0"/>
          <w:szCs w:val="32"/>
          <w:shd w:val="clear" w:color="auto" w:fill="FFFFFF"/>
        </w:rPr>
      </w:pPr>
    </w:p>
    <w:p w14:paraId="4223CC81">
      <w:pPr>
        <w:spacing w:line="578" w:lineRule="exact"/>
        <w:ind w:firstLine="640" w:firstLineChars="200"/>
        <w:jc w:val="left"/>
        <w:rPr>
          <w:szCs w:val="32"/>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rPr>
        <w:t>部门预算绩效自评打分表</w:t>
      </w:r>
    </w:p>
    <w:p w14:paraId="6E28CA8B">
      <w:pPr>
        <w:spacing w:line="578" w:lineRule="exact"/>
        <w:ind w:firstLine="1600" w:firstLineChars="500"/>
        <w:jc w:val="left"/>
        <w:rPr>
          <w:color w:val="000000"/>
          <w:kern w:val="0"/>
          <w:szCs w:val="32"/>
          <w:shd w:val="clear" w:color="auto" w:fill="FFFFFF"/>
        </w:rPr>
      </w:pPr>
      <w:r>
        <w:rPr>
          <w:rFonts w:hint="eastAsia"/>
          <w:szCs w:val="32"/>
        </w:rPr>
        <w:t>2.</w:t>
      </w:r>
      <w:r>
        <w:rPr>
          <w:color w:val="000000"/>
          <w:kern w:val="0"/>
          <w:szCs w:val="32"/>
          <w:shd w:val="clear" w:color="auto" w:fill="FFFFFF"/>
        </w:rPr>
        <w:t>部门整体</w:t>
      </w:r>
      <w:r>
        <w:rPr>
          <w:rFonts w:hint="eastAsia"/>
          <w:color w:val="000000"/>
          <w:kern w:val="0"/>
          <w:szCs w:val="32"/>
          <w:shd w:val="clear" w:color="auto" w:fill="FFFFFF"/>
        </w:rPr>
        <w:t>支出</w:t>
      </w:r>
      <w:r>
        <w:rPr>
          <w:color w:val="000000"/>
          <w:kern w:val="0"/>
          <w:szCs w:val="32"/>
          <w:shd w:val="clear" w:color="auto" w:fill="FFFFFF"/>
        </w:rPr>
        <w:t>绩效目标完成情况自评表</w:t>
      </w:r>
    </w:p>
    <w:p w14:paraId="735CB069">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14:paraId="36F41E06">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1"/>
        <w:tblW w:w="10912" w:type="dxa"/>
        <w:jc w:val="center"/>
        <w:tblLayout w:type="fixed"/>
        <w:tblCellMar>
          <w:top w:w="0" w:type="dxa"/>
          <w:left w:w="108" w:type="dxa"/>
          <w:bottom w:w="0" w:type="dxa"/>
          <w:right w:w="108" w:type="dxa"/>
        </w:tblCellMar>
      </w:tblPr>
      <w:tblGrid>
        <w:gridCol w:w="1097"/>
        <w:gridCol w:w="1201"/>
        <w:gridCol w:w="1929"/>
        <w:gridCol w:w="717"/>
        <w:gridCol w:w="4760"/>
        <w:gridCol w:w="730"/>
        <w:gridCol w:w="478"/>
      </w:tblGrid>
      <w:tr w14:paraId="2674741A">
        <w:tblPrEx>
          <w:tblCellMar>
            <w:top w:w="0" w:type="dxa"/>
            <w:left w:w="108" w:type="dxa"/>
            <w:bottom w:w="0" w:type="dxa"/>
            <w:right w:w="108" w:type="dxa"/>
          </w:tblCellMar>
        </w:tblPrEx>
        <w:trPr>
          <w:trHeight w:val="23" w:hRule="atLeast"/>
          <w:jc w:val="center"/>
        </w:trPr>
        <w:tc>
          <w:tcPr>
            <w:tcW w:w="49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5641F">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E39E7">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730" w:type="dxa"/>
            <w:vMerge w:val="restart"/>
            <w:tcBorders>
              <w:top w:val="single" w:color="000000" w:sz="4" w:space="0"/>
              <w:left w:val="single" w:color="000000" w:sz="4" w:space="0"/>
              <w:right w:val="single" w:color="000000" w:sz="4" w:space="0"/>
            </w:tcBorders>
            <w:shd w:val="clear" w:color="auto" w:fill="auto"/>
            <w:vAlign w:val="center"/>
          </w:tcPr>
          <w:p w14:paraId="008508F3">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0925E758">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14:paraId="430DAA67">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nil"/>
            </w:tcBorders>
            <w:shd w:val="clear" w:color="auto" w:fill="auto"/>
            <w:vAlign w:val="center"/>
          </w:tcPr>
          <w:p w14:paraId="46AF823C">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A249">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6211">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10FC">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B3369">
            <w:pPr>
              <w:widowControl/>
              <w:spacing w:line="240" w:lineRule="exact"/>
              <w:jc w:val="center"/>
              <w:rPr>
                <w:rFonts w:ascii="黑体" w:hAnsi="宋体" w:eastAsia="黑体" w:cs="黑体"/>
                <w:color w:val="000000"/>
                <w:sz w:val="24"/>
              </w:rPr>
            </w:pPr>
          </w:p>
        </w:tc>
        <w:tc>
          <w:tcPr>
            <w:tcW w:w="730" w:type="dxa"/>
            <w:vMerge w:val="continue"/>
            <w:tcBorders>
              <w:left w:val="single" w:color="000000" w:sz="4" w:space="0"/>
              <w:bottom w:val="single" w:color="000000" w:sz="4" w:space="0"/>
              <w:right w:val="single" w:color="000000" w:sz="4" w:space="0"/>
            </w:tcBorders>
            <w:shd w:val="clear" w:color="auto" w:fill="auto"/>
            <w:vAlign w:val="center"/>
          </w:tcPr>
          <w:p w14:paraId="7D821BFA">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687BBF76">
            <w:pPr>
              <w:widowControl/>
              <w:spacing w:line="240" w:lineRule="exact"/>
              <w:jc w:val="center"/>
              <w:rPr>
                <w:rFonts w:ascii="黑体" w:hAnsi="宋体" w:eastAsia="黑体" w:cs="黑体"/>
                <w:color w:val="000000"/>
                <w:sz w:val="24"/>
              </w:rPr>
            </w:pPr>
          </w:p>
        </w:tc>
      </w:tr>
      <w:tr w14:paraId="75A92B1E">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right w:val="single" w:color="000000" w:sz="4" w:space="0"/>
            </w:tcBorders>
            <w:shd w:val="clear" w:color="auto" w:fill="auto"/>
            <w:vAlign w:val="center"/>
          </w:tcPr>
          <w:p w14:paraId="0F22D827">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总体绩效（65分）</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F234">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履职效能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FB9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XX履职效果</w:t>
            </w:r>
          </w:p>
        </w:tc>
        <w:tc>
          <w:tcPr>
            <w:tcW w:w="717" w:type="dxa"/>
            <w:tcBorders>
              <w:top w:val="nil"/>
              <w:left w:val="single" w:color="000000" w:sz="4" w:space="0"/>
              <w:bottom w:val="single" w:color="000000" w:sz="4" w:space="0"/>
              <w:right w:val="single" w:color="000000" w:sz="4" w:space="0"/>
            </w:tcBorders>
            <w:shd w:val="clear" w:color="auto" w:fill="auto"/>
            <w:vAlign w:val="center"/>
          </w:tcPr>
          <w:p w14:paraId="578C59E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15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13E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部门整体绩效目标中选定3-5个核心职能目标，反映该项职能目标完成效果情况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6D32">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AF95">
            <w:pPr>
              <w:widowControl/>
              <w:spacing w:line="240" w:lineRule="exact"/>
              <w:jc w:val="left"/>
              <w:textAlignment w:val="center"/>
              <w:rPr>
                <w:rFonts w:ascii="宋体" w:hAnsi="宋体" w:eastAsia="宋体" w:cs="宋体"/>
                <w:color w:val="000000"/>
                <w:kern w:val="0"/>
                <w:sz w:val="24"/>
              </w:rPr>
            </w:pPr>
          </w:p>
        </w:tc>
      </w:tr>
      <w:tr w14:paraId="2501713A">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9E7A6C0">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right w:val="single" w:color="000000" w:sz="4" w:space="0"/>
            </w:tcBorders>
            <w:shd w:val="clear" w:color="auto" w:fill="auto"/>
            <w:vAlign w:val="center"/>
          </w:tcPr>
          <w:p w14:paraId="55610156">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预算管理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（25分）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311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预算编制质量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C8D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8</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A48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部门是否严格按要求编制年初部门预算，年初预算编制的科学性和准确性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22F8">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B9E1">
            <w:pPr>
              <w:widowControl/>
              <w:spacing w:line="240" w:lineRule="exact"/>
              <w:jc w:val="left"/>
              <w:textAlignment w:val="center"/>
              <w:rPr>
                <w:rFonts w:ascii="宋体" w:hAnsi="宋体" w:eastAsia="宋体" w:cs="宋体"/>
                <w:color w:val="000000"/>
                <w:kern w:val="0"/>
                <w:sz w:val="24"/>
              </w:rPr>
            </w:pPr>
          </w:p>
        </w:tc>
      </w:tr>
      <w:tr w14:paraId="28F86CE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6BFA6F5">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5ADACF16">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E6A7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单位收入统筹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E99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FC3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部门统筹自有收入努力程度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2221">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A07A">
            <w:pPr>
              <w:widowControl/>
              <w:spacing w:line="240" w:lineRule="exact"/>
              <w:jc w:val="left"/>
              <w:textAlignment w:val="center"/>
              <w:rPr>
                <w:rFonts w:ascii="宋体" w:hAnsi="宋体" w:eastAsia="宋体" w:cs="宋体"/>
                <w:color w:val="000000"/>
                <w:kern w:val="0"/>
                <w:sz w:val="24"/>
              </w:rPr>
            </w:pPr>
          </w:p>
        </w:tc>
      </w:tr>
      <w:tr w14:paraId="450DD447">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42DF331">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69BA64F4">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18A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支出执行管理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D03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6</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569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部门1至6月、1至10月预算执行情况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69E2">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D588">
            <w:pPr>
              <w:widowControl/>
              <w:spacing w:line="240" w:lineRule="exact"/>
              <w:jc w:val="left"/>
              <w:textAlignment w:val="center"/>
              <w:rPr>
                <w:rFonts w:ascii="宋体" w:hAnsi="宋体" w:eastAsia="宋体" w:cs="宋体"/>
                <w:color w:val="000000"/>
                <w:kern w:val="0"/>
                <w:sz w:val="24"/>
              </w:rPr>
            </w:pPr>
          </w:p>
        </w:tc>
      </w:tr>
      <w:tr w14:paraId="5B78BC3A">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CB960C9">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25F5190A">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CE3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预算年终结余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973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0F7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部门整体年终预算结余情况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8EA5">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F1E48">
            <w:pPr>
              <w:widowControl/>
              <w:spacing w:line="240" w:lineRule="exact"/>
              <w:jc w:val="left"/>
              <w:textAlignment w:val="center"/>
              <w:rPr>
                <w:rFonts w:ascii="宋体" w:hAnsi="宋体" w:eastAsia="宋体" w:cs="宋体"/>
                <w:color w:val="000000"/>
                <w:kern w:val="0"/>
                <w:sz w:val="24"/>
              </w:rPr>
            </w:pPr>
          </w:p>
        </w:tc>
      </w:tr>
      <w:tr w14:paraId="6DAC29E4">
        <w:tblPrEx>
          <w:tblCellMar>
            <w:top w:w="0" w:type="dxa"/>
            <w:left w:w="108" w:type="dxa"/>
            <w:bottom w:w="0" w:type="dxa"/>
            <w:right w:w="108" w:type="dxa"/>
          </w:tblCellMar>
        </w:tblPrEx>
        <w:trPr>
          <w:trHeight w:val="743" w:hRule="atLeast"/>
          <w:jc w:val="center"/>
        </w:trPr>
        <w:tc>
          <w:tcPr>
            <w:tcW w:w="1097" w:type="dxa"/>
            <w:vMerge w:val="continue"/>
            <w:tcBorders>
              <w:left w:val="single" w:color="000000" w:sz="4" w:space="0"/>
              <w:right w:val="single" w:color="000000" w:sz="4" w:space="0"/>
            </w:tcBorders>
            <w:shd w:val="clear" w:color="auto" w:fill="auto"/>
            <w:vAlign w:val="center"/>
          </w:tcPr>
          <w:p w14:paraId="6B7AC2E8">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75030F3D">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5CE2">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严控一般性支出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270C">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420E">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部门严控“三公”经费、会议、培训、差旅、办节办展、办公设备购置、信息化建设和运维、课题经费、竞赛活动、规划编制一般性支出情况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2E2F">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9886">
            <w:pPr>
              <w:widowControl/>
              <w:spacing w:line="240" w:lineRule="exact"/>
              <w:jc w:val="left"/>
              <w:textAlignment w:val="center"/>
              <w:rPr>
                <w:rFonts w:ascii="宋体" w:hAnsi="宋体" w:eastAsia="宋体" w:cs="宋体"/>
                <w:color w:val="000000"/>
                <w:kern w:val="0"/>
                <w:sz w:val="24"/>
              </w:rPr>
            </w:pPr>
          </w:p>
        </w:tc>
      </w:tr>
      <w:tr w14:paraId="0FF73BAD">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EFFF432">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FB23C">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财务管理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72F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财务管理制度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17F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705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部门财务管理制度建立情况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D33B">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1C34">
            <w:pPr>
              <w:widowControl/>
              <w:spacing w:line="240" w:lineRule="exact"/>
              <w:jc w:val="left"/>
              <w:textAlignment w:val="center"/>
              <w:rPr>
                <w:rFonts w:ascii="宋体" w:hAnsi="宋体" w:eastAsia="宋体" w:cs="宋体"/>
                <w:color w:val="000000"/>
                <w:kern w:val="0"/>
                <w:sz w:val="24"/>
              </w:rPr>
            </w:pPr>
          </w:p>
        </w:tc>
      </w:tr>
      <w:tr w14:paraId="2F4A43A1">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9C40894">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511EF">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83A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财务岗位设置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722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26D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部门财务岗位设置是否符合相关财务管理制度要求</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1047">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FAA3">
            <w:pPr>
              <w:widowControl/>
              <w:spacing w:line="240" w:lineRule="exact"/>
              <w:jc w:val="left"/>
              <w:textAlignment w:val="center"/>
              <w:rPr>
                <w:rFonts w:ascii="宋体" w:hAnsi="宋体" w:eastAsia="宋体" w:cs="宋体"/>
                <w:color w:val="000000"/>
                <w:kern w:val="0"/>
                <w:sz w:val="24"/>
              </w:rPr>
            </w:pPr>
          </w:p>
        </w:tc>
      </w:tr>
      <w:tr w14:paraId="03DEC251">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4E0F4DC">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EB6E3">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34D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资金使用规范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DEB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94B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部门资金使用是否符合相关财务管理制度规定</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61F0">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6850">
            <w:pPr>
              <w:widowControl/>
              <w:spacing w:line="240" w:lineRule="exact"/>
              <w:jc w:val="left"/>
              <w:textAlignment w:val="center"/>
              <w:rPr>
                <w:rFonts w:ascii="宋体" w:hAnsi="宋体" w:eastAsia="宋体" w:cs="宋体"/>
                <w:color w:val="000000"/>
                <w:kern w:val="0"/>
                <w:sz w:val="24"/>
              </w:rPr>
            </w:pPr>
          </w:p>
        </w:tc>
      </w:tr>
      <w:tr w14:paraId="70E4AFAD">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3AAFCF6">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C70BA">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4B4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人均资产变化率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9F2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95E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部门人均资产变化情况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05C8">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D502">
            <w:pPr>
              <w:widowControl/>
              <w:spacing w:line="240" w:lineRule="exact"/>
              <w:jc w:val="left"/>
              <w:textAlignment w:val="center"/>
              <w:rPr>
                <w:rFonts w:ascii="宋体" w:hAnsi="宋体" w:eastAsia="宋体" w:cs="宋体"/>
                <w:color w:val="000000"/>
                <w:kern w:val="0"/>
                <w:sz w:val="24"/>
              </w:rPr>
            </w:pPr>
          </w:p>
        </w:tc>
      </w:tr>
      <w:tr w14:paraId="255D9A71">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A4F1230">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7FB88">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F1C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资产利用率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F0E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4336">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部门资产超最低使用年限情况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48F1">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DAD8">
            <w:pPr>
              <w:widowControl/>
              <w:spacing w:line="240" w:lineRule="exact"/>
              <w:jc w:val="left"/>
              <w:textAlignment w:val="center"/>
              <w:rPr>
                <w:rFonts w:ascii="宋体" w:hAnsi="宋体" w:eastAsia="宋体" w:cs="宋体"/>
                <w:color w:val="000000"/>
                <w:kern w:val="0"/>
                <w:sz w:val="24"/>
              </w:rPr>
            </w:pPr>
          </w:p>
        </w:tc>
      </w:tr>
      <w:tr w14:paraId="7C7D700F">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61A8CDB5">
            <w:pPr>
              <w:widowControl/>
              <w:spacing w:line="240" w:lineRule="exact"/>
              <w:jc w:val="center"/>
              <w:textAlignment w:val="center"/>
              <w:rPr>
                <w:rFonts w:ascii="宋体" w:hAnsi="宋体" w:eastAsia="宋体" w:cs="宋体"/>
                <w:b/>
                <w:color w:val="00000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D4E8">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BCD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资产盘活率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778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D17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部门闲置一年以上的资产盘活情况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7938">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F2C9">
            <w:pPr>
              <w:widowControl/>
              <w:spacing w:line="240" w:lineRule="exact"/>
              <w:jc w:val="left"/>
              <w:textAlignment w:val="center"/>
              <w:rPr>
                <w:rFonts w:ascii="宋体" w:hAnsi="宋体" w:eastAsia="宋体" w:cs="宋体"/>
                <w:color w:val="000000"/>
                <w:kern w:val="0"/>
                <w:sz w:val="24"/>
              </w:rPr>
            </w:pPr>
          </w:p>
        </w:tc>
      </w:tr>
      <w:tr w14:paraId="3DA568C0">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2F7FB04">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95BF4">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采购管理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F7B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支持中小企业发展</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0D7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710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部门是否严格执行政府采购促进中小企业发展相关管理办法</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F417">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4F3D">
            <w:pPr>
              <w:widowControl/>
              <w:spacing w:line="240" w:lineRule="exact"/>
              <w:jc w:val="left"/>
              <w:textAlignment w:val="center"/>
              <w:rPr>
                <w:rFonts w:ascii="宋体" w:hAnsi="宋体" w:eastAsia="宋体" w:cs="宋体"/>
                <w:color w:val="000000"/>
                <w:kern w:val="0"/>
                <w:sz w:val="24"/>
              </w:rPr>
            </w:pPr>
          </w:p>
        </w:tc>
      </w:tr>
      <w:tr w14:paraId="41728AE8">
        <w:tblPrEx>
          <w:tblCellMar>
            <w:top w:w="0" w:type="dxa"/>
            <w:left w:w="108" w:type="dxa"/>
            <w:bottom w:w="0" w:type="dxa"/>
            <w:right w:w="108" w:type="dxa"/>
          </w:tblCellMar>
        </w:tblPrEx>
        <w:trPr>
          <w:trHeight w:val="176" w:hRule="atLeast"/>
          <w:jc w:val="center"/>
        </w:trPr>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75FE8CDC">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06966">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227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采购执行率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025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DA0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部门政府采购项目资金支付比例情况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DED7">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CA2D">
            <w:pPr>
              <w:widowControl/>
              <w:spacing w:line="240" w:lineRule="exact"/>
              <w:jc w:val="left"/>
              <w:textAlignment w:val="center"/>
              <w:rPr>
                <w:rFonts w:ascii="宋体" w:hAnsi="宋体" w:eastAsia="宋体" w:cs="宋体"/>
                <w:color w:val="000000"/>
                <w:kern w:val="0"/>
                <w:sz w:val="24"/>
              </w:rPr>
            </w:pPr>
          </w:p>
        </w:tc>
      </w:tr>
      <w:tr w14:paraId="09D0BFD0">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70F60">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项目绩效（35分）</w:t>
            </w: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563F3944">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635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决策程序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E61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59B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部门预算项目设立是否按规定履行评估论证、申报程序</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826F">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D971">
            <w:pPr>
              <w:widowControl/>
              <w:spacing w:line="240" w:lineRule="exact"/>
              <w:jc w:val="left"/>
              <w:textAlignment w:val="center"/>
              <w:rPr>
                <w:rFonts w:ascii="宋体" w:hAnsi="宋体" w:eastAsia="宋体" w:cs="宋体"/>
                <w:color w:val="000000"/>
                <w:kern w:val="0"/>
                <w:sz w:val="24"/>
              </w:rPr>
            </w:pPr>
          </w:p>
        </w:tc>
      </w:tr>
      <w:tr w14:paraId="206F81C5">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E5840">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5FB3AD91">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5E1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469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0CEC">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部门预算项目绩效目标与计划期内的任务量、预算安排的资金量匹配情况，绩效目标设置是否科学合理、规范完整、量化细化、预算匹配</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E6FF">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03E5">
            <w:pPr>
              <w:widowControl/>
              <w:spacing w:line="240" w:lineRule="exact"/>
              <w:jc w:val="left"/>
              <w:textAlignment w:val="center"/>
              <w:rPr>
                <w:rFonts w:ascii="宋体" w:hAnsi="宋体" w:eastAsia="宋体" w:cs="宋体"/>
                <w:color w:val="000000"/>
                <w:kern w:val="0"/>
                <w:sz w:val="24"/>
              </w:rPr>
            </w:pPr>
          </w:p>
        </w:tc>
      </w:tr>
      <w:tr w14:paraId="30E3E618">
        <w:tblPrEx>
          <w:tblCellMar>
            <w:top w:w="0" w:type="dxa"/>
            <w:left w:w="108" w:type="dxa"/>
            <w:bottom w:w="0" w:type="dxa"/>
            <w:right w:w="108" w:type="dxa"/>
          </w:tblCellMar>
        </w:tblPrEx>
        <w:trPr>
          <w:trHeight w:val="555"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88358">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47D2931F">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D84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项目入库</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769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96D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部门预算项目是否在规定时间完成项目入库</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80F2">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AAA0">
            <w:pPr>
              <w:widowControl/>
              <w:spacing w:line="240" w:lineRule="exact"/>
              <w:jc w:val="left"/>
              <w:textAlignment w:val="center"/>
              <w:rPr>
                <w:rFonts w:ascii="宋体" w:hAnsi="宋体" w:eastAsia="宋体" w:cs="宋体"/>
                <w:color w:val="000000"/>
                <w:kern w:val="0"/>
                <w:sz w:val="24"/>
              </w:rPr>
            </w:pPr>
          </w:p>
        </w:tc>
      </w:tr>
      <w:tr w14:paraId="3D449C45">
        <w:tblPrEx>
          <w:tblCellMar>
            <w:top w:w="0" w:type="dxa"/>
            <w:left w:w="108" w:type="dxa"/>
            <w:bottom w:w="0" w:type="dxa"/>
            <w:right w:w="108" w:type="dxa"/>
          </w:tblCellMar>
        </w:tblPrEx>
        <w:trPr>
          <w:trHeight w:val="540"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C42BF">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5E888610">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项目执行</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5D2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执行同向</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8FD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E22C">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部门预算项目实际列支内容是否与绩效目标设置方向相符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11E5">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58E7">
            <w:pPr>
              <w:widowControl/>
              <w:spacing w:line="240" w:lineRule="exact"/>
              <w:jc w:val="left"/>
              <w:textAlignment w:val="center"/>
              <w:rPr>
                <w:rFonts w:ascii="宋体" w:hAnsi="宋体" w:eastAsia="宋体" w:cs="宋体"/>
                <w:color w:val="000000"/>
                <w:kern w:val="0"/>
                <w:sz w:val="24"/>
              </w:rPr>
            </w:pPr>
          </w:p>
        </w:tc>
      </w:tr>
      <w:tr w14:paraId="0234FE92">
        <w:tblPrEx>
          <w:tblCellMar>
            <w:top w:w="0" w:type="dxa"/>
            <w:left w:w="108" w:type="dxa"/>
            <w:bottom w:w="0" w:type="dxa"/>
            <w:right w:w="108" w:type="dxa"/>
          </w:tblCellMar>
        </w:tblPrEx>
        <w:trPr>
          <w:trHeight w:val="285"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0AEE8">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5A9D40BA">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nil"/>
              <w:right w:val="single" w:color="000000" w:sz="4" w:space="0"/>
            </w:tcBorders>
            <w:shd w:val="clear" w:color="auto" w:fill="auto"/>
            <w:vAlign w:val="center"/>
          </w:tcPr>
          <w:p w14:paraId="7C9C42B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项目调整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BF2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333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部门预算项目是否采取对应调整措施</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1880">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90CC">
            <w:pPr>
              <w:widowControl/>
              <w:spacing w:line="240" w:lineRule="exact"/>
              <w:jc w:val="left"/>
              <w:textAlignment w:val="center"/>
              <w:rPr>
                <w:rFonts w:ascii="宋体" w:hAnsi="宋体" w:eastAsia="宋体" w:cs="宋体"/>
                <w:color w:val="000000"/>
                <w:kern w:val="0"/>
                <w:sz w:val="24"/>
              </w:rPr>
            </w:pPr>
          </w:p>
        </w:tc>
      </w:tr>
      <w:tr w14:paraId="64FBE139">
        <w:tblPrEx>
          <w:tblCellMar>
            <w:top w:w="0" w:type="dxa"/>
            <w:left w:w="108" w:type="dxa"/>
            <w:bottom w:w="0" w:type="dxa"/>
            <w:right w:w="108" w:type="dxa"/>
          </w:tblCellMar>
        </w:tblPrEx>
        <w:trPr>
          <w:trHeight w:val="300"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84020">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1F0A7116">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FF5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执行结果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562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8C5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2051">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F209">
            <w:pPr>
              <w:widowControl/>
              <w:spacing w:line="240" w:lineRule="exact"/>
              <w:jc w:val="left"/>
              <w:textAlignment w:val="center"/>
              <w:rPr>
                <w:rFonts w:ascii="宋体" w:hAnsi="宋体" w:eastAsia="宋体" w:cs="宋体"/>
                <w:color w:val="000000"/>
                <w:kern w:val="0"/>
                <w:sz w:val="24"/>
              </w:rPr>
            </w:pPr>
          </w:p>
        </w:tc>
      </w:tr>
      <w:tr w14:paraId="1C8768AF">
        <w:tblPrEx>
          <w:tblCellMar>
            <w:top w:w="0" w:type="dxa"/>
            <w:left w:w="108" w:type="dxa"/>
            <w:bottom w:w="0" w:type="dxa"/>
            <w:right w:w="108" w:type="dxa"/>
          </w:tblCellMar>
        </w:tblPrEx>
        <w:trPr>
          <w:trHeight w:val="365"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077A1">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16432">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目标实现</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（11分）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DD7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目标完成</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3B4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85C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部门预算项目绩效目标数量指标完成情况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D030">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21A5">
            <w:pPr>
              <w:widowControl/>
              <w:spacing w:line="240" w:lineRule="exact"/>
              <w:jc w:val="left"/>
              <w:textAlignment w:val="center"/>
              <w:rPr>
                <w:rFonts w:ascii="宋体" w:hAnsi="宋体" w:eastAsia="宋体" w:cs="宋体"/>
                <w:color w:val="000000"/>
                <w:kern w:val="0"/>
                <w:sz w:val="24"/>
              </w:rPr>
            </w:pPr>
          </w:p>
        </w:tc>
      </w:tr>
      <w:tr w14:paraId="0CC6077B">
        <w:tblPrEx>
          <w:tblCellMar>
            <w:top w:w="0" w:type="dxa"/>
            <w:left w:w="108" w:type="dxa"/>
            <w:bottom w:w="0" w:type="dxa"/>
            <w:right w:w="108" w:type="dxa"/>
          </w:tblCellMar>
        </w:tblPrEx>
        <w:trPr>
          <w:trHeight w:val="590"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2F96F">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08948">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B04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目标偏离</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E15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A9B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部门预算项目绩效目标数量指标实现程度与预期目标的偏离情况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574E">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D9A5">
            <w:pPr>
              <w:widowControl/>
              <w:spacing w:line="240" w:lineRule="exact"/>
              <w:jc w:val="left"/>
              <w:textAlignment w:val="center"/>
              <w:rPr>
                <w:rFonts w:ascii="宋体" w:hAnsi="宋体" w:eastAsia="宋体" w:cs="宋体"/>
                <w:color w:val="000000"/>
                <w:kern w:val="0"/>
                <w:sz w:val="24"/>
              </w:rPr>
            </w:pPr>
          </w:p>
        </w:tc>
      </w:tr>
      <w:tr w14:paraId="3F4FCF5B">
        <w:tblPrEx>
          <w:tblCellMar>
            <w:top w:w="0" w:type="dxa"/>
            <w:left w:w="108" w:type="dxa"/>
            <w:bottom w:w="0" w:type="dxa"/>
            <w:right w:w="108" w:type="dxa"/>
          </w:tblCellMar>
        </w:tblPrEx>
        <w:trPr>
          <w:trHeight w:val="350"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00B57">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9F525">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1F0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实现效果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0CA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BE3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部门预算项目绩效目标效益指标实施效果</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F358">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EE98">
            <w:pPr>
              <w:widowControl/>
              <w:spacing w:line="240" w:lineRule="exact"/>
              <w:jc w:val="left"/>
              <w:textAlignment w:val="center"/>
              <w:rPr>
                <w:rFonts w:ascii="宋体" w:hAnsi="宋体" w:eastAsia="宋体" w:cs="宋体"/>
                <w:color w:val="000000"/>
                <w:kern w:val="0"/>
                <w:sz w:val="24"/>
              </w:rPr>
            </w:pPr>
          </w:p>
        </w:tc>
      </w:tr>
      <w:tr w14:paraId="464B6B52">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ACDB">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7FC1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被评价部门配合度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C12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0DE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被评价对象工作配合情况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901D">
            <w:pPr>
              <w:widowControl/>
              <w:spacing w:line="240" w:lineRule="exact"/>
              <w:jc w:val="left"/>
              <w:textAlignment w:val="center"/>
              <w:rPr>
                <w:rFonts w:ascii="宋体" w:hAnsi="宋体" w:eastAsia="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E69C">
            <w:pPr>
              <w:widowControl/>
              <w:spacing w:line="240" w:lineRule="exact"/>
              <w:jc w:val="left"/>
              <w:textAlignment w:val="center"/>
              <w:rPr>
                <w:rFonts w:ascii="宋体" w:hAnsi="宋体" w:eastAsia="宋体" w:cs="宋体"/>
                <w:color w:val="000000"/>
                <w:kern w:val="0"/>
                <w:sz w:val="24"/>
              </w:rPr>
            </w:pPr>
          </w:p>
        </w:tc>
      </w:tr>
    </w:tbl>
    <w:p w14:paraId="47635C81">
      <w:pPr>
        <w:spacing w:line="20" w:lineRule="exact"/>
        <w:rPr>
          <w:rFonts w:eastAsia="黑体"/>
        </w:rPr>
      </w:pPr>
    </w:p>
    <w:p w14:paraId="42A5DFEF">
      <w:pPr>
        <w:spacing w:line="578" w:lineRule="exact"/>
        <w:jc w:val="left"/>
        <w:rPr>
          <w:rFonts w:eastAsia="黑体"/>
        </w:rPr>
      </w:pPr>
      <w:r>
        <w:rPr>
          <w:rFonts w:eastAsia="黑体"/>
        </w:rPr>
        <w:t>附表</w:t>
      </w:r>
      <w:r>
        <w:rPr>
          <w:rFonts w:hint="eastAsia" w:eastAsia="黑体"/>
        </w:rPr>
        <w:t>2</w:t>
      </w:r>
    </w:p>
    <w:p w14:paraId="3C02976F">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部门整体</w:t>
      </w:r>
      <w:r>
        <w:rPr>
          <w:rFonts w:hint="eastAsia" w:eastAsia="方正小标宋简体"/>
          <w:color w:val="000000"/>
          <w:kern w:val="0"/>
          <w:sz w:val="44"/>
          <w:szCs w:val="44"/>
        </w:rPr>
        <w:t>支出</w:t>
      </w:r>
      <w:r>
        <w:rPr>
          <w:rFonts w:eastAsia="方正小标宋简体"/>
          <w:color w:val="000000"/>
          <w:kern w:val="0"/>
          <w:sz w:val="44"/>
          <w:szCs w:val="44"/>
        </w:rPr>
        <w:t>绩效目标完成情况自评表</w:t>
      </w:r>
    </w:p>
    <w:tbl>
      <w:tblPr>
        <w:tblStyle w:val="11"/>
        <w:tblW w:w="9658" w:type="dxa"/>
        <w:jc w:val="center"/>
        <w:tblLayout w:type="fixed"/>
        <w:tblCellMar>
          <w:top w:w="0" w:type="dxa"/>
          <w:left w:w="108" w:type="dxa"/>
          <w:bottom w:w="0" w:type="dxa"/>
          <w:right w:w="108" w:type="dxa"/>
        </w:tblCellMar>
      </w:tblPr>
      <w:tblGrid>
        <w:gridCol w:w="446"/>
        <w:gridCol w:w="630"/>
        <w:gridCol w:w="945"/>
        <w:gridCol w:w="1185"/>
        <w:gridCol w:w="1080"/>
        <w:gridCol w:w="630"/>
        <w:gridCol w:w="930"/>
        <w:gridCol w:w="1050"/>
        <w:gridCol w:w="1275"/>
        <w:gridCol w:w="1487"/>
      </w:tblGrid>
      <w:tr w14:paraId="3CD43D77">
        <w:tblPrEx>
          <w:tblCellMar>
            <w:top w:w="0" w:type="dxa"/>
            <w:left w:w="108" w:type="dxa"/>
            <w:bottom w:w="0" w:type="dxa"/>
            <w:right w:w="108" w:type="dxa"/>
          </w:tblCellMar>
        </w:tblPrEx>
        <w:trPr>
          <w:trHeight w:val="485" w:hRule="atLeast"/>
          <w:jc w:val="center"/>
        </w:trPr>
        <w:tc>
          <w:tcPr>
            <w:tcW w:w="2021" w:type="dxa"/>
            <w:gridSpan w:val="3"/>
            <w:tcBorders>
              <w:top w:val="single" w:color="000000" w:sz="4" w:space="0"/>
              <w:left w:val="single" w:color="000000" w:sz="4" w:space="0"/>
              <w:bottom w:val="single" w:color="auto" w:sz="4" w:space="0"/>
              <w:right w:val="single" w:color="000000" w:sz="4" w:space="0"/>
            </w:tcBorders>
            <w:noWrap/>
            <w:vAlign w:val="center"/>
          </w:tcPr>
          <w:p w14:paraId="07FA799C">
            <w:pPr>
              <w:rPr>
                <w:rFonts w:ascii="宋体" w:hAnsi="宋体" w:eastAsia="宋体" w:cs="宋体"/>
                <w:color w:val="000000"/>
                <w:kern w:val="0"/>
                <w:sz w:val="18"/>
                <w:szCs w:val="18"/>
              </w:rPr>
            </w:pPr>
            <w:r>
              <w:rPr>
                <w:rFonts w:eastAsia="黑体"/>
                <w:sz w:val="18"/>
                <w:szCs w:val="18"/>
              </w:rPr>
              <w:br w:type="page"/>
            </w:r>
            <w:r>
              <w:rPr>
                <w:rFonts w:hint="eastAsia" w:ascii="宋体" w:hAnsi="宋体" w:eastAsia="宋体" w:cs="宋体"/>
                <w:color w:val="000000"/>
                <w:kern w:val="0"/>
                <w:sz w:val="18"/>
                <w:szCs w:val="18"/>
              </w:rPr>
              <w:t>部门名称</w:t>
            </w:r>
          </w:p>
        </w:tc>
        <w:tc>
          <w:tcPr>
            <w:tcW w:w="7637" w:type="dxa"/>
            <w:gridSpan w:val="7"/>
            <w:tcBorders>
              <w:top w:val="single" w:color="000000" w:sz="4" w:space="0"/>
              <w:left w:val="single" w:color="000000" w:sz="4" w:space="0"/>
              <w:bottom w:val="single" w:color="000000" w:sz="4" w:space="0"/>
              <w:right w:val="single" w:color="000000" w:sz="4" w:space="0"/>
            </w:tcBorders>
            <w:noWrap/>
            <w:vAlign w:val="center"/>
          </w:tcPr>
          <w:p w14:paraId="23941CEF">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阿坝州</w:t>
            </w:r>
            <w:r>
              <w:rPr>
                <w:rFonts w:hint="eastAsia" w:ascii="宋体" w:hAnsi="宋体" w:eastAsia="宋体" w:cs="宋体"/>
                <w:color w:val="000000"/>
                <w:kern w:val="0"/>
                <w:sz w:val="18"/>
                <w:szCs w:val="18"/>
                <w:lang w:val="en-US" w:eastAsia="zh-CN"/>
              </w:rPr>
              <w:t>壤塘县藏医院</w:t>
            </w:r>
          </w:p>
        </w:tc>
      </w:tr>
      <w:tr w14:paraId="3AF2ABAA">
        <w:tblPrEx>
          <w:tblCellMar>
            <w:top w:w="0" w:type="dxa"/>
            <w:left w:w="108" w:type="dxa"/>
            <w:bottom w:w="0" w:type="dxa"/>
            <w:right w:w="108" w:type="dxa"/>
          </w:tblCellMar>
        </w:tblPrEx>
        <w:trPr>
          <w:trHeight w:val="410" w:hRule="atLeast"/>
          <w:jc w:val="center"/>
        </w:trPr>
        <w:tc>
          <w:tcPr>
            <w:tcW w:w="2021" w:type="dxa"/>
            <w:gridSpan w:val="3"/>
            <w:tcBorders>
              <w:top w:val="single" w:color="auto" w:sz="4" w:space="0"/>
              <w:left w:val="single" w:color="auto" w:sz="4" w:space="0"/>
              <w:bottom w:val="single" w:color="auto" w:sz="4" w:space="0"/>
              <w:right w:val="single" w:color="auto" w:sz="4" w:space="0"/>
            </w:tcBorders>
            <w:noWrap/>
            <w:vAlign w:val="center"/>
          </w:tcPr>
          <w:p w14:paraId="53575ABC">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年度部门整体预算</w:t>
            </w:r>
          </w:p>
        </w:tc>
        <w:tc>
          <w:tcPr>
            <w:tcW w:w="2265" w:type="dxa"/>
            <w:gridSpan w:val="2"/>
            <w:tcBorders>
              <w:top w:val="single" w:color="000000" w:sz="4" w:space="0"/>
              <w:left w:val="single" w:color="auto" w:sz="4" w:space="0"/>
              <w:bottom w:val="single" w:color="000000" w:sz="4" w:space="0"/>
              <w:right w:val="single" w:color="auto" w:sz="4" w:space="0"/>
            </w:tcBorders>
            <w:noWrap/>
            <w:vAlign w:val="center"/>
          </w:tcPr>
          <w:p w14:paraId="0A736718">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资金总额</w:t>
            </w:r>
          </w:p>
        </w:tc>
        <w:tc>
          <w:tcPr>
            <w:tcW w:w="1560" w:type="dxa"/>
            <w:gridSpan w:val="2"/>
            <w:tcBorders>
              <w:top w:val="single" w:color="auto" w:sz="4" w:space="0"/>
              <w:left w:val="single" w:color="auto" w:sz="4" w:space="0"/>
              <w:bottom w:val="single" w:color="auto" w:sz="4" w:space="0"/>
              <w:right w:val="single" w:color="auto" w:sz="4" w:space="0"/>
            </w:tcBorders>
            <w:noWrap/>
            <w:vAlign w:val="center"/>
          </w:tcPr>
          <w:p w14:paraId="265296B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财政拨款</w:t>
            </w:r>
          </w:p>
        </w:tc>
        <w:tc>
          <w:tcPr>
            <w:tcW w:w="3812" w:type="dxa"/>
            <w:gridSpan w:val="3"/>
            <w:tcBorders>
              <w:top w:val="single" w:color="auto" w:sz="4" w:space="0"/>
              <w:left w:val="single" w:color="auto" w:sz="4" w:space="0"/>
              <w:bottom w:val="single" w:color="auto" w:sz="4" w:space="0"/>
              <w:right w:val="single" w:color="auto" w:sz="4" w:space="0"/>
            </w:tcBorders>
            <w:noWrap/>
            <w:vAlign w:val="center"/>
          </w:tcPr>
          <w:p w14:paraId="2239C4FA">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其他资金</w:t>
            </w:r>
          </w:p>
        </w:tc>
      </w:tr>
      <w:tr w14:paraId="4A3273C0">
        <w:tblPrEx>
          <w:tblCellMar>
            <w:top w:w="0" w:type="dxa"/>
            <w:left w:w="108" w:type="dxa"/>
            <w:bottom w:w="0" w:type="dxa"/>
            <w:right w:w="108" w:type="dxa"/>
          </w:tblCellMar>
        </w:tblPrEx>
        <w:trPr>
          <w:trHeight w:val="350" w:hRule="atLeast"/>
          <w:jc w:val="center"/>
        </w:trPr>
        <w:tc>
          <w:tcPr>
            <w:tcW w:w="2021" w:type="dxa"/>
            <w:gridSpan w:val="3"/>
            <w:tcBorders>
              <w:top w:val="single" w:color="auto" w:sz="4" w:space="0"/>
              <w:left w:val="single" w:color="auto" w:sz="4" w:space="0"/>
              <w:bottom w:val="single" w:color="auto" w:sz="4" w:space="0"/>
              <w:right w:val="single" w:color="auto" w:sz="4" w:space="0"/>
            </w:tcBorders>
            <w:noWrap/>
            <w:vAlign w:val="center"/>
          </w:tcPr>
          <w:p w14:paraId="41A56CD8">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收入预算</w:t>
            </w:r>
          </w:p>
        </w:tc>
        <w:tc>
          <w:tcPr>
            <w:tcW w:w="2265" w:type="dxa"/>
            <w:gridSpan w:val="2"/>
            <w:tcBorders>
              <w:top w:val="single" w:color="000000" w:sz="4" w:space="0"/>
              <w:left w:val="single" w:color="auto" w:sz="4" w:space="0"/>
              <w:bottom w:val="single" w:color="000000" w:sz="4" w:space="0"/>
              <w:right w:val="single" w:color="auto" w:sz="4" w:space="0"/>
            </w:tcBorders>
            <w:noWrap/>
            <w:vAlign w:val="center"/>
          </w:tcPr>
          <w:p w14:paraId="38B3233D">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1627.95</w:t>
            </w:r>
          </w:p>
        </w:tc>
        <w:tc>
          <w:tcPr>
            <w:tcW w:w="1560" w:type="dxa"/>
            <w:gridSpan w:val="2"/>
            <w:tcBorders>
              <w:top w:val="single" w:color="auto" w:sz="4" w:space="0"/>
              <w:left w:val="single" w:color="auto" w:sz="4" w:space="0"/>
              <w:bottom w:val="single" w:color="auto" w:sz="4" w:space="0"/>
              <w:right w:val="single" w:color="auto" w:sz="4" w:space="0"/>
            </w:tcBorders>
            <w:noWrap/>
            <w:vAlign w:val="center"/>
          </w:tcPr>
          <w:p w14:paraId="6652AFE5">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1150.67</w:t>
            </w:r>
          </w:p>
        </w:tc>
        <w:tc>
          <w:tcPr>
            <w:tcW w:w="3812" w:type="dxa"/>
            <w:gridSpan w:val="3"/>
            <w:tcBorders>
              <w:top w:val="single" w:color="auto" w:sz="4" w:space="0"/>
              <w:left w:val="single" w:color="auto" w:sz="4" w:space="0"/>
              <w:bottom w:val="single" w:color="auto" w:sz="4" w:space="0"/>
              <w:right w:val="single" w:color="auto" w:sz="4" w:space="0"/>
            </w:tcBorders>
            <w:noWrap/>
            <w:vAlign w:val="center"/>
          </w:tcPr>
          <w:p w14:paraId="322EBE12">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477.28</w:t>
            </w:r>
          </w:p>
        </w:tc>
      </w:tr>
      <w:tr w14:paraId="273D99B0">
        <w:tblPrEx>
          <w:tblCellMar>
            <w:top w:w="0" w:type="dxa"/>
            <w:left w:w="108" w:type="dxa"/>
            <w:bottom w:w="0" w:type="dxa"/>
            <w:right w:w="108" w:type="dxa"/>
          </w:tblCellMar>
        </w:tblPrEx>
        <w:trPr>
          <w:trHeight w:val="331" w:hRule="atLeast"/>
          <w:jc w:val="center"/>
        </w:trPr>
        <w:tc>
          <w:tcPr>
            <w:tcW w:w="2021" w:type="dxa"/>
            <w:gridSpan w:val="3"/>
            <w:tcBorders>
              <w:top w:val="single" w:color="auto" w:sz="4" w:space="0"/>
              <w:left w:val="single" w:color="auto" w:sz="4" w:space="0"/>
              <w:bottom w:val="single" w:color="auto" w:sz="4" w:space="0"/>
              <w:right w:val="single" w:color="auto" w:sz="4" w:space="0"/>
            </w:tcBorders>
            <w:noWrap/>
            <w:vAlign w:val="center"/>
          </w:tcPr>
          <w:p w14:paraId="72E5B74A">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支出预算</w:t>
            </w:r>
          </w:p>
        </w:tc>
        <w:tc>
          <w:tcPr>
            <w:tcW w:w="2265" w:type="dxa"/>
            <w:gridSpan w:val="2"/>
            <w:tcBorders>
              <w:top w:val="single" w:color="000000" w:sz="4" w:space="0"/>
              <w:left w:val="single" w:color="auto" w:sz="4" w:space="0"/>
              <w:bottom w:val="single" w:color="000000" w:sz="4" w:space="0"/>
              <w:right w:val="single" w:color="000000" w:sz="4" w:space="0"/>
            </w:tcBorders>
            <w:noWrap/>
            <w:vAlign w:val="center"/>
          </w:tcPr>
          <w:p w14:paraId="2C6173D1">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1481.34</w:t>
            </w:r>
          </w:p>
        </w:tc>
        <w:tc>
          <w:tcPr>
            <w:tcW w:w="1560" w:type="dxa"/>
            <w:gridSpan w:val="2"/>
            <w:tcBorders>
              <w:top w:val="single" w:color="auto" w:sz="4" w:space="0"/>
              <w:left w:val="single" w:color="000000" w:sz="4" w:space="0"/>
              <w:bottom w:val="single" w:color="000000" w:sz="4" w:space="0"/>
              <w:right w:val="single" w:color="000000" w:sz="4" w:space="0"/>
            </w:tcBorders>
            <w:noWrap/>
            <w:vAlign w:val="center"/>
          </w:tcPr>
          <w:p w14:paraId="02EE375F">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1150.67</w:t>
            </w:r>
          </w:p>
        </w:tc>
        <w:tc>
          <w:tcPr>
            <w:tcW w:w="3812" w:type="dxa"/>
            <w:gridSpan w:val="3"/>
            <w:tcBorders>
              <w:top w:val="single" w:color="auto" w:sz="4" w:space="0"/>
              <w:left w:val="single" w:color="000000" w:sz="4" w:space="0"/>
              <w:bottom w:val="single" w:color="000000" w:sz="4" w:space="0"/>
              <w:right w:val="single" w:color="000000" w:sz="4" w:space="0"/>
            </w:tcBorders>
            <w:noWrap/>
            <w:vAlign w:val="center"/>
          </w:tcPr>
          <w:p w14:paraId="0A52FF1F">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330.67</w:t>
            </w:r>
          </w:p>
        </w:tc>
      </w:tr>
      <w:tr w14:paraId="3E020F9F">
        <w:tblPrEx>
          <w:tblCellMar>
            <w:top w:w="0" w:type="dxa"/>
            <w:left w:w="108" w:type="dxa"/>
            <w:bottom w:w="0" w:type="dxa"/>
            <w:right w:w="108" w:type="dxa"/>
          </w:tblCellMar>
        </w:tblPrEx>
        <w:trPr>
          <w:trHeight w:val="475" w:hRule="atLeast"/>
          <w:jc w:val="center"/>
        </w:trPr>
        <w:tc>
          <w:tcPr>
            <w:tcW w:w="2021" w:type="dxa"/>
            <w:gridSpan w:val="3"/>
            <w:tcBorders>
              <w:top w:val="single" w:color="auto" w:sz="4" w:space="0"/>
              <w:left w:val="single" w:color="000000" w:sz="4" w:space="0"/>
              <w:bottom w:val="single" w:color="000000" w:sz="4" w:space="0"/>
              <w:right w:val="single" w:color="000000" w:sz="4" w:space="0"/>
            </w:tcBorders>
            <w:noWrap/>
            <w:vAlign w:val="center"/>
          </w:tcPr>
          <w:p w14:paraId="42CDA9E4">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7637" w:type="dxa"/>
            <w:gridSpan w:val="7"/>
            <w:tcBorders>
              <w:top w:val="single" w:color="000000" w:sz="4" w:space="0"/>
              <w:left w:val="single" w:color="000000" w:sz="4" w:space="0"/>
              <w:bottom w:val="single" w:color="000000" w:sz="4" w:space="0"/>
              <w:right w:val="single" w:color="000000" w:sz="4" w:space="0"/>
            </w:tcBorders>
            <w:noWrap/>
            <w:vAlign w:val="center"/>
          </w:tcPr>
          <w:p w14:paraId="0E9582C6">
            <w:pPr>
              <w:widowControl/>
              <w:spacing w:line="240" w:lineRule="exact"/>
              <w:jc w:val="both"/>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推动医院医药分开改革进程、确保医院回归公益性，进一步端正医疗态度、规范医生的用药行为,促进医院发展、</w:t>
            </w:r>
            <w:r>
              <w:rPr>
                <w:rFonts w:hint="eastAsia" w:ascii="宋体" w:hAnsi="宋体" w:eastAsia="宋体" w:cs="宋体"/>
                <w:color w:val="000000"/>
                <w:kern w:val="0"/>
                <w:sz w:val="18"/>
                <w:szCs w:val="18"/>
                <w:lang w:eastAsia="zh-CN"/>
              </w:rPr>
              <w:t>减轻</w:t>
            </w:r>
            <w:r>
              <w:rPr>
                <w:rFonts w:hint="eastAsia" w:ascii="宋体" w:hAnsi="宋体" w:eastAsia="宋体" w:cs="宋体"/>
                <w:color w:val="000000"/>
                <w:kern w:val="0"/>
                <w:sz w:val="18"/>
                <w:szCs w:val="18"/>
              </w:rPr>
              <w:t>医院的负担。</w:t>
            </w:r>
          </w:p>
        </w:tc>
      </w:tr>
      <w:tr w14:paraId="6B626A19">
        <w:tblPrEx>
          <w:tblCellMar>
            <w:top w:w="0" w:type="dxa"/>
            <w:left w:w="108" w:type="dxa"/>
            <w:bottom w:w="0" w:type="dxa"/>
            <w:right w:w="108" w:type="dxa"/>
          </w:tblCellMar>
        </w:tblPrEx>
        <w:trPr>
          <w:trHeight w:val="296" w:hRule="atLeast"/>
          <w:jc w:val="center"/>
        </w:trPr>
        <w:tc>
          <w:tcPr>
            <w:tcW w:w="446" w:type="dxa"/>
            <w:vMerge w:val="restart"/>
            <w:tcBorders>
              <w:top w:val="single" w:color="000000" w:sz="4" w:space="0"/>
              <w:left w:val="single" w:color="000000" w:sz="4" w:space="0"/>
              <w:bottom w:val="single" w:color="000000" w:sz="4" w:space="0"/>
              <w:right w:val="single" w:color="000000" w:sz="4" w:space="0"/>
            </w:tcBorders>
            <w:noWrap/>
            <w:vAlign w:val="center"/>
          </w:tcPr>
          <w:p w14:paraId="3B8774E7">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管理效率</w:t>
            </w:r>
          </w:p>
        </w:tc>
        <w:tc>
          <w:tcPr>
            <w:tcW w:w="630" w:type="dxa"/>
            <w:vMerge w:val="restart"/>
            <w:tcBorders>
              <w:top w:val="single" w:color="000000" w:sz="4" w:space="0"/>
              <w:left w:val="single" w:color="000000" w:sz="4" w:space="0"/>
              <w:bottom w:val="single" w:color="000000" w:sz="4" w:space="0"/>
              <w:right w:val="single" w:color="000000" w:sz="4" w:space="0"/>
            </w:tcBorders>
            <w:noWrap/>
            <w:vAlign w:val="center"/>
          </w:tcPr>
          <w:p w14:paraId="4D06F3EC">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945" w:type="dxa"/>
            <w:vMerge w:val="restart"/>
            <w:tcBorders>
              <w:top w:val="single" w:color="000000" w:sz="4" w:space="0"/>
              <w:left w:val="single" w:color="000000" w:sz="4" w:space="0"/>
              <w:bottom w:val="single" w:color="000000" w:sz="4" w:space="0"/>
              <w:right w:val="single" w:color="000000" w:sz="4" w:space="0"/>
            </w:tcBorders>
            <w:noWrap/>
            <w:vAlign w:val="center"/>
          </w:tcPr>
          <w:p w14:paraId="57817389">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1185" w:type="dxa"/>
            <w:vMerge w:val="restart"/>
            <w:tcBorders>
              <w:top w:val="single" w:color="000000" w:sz="4" w:space="0"/>
              <w:left w:val="single" w:color="000000" w:sz="4" w:space="0"/>
              <w:bottom w:val="single" w:color="000000" w:sz="4" w:space="0"/>
              <w:right w:val="single" w:color="000000" w:sz="4" w:space="0"/>
            </w:tcBorders>
            <w:noWrap/>
            <w:vAlign w:val="center"/>
          </w:tcPr>
          <w:p w14:paraId="1DF9C687">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80" w:type="dxa"/>
            <w:vMerge w:val="restart"/>
            <w:tcBorders>
              <w:top w:val="single" w:color="000000" w:sz="4" w:space="0"/>
              <w:left w:val="single" w:color="000000" w:sz="4" w:space="0"/>
              <w:bottom w:val="single" w:color="000000" w:sz="4" w:space="0"/>
              <w:right w:val="single" w:color="000000" w:sz="4" w:space="0"/>
            </w:tcBorders>
            <w:noWrap/>
            <w:vAlign w:val="center"/>
          </w:tcPr>
          <w:p w14:paraId="64F28E75">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3885" w:type="dxa"/>
            <w:gridSpan w:val="4"/>
            <w:tcBorders>
              <w:top w:val="single" w:color="000000" w:sz="4" w:space="0"/>
              <w:left w:val="single" w:color="000000" w:sz="4" w:space="0"/>
              <w:bottom w:val="single" w:color="000000" w:sz="4" w:space="0"/>
              <w:right w:val="single" w:color="000000" w:sz="4" w:space="0"/>
            </w:tcBorders>
            <w:noWrap/>
            <w:vAlign w:val="center"/>
          </w:tcPr>
          <w:p w14:paraId="4DC0568F">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指标设置参考值</w:t>
            </w:r>
          </w:p>
        </w:tc>
        <w:tc>
          <w:tcPr>
            <w:tcW w:w="1487" w:type="dxa"/>
            <w:vMerge w:val="restart"/>
            <w:tcBorders>
              <w:top w:val="single" w:color="000000" w:sz="4" w:space="0"/>
              <w:left w:val="single" w:color="000000" w:sz="4" w:space="0"/>
              <w:right w:val="single" w:color="000000" w:sz="4" w:space="0"/>
            </w:tcBorders>
            <w:noWrap/>
            <w:vAlign w:val="center"/>
          </w:tcPr>
          <w:p w14:paraId="7C5526BE">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指标实际完成值</w:t>
            </w:r>
          </w:p>
        </w:tc>
      </w:tr>
      <w:tr w14:paraId="2261ACBE">
        <w:tblPrEx>
          <w:tblCellMar>
            <w:top w:w="0" w:type="dxa"/>
            <w:left w:w="108" w:type="dxa"/>
            <w:bottom w:w="0" w:type="dxa"/>
            <w:right w:w="108" w:type="dxa"/>
          </w:tblCellMar>
        </w:tblPrEx>
        <w:trPr>
          <w:trHeight w:val="296"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600A53CF">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1CF43042">
            <w:pPr>
              <w:widowControl/>
              <w:spacing w:line="240" w:lineRule="exact"/>
              <w:jc w:val="center"/>
              <w:textAlignment w:val="center"/>
              <w:rPr>
                <w:rFonts w:ascii="宋体" w:hAnsi="宋体" w:eastAsia="宋体" w:cs="宋体"/>
                <w:color w:val="000000"/>
                <w:kern w:val="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ign w:val="center"/>
          </w:tcPr>
          <w:p w14:paraId="28D8D394">
            <w:pPr>
              <w:widowControl/>
              <w:spacing w:line="240" w:lineRule="exact"/>
              <w:jc w:val="center"/>
              <w:textAlignment w:val="center"/>
              <w:rPr>
                <w:rFonts w:ascii="宋体" w:hAnsi="宋体" w:eastAsia="宋体" w:cs="宋体"/>
                <w:color w:val="000000"/>
                <w:kern w:val="0"/>
                <w:sz w:val="18"/>
                <w:szCs w:val="18"/>
              </w:rPr>
            </w:pPr>
          </w:p>
        </w:tc>
        <w:tc>
          <w:tcPr>
            <w:tcW w:w="1185" w:type="dxa"/>
            <w:vMerge w:val="continue"/>
            <w:tcBorders>
              <w:top w:val="single" w:color="000000" w:sz="4" w:space="0"/>
              <w:left w:val="single" w:color="000000" w:sz="4" w:space="0"/>
              <w:bottom w:val="single" w:color="000000" w:sz="4" w:space="0"/>
              <w:right w:val="single" w:color="000000" w:sz="4" w:space="0"/>
            </w:tcBorders>
            <w:noWrap/>
            <w:vAlign w:val="center"/>
          </w:tcPr>
          <w:p w14:paraId="4AAB4DAC">
            <w:pPr>
              <w:widowControl/>
              <w:spacing w:line="240" w:lineRule="exact"/>
              <w:jc w:val="center"/>
              <w:textAlignment w:val="center"/>
              <w:rPr>
                <w:rFonts w:ascii="宋体" w:hAnsi="宋体" w:eastAsia="宋体" w:cs="宋体"/>
                <w:color w:val="000000"/>
                <w:kern w:val="0"/>
                <w:sz w:val="18"/>
                <w:szCs w:val="18"/>
              </w:rPr>
            </w:pPr>
          </w:p>
        </w:tc>
        <w:tc>
          <w:tcPr>
            <w:tcW w:w="1080" w:type="dxa"/>
            <w:vMerge w:val="continue"/>
            <w:tcBorders>
              <w:top w:val="single" w:color="000000" w:sz="4" w:space="0"/>
              <w:left w:val="single" w:color="000000" w:sz="4" w:space="0"/>
              <w:bottom w:val="single" w:color="000000" w:sz="4" w:space="0"/>
              <w:right w:val="single" w:color="000000" w:sz="4" w:space="0"/>
            </w:tcBorders>
            <w:noWrap/>
            <w:vAlign w:val="center"/>
          </w:tcPr>
          <w:p w14:paraId="60F78267">
            <w:pPr>
              <w:widowControl/>
              <w:spacing w:line="240" w:lineRule="exact"/>
              <w:jc w:val="center"/>
              <w:textAlignment w:val="center"/>
              <w:rPr>
                <w:rFonts w:ascii="宋体" w:hAnsi="宋体" w:eastAsia="宋体" w:cs="宋体"/>
                <w:color w:val="000000"/>
                <w:kern w:val="0"/>
                <w:sz w:val="18"/>
                <w:szCs w:val="18"/>
              </w:rPr>
            </w:pPr>
          </w:p>
        </w:tc>
        <w:tc>
          <w:tcPr>
            <w:tcW w:w="630" w:type="dxa"/>
            <w:tcBorders>
              <w:top w:val="single" w:color="000000" w:sz="4" w:space="0"/>
              <w:left w:val="single" w:color="000000" w:sz="4" w:space="0"/>
              <w:right w:val="single" w:color="000000" w:sz="4" w:space="0"/>
            </w:tcBorders>
            <w:noWrap/>
            <w:vAlign w:val="center"/>
          </w:tcPr>
          <w:p w14:paraId="567BA44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三年</w:t>
            </w:r>
          </w:p>
          <w:p w14:paraId="227436BC">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均值</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27D4526A">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2023</w:t>
            </w:r>
            <w:r>
              <w:rPr>
                <w:rFonts w:ascii="宋体" w:hAnsi="宋体" w:eastAsia="宋体" w:cs="宋体"/>
                <w:color w:val="000000"/>
                <w:kern w:val="0"/>
                <w:sz w:val="18"/>
                <w:szCs w:val="18"/>
              </w:rPr>
              <w:t>年</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FB83F99">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2024</w:t>
            </w:r>
            <w:r>
              <w:rPr>
                <w:rFonts w:ascii="宋体" w:hAnsi="宋体" w:eastAsia="宋体" w:cs="宋体"/>
                <w:color w:val="000000"/>
                <w:kern w:val="0"/>
                <w:sz w:val="18"/>
                <w:szCs w:val="18"/>
              </w:rPr>
              <w:t>年</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2CA4D884">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2025</w:t>
            </w:r>
            <w:r>
              <w:rPr>
                <w:rFonts w:ascii="宋体" w:hAnsi="宋体" w:eastAsia="宋体" w:cs="宋体"/>
                <w:color w:val="000000"/>
                <w:kern w:val="0"/>
                <w:sz w:val="18"/>
                <w:szCs w:val="18"/>
              </w:rPr>
              <w:t>年</w:t>
            </w:r>
          </w:p>
        </w:tc>
        <w:tc>
          <w:tcPr>
            <w:tcW w:w="1487" w:type="dxa"/>
            <w:vMerge w:val="continue"/>
            <w:tcBorders>
              <w:left w:val="single" w:color="000000" w:sz="4" w:space="0"/>
              <w:right w:val="single" w:color="000000" w:sz="4" w:space="0"/>
            </w:tcBorders>
            <w:noWrap/>
            <w:vAlign w:val="center"/>
          </w:tcPr>
          <w:p w14:paraId="2C80BB87">
            <w:pPr>
              <w:widowControl/>
              <w:spacing w:line="240" w:lineRule="exact"/>
              <w:jc w:val="center"/>
              <w:textAlignment w:val="center"/>
              <w:rPr>
                <w:rFonts w:ascii="宋体" w:hAnsi="宋体" w:eastAsia="宋体" w:cs="宋体"/>
                <w:color w:val="000000"/>
                <w:kern w:val="0"/>
                <w:sz w:val="18"/>
                <w:szCs w:val="18"/>
              </w:rPr>
            </w:pPr>
          </w:p>
        </w:tc>
      </w:tr>
      <w:tr w14:paraId="5B6CA723">
        <w:tblPrEx>
          <w:tblCellMar>
            <w:top w:w="0" w:type="dxa"/>
            <w:left w:w="108" w:type="dxa"/>
            <w:bottom w:w="0" w:type="dxa"/>
            <w:right w:w="108" w:type="dxa"/>
          </w:tblCellMar>
        </w:tblPrEx>
        <w:trPr>
          <w:trHeight w:val="9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4DCA5A73">
            <w:pPr>
              <w:widowControl/>
              <w:spacing w:line="240" w:lineRule="exact"/>
              <w:jc w:val="center"/>
              <w:textAlignment w:val="center"/>
              <w:rPr>
                <w:rFonts w:ascii="宋体" w:hAnsi="宋体" w:eastAsia="宋体" w:cs="宋体"/>
                <w:color w:val="000000"/>
                <w:kern w:val="0"/>
                <w:sz w:val="18"/>
                <w:szCs w:val="18"/>
              </w:rPr>
            </w:pPr>
          </w:p>
        </w:tc>
        <w:tc>
          <w:tcPr>
            <w:tcW w:w="630" w:type="dxa"/>
            <w:vMerge w:val="restart"/>
            <w:tcBorders>
              <w:top w:val="single" w:color="000000" w:sz="4" w:space="0"/>
              <w:left w:val="single" w:color="000000" w:sz="4" w:space="0"/>
              <w:bottom w:val="single" w:color="000000" w:sz="4" w:space="0"/>
              <w:right w:val="single" w:color="000000" w:sz="4" w:space="0"/>
            </w:tcBorders>
            <w:noWrap/>
            <w:vAlign w:val="center"/>
          </w:tcPr>
          <w:p w14:paraId="3915FB99">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945" w:type="dxa"/>
            <w:vMerge w:val="restart"/>
            <w:tcBorders>
              <w:top w:val="single" w:color="000000" w:sz="4" w:space="0"/>
              <w:left w:val="single" w:color="000000" w:sz="4" w:space="0"/>
              <w:bottom w:val="single" w:color="000000" w:sz="4" w:space="0"/>
              <w:right w:val="single" w:color="000000" w:sz="4" w:space="0"/>
            </w:tcBorders>
            <w:noWrap/>
            <w:vAlign w:val="center"/>
          </w:tcPr>
          <w:p w14:paraId="7716E423">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预算管理</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75C42F6">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财政拨款</w:t>
            </w:r>
            <w:r>
              <w:rPr>
                <w:rFonts w:ascii="宋体" w:hAnsi="宋体" w:eastAsia="宋体" w:cs="宋体"/>
                <w:color w:val="000000"/>
                <w:kern w:val="0"/>
                <w:sz w:val="18"/>
                <w:szCs w:val="18"/>
              </w:rPr>
              <w:t>预算编制偏离度</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3BB9C82">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104.06</w:t>
            </w:r>
            <w:r>
              <w:rPr>
                <w:rFonts w:hint="eastAsia" w:ascii="宋体" w:hAnsi="宋体" w:eastAsia="宋体" w:cs="宋体"/>
                <w:color w:val="000000"/>
                <w:kern w:val="0"/>
                <w:sz w:val="18"/>
                <w:szCs w:val="18"/>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56EFDA9">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104.06</w:t>
            </w:r>
            <w:r>
              <w:rPr>
                <w:rFonts w:ascii="宋体" w:hAnsi="宋体" w:eastAsia="宋体" w:cs="宋体"/>
                <w:color w:val="000000"/>
                <w:kern w:val="0"/>
                <w:sz w:val="18"/>
                <w:szCs w:val="18"/>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4B16019">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155.97%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EFADB4C">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63.01%</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734FCB87">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93.21%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720F7A06">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93.21%</w:t>
            </w:r>
          </w:p>
        </w:tc>
      </w:tr>
      <w:tr w14:paraId="4467662A">
        <w:tblPrEx>
          <w:tblCellMar>
            <w:top w:w="0" w:type="dxa"/>
            <w:left w:w="108" w:type="dxa"/>
            <w:bottom w:w="0" w:type="dxa"/>
            <w:right w:w="108" w:type="dxa"/>
          </w:tblCellMar>
        </w:tblPrEx>
        <w:trPr>
          <w:trHeight w:val="9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797D3AA2">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7DAFB976">
            <w:pPr>
              <w:widowControl/>
              <w:spacing w:line="240" w:lineRule="exact"/>
              <w:jc w:val="center"/>
              <w:textAlignment w:val="center"/>
              <w:rPr>
                <w:rFonts w:ascii="宋体" w:hAnsi="宋体" w:eastAsia="宋体" w:cs="宋体"/>
                <w:color w:val="000000"/>
                <w:kern w:val="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ign w:val="center"/>
          </w:tcPr>
          <w:p w14:paraId="2A3BF900">
            <w:pPr>
              <w:widowControl/>
              <w:spacing w:line="240" w:lineRule="exact"/>
              <w:jc w:val="center"/>
              <w:textAlignment w:val="center"/>
              <w:rPr>
                <w:rFonts w:ascii="宋体" w:hAnsi="宋体" w:eastAsia="宋体" w:cs="宋体"/>
                <w:color w:val="000000"/>
                <w:kern w:val="0"/>
                <w:sz w:val="18"/>
                <w:szCs w:val="18"/>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43CBE4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单位收入统筹度</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4265CFB">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89C4163">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379F524D">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5749A20">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1EE20F02">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7BD5C52D">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r>
      <w:tr w14:paraId="7906027F">
        <w:tblPrEx>
          <w:tblCellMar>
            <w:top w:w="0" w:type="dxa"/>
            <w:left w:w="108" w:type="dxa"/>
            <w:bottom w:w="0" w:type="dxa"/>
            <w:right w:w="108" w:type="dxa"/>
          </w:tblCellMar>
        </w:tblPrEx>
        <w:trPr>
          <w:trHeight w:val="9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4E28415D">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6E8374E4">
            <w:pPr>
              <w:widowControl/>
              <w:spacing w:line="240" w:lineRule="exact"/>
              <w:jc w:val="center"/>
              <w:textAlignment w:val="center"/>
              <w:rPr>
                <w:rFonts w:ascii="宋体" w:hAnsi="宋体" w:eastAsia="宋体" w:cs="宋体"/>
                <w:color w:val="000000"/>
                <w:kern w:val="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ign w:val="center"/>
          </w:tcPr>
          <w:p w14:paraId="0EE1B186">
            <w:pPr>
              <w:widowControl/>
              <w:spacing w:line="240" w:lineRule="exact"/>
              <w:jc w:val="center"/>
              <w:textAlignment w:val="center"/>
              <w:rPr>
                <w:rFonts w:ascii="宋体" w:hAnsi="宋体" w:eastAsia="宋体" w:cs="宋体"/>
                <w:color w:val="000000"/>
                <w:kern w:val="0"/>
                <w:sz w:val="18"/>
                <w:szCs w:val="18"/>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3F6A1D0">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预算年终结余</w:t>
            </w:r>
            <w:r>
              <w:rPr>
                <w:rFonts w:ascii="宋体" w:hAnsi="宋体" w:eastAsia="宋体" w:cs="宋体"/>
                <w:color w:val="000000"/>
                <w:kern w:val="0"/>
                <w:sz w:val="18"/>
                <w:szCs w:val="18"/>
              </w:rPr>
              <w:t>率</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533545F">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26.71</w:t>
            </w:r>
            <w:r>
              <w:rPr>
                <w:rFonts w:hint="eastAsia" w:ascii="宋体" w:hAnsi="宋体" w:eastAsia="宋体" w:cs="宋体"/>
                <w:color w:val="000000"/>
                <w:kern w:val="0"/>
                <w:sz w:val="18"/>
                <w:szCs w:val="18"/>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74A319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26.71</w:t>
            </w:r>
            <w:r>
              <w:rPr>
                <w:rFonts w:ascii="宋体" w:hAnsi="宋体" w:eastAsia="宋体" w:cs="宋体"/>
                <w:color w:val="000000"/>
                <w:kern w:val="0"/>
                <w:sz w:val="18"/>
                <w:szCs w:val="18"/>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036E99C3">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16.52%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2B8C9F9">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32.9%</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754CEBCF">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30.72%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07A15F99">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30.72%</w:t>
            </w:r>
          </w:p>
        </w:tc>
      </w:tr>
      <w:tr w14:paraId="62ABF041">
        <w:tblPrEx>
          <w:tblCellMar>
            <w:top w:w="0" w:type="dxa"/>
            <w:left w:w="108" w:type="dxa"/>
            <w:bottom w:w="0" w:type="dxa"/>
            <w:right w:w="108" w:type="dxa"/>
          </w:tblCellMar>
        </w:tblPrEx>
        <w:trPr>
          <w:trHeight w:val="35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33AF0F84">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0E3E379C">
            <w:pPr>
              <w:widowControl/>
              <w:spacing w:line="240" w:lineRule="exact"/>
              <w:jc w:val="center"/>
              <w:textAlignment w:val="center"/>
              <w:rPr>
                <w:rFonts w:ascii="宋体" w:hAnsi="宋体" w:eastAsia="宋体" w:cs="宋体"/>
                <w:color w:val="000000"/>
                <w:kern w:val="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ign w:val="center"/>
          </w:tcPr>
          <w:p w14:paraId="7A83C5EB">
            <w:pPr>
              <w:widowControl/>
              <w:spacing w:line="240" w:lineRule="exact"/>
              <w:jc w:val="center"/>
              <w:textAlignment w:val="center"/>
              <w:rPr>
                <w:rFonts w:ascii="宋体" w:hAnsi="宋体" w:eastAsia="宋体" w:cs="宋体"/>
                <w:color w:val="000000"/>
                <w:kern w:val="0"/>
                <w:sz w:val="18"/>
                <w:szCs w:val="18"/>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CDA179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一般性支出</w:t>
            </w:r>
            <w:r>
              <w:rPr>
                <w:rFonts w:ascii="宋体" w:hAnsi="宋体" w:eastAsia="宋体" w:cs="宋体"/>
                <w:color w:val="000000"/>
                <w:kern w:val="0"/>
                <w:sz w:val="18"/>
                <w:szCs w:val="18"/>
              </w:rPr>
              <w:t>金额</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F3C88AF">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3.63</w:t>
            </w:r>
            <w:r>
              <w:rPr>
                <w:rFonts w:ascii="宋体" w:hAnsi="宋体" w:eastAsia="宋体" w:cs="宋体"/>
                <w:color w:val="000000"/>
                <w:kern w:val="0"/>
                <w:sz w:val="18"/>
                <w:szCs w:val="18"/>
              </w:rPr>
              <w:t>万元</w:t>
            </w:r>
          </w:p>
        </w:tc>
        <w:tc>
          <w:tcPr>
            <w:tcW w:w="3885" w:type="dxa"/>
            <w:gridSpan w:val="4"/>
            <w:tcBorders>
              <w:top w:val="single" w:color="000000" w:sz="4" w:space="0"/>
              <w:left w:val="single" w:color="000000" w:sz="4" w:space="0"/>
              <w:bottom w:val="single" w:color="000000" w:sz="4" w:space="0"/>
              <w:right w:val="single" w:color="000000" w:sz="4" w:space="0"/>
            </w:tcBorders>
            <w:noWrap/>
            <w:vAlign w:val="center"/>
          </w:tcPr>
          <w:p w14:paraId="69F8CD66">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x为上年一般性支出金额</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283898A7">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3.63万元</w:t>
            </w:r>
          </w:p>
        </w:tc>
      </w:tr>
      <w:tr w14:paraId="243A5463">
        <w:tblPrEx>
          <w:tblCellMar>
            <w:top w:w="0" w:type="dxa"/>
            <w:left w:w="108" w:type="dxa"/>
            <w:bottom w:w="0" w:type="dxa"/>
            <w:right w:w="108" w:type="dxa"/>
          </w:tblCellMar>
        </w:tblPrEx>
        <w:trPr>
          <w:trHeight w:val="9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133B235E">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1CEAEE9A">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432FBBE">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财务管理</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3975DB90">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财务管理规范</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57AE3EF">
            <w:pPr>
              <w:widowControl/>
              <w:spacing w:line="240" w:lineRule="exact"/>
              <w:jc w:val="both"/>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xml:space="preserve">  中</w:t>
            </w:r>
          </w:p>
        </w:tc>
        <w:tc>
          <w:tcPr>
            <w:tcW w:w="3885" w:type="dxa"/>
            <w:gridSpan w:val="4"/>
            <w:tcBorders>
              <w:top w:val="single" w:color="000000" w:sz="4" w:space="0"/>
              <w:left w:val="single" w:color="000000" w:sz="4" w:space="0"/>
              <w:bottom w:val="single" w:color="000000" w:sz="4" w:space="0"/>
              <w:right w:val="single" w:color="000000" w:sz="4" w:space="0"/>
            </w:tcBorders>
            <w:noWrap/>
            <w:vAlign w:val="center"/>
          </w:tcPr>
          <w:p w14:paraId="312F8AB4">
            <w:pPr>
              <w:widowControl/>
              <w:spacing w:line="240" w:lineRule="exact"/>
              <w:jc w:val="center"/>
              <w:textAlignment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x为“优”“良”“中”或“差”</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1AC00175">
            <w:pPr>
              <w:widowControl/>
              <w:spacing w:line="240" w:lineRule="exact"/>
              <w:jc w:val="center"/>
              <w:textAlignment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良</w:t>
            </w:r>
          </w:p>
        </w:tc>
      </w:tr>
      <w:tr w14:paraId="49A409BB">
        <w:tblPrEx>
          <w:tblCellMar>
            <w:top w:w="0" w:type="dxa"/>
            <w:left w:w="108" w:type="dxa"/>
            <w:bottom w:w="0" w:type="dxa"/>
            <w:right w:w="108" w:type="dxa"/>
          </w:tblCellMar>
        </w:tblPrEx>
        <w:trPr>
          <w:trHeight w:val="9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4BA4AA3E">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7914DF9D">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2F8380B">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资产管理</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E672C4D">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资产配置预算偏离度</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126D9610">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≤x</w:t>
            </w:r>
            <w:r>
              <w:rPr>
                <w:rFonts w:ascii="宋体" w:hAnsi="宋体" w:eastAsia="宋体" w:cs="宋体"/>
                <w:color w:val="000000"/>
                <w:kern w:val="0"/>
                <w:sz w:val="18"/>
                <w:szCs w:val="18"/>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0B02F2A">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x</w:t>
            </w:r>
            <w:r>
              <w:rPr>
                <w:rFonts w:ascii="宋体" w:hAnsi="宋体" w:eastAsia="宋体" w:cs="宋体"/>
                <w:color w:val="000000"/>
                <w:kern w:val="0"/>
                <w:sz w:val="18"/>
                <w:szCs w:val="18"/>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36E3A775">
            <w:pPr>
              <w:widowControl/>
              <w:spacing w:line="240" w:lineRule="exact"/>
              <w:jc w:val="center"/>
              <w:textAlignment w:val="center"/>
              <w:rPr>
                <w:rFonts w:ascii="宋体" w:hAnsi="宋体" w:eastAsia="宋体" w:cs="宋体"/>
                <w:color w:val="000000"/>
                <w:kern w:val="0"/>
                <w:sz w:val="18"/>
                <w:szCs w:val="18"/>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7E94122">
            <w:pPr>
              <w:widowControl/>
              <w:spacing w:line="240" w:lineRule="exact"/>
              <w:jc w:val="center"/>
              <w:textAlignment w:val="center"/>
              <w:rPr>
                <w:rFonts w:ascii="宋体" w:hAnsi="宋体" w:eastAsia="宋体"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16FEA577">
            <w:pPr>
              <w:widowControl/>
              <w:spacing w:line="240" w:lineRule="exact"/>
              <w:jc w:val="center"/>
              <w:textAlignment w:val="center"/>
              <w:rPr>
                <w:rFonts w:ascii="宋体" w:hAnsi="宋体" w:eastAsia="宋体" w:cs="宋体"/>
                <w:color w:val="000000"/>
                <w:kern w:val="0"/>
                <w:sz w:val="18"/>
                <w:szCs w:val="18"/>
              </w:rPr>
            </w:pP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6FECF93E">
            <w:pPr>
              <w:widowControl/>
              <w:spacing w:line="240" w:lineRule="exact"/>
              <w:jc w:val="center"/>
              <w:textAlignment w:val="center"/>
              <w:rPr>
                <w:rFonts w:ascii="宋体" w:hAnsi="宋体" w:eastAsia="宋体" w:cs="宋体"/>
                <w:color w:val="000000"/>
                <w:kern w:val="0"/>
                <w:sz w:val="18"/>
                <w:szCs w:val="18"/>
              </w:rPr>
            </w:pPr>
          </w:p>
        </w:tc>
      </w:tr>
      <w:tr w14:paraId="133FF557">
        <w:tblPrEx>
          <w:tblCellMar>
            <w:top w:w="0" w:type="dxa"/>
            <w:left w:w="108" w:type="dxa"/>
            <w:bottom w:w="0" w:type="dxa"/>
            <w:right w:w="108" w:type="dxa"/>
          </w:tblCellMar>
        </w:tblPrEx>
        <w:trPr>
          <w:trHeight w:val="90"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noWrap/>
            <w:vAlign w:val="center"/>
          </w:tcPr>
          <w:p w14:paraId="17904BAC">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6EFD65F1">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E2AF3F2">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采购管理</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48797315">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采购执行率</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4AF282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27.93</w:t>
            </w:r>
            <w:r>
              <w:rPr>
                <w:rFonts w:hint="eastAsia" w:ascii="宋体" w:hAnsi="宋体" w:eastAsia="宋体" w:cs="宋体"/>
                <w:color w:val="000000"/>
                <w:kern w:val="0"/>
                <w:sz w:val="18"/>
                <w:szCs w:val="18"/>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F62BE83">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27.93</w:t>
            </w:r>
            <w:r>
              <w:rPr>
                <w:rFonts w:ascii="宋体" w:hAnsi="宋体" w:eastAsia="宋体" w:cs="宋体"/>
                <w:color w:val="000000"/>
                <w:kern w:val="0"/>
                <w:sz w:val="18"/>
                <w:szCs w:val="18"/>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1008A4B">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F869997">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83.8%</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6217DADD">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17061EED">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27.93%</w:t>
            </w:r>
          </w:p>
        </w:tc>
      </w:tr>
      <w:tr w14:paraId="7197D55C">
        <w:tblPrEx>
          <w:tblCellMar>
            <w:top w:w="0" w:type="dxa"/>
            <w:left w:w="108" w:type="dxa"/>
            <w:bottom w:w="0" w:type="dxa"/>
            <w:right w:w="108" w:type="dxa"/>
          </w:tblCellMar>
        </w:tblPrEx>
        <w:trPr>
          <w:trHeight w:val="468" w:hRule="atLeast"/>
          <w:jc w:val="center"/>
        </w:trPr>
        <w:tc>
          <w:tcPr>
            <w:tcW w:w="446" w:type="dxa"/>
            <w:vMerge w:val="restart"/>
            <w:tcBorders>
              <w:top w:val="single" w:color="000000" w:sz="4" w:space="0"/>
              <w:left w:val="single" w:color="000000" w:sz="4" w:space="0"/>
              <w:right w:val="single" w:color="000000" w:sz="4" w:space="0"/>
            </w:tcBorders>
            <w:noWrap/>
            <w:vAlign w:val="center"/>
          </w:tcPr>
          <w:p w14:paraId="6AC4D3BD">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履职效能</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4E18651">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B4F9B03">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276AA58">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594F72A8">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指标值（包含数字及文字描述）</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7E0A1976">
            <w:pPr>
              <w:widowControl/>
              <w:spacing w:line="240" w:lineRule="exact"/>
              <w:jc w:val="center"/>
              <w:textAlignment w:val="center"/>
              <w:rPr>
                <w:rFonts w:ascii="宋体" w:hAnsi="宋体" w:eastAsia="宋体" w:cs="宋体"/>
                <w:color w:val="000000"/>
                <w:kern w:val="0"/>
                <w:sz w:val="18"/>
                <w:szCs w:val="18"/>
              </w:rPr>
            </w:pPr>
          </w:p>
        </w:tc>
      </w:tr>
      <w:tr w14:paraId="1CED8349">
        <w:tblPrEx>
          <w:tblCellMar>
            <w:top w:w="0" w:type="dxa"/>
            <w:left w:w="108" w:type="dxa"/>
            <w:bottom w:w="0" w:type="dxa"/>
            <w:right w:w="108" w:type="dxa"/>
          </w:tblCellMar>
        </w:tblPrEx>
        <w:trPr>
          <w:trHeight w:val="296" w:hRule="atLeast"/>
          <w:jc w:val="center"/>
        </w:trPr>
        <w:tc>
          <w:tcPr>
            <w:tcW w:w="446" w:type="dxa"/>
            <w:vMerge w:val="continue"/>
            <w:tcBorders>
              <w:left w:val="single" w:color="000000" w:sz="4" w:space="0"/>
              <w:right w:val="single" w:color="000000" w:sz="4" w:space="0"/>
            </w:tcBorders>
            <w:noWrap/>
            <w:vAlign w:val="center"/>
          </w:tcPr>
          <w:p w14:paraId="5588CCA2">
            <w:pPr>
              <w:widowControl/>
              <w:spacing w:line="240" w:lineRule="exact"/>
              <w:jc w:val="center"/>
              <w:textAlignment w:val="center"/>
              <w:rPr>
                <w:rFonts w:ascii="宋体" w:hAnsi="宋体" w:eastAsia="宋体" w:cs="宋体"/>
                <w:color w:val="000000"/>
                <w:kern w:val="0"/>
                <w:sz w:val="18"/>
                <w:szCs w:val="18"/>
              </w:rPr>
            </w:pPr>
          </w:p>
        </w:tc>
        <w:tc>
          <w:tcPr>
            <w:tcW w:w="630" w:type="dxa"/>
            <w:vMerge w:val="restart"/>
            <w:tcBorders>
              <w:top w:val="single" w:color="000000" w:sz="4" w:space="0"/>
              <w:left w:val="single" w:color="000000" w:sz="4" w:space="0"/>
              <w:bottom w:val="single" w:color="000000" w:sz="4" w:space="0"/>
              <w:right w:val="single" w:color="000000" w:sz="4" w:space="0"/>
            </w:tcBorders>
            <w:noWrap/>
            <w:vAlign w:val="center"/>
          </w:tcPr>
          <w:p w14:paraId="4D7B2843">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产出指标</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07FDD9B">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数量指标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36A0B45D">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医疗服务完成率</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5DE16C54">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default" w:ascii="Arial" w:hAnsi="Arial" w:eastAsia="宋体" w:cs="Arial"/>
                <w:color w:val="000000"/>
                <w:kern w:val="0"/>
                <w:sz w:val="18"/>
                <w:szCs w:val="18"/>
                <w:lang w:val="en-US" w:eastAsia="zh-CN"/>
              </w:rPr>
              <w:t>≥</w:t>
            </w:r>
            <w:r>
              <w:rPr>
                <w:rFonts w:hint="eastAsia" w:ascii="宋体" w:hAnsi="宋体" w:eastAsia="宋体" w:cs="宋体"/>
                <w:color w:val="000000"/>
                <w:kern w:val="0"/>
                <w:sz w:val="18"/>
                <w:szCs w:val="18"/>
                <w:lang w:val="en-US" w:eastAsia="zh-CN"/>
              </w:rPr>
              <w:t>95%</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6734B898">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95%</w:t>
            </w:r>
          </w:p>
        </w:tc>
      </w:tr>
      <w:tr w14:paraId="066D27A9">
        <w:tblPrEx>
          <w:tblCellMar>
            <w:top w:w="0" w:type="dxa"/>
            <w:left w:w="108" w:type="dxa"/>
            <w:bottom w:w="0" w:type="dxa"/>
            <w:right w:w="108" w:type="dxa"/>
          </w:tblCellMar>
        </w:tblPrEx>
        <w:trPr>
          <w:trHeight w:val="296" w:hRule="atLeast"/>
          <w:jc w:val="center"/>
        </w:trPr>
        <w:tc>
          <w:tcPr>
            <w:tcW w:w="446" w:type="dxa"/>
            <w:vMerge w:val="continue"/>
            <w:tcBorders>
              <w:left w:val="single" w:color="000000" w:sz="4" w:space="0"/>
              <w:right w:val="single" w:color="000000" w:sz="4" w:space="0"/>
            </w:tcBorders>
            <w:noWrap/>
            <w:vAlign w:val="center"/>
          </w:tcPr>
          <w:p w14:paraId="782F3451">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6CD266B8">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5F916FF">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数量指标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9623195">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合理用药规范率</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5713F004">
            <w:pPr>
              <w:widowControl/>
              <w:spacing w:line="240" w:lineRule="exact"/>
              <w:jc w:val="center"/>
              <w:textAlignment w:val="center"/>
              <w:rPr>
                <w:rFonts w:ascii="宋体" w:hAnsi="宋体" w:eastAsia="宋体" w:cs="宋体"/>
                <w:color w:val="000000"/>
                <w:kern w:val="0"/>
                <w:sz w:val="18"/>
                <w:szCs w:val="18"/>
              </w:rPr>
            </w:pPr>
            <w:r>
              <w:rPr>
                <w:rFonts w:hint="default" w:ascii="Arial" w:hAnsi="Arial" w:eastAsia="宋体" w:cs="Arial"/>
                <w:color w:val="000000"/>
                <w:kern w:val="0"/>
                <w:sz w:val="18"/>
                <w:szCs w:val="18"/>
                <w:lang w:val="en-US" w:eastAsia="zh-CN"/>
              </w:rPr>
              <w:t>≥</w:t>
            </w:r>
            <w:r>
              <w:rPr>
                <w:rFonts w:hint="eastAsia" w:ascii="宋体" w:hAnsi="宋体" w:eastAsia="宋体" w:cs="宋体"/>
                <w:color w:val="000000"/>
                <w:kern w:val="0"/>
                <w:sz w:val="18"/>
                <w:szCs w:val="18"/>
                <w:lang w:val="en-US" w:eastAsia="zh-CN"/>
              </w:rPr>
              <w:t>98%</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4CE1C04C">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98%</w:t>
            </w:r>
          </w:p>
        </w:tc>
      </w:tr>
      <w:tr w14:paraId="3C42C803">
        <w:tblPrEx>
          <w:tblCellMar>
            <w:top w:w="0" w:type="dxa"/>
            <w:left w:w="108" w:type="dxa"/>
            <w:bottom w:w="0" w:type="dxa"/>
            <w:right w:w="108" w:type="dxa"/>
          </w:tblCellMar>
        </w:tblPrEx>
        <w:trPr>
          <w:trHeight w:val="296" w:hRule="atLeast"/>
          <w:jc w:val="center"/>
        </w:trPr>
        <w:tc>
          <w:tcPr>
            <w:tcW w:w="446" w:type="dxa"/>
            <w:vMerge w:val="continue"/>
            <w:tcBorders>
              <w:left w:val="single" w:color="000000" w:sz="4" w:space="0"/>
              <w:right w:val="single" w:color="000000" w:sz="4" w:space="0"/>
            </w:tcBorders>
            <w:noWrap/>
            <w:vAlign w:val="center"/>
          </w:tcPr>
          <w:p w14:paraId="75DD45E1">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5A461CBE">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3E98215">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数量指标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4000FE51">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医药分开改革落地项</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1F1A79CD">
            <w:pPr>
              <w:widowControl/>
              <w:spacing w:line="240" w:lineRule="exact"/>
              <w:jc w:val="center"/>
              <w:textAlignment w:val="center"/>
              <w:rPr>
                <w:rFonts w:hint="default" w:ascii="宋体" w:hAnsi="宋体" w:eastAsia="宋体" w:cs="宋体"/>
                <w:color w:val="000000"/>
                <w:kern w:val="0"/>
                <w:sz w:val="18"/>
                <w:szCs w:val="18"/>
                <w:lang w:val="en-US"/>
              </w:rPr>
            </w:pPr>
            <w:r>
              <w:rPr>
                <w:rFonts w:hint="default" w:ascii="Arial" w:hAnsi="Arial" w:eastAsia="宋体" w:cs="Arial"/>
                <w:color w:val="000000"/>
                <w:kern w:val="0"/>
                <w:sz w:val="18"/>
                <w:szCs w:val="18"/>
                <w:lang w:val="en-US" w:eastAsia="zh-CN"/>
              </w:rPr>
              <w:t>≥</w:t>
            </w:r>
            <w:r>
              <w:rPr>
                <w:rFonts w:hint="eastAsia" w:ascii="宋体" w:hAnsi="宋体" w:eastAsia="宋体" w:cs="宋体"/>
                <w:color w:val="000000"/>
                <w:kern w:val="0"/>
                <w:sz w:val="18"/>
                <w:szCs w:val="18"/>
                <w:lang w:val="en-US" w:eastAsia="zh-CN"/>
              </w:rPr>
              <w:t>3项</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6FD0B9C1">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3项</w:t>
            </w:r>
          </w:p>
        </w:tc>
      </w:tr>
      <w:tr w14:paraId="7CFB66A9">
        <w:tblPrEx>
          <w:tblCellMar>
            <w:top w:w="0" w:type="dxa"/>
            <w:left w:w="108" w:type="dxa"/>
            <w:bottom w:w="0" w:type="dxa"/>
            <w:right w:w="108" w:type="dxa"/>
          </w:tblCellMar>
        </w:tblPrEx>
        <w:trPr>
          <w:trHeight w:val="296" w:hRule="atLeast"/>
          <w:jc w:val="center"/>
        </w:trPr>
        <w:tc>
          <w:tcPr>
            <w:tcW w:w="446" w:type="dxa"/>
            <w:vMerge w:val="continue"/>
            <w:tcBorders>
              <w:left w:val="single" w:color="000000" w:sz="4" w:space="0"/>
              <w:right w:val="single" w:color="000000" w:sz="4" w:space="0"/>
            </w:tcBorders>
            <w:noWrap/>
            <w:vAlign w:val="center"/>
          </w:tcPr>
          <w:p w14:paraId="59FF4DA9">
            <w:pPr>
              <w:widowControl/>
              <w:spacing w:line="240" w:lineRule="exact"/>
              <w:jc w:val="center"/>
              <w:textAlignment w:val="center"/>
              <w:rPr>
                <w:rFonts w:ascii="宋体" w:hAnsi="宋体" w:eastAsia="宋体" w:cs="宋体"/>
                <w:color w:val="000000"/>
                <w:kern w:val="0"/>
                <w:sz w:val="18"/>
                <w:szCs w:val="18"/>
              </w:rPr>
            </w:pPr>
          </w:p>
        </w:tc>
        <w:tc>
          <w:tcPr>
            <w:tcW w:w="630" w:type="dxa"/>
            <w:vMerge w:val="restart"/>
            <w:tcBorders>
              <w:top w:val="single" w:color="000000" w:sz="4" w:space="0"/>
              <w:left w:val="single" w:color="000000" w:sz="4" w:space="0"/>
              <w:bottom w:val="single" w:color="000000" w:sz="4" w:space="0"/>
              <w:right w:val="single" w:color="000000" w:sz="4" w:space="0"/>
            </w:tcBorders>
            <w:noWrap/>
            <w:vAlign w:val="center"/>
          </w:tcPr>
          <w:p w14:paraId="6B11AE7A">
            <w:pPr>
              <w:widowControl/>
              <w:spacing w:line="240" w:lineRule="exact"/>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效益指标</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50ECE39">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社会效益指标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8358965">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患者就医负担下降幅度</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3B5AEADB">
            <w:pPr>
              <w:widowControl/>
              <w:spacing w:line="240" w:lineRule="exact"/>
              <w:jc w:val="center"/>
              <w:textAlignment w:val="center"/>
              <w:rPr>
                <w:rFonts w:hint="default" w:ascii="宋体" w:hAnsi="宋体" w:eastAsia="宋体" w:cs="宋体"/>
                <w:color w:val="000000"/>
                <w:kern w:val="0"/>
                <w:sz w:val="18"/>
                <w:szCs w:val="18"/>
                <w:lang w:val="en-US"/>
              </w:rPr>
            </w:pPr>
            <w:r>
              <w:rPr>
                <w:rFonts w:hint="default" w:ascii="Arial" w:hAnsi="Arial" w:eastAsia="宋体" w:cs="Arial"/>
                <w:color w:val="000000"/>
                <w:kern w:val="0"/>
                <w:sz w:val="18"/>
                <w:szCs w:val="18"/>
                <w:lang w:val="en-US" w:eastAsia="zh-CN"/>
              </w:rPr>
              <w:t>≥</w:t>
            </w:r>
            <w:r>
              <w:rPr>
                <w:rFonts w:hint="eastAsia" w:ascii="宋体" w:hAnsi="宋体" w:eastAsia="宋体" w:cs="宋体"/>
                <w:color w:val="000000"/>
                <w:kern w:val="0"/>
                <w:sz w:val="18"/>
                <w:szCs w:val="18"/>
                <w:lang w:val="en-US" w:eastAsia="zh-CN"/>
              </w:rPr>
              <w:t>5%</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61A1BA2A">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r>
      <w:tr w14:paraId="5C0EAE80">
        <w:tblPrEx>
          <w:tblCellMar>
            <w:top w:w="0" w:type="dxa"/>
            <w:left w:w="108" w:type="dxa"/>
            <w:bottom w:w="0" w:type="dxa"/>
            <w:right w:w="108" w:type="dxa"/>
          </w:tblCellMar>
        </w:tblPrEx>
        <w:trPr>
          <w:trHeight w:val="296" w:hRule="atLeast"/>
          <w:jc w:val="center"/>
        </w:trPr>
        <w:tc>
          <w:tcPr>
            <w:tcW w:w="446" w:type="dxa"/>
            <w:vMerge w:val="continue"/>
            <w:tcBorders>
              <w:left w:val="single" w:color="000000" w:sz="4" w:space="0"/>
              <w:right w:val="single" w:color="000000" w:sz="4" w:space="0"/>
            </w:tcBorders>
            <w:noWrap/>
            <w:vAlign w:val="center"/>
          </w:tcPr>
          <w:p w14:paraId="77538220">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4E9BD571">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2CC6CBF">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社会效益指标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A5BDF7B">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医疗公益性提升度</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33F2789A">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良好</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76995B1E">
            <w:pPr>
              <w:widowControl/>
              <w:spacing w:line="240" w:lineRule="exact"/>
              <w:jc w:val="center"/>
              <w:textAlignment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良好</w:t>
            </w:r>
          </w:p>
        </w:tc>
      </w:tr>
      <w:tr w14:paraId="3060A9AC">
        <w:tblPrEx>
          <w:tblCellMar>
            <w:top w:w="0" w:type="dxa"/>
            <w:left w:w="108" w:type="dxa"/>
            <w:bottom w:w="0" w:type="dxa"/>
            <w:right w:w="108" w:type="dxa"/>
          </w:tblCellMar>
        </w:tblPrEx>
        <w:trPr>
          <w:trHeight w:val="430" w:hRule="atLeast"/>
          <w:jc w:val="center"/>
        </w:trPr>
        <w:tc>
          <w:tcPr>
            <w:tcW w:w="446" w:type="dxa"/>
            <w:vMerge w:val="continue"/>
            <w:tcBorders>
              <w:left w:val="single" w:color="000000" w:sz="4" w:space="0"/>
              <w:right w:val="single" w:color="000000" w:sz="4" w:space="0"/>
            </w:tcBorders>
            <w:noWrap/>
            <w:vAlign w:val="center"/>
          </w:tcPr>
          <w:p w14:paraId="04BA90CA">
            <w:pPr>
              <w:widowControl/>
              <w:spacing w:line="240" w:lineRule="exact"/>
              <w:jc w:val="center"/>
              <w:textAlignment w:val="center"/>
              <w:rPr>
                <w:rFonts w:ascii="宋体" w:hAnsi="宋体" w:eastAsia="宋体" w:cs="宋体"/>
                <w:color w:val="000000"/>
                <w:kern w:val="0"/>
                <w:sz w:val="18"/>
                <w:szCs w:val="18"/>
              </w:rPr>
            </w:pPr>
          </w:p>
        </w:tc>
        <w:tc>
          <w:tcPr>
            <w:tcW w:w="630" w:type="dxa"/>
            <w:vMerge w:val="continue"/>
            <w:tcBorders>
              <w:top w:val="single" w:color="000000" w:sz="4" w:space="0"/>
              <w:left w:val="single" w:color="000000" w:sz="4" w:space="0"/>
              <w:bottom w:val="single" w:color="000000" w:sz="4" w:space="0"/>
              <w:right w:val="single" w:color="000000" w:sz="4" w:space="0"/>
            </w:tcBorders>
            <w:noWrap/>
            <w:vAlign w:val="center"/>
          </w:tcPr>
          <w:p w14:paraId="1B8D9DC0">
            <w:pPr>
              <w:widowControl/>
              <w:spacing w:line="240" w:lineRule="exact"/>
              <w:jc w:val="center"/>
              <w:textAlignment w:val="center"/>
              <w:rPr>
                <w:rFonts w:ascii="宋体" w:hAnsi="宋体" w:eastAsia="宋体" w:cs="宋体"/>
                <w:color w:val="000000"/>
                <w:kern w:val="0"/>
                <w:sz w:val="18"/>
                <w:szCs w:val="18"/>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57C8FD2">
            <w:pPr>
              <w:widowControl/>
              <w:spacing w:line="240" w:lineRule="exact"/>
              <w:jc w:val="center"/>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社会效益指标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A2CB0CD">
            <w:pPr>
              <w:widowControl/>
              <w:spacing w:line="240" w:lineRule="exact"/>
              <w:jc w:val="center"/>
              <w:textAlignment w:val="center"/>
              <w:rPr>
                <w:rFonts w:hint="eastAsia" w:ascii="宋体" w:hAnsi="宋体" w:eastAsia="宋体" w:cs="宋体"/>
                <w:color w:val="000000"/>
                <w:kern w:val="0"/>
                <w:sz w:val="18"/>
                <w:szCs w:val="18"/>
                <w:lang w:eastAsia="zh-CN"/>
              </w:rPr>
            </w:pPr>
            <w:r>
              <w:rPr>
                <w:rFonts w:ascii="宋体" w:hAnsi="宋体" w:eastAsia="宋体" w:cs="宋体"/>
                <w:i w:val="0"/>
                <w:iCs w:val="0"/>
                <w:color w:val="000000"/>
                <w:kern w:val="0"/>
                <w:sz w:val="18"/>
                <w:szCs w:val="18"/>
                <w:u w:val="none"/>
                <w:lang w:val="en-US" w:eastAsia="zh-CN" w:bidi="ar"/>
              </w:rPr>
              <w:t>基本医疗服务覆盖率</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247987C4">
            <w:pPr>
              <w:widowControl/>
              <w:spacing w:line="240" w:lineRule="exact"/>
              <w:jc w:val="center"/>
              <w:textAlignment w:val="center"/>
              <w:rPr>
                <w:rFonts w:hint="default" w:ascii="宋体" w:hAnsi="宋体" w:eastAsia="宋体" w:cs="宋体"/>
                <w:color w:val="000000"/>
                <w:kern w:val="0"/>
                <w:sz w:val="18"/>
                <w:szCs w:val="18"/>
                <w:lang w:val="en-US"/>
              </w:rPr>
            </w:pPr>
            <w:r>
              <w:rPr>
                <w:rFonts w:hint="default" w:ascii="Arial" w:hAnsi="Arial" w:eastAsia="宋体" w:cs="Arial"/>
                <w:color w:val="000000"/>
                <w:kern w:val="0"/>
                <w:sz w:val="18"/>
                <w:szCs w:val="18"/>
                <w:lang w:val="en-US" w:eastAsia="zh-CN"/>
              </w:rPr>
              <w:t>≥</w:t>
            </w:r>
            <w:r>
              <w:rPr>
                <w:rFonts w:hint="eastAsia" w:ascii="宋体" w:hAnsi="宋体" w:eastAsia="宋体" w:cs="宋体"/>
                <w:color w:val="000000"/>
                <w:kern w:val="0"/>
                <w:sz w:val="18"/>
                <w:szCs w:val="18"/>
                <w:lang w:val="en-US" w:eastAsia="zh-CN"/>
              </w:rPr>
              <w:t>95%</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11F7CE91">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95%</w:t>
            </w:r>
          </w:p>
        </w:tc>
      </w:tr>
      <w:tr w14:paraId="2D34E9A4">
        <w:tblPrEx>
          <w:tblCellMar>
            <w:top w:w="0" w:type="dxa"/>
            <w:left w:w="108" w:type="dxa"/>
            <w:bottom w:w="0" w:type="dxa"/>
            <w:right w:w="108" w:type="dxa"/>
          </w:tblCellMar>
        </w:tblPrEx>
        <w:trPr>
          <w:trHeight w:val="306" w:hRule="atLeast"/>
          <w:jc w:val="center"/>
        </w:trPr>
        <w:tc>
          <w:tcPr>
            <w:tcW w:w="446" w:type="dxa"/>
            <w:vMerge w:val="continue"/>
            <w:tcBorders>
              <w:left w:val="single" w:color="000000" w:sz="4" w:space="0"/>
              <w:bottom w:val="single" w:color="000000" w:sz="4" w:space="0"/>
              <w:right w:val="single" w:color="000000" w:sz="4" w:space="0"/>
            </w:tcBorders>
            <w:noWrap/>
            <w:vAlign w:val="center"/>
          </w:tcPr>
          <w:p w14:paraId="07D4D873">
            <w:pPr>
              <w:widowControl/>
              <w:spacing w:line="240" w:lineRule="exact"/>
              <w:jc w:val="center"/>
              <w:textAlignment w:val="center"/>
              <w:rPr>
                <w:rFonts w:ascii="宋体" w:hAnsi="宋体" w:eastAsia="宋体" w:cs="宋体"/>
                <w:color w:val="000000"/>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14C01FD">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满意度指标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5CA6">
            <w:pPr>
              <w:widowControl/>
              <w:spacing w:line="240" w:lineRule="exact"/>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满意度指标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E26BA71">
            <w:pPr>
              <w:widowControl/>
              <w:spacing w:line="240" w:lineRule="exact"/>
              <w:jc w:val="center"/>
              <w:textAlignment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患者满意度</w:t>
            </w:r>
          </w:p>
        </w:tc>
        <w:tc>
          <w:tcPr>
            <w:tcW w:w="4965" w:type="dxa"/>
            <w:gridSpan w:val="5"/>
            <w:tcBorders>
              <w:top w:val="single" w:color="000000" w:sz="4" w:space="0"/>
              <w:left w:val="single" w:color="000000" w:sz="4" w:space="0"/>
              <w:bottom w:val="single" w:color="000000" w:sz="4" w:space="0"/>
              <w:right w:val="single" w:color="000000" w:sz="4" w:space="0"/>
            </w:tcBorders>
            <w:noWrap/>
            <w:vAlign w:val="center"/>
          </w:tcPr>
          <w:p w14:paraId="1A273C08">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default" w:ascii="Arial" w:hAnsi="Arial" w:eastAsia="宋体" w:cs="Arial"/>
                <w:color w:val="000000"/>
                <w:kern w:val="0"/>
                <w:sz w:val="18"/>
                <w:szCs w:val="18"/>
                <w:lang w:val="en-US" w:eastAsia="zh-CN"/>
              </w:rPr>
              <w:t>≥</w:t>
            </w:r>
            <w:r>
              <w:rPr>
                <w:rFonts w:hint="eastAsia" w:ascii="宋体" w:hAnsi="宋体" w:eastAsia="宋体" w:cs="宋体"/>
                <w:color w:val="000000"/>
                <w:kern w:val="0"/>
                <w:sz w:val="18"/>
                <w:szCs w:val="18"/>
                <w:lang w:val="en-US" w:eastAsia="zh-CN"/>
              </w:rPr>
              <w:t>92%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3CCFB0D0">
            <w:pPr>
              <w:widowControl/>
              <w:spacing w:line="240" w:lineRule="exact"/>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92%</w:t>
            </w:r>
          </w:p>
        </w:tc>
      </w:tr>
    </w:tbl>
    <w:p w14:paraId="52266B28">
      <w:pPr>
        <w:pStyle w:val="15"/>
        <w:spacing w:before="0" w:after="0" w:line="578" w:lineRule="exact"/>
      </w:pP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AC7C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642B73">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300DB73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0642B73">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300DB736"/>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2F135">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D10A2"/>
    <w:rsid w:val="003D33B8"/>
    <w:rsid w:val="003D624D"/>
    <w:rsid w:val="003D719A"/>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206"/>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D1F80"/>
    <w:rsid w:val="006E51AE"/>
    <w:rsid w:val="0070081F"/>
    <w:rsid w:val="007018F5"/>
    <w:rsid w:val="00710897"/>
    <w:rsid w:val="00712F45"/>
    <w:rsid w:val="00734305"/>
    <w:rsid w:val="007370E1"/>
    <w:rsid w:val="007732A1"/>
    <w:rsid w:val="00774C4A"/>
    <w:rsid w:val="00782BBB"/>
    <w:rsid w:val="007A0690"/>
    <w:rsid w:val="007A078F"/>
    <w:rsid w:val="007A0985"/>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07CF"/>
    <w:rsid w:val="00F95982"/>
    <w:rsid w:val="00FA006C"/>
    <w:rsid w:val="00FA190E"/>
    <w:rsid w:val="00FA288B"/>
    <w:rsid w:val="00FA2997"/>
    <w:rsid w:val="00FA2C71"/>
    <w:rsid w:val="00FB3345"/>
    <w:rsid w:val="00FB4EB4"/>
    <w:rsid w:val="00FD0228"/>
    <w:rsid w:val="00FD3BB7"/>
    <w:rsid w:val="00FE0D93"/>
    <w:rsid w:val="00FF2572"/>
    <w:rsid w:val="00FF32AD"/>
    <w:rsid w:val="018502B5"/>
    <w:rsid w:val="01A050EF"/>
    <w:rsid w:val="01FB40D3"/>
    <w:rsid w:val="03611E90"/>
    <w:rsid w:val="03F51722"/>
    <w:rsid w:val="04D07A99"/>
    <w:rsid w:val="05C70F04"/>
    <w:rsid w:val="06426774"/>
    <w:rsid w:val="06640499"/>
    <w:rsid w:val="06CE0008"/>
    <w:rsid w:val="081303C8"/>
    <w:rsid w:val="08362309"/>
    <w:rsid w:val="08F0070A"/>
    <w:rsid w:val="092263E9"/>
    <w:rsid w:val="099F4F9C"/>
    <w:rsid w:val="09AF2373"/>
    <w:rsid w:val="0AE20526"/>
    <w:rsid w:val="0C083C74"/>
    <w:rsid w:val="0C0D3381"/>
    <w:rsid w:val="0D576FA9"/>
    <w:rsid w:val="0DC31556"/>
    <w:rsid w:val="0EFA57E8"/>
    <w:rsid w:val="0F0A1DF9"/>
    <w:rsid w:val="0F1B5DB5"/>
    <w:rsid w:val="129E2F84"/>
    <w:rsid w:val="147B7751"/>
    <w:rsid w:val="155E2E9F"/>
    <w:rsid w:val="16756754"/>
    <w:rsid w:val="17033CFE"/>
    <w:rsid w:val="17A50911"/>
    <w:rsid w:val="185B4374"/>
    <w:rsid w:val="19921369"/>
    <w:rsid w:val="1A3D6143"/>
    <w:rsid w:val="1B7E1BA5"/>
    <w:rsid w:val="1C013801"/>
    <w:rsid w:val="1C7F9B9E"/>
    <w:rsid w:val="1DFD8D3B"/>
    <w:rsid w:val="1EAE09F3"/>
    <w:rsid w:val="1F3F33F9"/>
    <w:rsid w:val="1FB79DC9"/>
    <w:rsid w:val="1FBFC3F2"/>
    <w:rsid w:val="1FFFE033"/>
    <w:rsid w:val="2020322B"/>
    <w:rsid w:val="21466CC1"/>
    <w:rsid w:val="2164512F"/>
    <w:rsid w:val="23134A00"/>
    <w:rsid w:val="23841D23"/>
    <w:rsid w:val="23C32FDB"/>
    <w:rsid w:val="256A4765"/>
    <w:rsid w:val="26337CE2"/>
    <w:rsid w:val="266163F4"/>
    <w:rsid w:val="27F352A6"/>
    <w:rsid w:val="28537A65"/>
    <w:rsid w:val="28F90ABD"/>
    <w:rsid w:val="293B7327"/>
    <w:rsid w:val="29AC7DF7"/>
    <w:rsid w:val="2B5E10AB"/>
    <w:rsid w:val="2C950AFD"/>
    <w:rsid w:val="2D527252"/>
    <w:rsid w:val="2DDC1740"/>
    <w:rsid w:val="2EAE55F2"/>
    <w:rsid w:val="2EC658E5"/>
    <w:rsid w:val="2EDF4302"/>
    <w:rsid w:val="2EFE1A04"/>
    <w:rsid w:val="2FFE52CC"/>
    <w:rsid w:val="2FFF3854"/>
    <w:rsid w:val="306702A8"/>
    <w:rsid w:val="30A12906"/>
    <w:rsid w:val="31140B8A"/>
    <w:rsid w:val="321B5F48"/>
    <w:rsid w:val="35777939"/>
    <w:rsid w:val="359F479A"/>
    <w:rsid w:val="35BBF80F"/>
    <w:rsid w:val="38312021"/>
    <w:rsid w:val="386121DB"/>
    <w:rsid w:val="39EC3D26"/>
    <w:rsid w:val="3B0B3937"/>
    <w:rsid w:val="3B736F08"/>
    <w:rsid w:val="3B7BA6C9"/>
    <w:rsid w:val="3BE27C11"/>
    <w:rsid w:val="3BE3D531"/>
    <w:rsid w:val="3D431A40"/>
    <w:rsid w:val="3EBC016B"/>
    <w:rsid w:val="3EFF42CA"/>
    <w:rsid w:val="3F6FCA38"/>
    <w:rsid w:val="3F9F3E33"/>
    <w:rsid w:val="3FD5AF3D"/>
    <w:rsid w:val="3FFD6C8D"/>
    <w:rsid w:val="3FFED8BE"/>
    <w:rsid w:val="3FFF43BB"/>
    <w:rsid w:val="3FFF8C20"/>
    <w:rsid w:val="3FFFFC14"/>
    <w:rsid w:val="40442B0E"/>
    <w:rsid w:val="40C90624"/>
    <w:rsid w:val="40CB28E7"/>
    <w:rsid w:val="40EA7211"/>
    <w:rsid w:val="414803DC"/>
    <w:rsid w:val="41CC2DBB"/>
    <w:rsid w:val="41EE2D31"/>
    <w:rsid w:val="4246491B"/>
    <w:rsid w:val="431C38CE"/>
    <w:rsid w:val="433DCF8E"/>
    <w:rsid w:val="434626F9"/>
    <w:rsid w:val="451231DA"/>
    <w:rsid w:val="45AC0F39"/>
    <w:rsid w:val="45FF973D"/>
    <w:rsid w:val="462B3790"/>
    <w:rsid w:val="46841EB6"/>
    <w:rsid w:val="47550EBA"/>
    <w:rsid w:val="47B71E17"/>
    <w:rsid w:val="497B2CDD"/>
    <w:rsid w:val="49F42EAF"/>
    <w:rsid w:val="4AC565F9"/>
    <w:rsid w:val="4ACE1952"/>
    <w:rsid w:val="4AFA44F5"/>
    <w:rsid w:val="4B1B26BD"/>
    <w:rsid w:val="4B1C090F"/>
    <w:rsid w:val="4BC83ABB"/>
    <w:rsid w:val="4BF7E09D"/>
    <w:rsid w:val="4C121D12"/>
    <w:rsid w:val="4DA62712"/>
    <w:rsid w:val="4F2204BE"/>
    <w:rsid w:val="4F636E92"/>
    <w:rsid w:val="50A53155"/>
    <w:rsid w:val="524B7D2C"/>
    <w:rsid w:val="53BB74FC"/>
    <w:rsid w:val="547215A0"/>
    <w:rsid w:val="55766E6E"/>
    <w:rsid w:val="558E065B"/>
    <w:rsid w:val="55FDDF92"/>
    <w:rsid w:val="55FFBC03"/>
    <w:rsid w:val="56CDA72E"/>
    <w:rsid w:val="576F5916"/>
    <w:rsid w:val="577FDAE2"/>
    <w:rsid w:val="57B8376D"/>
    <w:rsid w:val="57EE3633"/>
    <w:rsid w:val="57FBE2C7"/>
    <w:rsid w:val="57FC6527"/>
    <w:rsid w:val="583F4ADC"/>
    <w:rsid w:val="592117E6"/>
    <w:rsid w:val="596D544C"/>
    <w:rsid w:val="5A1D3A6E"/>
    <w:rsid w:val="5AAD1584"/>
    <w:rsid w:val="5B0450E9"/>
    <w:rsid w:val="5B0D3DD0"/>
    <w:rsid w:val="5B335734"/>
    <w:rsid w:val="5B7F322F"/>
    <w:rsid w:val="5B962018"/>
    <w:rsid w:val="5BCAB023"/>
    <w:rsid w:val="5BEACB58"/>
    <w:rsid w:val="5C7F0CFE"/>
    <w:rsid w:val="5CFBB71D"/>
    <w:rsid w:val="5D79574D"/>
    <w:rsid w:val="5D8649C7"/>
    <w:rsid w:val="5DDA9B94"/>
    <w:rsid w:val="5EAB810D"/>
    <w:rsid w:val="5EDF1F25"/>
    <w:rsid w:val="5EFA9846"/>
    <w:rsid w:val="5EFF9DA6"/>
    <w:rsid w:val="5F216F0E"/>
    <w:rsid w:val="5F7751B9"/>
    <w:rsid w:val="5F84662B"/>
    <w:rsid w:val="5F9F7232"/>
    <w:rsid w:val="5F9F9588"/>
    <w:rsid w:val="5FBD32D2"/>
    <w:rsid w:val="5FD450B0"/>
    <w:rsid w:val="5FDB26EF"/>
    <w:rsid w:val="5FEF60CD"/>
    <w:rsid w:val="5FF87BBC"/>
    <w:rsid w:val="5FFB203D"/>
    <w:rsid w:val="5FFB8CF9"/>
    <w:rsid w:val="60ED3A7C"/>
    <w:rsid w:val="60FB0B6F"/>
    <w:rsid w:val="62832BCA"/>
    <w:rsid w:val="62FA782A"/>
    <w:rsid w:val="63DBAF21"/>
    <w:rsid w:val="641F4B74"/>
    <w:rsid w:val="64A137DB"/>
    <w:rsid w:val="6636451A"/>
    <w:rsid w:val="66611474"/>
    <w:rsid w:val="66811B16"/>
    <w:rsid w:val="67B33F51"/>
    <w:rsid w:val="67DE80AA"/>
    <w:rsid w:val="686751A2"/>
    <w:rsid w:val="697E3B47"/>
    <w:rsid w:val="69BF132E"/>
    <w:rsid w:val="6A601CEC"/>
    <w:rsid w:val="6B272C8C"/>
    <w:rsid w:val="6B7F84D8"/>
    <w:rsid w:val="6BBF1117"/>
    <w:rsid w:val="6BC50863"/>
    <w:rsid w:val="6BFEE5F3"/>
    <w:rsid w:val="6CAFF34E"/>
    <w:rsid w:val="6CFFCF4F"/>
    <w:rsid w:val="6D001A9B"/>
    <w:rsid w:val="6D604233"/>
    <w:rsid w:val="6D854B47"/>
    <w:rsid w:val="6D965EA7"/>
    <w:rsid w:val="6DFFF8B6"/>
    <w:rsid w:val="6E9FE641"/>
    <w:rsid w:val="6EEDE807"/>
    <w:rsid w:val="6EEE4BE4"/>
    <w:rsid w:val="6EF65E9C"/>
    <w:rsid w:val="6F3D33C4"/>
    <w:rsid w:val="6F3D9197"/>
    <w:rsid w:val="6F6F75B6"/>
    <w:rsid w:val="6F832227"/>
    <w:rsid w:val="6F8952B2"/>
    <w:rsid w:val="6FAB3EC4"/>
    <w:rsid w:val="6FB6AF41"/>
    <w:rsid w:val="6FD52DA7"/>
    <w:rsid w:val="6FD894C8"/>
    <w:rsid w:val="6FE36A9E"/>
    <w:rsid w:val="6FEFB2D1"/>
    <w:rsid w:val="6FFF97E6"/>
    <w:rsid w:val="703F2826"/>
    <w:rsid w:val="70512559"/>
    <w:rsid w:val="7101188A"/>
    <w:rsid w:val="711D243B"/>
    <w:rsid w:val="71397E03"/>
    <w:rsid w:val="717633E2"/>
    <w:rsid w:val="718D75C1"/>
    <w:rsid w:val="71F413EE"/>
    <w:rsid w:val="71FB5B08"/>
    <w:rsid w:val="72035AD5"/>
    <w:rsid w:val="727918F3"/>
    <w:rsid w:val="733978DB"/>
    <w:rsid w:val="73FB6A64"/>
    <w:rsid w:val="73FB87D9"/>
    <w:rsid w:val="750C5B8F"/>
    <w:rsid w:val="75283A4A"/>
    <w:rsid w:val="75B415C0"/>
    <w:rsid w:val="75EF0FBA"/>
    <w:rsid w:val="7607C293"/>
    <w:rsid w:val="7660577F"/>
    <w:rsid w:val="76793C4E"/>
    <w:rsid w:val="767B0EE7"/>
    <w:rsid w:val="76DF783A"/>
    <w:rsid w:val="76DFA4E8"/>
    <w:rsid w:val="771F844E"/>
    <w:rsid w:val="77316C41"/>
    <w:rsid w:val="778720BD"/>
    <w:rsid w:val="77A7D615"/>
    <w:rsid w:val="77FF366A"/>
    <w:rsid w:val="77FF8C96"/>
    <w:rsid w:val="77FFA8F9"/>
    <w:rsid w:val="79004B1D"/>
    <w:rsid w:val="79295E21"/>
    <w:rsid w:val="792C5912"/>
    <w:rsid w:val="7976604B"/>
    <w:rsid w:val="79F3BC78"/>
    <w:rsid w:val="7A5B6CAA"/>
    <w:rsid w:val="7A9314AC"/>
    <w:rsid w:val="7B4F6850"/>
    <w:rsid w:val="7B694BFB"/>
    <w:rsid w:val="7BABD5C4"/>
    <w:rsid w:val="7BB12055"/>
    <w:rsid w:val="7BBFADBA"/>
    <w:rsid w:val="7BF7F9C6"/>
    <w:rsid w:val="7BFF492D"/>
    <w:rsid w:val="7C631402"/>
    <w:rsid w:val="7C978C63"/>
    <w:rsid w:val="7CA35AD0"/>
    <w:rsid w:val="7CAB7576"/>
    <w:rsid w:val="7CDF8BC3"/>
    <w:rsid w:val="7CEB72A5"/>
    <w:rsid w:val="7D18750B"/>
    <w:rsid w:val="7DD3467B"/>
    <w:rsid w:val="7DDFDC39"/>
    <w:rsid w:val="7DFDEECD"/>
    <w:rsid w:val="7E140770"/>
    <w:rsid w:val="7E5D92FB"/>
    <w:rsid w:val="7E635AE7"/>
    <w:rsid w:val="7EC87E8B"/>
    <w:rsid w:val="7EF51D64"/>
    <w:rsid w:val="7EFFF488"/>
    <w:rsid w:val="7F574612"/>
    <w:rsid w:val="7F7F4920"/>
    <w:rsid w:val="7F9D05A9"/>
    <w:rsid w:val="7FB7C299"/>
    <w:rsid w:val="7FBFFB92"/>
    <w:rsid w:val="7FD76ACB"/>
    <w:rsid w:val="7FD89DA2"/>
    <w:rsid w:val="7FDBD805"/>
    <w:rsid w:val="7FDEC14D"/>
    <w:rsid w:val="7FDF8B76"/>
    <w:rsid w:val="7FDFE693"/>
    <w:rsid w:val="7FE231CE"/>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7F3FF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6BEF9AB"/>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D5427"/>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AF540A"/>
    <w:rsid w:val="FFB75E44"/>
    <w:rsid w:val="FFBB1E09"/>
    <w:rsid w:val="FFBB6A0C"/>
    <w:rsid w:val="FFBD894B"/>
    <w:rsid w:val="FFBF33B3"/>
    <w:rsid w:val="FFD09362"/>
    <w:rsid w:val="FFD1DA08"/>
    <w:rsid w:val="FFD54B8A"/>
    <w:rsid w:val="FFD7DEDD"/>
    <w:rsid w:val="FFDE369F"/>
    <w:rsid w:val="FFEF98C9"/>
    <w:rsid w:val="FFEFCE62"/>
    <w:rsid w:val="FFF973B0"/>
    <w:rsid w:val="FFFB4F05"/>
    <w:rsid w:val="FFFEC8F5"/>
    <w:rsid w:val="FFFEFE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beforeLines="50" w:line="360" w:lineRule="auto"/>
      <w:ind w:firstLine="480" w:firstLineChars="200"/>
    </w:pPr>
    <w:rPr>
      <w:rFonts w:eastAsia="仿宋"/>
      <w:sz w:val="24"/>
      <w:szCs w:val="23"/>
      <w:lang w:eastAsia="ar-SA"/>
    </w:rPr>
  </w:style>
  <w:style w:type="paragraph" w:styleId="3">
    <w:name w:val="Document Map"/>
    <w:basedOn w:val="1"/>
    <w:link w:val="18"/>
    <w:qFormat/>
    <w:uiPriority w:val="0"/>
    <w:rPr>
      <w:rFonts w:ascii="宋体" w:eastAsia="宋体"/>
      <w:sz w:val="18"/>
      <w:szCs w:val="18"/>
    </w:rPr>
  </w:style>
  <w:style w:type="paragraph" w:styleId="4">
    <w:name w:val="Body Text"/>
    <w:basedOn w:val="1"/>
    <w:qFormat/>
    <w:uiPriority w:val="0"/>
    <w:pPr>
      <w:spacing w:after="120"/>
    </w:pPr>
  </w:style>
  <w:style w:type="paragraph" w:styleId="5">
    <w:name w:val="Body Text Indent"/>
    <w:basedOn w:val="1"/>
    <w:qFormat/>
    <w:uiPriority w:val="0"/>
    <w:pPr>
      <w:spacing w:after="120"/>
      <w:ind w:left="200" w:leftChars="200"/>
    </w:pPr>
    <w:rPr>
      <w:rFonts w:ascii="仿宋_GB2312"/>
      <w:szCs w:val="32"/>
    </w:rPr>
  </w:style>
  <w:style w:type="paragraph" w:styleId="6">
    <w:name w:val="Balloon Text"/>
    <w:basedOn w:val="1"/>
    <w:semiHidden/>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rFonts w:eastAsia="宋体"/>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toc 1"/>
    <w:basedOn w:val="1"/>
    <w:next w:val="1"/>
    <w:qFormat/>
    <w:uiPriority w:val="0"/>
  </w:style>
  <w:style w:type="paragraph" w:styleId="10">
    <w:name w:val="Body Text First Indent 2"/>
    <w:basedOn w:val="5"/>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paragraph" w:customStyle="1" w:styleId="15">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6">
    <w:name w:val="四号正文"/>
    <w:basedOn w:val="1"/>
    <w:link w:val="17"/>
    <w:qFormat/>
    <w:uiPriority w:val="0"/>
    <w:pPr>
      <w:spacing w:line="360" w:lineRule="auto"/>
    </w:pPr>
    <w:rPr>
      <w:rFonts w:ascii="??" w:hAnsi="??" w:eastAsia="宋体" w:cs="宋体"/>
      <w:color w:val="000000"/>
      <w:kern w:val="0"/>
      <w:sz w:val="28"/>
      <w:szCs w:val="21"/>
    </w:rPr>
  </w:style>
  <w:style w:type="character" w:customStyle="1" w:styleId="17">
    <w:name w:val="四号正文 Char"/>
    <w:basedOn w:val="13"/>
    <w:link w:val="16"/>
    <w:qFormat/>
    <w:uiPriority w:val="0"/>
    <w:rPr>
      <w:rFonts w:ascii="??" w:hAnsi="??" w:eastAsia="宋体" w:cs="宋体"/>
      <w:color w:val="000000"/>
      <w:sz w:val="28"/>
      <w:szCs w:val="21"/>
      <w:lang w:val="en-US" w:eastAsia="zh-CN" w:bidi="ar-SA"/>
    </w:rPr>
  </w:style>
  <w:style w:type="character" w:customStyle="1" w:styleId="18">
    <w:name w:val="文档结构图 Char"/>
    <w:basedOn w:val="13"/>
    <w:link w:val="3"/>
    <w:qFormat/>
    <w:uiPriority w:val="0"/>
    <w:rPr>
      <w:rFonts w:ascii="宋体"/>
      <w:kern w:val="2"/>
      <w:sz w:val="18"/>
      <w:szCs w:val="18"/>
    </w:rPr>
  </w:style>
  <w:style w:type="paragraph" w:customStyle="1" w:styleId="19">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0">
    <w:name w:val="页脚 Char"/>
    <w:basedOn w:val="13"/>
    <w:link w:val="7"/>
    <w:qFormat/>
    <w:uiPriority w:val="99"/>
    <w:rPr>
      <w:kern w:val="2"/>
      <w:sz w:val="18"/>
      <w:szCs w:val="18"/>
    </w:rPr>
  </w:style>
  <w:style w:type="character" w:customStyle="1" w:styleId="21">
    <w:name w:val="font31"/>
    <w:basedOn w:val="13"/>
    <w:qFormat/>
    <w:uiPriority w:val="0"/>
    <w:rPr>
      <w:rFonts w:hint="eastAsia" w:ascii="宋体" w:hAnsi="宋体" w:eastAsia="宋体" w:cs="宋体"/>
      <w:color w:val="000000"/>
      <w:sz w:val="24"/>
      <w:szCs w:val="24"/>
      <w:u w:val="none"/>
    </w:rPr>
  </w:style>
  <w:style w:type="character" w:customStyle="1" w:styleId="22">
    <w:name w:val="font51"/>
    <w:basedOn w:val="13"/>
    <w:qFormat/>
    <w:uiPriority w:val="0"/>
    <w:rPr>
      <w:rFonts w:hint="default" w:ascii="Wingdings 2" w:hAnsi="Wingdings 2" w:eastAsia="Wingdings 2" w:cs="Wingdings 2"/>
      <w:color w:val="000000"/>
      <w:sz w:val="18"/>
      <w:szCs w:val="18"/>
      <w:u w:val="none"/>
    </w:rPr>
  </w:style>
  <w:style w:type="character" w:customStyle="1" w:styleId="23">
    <w:name w:val="font01"/>
    <w:basedOn w:val="13"/>
    <w:qFormat/>
    <w:uiPriority w:val="0"/>
    <w:rPr>
      <w:rFonts w:ascii="宋体" w:hAnsi="宋体" w:eastAsia="宋体" w:cs="宋体"/>
      <w:color w:val="000000"/>
      <w:sz w:val="18"/>
      <w:szCs w:val="18"/>
      <w:u w:val="none"/>
    </w:rPr>
  </w:style>
  <w:style w:type="character" w:customStyle="1" w:styleId="24">
    <w:name w:val="font41"/>
    <w:basedOn w:val="13"/>
    <w:qFormat/>
    <w:uiPriority w:val="0"/>
    <w:rPr>
      <w:rFonts w:ascii="宋体" w:hAnsi="宋体" w:eastAsia="宋体" w:cs="宋体"/>
      <w:color w:val="000000"/>
      <w:sz w:val="18"/>
      <w:szCs w:val="18"/>
      <w:u w:val="none"/>
    </w:rPr>
  </w:style>
  <w:style w:type="character" w:customStyle="1" w:styleId="25">
    <w:name w:val="font11"/>
    <w:qFormat/>
    <w:uiPriority w:val="0"/>
    <w:rPr>
      <w:rFonts w:hint="eastAsia" w:ascii="宋体" w:hAnsi="宋体" w:eastAsia="宋体" w:cs="宋体"/>
      <w:b/>
      <w:bCs/>
      <w:color w:val="000000"/>
      <w:sz w:val="21"/>
      <w:szCs w:val="21"/>
      <w:u w:val="none"/>
    </w:rPr>
  </w:style>
  <w:style w:type="character" w:customStyle="1" w:styleId="26">
    <w:name w:val="font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PSZX</Company>
  <Pages>9</Pages>
  <Words>4179</Words>
  <Characters>4582</Characters>
  <Lines>20</Lines>
  <Paragraphs>5</Paragraphs>
  <TotalTime>8</TotalTime>
  <ScaleCrop>false</ScaleCrop>
  <LinksUpToDate>false</LinksUpToDate>
  <CharactersWithSpaces>4585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2019-06-02T11:06:00Z</dcterms:created>
  <dc:creator>陈萍</dc:creator>
  <cp:lastModifiedBy>沐晴つ</cp:lastModifiedBy>
  <cp:lastPrinted>2026-05-21T07:50:00Z</cp:lastPrinted>
  <dcterms:modified xsi:type="dcterms:W3CDTF">2026-07-28T09:53:43Z</dcterms:modified>
  <dc:title>区域性就业培训基地建设项目</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A57FBCC6C7AA48A1ACF7008388814D0A_13</vt:lpwstr>
  </property>
  <property fmtid="{D5CDD505-2E9C-101B-9397-08002B2CF9AE}" pid="4" name="KSOTemplateDocerSaveRecord">
    <vt:lpwstr>eyJoZGlkIjoiM2Y2MjgwOThiZTJhZWRmZTFkYTQ3ZTIxMjA3ZjNiYmEiLCJ1c2VySWQiOiI3NTgwODA2OTQifQ==</vt:lpwstr>
  </property>
</Properties>
</file>