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contextualSpacing/>
        <w:textAlignment w:val="auto"/>
        <w:rPr>
          <w:rFonts w:eastAsia="黑体"/>
          <w:szCs w:val="32"/>
          <w:lang w:val="zh-CN"/>
        </w:rPr>
      </w:pPr>
      <w:r>
        <w:rPr>
          <w:rFonts w:eastAsia="黑体"/>
          <w:szCs w:val="32"/>
          <w:lang w:val="zh-CN"/>
        </w:rPr>
        <w:t>附件</w:t>
      </w:r>
      <w:r>
        <w:rPr>
          <w:rFonts w:hint="eastAsia" w:eastAsia="黑体"/>
          <w:szCs w:val="32"/>
        </w:rPr>
        <w:t>2</w:t>
      </w:r>
    </w:p>
    <w:p>
      <w:pPr>
        <w:keepNext w:val="0"/>
        <w:keepLines w:val="0"/>
        <w:pageBreakBefore w:val="0"/>
        <w:widowControl/>
        <w:kinsoku/>
        <w:wordWrap/>
        <w:overflowPunct/>
        <w:topLinePunct w:val="0"/>
        <w:autoSpaceDE/>
        <w:autoSpaceDN/>
        <w:bidi w:val="0"/>
        <w:spacing w:line="560" w:lineRule="exact"/>
        <w:contextualSpacing/>
        <w:jc w:val="left"/>
        <w:textAlignment w:val="auto"/>
        <w:rPr>
          <w:rFonts w:eastAsia="宋体"/>
          <w:b/>
          <w:sz w:val="44"/>
          <w:szCs w:val="44"/>
          <w:shd w:val="clear" w:color="auto" w:fill="FFFFFF"/>
        </w:rPr>
      </w:pP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eastAsia="方正小标宋简体"/>
          <w:bCs/>
          <w:sz w:val="44"/>
          <w:szCs w:val="44"/>
          <w:shd w:val="clear" w:color="auto" w:fill="FFFFFF"/>
        </w:rPr>
      </w:pPr>
      <w:bookmarkStart w:id="1" w:name="_GoBack"/>
      <w:r>
        <w:rPr>
          <w:rFonts w:hint="eastAsia" w:eastAsia="方正小标宋简体"/>
          <w:bCs/>
          <w:sz w:val="44"/>
          <w:szCs w:val="44"/>
          <w:shd w:val="clear" w:color="auto" w:fill="FFFFFF"/>
          <w:lang w:eastAsia="zh-CN"/>
        </w:rPr>
        <w:t>壤塘县卫生健康局</w:t>
      </w:r>
      <w:r>
        <w:rPr>
          <w:rFonts w:hint="eastAsia" w:eastAsia="方正小标宋简体"/>
          <w:bCs/>
          <w:sz w:val="44"/>
          <w:szCs w:val="44"/>
          <w:shd w:val="clear" w:color="auto" w:fill="FFFFFF"/>
          <w:lang w:val="en-US" w:eastAsia="zh-CN"/>
        </w:rPr>
        <w:t>2025年</w:t>
      </w:r>
      <w:r>
        <w:rPr>
          <w:rFonts w:eastAsia="方正小标宋简体"/>
          <w:bCs/>
          <w:sz w:val="44"/>
          <w:szCs w:val="44"/>
          <w:shd w:val="clear" w:color="auto" w:fill="FFFFFF"/>
        </w:rPr>
        <w:t>预算绩效</w:t>
      </w: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eastAsia="方正小标宋简体"/>
          <w:bCs/>
          <w:sz w:val="44"/>
          <w:szCs w:val="44"/>
          <w:shd w:val="clear" w:color="auto" w:fill="FFFFFF"/>
        </w:rPr>
      </w:pP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bookmarkEnd w:id="1"/>
    <w:p>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rPr>
          <w:rFonts w:eastAsia="黑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szCs w:val="32"/>
        </w:rPr>
      </w:pPr>
      <w:r>
        <w:rPr>
          <w:rFonts w:eastAsia="黑体"/>
          <w:color w:val="000000"/>
          <w:kern w:val="0"/>
          <w:szCs w:val="32"/>
          <w:shd w:val="clear" w:color="auto" w:fill="FFFFFF"/>
          <w:lang w:val="zh-CN"/>
        </w:rPr>
        <w:t>一、部门（单位）基本情况</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szCs w:val="32"/>
        </w:rPr>
      </w:pPr>
      <w:r>
        <w:rPr>
          <w:rFonts w:eastAsia="楷体_GB2312"/>
          <w:b/>
          <w:bCs/>
          <w:color w:val="000000"/>
          <w:kern w:val="0"/>
          <w:szCs w:val="32"/>
          <w:shd w:val="clear" w:color="auto" w:fill="FFFFFF"/>
          <w:lang w:val="zh-CN"/>
        </w:rPr>
        <w:t>（一）机构组成。</w:t>
      </w:r>
      <w:r>
        <w:rPr>
          <w:rFonts w:hint="eastAsia"/>
          <w:szCs w:val="32"/>
          <w:lang w:val="zh-CN"/>
        </w:rPr>
        <w:t>壤塘县卫生健康局</w:t>
      </w:r>
      <w:r>
        <w:rPr>
          <w:szCs w:val="32"/>
        </w:rPr>
        <w:t>内设</w:t>
      </w:r>
      <w:r>
        <w:rPr>
          <w:rFonts w:hint="eastAsia"/>
          <w:szCs w:val="32"/>
          <w:lang w:eastAsia="zh-CN"/>
        </w:rPr>
        <w:t>办公室、基建股、规财股、卫生股、计生股、人事股。</w:t>
      </w:r>
    </w:p>
    <w:p>
      <w:pPr>
        <w:pStyle w:val="26"/>
        <w:keepNext w:val="0"/>
        <w:keepLines w:val="0"/>
        <w:pageBreakBefore w:val="0"/>
        <w:widowControl w:val="0"/>
        <w:kinsoku/>
        <w:wordWrap/>
        <w:overflowPunct/>
        <w:topLinePunct w:val="0"/>
        <w:autoSpaceDE/>
        <w:autoSpaceDN/>
        <w:bidi w:val="0"/>
        <w:spacing w:before="0" w:line="560" w:lineRule="exact"/>
        <w:ind w:firstLine="590" w:firstLineChars="196"/>
        <w:textAlignment w:val="auto"/>
        <w:rPr>
          <w:rFonts w:cs="Times New Roman"/>
          <w:bCs/>
          <w:sz w:val="32"/>
          <w:szCs w:val="32"/>
        </w:rPr>
      </w:pPr>
      <w:r>
        <w:rPr>
          <w:rFonts w:eastAsia="楷体_GB2312"/>
          <w:b/>
          <w:bCs/>
          <w:color w:val="000000"/>
          <w:kern w:val="0"/>
          <w:szCs w:val="32"/>
          <w:shd w:val="clear" w:color="auto" w:fill="FFFFFF"/>
          <w:lang w:val="zh-CN"/>
        </w:rPr>
        <w:t>（二）</w:t>
      </w:r>
      <w:r>
        <w:rPr>
          <w:rFonts w:ascii="Times New Roman" w:hAnsi="Times New Roman" w:eastAsia="楷体_GB2312" w:cs="Times New Roman"/>
          <w:b/>
          <w:bCs/>
          <w:color w:val="000000"/>
          <w:kern w:val="0"/>
          <w:sz w:val="32"/>
          <w:szCs w:val="32"/>
          <w:shd w:val="clear" w:color="auto" w:fill="FFFFFF"/>
          <w:lang w:val="zh-CN" w:eastAsia="zh-CN" w:bidi="ar-SA"/>
        </w:rPr>
        <w:t>机构职能。</w:t>
      </w:r>
      <w:r>
        <w:rPr>
          <w:rFonts w:hint="eastAsia" w:cs="Times New Roman"/>
          <w:bCs/>
          <w:sz w:val="32"/>
          <w:szCs w:val="32"/>
        </w:rPr>
        <w:t>1.贯彻执行党和国家关于卫生计生工作的方针、政策、法律、法规以及省、州、</w:t>
      </w:r>
      <w:r>
        <w:rPr>
          <w:rFonts w:cs="Times New Roman"/>
          <w:bCs/>
          <w:sz w:val="32"/>
          <w:szCs w:val="32"/>
        </w:rPr>
        <w:t>县</w:t>
      </w:r>
      <w:r>
        <w:rPr>
          <w:rFonts w:hint="eastAsia" w:cs="Times New Roman"/>
          <w:bCs/>
          <w:sz w:val="32"/>
          <w:szCs w:val="32"/>
        </w:rPr>
        <w:t>关于卫生计生工作的决策部署，制定全县卫生计生事业发展规划，统筹规划全县卫生计生资源配置，指导全县卫生计生工作。</w:t>
      </w:r>
    </w:p>
    <w:p>
      <w:pPr>
        <w:pStyle w:val="26"/>
        <w:keepNext w:val="0"/>
        <w:keepLines w:val="0"/>
        <w:pageBreakBefore w:val="0"/>
        <w:widowControl w:val="0"/>
        <w:kinsoku/>
        <w:wordWrap/>
        <w:overflowPunct/>
        <w:topLinePunct w:val="0"/>
        <w:autoSpaceDE/>
        <w:autoSpaceDN/>
        <w:bidi w:val="0"/>
        <w:spacing w:before="0" w:line="560" w:lineRule="exact"/>
        <w:ind w:firstLine="627" w:firstLineChars="196"/>
        <w:textAlignment w:val="auto"/>
        <w:rPr>
          <w:rFonts w:cs="Times New Roman"/>
          <w:bCs/>
          <w:sz w:val="32"/>
          <w:szCs w:val="32"/>
        </w:rPr>
      </w:pPr>
      <w:r>
        <w:rPr>
          <w:rFonts w:hint="eastAsia" w:cs="Times New Roman"/>
          <w:bCs/>
          <w:sz w:val="32"/>
          <w:szCs w:val="32"/>
        </w:rPr>
        <w:t>2.贯彻实施党和国家医药卫生体制改革政策和国家药物政策及国家基本药物制度，执行国家基本药物目录以及我省药品增补目录，执行基本药物采购、配送、使用的政策措施。贯彻中西医并重的方针，发展我县中藏医事业。</w:t>
      </w:r>
    </w:p>
    <w:p>
      <w:pPr>
        <w:pStyle w:val="26"/>
        <w:keepNext w:val="0"/>
        <w:keepLines w:val="0"/>
        <w:pageBreakBefore w:val="0"/>
        <w:widowControl w:val="0"/>
        <w:kinsoku/>
        <w:wordWrap/>
        <w:overflowPunct/>
        <w:topLinePunct w:val="0"/>
        <w:autoSpaceDE/>
        <w:autoSpaceDN/>
        <w:bidi w:val="0"/>
        <w:spacing w:before="0" w:line="560" w:lineRule="exact"/>
        <w:ind w:firstLine="627" w:firstLineChars="196"/>
        <w:textAlignment w:val="auto"/>
        <w:rPr>
          <w:rFonts w:cs="Times New Roman"/>
          <w:bCs/>
          <w:sz w:val="32"/>
          <w:szCs w:val="32"/>
        </w:rPr>
      </w:pPr>
      <w:r>
        <w:rPr>
          <w:rFonts w:hint="eastAsia" w:cs="Times New Roman"/>
          <w:bCs/>
          <w:sz w:val="32"/>
          <w:szCs w:val="32"/>
        </w:rPr>
        <w:t>3.贯彻实施职责范围内的职业卫生、放射卫生、环境卫生、学校卫生、公共场所卫生、饮用水卫生管理规范、标准和政策措施，组织开展相关监测、调查、评估和监督。</w:t>
      </w:r>
    </w:p>
    <w:p>
      <w:pPr>
        <w:pStyle w:val="26"/>
        <w:keepNext w:val="0"/>
        <w:keepLines w:val="0"/>
        <w:pageBreakBefore w:val="0"/>
        <w:widowControl w:val="0"/>
        <w:kinsoku/>
        <w:wordWrap/>
        <w:overflowPunct/>
        <w:topLinePunct w:val="0"/>
        <w:autoSpaceDE/>
        <w:autoSpaceDN/>
        <w:bidi w:val="0"/>
        <w:spacing w:before="0" w:line="560" w:lineRule="exact"/>
        <w:ind w:firstLine="627" w:firstLineChars="196"/>
        <w:textAlignment w:val="auto"/>
        <w:rPr>
          <w:rFonts w:cs="Times New Roman"/>
          <w:bCs/>
          <w:sz w:val="32"/>
          <w:szCs w:val="32"/>
        </w:rPr>
      </w:pPr>
      <w:r>
        <w:rPr>
          <w:rFonts w:hint="eastAsia" w:cs="Times New Roman"/>
          <w:bCs/>
          <w:sz w:val="32"/>
          <w:szCs w:val="32"/>
        </w:rPr>
        <w:t>4.负责制定全县卫生应急预案、突发公共卫生事件监测和风险评估，组织和指导全县突发公共卫生事件预防控制和各类突发公共事件的医疗卫生救援。</w:t>
      </w:r>
    </w:p>
    <w:p>
      <w:pPr>
        <w:pStyle w:val="26"/>
        <w:keepNext w:val="0"/>
        <w:keepLines w:val="0"/>
        <w:pageBreakBefore w:val="0"/>
        <w:widowControl w:val="0"/>
        <w:kinsoku/>
        <w:wordWrap/>
        <w:overflowPunct/>
        <w:topLinePunct w:val="0"/>
        <w:autoSpaceDE/>
        <w:autoSpaceDN/>
        <w:bidi w:val="0"/>
        <w:spacing w:before="0" w:line="560" w:lineRule="exact"/>
        <w:ind w:firstLine="627" w:firstLineChars="196"/>
        <w:textAlignment w:val="auto"/>
        <w:rPr>
          <w:rFonts w:cs="Times New Roman"/>
          <w:bCs/>
          <w:sz w:val="32"/>
          <w:szCs w:val="32"/>
        </w:rPr>
      </w:pPr>
      <w:r>
        <w:rPr>
          <w:rFonts w:hint="eastAsia" w:cs="Times New Roman"/>
          <w:bCs/>
          <w:sz w:val="32"/>
          <w:szCs w:val="32"/>
        </w:rPr>
        <w:t>5.组织实施促进全县出生人口性别平衡的政策措施，组织监测计划生育发展动态，负责全县计划生育相关数据采集和分析研究，提出发布计划生育安全预警预报信息建议，制定计划生育技术服务管理制度并监督实施，制定优生优育和提高出生人口素质的政策措施并组织实施，推动实施计划生育生殖健康促进计划，降低出生缺陷人口数量。</w:t>
      </w:r>
    </w:p>
    <w:p>
      <w:pPr>
        <w:pStyle w:val="26"/>
        <w:keepNext w:val="0"/>
        <w:keepLines w:val="0"/>
        <w:pageBreakBefore w:val="0"/>
        <w:widowControl w:val="0"/>
        <w:kinsoku/>
        <w:wordWrap/>
        <w:overflowPunct/>
        <w:topLinePunct w:val="0"/>
        <w:autoSpaceDE/>
        <w:autoSpaceDN/>
        <w:bidi w:val="0"/>
        <w:spacing w:before="0" w:line="560" w:lineRule="exact"/>
        <w:ind w:firstLine="627" w:firstLineChars="196"/>
        <w:textAlignment w:val="auto"/>
        <w:rPr>
          <w:rFonts w:cs="Times New Roman"/>
          <w:bCs/>
          <w:sz w:val="32"/>
          <w:szCs w:val="32"/>
        </w:rPr>
      </w:pPr>
      <w:r>
        <w:rPr>
          <w:rFonts w:hint="eastAsia" w:cs="Times New Roman"/>
          <w:bCs/>
          <w:sz w:val="32"/>
          <w:szCs w:val="32"/>
        </w:rPr>
        <w:t>6.实施“三项制度”，组织建立计划生育利益导向、计划生育特殊困难家庭扶助和促进计划生育家庭发展等机制，负责协调推进有关部门、群众团体履行计划生育工作相关职责，建立与经济社会发展政策的衔接机制，提出稳定低生育水平政策措施。</w:t>
      </w:r>
    </w:p>
    <w:p>
      <w:pPr>
        <w:pStyle w:val="26"/>
        <w:keepNext w:val="0"/>
        <w:keepLines w:val="0"/>
        <w:pageBreakBefore w:val="0"/>
        <w:widowControl w:val="0"/>
        <w:kinsoku/>
        <w:wordWrap/>
        <w:overflowPunct/>
        <w:topLinePunct w:val="0"/>
        <w:autoSpaceDE/>
        <w:autoSpaceDN/>
        <w:bidi w:val="0"/>
        <w:spacing w:before="0" w:line="560" w:lineRule="exact"/>
        <w:ind w:firstLine="627" w:firstLineChars="196"/>
        <w:textAlignment w:val="auto"/>
        <w:rPr>
          <w:rFonts w:cs="Times New Roman"/>
          <w:bCs/>
          <w:sz w:val="32"/>
          <w:szCs w:val="32"/>
        </w:rPr>
      </w:pPr>
      <w:r>
        <w:rPr>
          <w:rFonts w:hint="eastAsia" w:cs="Times New Roman"/>
          <w:bCs/>
          <w:sz w:val="32"/>
          <w:szCs w:val="32"/>
        </w:rPr>
        <w:t>7.制定我县实施流动人口计划生育服务管理制度并组织落实，推动建立流动人口卫生计生信息共享与公共服务工作机制。</w:t>
      </w:r>
    </w:p>
    <w:p>
      <w:pPr>
        <w:pStyle w:val="26"/>
        <w:keepNext w:val="0"/>
        <w:keepLines w:val="0"/>
        <w:pageBreakBefore w:val="0"/>
        <w:widowControl w:val="0"/>
        <w:kinsoku/>
        <w:wordWrap/>
        <w:overflowPunct/>
        <w:topLinePunct w:val="0"/>
        <w:autoSpaceDE/>
        <w:autoSpaceDN/>
        <w:bidi w:val="0"/>
        <w:spacing w:before="0" w:line="560" w:lineRule="exact"/>
        <w:ind w:firstLine="627" w:firstLineChars="196"/>
        <w:textAlignment w:val="auto"/>
        <w:rPr>
          <w:rFonts w:cs="Times New Roman"/>
          <w:bCs/>
          <w:sz w:val="32"/>
          <w:szCs w:val="32"/>
        </w:rPr>
      </w:pPr>
      <w:r>
        <w:rPr>
          <w:rFonts w:hint="eastAsia" w:cs="Times New Roman"/>
          <w:bCs/>
          <w:sz w:val="32"/>
          <w:szCs w:val="32"/>
        </w:rPr>
        <w:t>8.负责组织拟订并实施基层卫生和妇幼卫生、计划生育服务发展规划和政策措施，指导全县基层卫生和妇幼卫生、计划生育服务体系建设，推进基本公共卫生计生服务均等化，完善乡村医生管理制度。</w:t>
      </w:r>
    </w:p>
    <w:p>
      <w:pPr>
        <w:pStyle w:val="26"/>
        <w:keepNext w:val="0"/>
        <w:keepLines w:val="0"/>
        <w:pageBreakBefore w:val="0"/>
        <w:widowControl w:val="0"/>
        <w:kinsoku/>
        <w:wordWrap/>
        <w:overflowPunct/>
        <w:topLinePunct w:val="0"/>
        <w:autoSpaceDE/>
        <w:autoSpaceDN/>
        <w:bidi w:val="0"/>
        <w:spacing w:before="0" w:line="560" w:lineRule="exact"/>
        <w:ind w:firstLine="627" w:firstLineChars="196"/>
        <w:textAlignment w:val="auto"/>
        <w:rPr>
          <w:rFonts w:cs="Times New Roman"/>
          <w:bCs/>
          <w:sz w:val="32"/>
          <w:szCs w:val="32"/>
        </w:rPr>
      </w:pPr>
      <w:r>
        <w:rPr>
          <w:rFonts w:hint="eastAsia" w:cs="Times New Roman"/>
          <w:bCs/>
          <w:sz w:val="32"/>
          <w:szCs w:val="32"/>
        </w:rPr>
        <w:t>9.组织实施全县医疗机构及医疗服务全行业管理办法及医疗服务、医疗技术、医疗质量、医疗安全管的规范、标准，会同有关部门贯彻执行国家卫生计生专业技术人员准入、资格标准。制定和实施卫生计生专业技术人员执业规则和服务规范，建立医疗服务评价和监督管理体系。</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szCs w:val="32"/>
        </w:rPr>
      </w:pPr>
      <w:r>
        <w:rPr>
          <w:rFonts w:eastAsia="楷体_GB2312"/>
          <w:b/>
          <w:bCs/>
          <w:color w:val="000000"/>
          <w:kern w:val="0"/>
          <w:szCs w:val="32"/>
          <w:shd w:val="clear" w:color="auto" w:fill="FFFFFF"/>
          <w:lang w:val="zh-CN"/>
        </w:rPr>
        <w:t>（三）人员概况。</w:t>
      </w:r>
      <w:r>
        <w:rPr>
          <w:rFonts w:hint="eastAsia" w:ascii="Times New Roman" w:hAnsi="Times New Roman" w:eastAsia="仿宋_GB2312" w:cs="Times New Roman"/>
          <w:sz w:val="32"/>
          <w:szCs w:val="32"/>
        </w:rPr>
        <w:t>202</w:t>
      </w:r>
      <w:r>
        <w:rPr>
          <w:rFonts w:hint="eastAsia" w:ascii="Times New Roman" w:hAnsi="Times New Roman" w:cs="Times New Roman"/>
          <w:sz w:val="32"/>
          <w:szCs w:val="32"/>
          <w:lang w:val="en-US" w:eastAsia="zh-CN"/>
        </w:rPr>
        <w:t>5</w:t>
      </w:r>
      <w:r>
        <w:rPr>
          <w:rFonts w:hint="eastAsia" w:ascii="Times New Roman" w:hAnsi="Times New Roman" w:eastAsia="仿宋_GB2312" w:cs="Times New Roman"/>
          <w:sz w:val="32"/>
          <w:szCs w:val="32"/>
        </w:rPr>
        <w:t>年12月底职工人数</w:t>
      </w:r>
      <w:r>
        <w:rPr>
          <w:rFonts w:hint="eastAsia" w:cs="Times New Roman"/>
          <w:sz w:val="32"/>
          <w:szCs w:val="32"/>
          <w:lang w:val="en-US" w:eastAsia="zh-CN"/>
        </w:rPr>
        <w:t>27</w:t>
      </w:r>
      <w:r>
        <w:rPr>
          <w:rFonts w:hint="eastAsia" w:ascii="Times New Roman" w:hAnsi="Times New Roman" w:eastAsia="仿宋_GB2312" w:cs="Times New Roman"/>
          <w:sz w:val="32"/>
          <w:szCs w:val="32"/>
        </w:rPr>
        <w:t>人，其中：</w:t>
      </w:r>
      <w:r>
        <w:rPr>
          <w:rFonts w:hint="eastAsia" w:ascii="仿宋_GB2312" w:eastAsia="仿宋_GB2312"/>
          <w:sz w:val="32"/>
          <w:szCs w:val="32"/>
          <w:lang w:val="en-US" w:eastAsia="zh-CN"/>
        </w:rPr>
        <w:t>行政人员</w:t>
      </w:r>
      <w:r>
        <w:rPr>
          <w:rFonts w:hint="eastAsia" w:ascii="仿宋_GB2312"/>
          <w:sz w:val="32"/>
          <w:szCs w:val="32"/>
          <w:lang w:val="en-US" w:eastAsia="zh-CN"/>
        </w:rPr>
        <w:t>4</w:t>
      </w:r>
      <w:r>
        <w:rPr>
          <w:rFonts w:hint="eastAsia" w:ascii="仿宋_GB2312" w:eastAsia="仿宋_GB2312"/>
          <w:sz w:val="32"/>
          <w:szCs w:val="32"/>
          <w:lang w:val="en-US" w:eastAsia="zh-CN"/>
        </w:rPr>
        <w:t>人，参照公务员管理人员</w:t>
      </w:r>
      <w:r>
        <w:rPr>
          <w:rFonts w:hint="eastAsia" w:ascii="仿宋_GB2312"/>
          <w:sz w:val="32"/>
          <w:szCs w:val="32"/>
          <w:lang w:val="en-US" w:eastAsia="zh-CN"/>
        </w:rPr>
        <w:t>8</w:t>
      </w:r>
      <w:r>
        <w:rPr>
          <w:rFonts w:hint="eastAsia" w:ascii="仿宋_GB2312" w:eastAsia="仿宋_GB2312"/>
          <w:sz w:val="32"/>
          <w:szCs w:val="32"/>
          <w:lang w:val="en-US" w:eastAsia="zh-CN"/>
        </w:rPr>
        <w:t>人</w:t>
      </w:r>
      <w:r>
        <w:rPr>
          <w:rFonts w:hint="eastAsia" w:ascii="Times New Roman" w:hAnsi="Times New Roman" w:eastAsia="仿宋_GB2312" w:cs="Times New Roman"/>
          <w:sz w:val="32"/>
          <w:szCs w:val="32"/>
        </w:rPr>
        <w:t>，事业人员1</w:t>
      </w:r>
      <w:r>
        <w:rPr>
          <w:rFonts w:hint="eastAsia" w:cs="Times New Roman"/>
          <w:sz w:val="32"/>
          <w:szCs w:val="32"/>
          <w:lang w:val="en-US" w:eastAsia="zh-CN"/>
        </w:rPr>
        <w:t>2</w:t>
      </w:r>
      <w:r>
        <w:rPr>
          <w:rFonts w:hint="eastAsia" w:ascii="Times New Roman" w:hAnsi="Times New Roman" w:eastAsia="仿宋_GB2312" w:cs="Times New Roman"/>
          <w:sz w:val="32"/>
          <w:szCs w:val="32"/>
        </w:rPr>
        <w:t>人，机关工人2人，事业工人1人。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二、部门资金收支情况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szCs w:val="32"/>
          <w:lang w:val="en-US" w:eastAsia="zh-CN"/>
        </w:rPr>
      </w:pPr>
      <w:r>
        <w:rPr>
          <w:rFonts w:eastAsia="楷体_GB2312"/>
          <w:b/>
          <w:bCs/>
          <w:color w:val="000000"/>
          <w:kern w:val="0"/>
          <w:szCs w:val="32"/>
          <w:shd w:val="clear" w:color="auto" w:fill="FFFFFF"/>
          <w:lang w:val="zh-CN"/>
        </w:rPr>
        <w:t>（一）收入情况。</w:t>
      </w:r>
      <w:r>
        <w:rPr>
          <w:rFonts w:ascii="Times New Roman" w:hAnsi="Times New Roman" w:cs="Times New Roman"/>
          <w:szCs w:val="32"/>
        </w:rPr>
        <w:t>202</w:t>
      </w:r>
      <w:r>
        <w:rPr>
          <w:rFonts w:hint="eastAsia" w:ascii="Times New Roman" w:hAnsi="Times New Roman" w:cs="Times New Roman"/>
          <w:szCs w:val="32"/>
        </w:rPr>
        <w:t>5</w:t>
      </w:r>
      <w:r>
        <w:rPr>
          <w:szCs w:val="32"/>
        </w:rPr>
        <w:t>年年初预算收入</w:t>
      </w:r>
      <w:r>
        <w:rPr>
          <w:rFonts w:hint="eastAsia"/>
          <w:szCs w:val="32"/>
          <w:lang w:val="en-US" w:eastAsia="zh-CN"/>
        </w:rPr>
        <w:t>49287204.61元。其中一般公共预算财政拨款收入27287204.61元，政府性基金预算财政拨款收入22000000元。</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both"/>
        <w:textAlignment w:val="auto"/>
        <w:rPr>
          <w:szCs w:val="32"/>
          <w:lang w:val="en-US" w:eastAsia="zh-CN"/>
        </w:rPr>
      </w:pPr>
      <w:r>
        <w:rPr>
          <w:rFonts w:eastAsia="楷体_GB2312"/>
          <w:b/>
          <w:bCs/>
          <w:color w:val="000000"/>
          <w:kern w:val="0"/>
          <w:szCs w:val="32"/>
          <w:shd w:val="clear" w:color="auto" w:fill="FFFFFF"/>
          <w:lang w:val="zh-CN"/>
        </w:rPr>
        <w:t>（二）支出情况。</w:t>
      </w:r>
      <w:r>
        <w:rPr>
          <w:szCs w:val="32"/>
        </w:rPr>
        <w:t>202</w:t>
      </w:r>
      <w:r>
        <w:rPr>
          <w:rFonts w:hint="eastAsia"/>
          <w:szCs w:val="32"/>
        </w:rPr>
        <w:t>5</w:t>
      </w:r>
      <w:r>
        <w:rPr>
          <w:szCs w:val="32"/>
        </w:rPr>
        <w:t>年支</w:t>
      </w:r>
      <w:r>
        <w:rPr>
          <w:rFonts w:hint="eastAsia"/>
          <w:szCs w:val="32"/>
          <w:lang w:eastAsia="zh-CN"/>
        </w:rPr>
        <w:t>出</w:t>
      </w:r>
      <w:r>
        <w:rPr>
          <w:rFonts w:hint="eastAsia"/>
          <w:szCs w:val="32"/>
          <w:lang w:val="en-US" w:eastAsia="zh-CN"/>
        </w:rPr>
        <w:t>49287204.61元。其中项目支出41417990.92元，基本支出7869213.69元</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（三）</w:t>
      </w:r>
      <w:r>
        <w:rPr>
          <w:rFonts w:eastAsia="楷体_GB2312"/>
          <w:b/>
          <w:szCs w:val="32"/>
        </w:rPr>
        <w:t>结余分配和结转结余情况。</w:t>
      </w:r>
      <w:r>
        <w:rPr>
          <w:rFonts w:hint="eastAsia" w:ascii="Times New Roman" w:hAnsi="Times New Roman" w:cs="Times New Roman"/>
          <w:szCs w:val="32"/>
          <w:lang w:val="zh-CN"/>
        </w:rPr>
        <w:t>2025</w:t>
      </w:r>
      <w:r>
        <w:rPr>
          <w:szCs w:val="32"/>
        </w:rPr>
        <w:t>年</w:t>
      </w:r>
      <w:r>
        <w:rPr>
          <w:rFonts w:hint="eastAsia"/>
          <w:szCs w:val="32"/>
          <w:lang w:eastAsia="zh-CN"/>
        </w:rPr>
        <w:t>无结余。</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三、部门预算绩效分析</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（一）部门预算总体绩效分析。</w:t>
      </w:r>
      <w:r>
        <w:rPr>
          <w:color w:val="000000"/>
          <w:kern w:val="0"/>
          <w:szCs w:val="32"/>
          <w:shd w:val="clear" w:color="auto" w:fill="FFFFFF"/>
          <w:lang w:val="zh-CN"/>
        </w:rPr>
        <w:t>根据部门预算绩效评价指标体系“总体绩效”涉及二、三级指标进行逐项绩效分析并评分，依次包括履职效能、预算管理、财务管理、资产管理、采购管理等情况。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rPr>
        <w:t>1.</w:t>
      </w:r>
      <w:r>
        <w:rPr>
          <w:rFonts w:eastAsia="楷体_GB2312"/>
          <w:b/>
          <w:bCs/>
          <w:color w:val="000000"/>
          <w:kern w:val="0"/>
          <w:szCs w:val="32"/>
          <w:shd w:val="clear" w:color="auto" w:fill="FFFFFF"/>
          <w:lang w:val="zh-CN"/>
        </w:rPr>
        <w:t>履职效能</w:t>
      </w:r>
      <w:r>
        <w:rPr>
          <w:rFonts w:hint="eastAsia" w:eastAsia="楷体_GB2312"/>
          <w:b/>
          <w:bCs/>
          <w:color w:val="000000"/>
          <w:kern w:val="0"/>
          <w:szCs w:val="32"/>
          <w:shd w:val="clear" w:color="auto" w:fill="FFFFFF"/>
          <w:lang w:val="zh-CN"/>
        </w:rPr>
        <w:t>（</w:t>
      </w:r>
      <w:r>
        <w:rPr>
          <w:rFonts w:hint="eastAsia" w:eastAsia="楷体_GB2312"/>
          <w:b/>
          <w:bCs/>
          <w:color w:val="000000"/>
          <w:kern w:val="0"/>
          <w:szCs w:val="32"/>
          <w:shd w:val="clear" w:color="auto" w:fill="FFFFFF"/>
          <w:lang w:val="en-US" w:eastAsia="zh-CN"/>
        </w:rPr>
        <w:t>12分</w:t>
      </w:r>
      <w:r>
        <w:rPr>
          <w:rFonts w:hint="eastAsia" w:eastAsia="楷体_GB2312"/>
          <w:b/>
          <w:bCs/>
          <w:color w:val="000000"/>
          <w:kern w:val="0"/>
          <w:szCs w:val="32"/>
          <w:shd w:val="clear" w:color="auto" w:fill="FFFFFF"/>
          <w:lang w:val="zh-CN"/>
        </w:rPr>
        <w:t>）。卫生股</w:t>
      </w:r>
      <w:r>
        <w:rPr>
          <w:rFonts w:hint="eastAsia" w:ascii="Times New Roman" w:hAnsi="Times New Roman" w:eastAsia="楷体_GB2312" w:cs="Times New Roman"/>
          <w:b/>
          <w:bCs/>
          <w:color w:val="000000"/>
          <w:kern w:val="0"/>
          <w:szCs w:val="32"/>
          <w:shd w:val="clear" w:color="auto" w:fill="FFFFFF"/>
          <w:lang w:val="zh-CN"/>
        </w:rPr>
        <w:t>围绕核心职能，</w:t>
      </w:r>
      <w:r>
        <w:rPr>
          <w:rFonts w:hint="eastAsia" w:ascii="Times New Roman" w:hAnsi="Times New Roman" w:eastAsia="楷体_GB2312" w:cs="Times New Roman"/>
          <w:color w:val="000000"/>
          <w:kern w:val="0"/>
          <w:szCs w:val="32"/>
          <w:shd w:val="clear" w:color="auto" w:fill="FFFFFF"/>
          <w:lang w:val="zh-CN"/>
        </w:rPr>
        <w:t>有效完成年度重点任务。一是传染病防控方面</w:t>
      </w:r>
      <w:r>
        <w:rPr>
          <w:rFonts w:hint="eastAsia" w:ascii="Times New Roman" w:hAnsi="Times New Roman" w:eastAsia="楷体_GB2312" w:cs="Times New Roman"/>
          <w:color w:val="000000"/>
          <w:kern w:val="0"/>
          <w:szCs w:val="32"/>
          <w:shd w:val="clear" w:color="auto" w:fill="FFFFFF"/>
          <w:lang w:val="zh-CN" w:eastAsia="zh-CN"/>
        </w:rPr>
        <w:t>无重大</w:t>
      </w:r>
      <w:r>
        <w:rPr>
          <w:rFonts w:hint="eastAsia" w:ascii="Times New Roman" w:hAnsi="Times New Roman" w:eastAsia="楷体_GB2312" w:cs="Times New Roman"/>
          <w:color w:val="000000"/>
          <w:kern w:val="0"/>
          <w:szCs w:val="32"/>
          <w:shd w:val="clear" w:color="auto" w:fill="FFFFFF"/>
          <w:lang w:val="zh-CN"/>
        </w:rPr>
        <w:t>突发公共卫生事件</w:t>
      </w:r>
      <w:r>
        <w:rPr>
          <w:rFonts w:hint="eastAsia" w:ascii="Times New Roman" w:hAnsi="Times New Roman" w:eastAsia="楷体_GB2312" w:cs="Times New Roman"/>
          <w:color w:val="000000"/>
          <w:kern w:val="0"/>
          <w:szCs w:val="32"/>
          <w:shd w:val="clear" w:color="auto" w:fill="FFFFFF"/>
          <w:lang w:val="zh-CN" w:eastAsia="zh-CN"/>
        </w:rPr>
        <w:t>，</w:t>
      </w:r>
      <w:r>
        <w:rPr>
          <w:rFonts w:hint="eastAsia" w:ascii="Times New Roman" w:hAnsi="Times New Roman" w:eastAsia="楷体_GB2312" w:cs="Times New Roman"/>
          <w:color w:val="000000"/>
          <w:kern w:val="0"/>
          <w:szCs w:val="32"/>
          <w:shd w:val="clear" w:color="auto" w:fill="FFFFFF"/>
          <w:lang w:val="zh-CN"/>
        </w:rPr>
        <w:t>未发生聚集性疫情扩散。二是免疫规划方面，适龄儿童疫苗接种率达到</w:t>
      </w:r>
      <w:r>
        <w:rPr>
          <w:rFonts w:hint="eastAsia" w:ascii="Times New Roman" w:hAnsi="Times New Roman" w:eastAsia="楷体_GB2312" w:cs="Times New Roman"/>
          <w:color w:val="000000"/>
          <w:kern w:val="0"/>
          <w:szCs w:val="32"/>
          <w:shd w:val="clear" w:color="auto" w:fill="FFFFFF"/>
          <w:lang w:val="en-US" w:eastAsia="zh-CN"/>
        </w:rPr>
        <w:t>90%</w:t>
      </w:r>
      <w:r>
        <w:rPr>
          <w:rFonts w:hint="eastAsia" w:ascii="Times New Roman" w:hAnsi="Times New Roman" w:eastAsia="楷体_GB2312" w:cs="Times New Roman"/>
          <w:color w:val="000000"/>
          <w:kern w:val="0"/>
          <w:szCs w:val="32"/>
          <w:shd w:val="clear" w:color="auto" w:fill="FFFFFF"/>
          <w:lang w:val="zh-CN"/>
        </w:rPr>
        <w:t>目标数值。三是慢性病与健康管理方面，高血压、糖尿病患者规范管理率</w:t>
      </w:r>
      <w:r>
        <w:rPr>
          <w:rFonts w:hint="eastAsia" w:ascii="Times New Roman" w:hAnsi="Times New Roman" w:eastAsia="楷体_GB2312" w:cs="Times New Roman"/>
          <w:color w:val="000000"/>
          <w:kern w:val="0"/>
          <w:szCs w:val="32"/>
          <w:shd w:val="clear" w:color="auto" w:fill="FFFFFF"/>
          <w:lang w:val="en-US" w:eastAsia="zh-CN"/>
        </w:rPr>
        <w:t>79%</w:t>
      </w:r>
      <w:r>
        <w:rPr>
          <w:rFonts w:hint="eastAsia" w:ascii="Times New Roman" w:hAnsi="Times New Roman" w:eastAsia="楷体_GB2312" w:cs="Times New Roman"/>
          <w:color w:val="000000"/>
          <w:kern w:val="0"/>
          <w:szCs w:val="32"/>
          <w:shd w:val="clear" w:color="auto" w:fill="FFFFFF"/>
          <w:lang w:val="zh-CN"/>
        </w:rPr>
        <w:t>均优于年度目。标总体看，卫生股履职效能良好，但在重点人群随访深度上仍有提升空间（</w:t>
      </w:r>
      <w:r>
        <w:rPr>
          <w:rFonts w:hint="eastAsia" w:ascii="Times New Roman" w:hAnsi="Times New Roman" w:eastAsia="楷体_GB2312" w:cs="Times New Roman"/>
          <w:color w:val="000000"/>
          <w:kern w:val="0"/>
          <w:szCs w:val="32"/>
          <w:shd w:val="clear" w:color="auto" w:fill="FFFFFF"/>
          <w:lang w:val="en-US" w:eastAsia="zh-CN"/>
        </w:rPr>
        <w:t>4分</w:t>
      </w:r>
      <w:r>
        <w:rPr>
          <w:rFonts w:hint="eastAsia" w:ascii="Times New Roman" w:hAnsi="Times New Roman" w:eastAsia="楷体_GB2312" w:cs="Times New Roman"/>
          <w:color w:val="000000"/>
          <w:kern w:val="0"/>
          <w:szCs w:val="32"/>
          <w:shd w:val="clear" w:color="auto" w:fill="FFFFFF"/>
          <w:lang w:val="zh-CN"/>
        </w:rPr>
        <w:t>）。计生</w:t>
      </w:r>
      <w:r>
        <w:rPr>
          <w:rFonts w:hint="eastAsia" w:ascii="Times New Roman" w:hAnsi="Times New Roman" w:eastAsia="楷体_GB2312" w:cs="Times New Roman"/>
          <w:color w:val="000000"/>
          <w:kern w:val="0"/>
          <w:szCs w:val="32"/>
          <w:shd w:val="clear" w:color="auto" w:fill="FFFFFF"/>
          <w:lang w:val="zh-CN" w:eastAsia="zh-CN"/>
        </w:rPr>
        <w:t>股对</w:t>
      </w:r>
      <w:r>
        <w:rPr>
          <w:rFonts w:hint="eastAsia" w:ascii="Times New Roman" w:hAnsi="Times New Roman" w:eastAsia="楷体_GB2312" w:cs="Times New Roman"/>
          <w:color w:val="000000"/>
          <w:kern w:val="0"/>
          <w:szCs w:val="32"/>
          <w:shd w:val="clear" w:color="auto" w:fill="FFFFFF"/>
          <w:lang w:val="zh-CN"/>
        </w:rPr>
        <w:t>奖扶、特扶对象资格确认准确率</w:t>
      </w:r>
      <w:r>
        <w:rPr>
          <w:rFonts w:hint="eastAsia" w:ascii="Times New Roman" w:hAnsi="Times New Roman" w:eastAsia="楷体_GB2312" w:cs="Times New Roman"/>
          <w:color w:val="000000"/>
          <w:kern w:val="0"/>
          <w:szCs w:val="32"/>
          <w:shd w:val="clear" w:color="auto" w:fill="FFFFFF"/>
          <w:lang w:val="en-US" w:eastAsia="zh-CN"/>
        </w:rPr>
        <w:t>100%</w:t>
      </w:r>
      <w:r>
        <w:rPr>
          <w:rFonts w:hint="eastAsia" w:ascii="Times New Roman" w:hAnsi="Times New Roman" w:eastAsia="楷体_GB2312" w:cs="Times New Roman"/>
          <w:color w:val="000000"/>
          <w:kern w:val="0"/>
          <w:szCs w:val="32"/>
          <w:shd w:val="clear" w:color="auto" w:fill="FFFFFF"/>
          <w:lang w:val="zh-CN" w:eastAsia="zh-CN"/>
        </w:rPr>
        <w:t>，确保</w:t>
      </w:r>
      <w:r>
        <w:rPr>
          <w:rFonts w:hint="eastAsia" w:ascii="Times New Roman" w:hAnsi="Times New Roman" w:eastAsia="楷体_GB2312" w:cs="Times New Roman"/>
          <w:color w:val="000000"/>
          <w:kern w:val="0"/>
          <w:szCs w:val="32"/>
          <w:shd w:val="clear" w:color="auto" w:fill="FFFFFF"/>
          <w:lang w:val="zh-CN"/>
        </w:rPr>
        <w:t>资金足额发放到位。</w:t>
      </w:r>
      <w:r>
        <w:rPr>
          <w:rFonts w:hint="eastAsia" w:ascii="Times New Roman" w:hAnsi="Times New Roman" w:eastAsia="楷体_GB2312" w:cs="Times New Roman"/>
          <w:color w:val="000000"/>
          <w:kern w:val="0"/>
          <w:szCs w:val="32"/>
          <w:shd w:val="clear" w:color="auto" w:fill="FFFFFF"/>
          <w:lang w:val="zh-CN" w:eastAsia="zh-CN"/>
        </w:rPr>
        <w:t>及时确保</w:t>
      </w:r>
      <w:r>
        <w:rPr>
          <w:rFonts w:hint="eastAsia" w:ascii="Times New Roman" w:hAnsi="Times New Roman" w:eastAsia="楷体_GB2312" w:cs="Times New Roman"/>
          <w:color w:val="000000"/>
          <w:kern w:val="0"/>
          <w:szCs w:val="32"/>
          <w:shd w:val="clear" w:color="auto" w:fill="FFFFFF"/>
          <w:lang w:val="zh-CN"/>
        </w:rPr>
        <w:t>人口监测率</w:t>
      </w:r>
      <w:r>
        <w:rPr>
          <w:rFonts w:hint="eastAsia" w:ascii="Times New Roman" w:hAnsi="Times New Roman" w:eastAsia="楷体_GB2312" w:cs="Times New Roman"/>
          <w:color w:val="000000"/>
          <w:kern w:val="0"/>
          <w:szCs w:val="32"/>
          <w:shd w:val="clear" w:color="auto" w:fill="FFFFFF"/>
          <w:lang w:val="en-US" w:eastAsia="zh-CN"/>
        </w:rPr>
        <w:t>100%</w:t>
      </w:r>
      <w:r>
        <w:rPr>
          <w:rFonts w:hint="eastAsia" w:ascii="Times New Roman" w:hAnsi="Times New Roman" w:eastAsia="楷体_GB2312" w:cs="Times New Roman"/>
          <w:color w:val="000000"/>
          <w:kern w:val="0"/>
          <w:szCs w:val="32"/>
          <w:shd w:val="clear" w:color="auto" w:fill="FFFFFF"/>
          <w:lang w:val="zh-CN"/>
        </w:rPr>
        <w:t>。目标人群满意度</w:t>
      </w:r>
      <w:r>
        <w:rPr>
          <w:rFonts w:hint="eastAsia" w:ascii="Times New Roman" w:hAnsi="Times New Roman" w:eastAsia="楷体_GB2312" w:cs="Times New Roman"/>
          <w:color w:val="000000"/>
          <w:kern w:val="0"/>
          <w:szCs w:val="32"/>
          <w:shd w:val="clear" w:color="auto" w:fill="FFFFFF"/>
          <w:lang w:val="zh-CN" w:eastAsia="zh-CN"/>
        </w:rPr>
        <w:t>高</w:t>
      </w:r>
      <w:r>
        <w:rPr>
          <w:rFonts w:hint="eastAsia" w:ascii="Times New Roman" w:hAnsi="Times New Roman" w:eastAsia="楷体_GB2312" w:cs="Times New Roman"/>
          <w:color w:val="000000"/>
          <w:kern w:val="0"/>
          <w:szCs w:val="32"/>
          <w:shd w:val="clear" w:color="auto" w:fill="FFFFFF"/>
          <w:lang w:val="zh-CN"/>
        </w:rPr>
        <w:t>。履职效果较好，但优生指导精细化水平仍有提升空间</w:t>
      </w:r>
      <w:r>
        <w:rPr>
          <w:rFonts w:hint="eastAsia" w:ascii="Times New Roman" w:hAnsi="Times New Roman" w:eastAsia="楷体_GB2312" w:cs="Times New Roman"/>
          <w:color w:val="000000"/>
          <w:kern w:val="0"/>
          <w:szCs w:val="32"/>
          <w:shd w:val="clear" w:color="auto" w:fill="FFFFFF"/>
          <w:lang w:val="zh-CN" w:eastAsia="zh-CN"/>
        </w:rPr>
        <w:t>（</w:t>
      </w:r>
      <w:r>
        <w:rPr>
          <w:rFonts w:hint="eastAsia" w:ascii="Times New Roman" w:hAnsi="Times New Roman" w:eastAsia="楷体_GB2312" w:cs="Times New Roman"/>
          <w:color w:val="000000"/>
          <w:kern w:val="0"/>
          <w:szCs w:val="32"/>
          <w:shd w:val="clear" w:color="auto" w:fill="FFFFFF"/>
          <w:lang w:val="en-US" w:eastAsia="zh-CN"/>
        </w:rPr>
        <w:t>4分</w:t>
      </w:r>
      <w:r>
        <w:rPr>
          <w:rFonts w:hint="eastAsia" w:ascii="Times New Roman" w:hAnsi="Times New Roman" w:eastAsia="楷体_GB2312" w:cs="Times New Roman"/>
          <w:color w:val="000000"/>
          <w:kern w:val="0"/>
          <w:szCs w:val="32"/>
          <w:shd w:val="clear" w:color="auto" w:fill="FFFFFF"/>
          <w:lang w:val="zh-CN" w:eastAsia="zh-CN"/>
        </w:rPr>
        <w:t>）。</w:t>
      </w:r>
      <w:r>
        <w:rPr>
          <w:rFonts w:hint="eastAsia" w:ascii="Times New Roman" w:hAnsi="Times New Roman" w:eastAsia="楷体_GB2312" w:cs="Times New Roman"/>
          <w:color w:val="000000"/>
          <w:kern w:val="0"/>
          <w:szCs w:val="32"/>
          <w:shd w:val="clear" w:color="auto" w:fill="FFFFFF"/>
          <w:lang w:val="zh-CN"/>
        </w:rPr>
        <w:t>基建</w:t>
      </w:r>
      <w:r>
        <w:rPr>
          <w:rFonts w:hint="eastAsia" w:ascii="Times New Roman" w:hAnsi="Times New Roman" w:eastAsia="楷体_GB2312" w:cs="Times New Roman"/>
          <w:color w:val="000000"/>
          <w:kern w:val="0"/>
          <w:szCs w:val="32"/>
          <w:shd w:val="clear" w:color="auto" w:fill="FFFFFF"/>
          <w:lang w:val="zh-CN" w:eastAsia="zh-CN"/>
        </w:rPr>
        <w:t>股</w:t>
      </w:r>
      <w:r>
        <w:rPr>
          <w:rFonts w:hint="eastAsia" w:ascii="Times New Roman" w:hAnsi="Times New Roman" w:eastAsia="楷体_GB2312" w:cs="Times New Roman"/>
          <w:color w:val="000000"/>
          <w:kern w:val="0"/>
          <w:szCs w:val="32"/>
          <w:shd w:val="clear" w:color="auto" w:fill="FFFFFF"/>
          <w:lang w:val="zh-CN"/>
        </w:rPr>
        <w:t>全年推进重点建设项目</w:t>
      </w:r>
      <w:r>
        <w:rPr>
          <w:rFonts w:hint="eastAsia" w:ascii="Times New Roman" w:hAnsi="Times New Roman" w:eastAsia="楷体_GB2312" w:cs="Times New Roman"/>
          <w:color w:val="000000"/>
          <w:kern w:val="0"/>
          <w:szCs w:val="32"/>
          <w:shd w:val="clear" w:color="auto" w:fill="FFFFFF"/>
          <w:lang w:val="en-US" w:eastAsia="zh-CN"/>
        </w:rPr>
        <w:t>5</w:t>
      </w:r>
      <w:r>
        <w:rPr>
          <w:rFonts w:hint="eastAsia" w:ascii="Times New Roman" w:hAnsi="Times New Roman" w:eastAsia="楷体_GB2312" w:cs="Times New Roman"/>
          <w:color w:val="000000"/>
          <w:kern w:val="0"/>
          <w:szCs w:val="32"/>
          <w:shd w:val="clear" w:color="auto" w:fill="FFFFFF"/>
          <w:lang w:val="zh-CN"/>
        </w:rPr>
        <w:t>个，工程质量验收合格率100%，未发生安全事故。政府采购规范，资金支付合规。项目按期交付使用，服务对象满意度</w:t>
      </w:r>
      <w:r>
        <w:rPr>
          <w:rFonts w:hint="eastAsia" w:ascii="Times New Roman" w:hAnsi="Times New Roman" w:eastAsia="楷体_GB2312" w:cs="Times New Roman"/>
          <w:color w:val="000000"/>
          <w:kern w:val="0"/>
          <w:szCs w:val="32"/>
          <w:shd w:val="clear" w:color="auto" w:fill="FFFFFF"/>
          <w:lang w:val="zh-CN" w:eastAsia="zh-CN"/>
        </w:rPr>
        <w:t>高</w:t>
      </w:r>
      <w:r>
        <w:rPr>
          <w:rFonts w:hint="eastAsia" w:ascii="Times New Roman" w:hAnsi="Times New Roman" w:eastAsia="楷体_GB2312" w:cs="Times New Roman"/>
          <w:color w:val="000000"/>
          <w:kern w:val="0"/>
          <w:szCs w:val="32"/>
          <w:shd w:val="clear" w:color="auto" w:fill="FFFFFF"/>
          <w:lang w:val="zh-CN"/>
        </w:rPr>
        <w:t>。履职效果良好，但在项目前期论证和变更管理上需进一步优化（</w:t>
      </w:r>
      <w:r>
        <w:rPr>
          <w:rFonts w:hint="eastAsia" w:ascii="Times New Roman" w:hAnsi="Times New Roman" w:eastAsia="楷体_GB2312" w:cs="Times New Roman"/>
          <w:color w:val="000000"/>
          <w:kern w:val="0"/>
          <w:szCs w:val="32"/>
          <w:shd w:val="clear" w:color="auto" w:fill="FFFFFF"/>
          <w:lang w:val="en-US" w:eastAsia="zh-CN"/>
        </w:rPr>
        <w:t>4分</w:t>
      </w:r>
      <w:r>
        <w:rPr>
          <w:rFonts w:hint="eastAsia" w:ascii="Times New Roman" w:hAnsi="Times New Roman" w:eastAsia="楷体_GB2312" w:cs="Times New Roman"/>
          <w:color w:val="000000"/>
          <w:kern w:val="0"/>
          <w:szCs w:val="32"/>
          <w:shd w:val="clear" w:color="auto" w:fill="FFFFFF"/>
          <w:lang w:val="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eastAsia="楷体_GB2312"/>
          <w:color w:val="000000"/>
          <w:kern w:val="0"/>
          <w:szCs w:val="32"/>
          <w:shd w:val="clear" w:color="auto" w:fill="FFFFFF"/>
          <w:lang w:val="zh-CN"/>
        </w:rPr>
      </w:pPr>
      <w:r>
        <w:rPr>
          <w:rFonts w:eastAsia="楷体_GB2312"/>
          <w:color w:val="000000"/>
          <w:kern w:val="0"/>
          <w:szCs w:val="32"/>
          <w:shd w:val="clear" w:color="auto" w:fill="FFFFFF"/>
        </w:rPr>
        <w:t>2</w:t>
      </w:r>
      <w:r>
        <w:rPr>
          <w:rFonts w:eastAsia="楷体_GB2312"/>
          <w:b/>
          <w:bCs/>
          <w:color w:val="000000"/>
          <w:kern w:val="0"/>
          <w:szCs w:val="32"/>
          <w:shd w:val="clear" w:color="auto" w:fill="FFFFFF"/>
        </w:rPr>
        <w:t>.</w:t>
      </w:r>
      <w:r>
        <w:rPr>
          <w:rFonts w:eastAsia="楷体_GB2312"/>
          <w:b/>
          <w:bCs/>
          <w:color w:val="000000"/>
          <w:kern w:val="0"/>
          <w:szCs w:val="32"/>
          <w:shd w:val="clear" w:color="auto" w:fill="FFFFFF"/>
          <w:lang w:val="zh-CN"/>
        </w:rPr>
        <w:t>预算管理</w:t>
      </w:r>
      <w:r>
        <w:rPr>
          <w:rFonts w:hint="eastAsia" w:eastAsia="楷体_GB2312"/>
          <w:b/>
          <w:bCs/>
          <w:color w:val="000000"/>
          <w:kern w:val="0"/>
          <w:szCs w:val="32"/>
          <w:shd w:val="clear" w:color="auto" w:fill="FFFFFF"/>
          <w:lang w:val="zh-CN"/>
        </w:rPr>
        <w:t>（</w:t>
      </w:r>
      <w:r>
        <w:rPr>
          <w:rFonts w:hint="eastAsia" w:eastAsia="楷体_GB2312"/>
          <w:b/>
          <w:bCs/>
          <w:color w:val="000000"/>
          <w:kern w:val="0"/>
          <w:szCs w:val="32"/>
          <w:shd w:val="clear" w:color="auto" w:fill="FFFFFF"/>
          <w:lang w:val="en-US" w:eastAsia="zh-CN"/>
        </w:rPr>
        <w:t>22分</w:t>
      </w:r>
      <w:r>
        <w:rPr>
          <w:rFonts w:hint="eastAsia" w:eastAsia="楷体_GB2312"/>
          <w:b/>
          <w:bCs/>
          <w:color w:val="000000"/>
          <w:kern w:val="0"/>
          <w:szCs w:val="32"/>
          <w:shd w:val="clear" w:color="auto" w:fill="FFFFFF"/>
          <w:lang w:val="zh-CN"/>
        </w:rPr>
        <w:t>）</w:t>
      </w:r>
      <w:r>
        <w:rPr>
          <w:rFonts w:eastAsia="楷体_GB2312"/>
          <w:b/>
          <w:bCs/>
          <w:color w:val="000000"/>
          <w:kern w:val="0"/>
          <w:szCs w:val="32"/>
          <w:shd w:val="clear" w:color="auto" w:fill="FFFFFF"/>
          <w:lang w:val="zh-CN"/>
        </w:rPr>
        <w:t>。</w:t>
      </w:r>
      <w:r>
        <w:rPr>
          <w:rFonts w:hint="eastAsia" w:eastAsia="楷体_GB2312"/>
          <w:b/>
          <w:bCs/>
          <w:color w:val="000000"/>
          <w:kern w:val="0"/>
          <w:szCs w:val="32"/>
          <w:shd w:val="clear" w:color="auto" w:fill="FFFFFF"/>
          <w:lang w:val="zh-CN"/>
        </w:rPr>
        <w:t>预算编制质量：</w:t>
      </w:r>
      <w:r>
        <w:rPr>
          <w:rFonts w:hint="eastAsia" w:eastAsia="楷体_GB2312"/>
          <w:color w:val="000000"/>
          <w:kern w:val="0"/>
          <w:szCs w:val="32"/>
          <w:shd w:val="clear" w:color="auto" w:fill="FFFFFF"/>
          <w:lang w:val="zh-CN"/>
        </w:rPr>
        <w:t>收入预算测算依据充分，项目支出细化到具体用途；但存在个别科目归类不够精准（</w:t>
      </w:r>
      <w:r>
        <w:rPr>
          <w:rFonts w:hint="eastAsia" w:eastAsia="楷体_GB2312"/>
          <w:color w:val="000000"/>
          <w:kern w:val="0"/>
          <w:szCs w:val="32"/>
          <w:shd w:val="clear" w:color="auto" w:fill="FFFFFF"/>
          <w:lang w:val="en-US" w:eastAsia="zh-CN"/>
        </w:rPr>
        <w:t>6分</w:t>
      </w:r>
      <w:r>
        <w:rPr>
          <w:rFonts w:hint="eastAsia" w:eastAsia="楷体_GB2312"/>
          <w:color w:val="000000"/>
          <w:kern w:val="0"/>
          <w:szCs w:val="32"/>
          <w:shd w:val="clear" w:color="auto" w:fill="FFFFFF"/>
          <w:lang w:val="zh-CN"/>
        </w:rPr>
        <w:t>）。</w:t>
      </w:r>
      <w:r>
        <w:rPr>
          <w:rFonts w:hint="eastAsia" w:eastAsia="楷体_GB2312"/>
          <w:b/>
          <w:bCs/>
          <w:color w:val="000000"/>
          <w:kern w:val="0"/>
          <w:szCs w:val="32"/>
          <w:shd w:val="clear" w:color="auto" w:fill="FFFFFF"/>
          <w:lang w:val="zh-CN"/>
        </w:rPr>
        <w:t>单位收入统筹：</w:t>
      </w:r>
      <w:r>
        <w:rPr>
          <w:rFonts w:hint="eastAsia" w:eastAsia="楷体_GB2312"/>
          <w:color w:val="000000"/>
          <w:kern w:val="0"/>
          <w:szCs w:val="32"/>
          <w:shd w:val="clear" w:color="auto" w:fill="FFFFFF"/>
          <w:lang w:val="zh-CN"/>
        </w:rPr>
        <w:t>收入全部纳入预算管理，无截留、坐支行为（4分）。</w:t>
      </w:r>
      <w:r>
        <w:rPr>
          <w:rFonts w:hint="eastAsia" w:eastAsia="楷体_GB2312"/>
          <w:b/>
          <w:bCs/>
          <w:color w:val="000000"/>
          <w:kern w:val="0"/>
          <w:szCs w:val="32"/>
          <w:shd w:val="clear" w:color="auto" w:fill="FFFFFF"/>
          <w:lang w:val="zh-CN"/>
        </w:rPr>
        <w:t>支出执行管理：</w:t>
      </w:r>
      <w:r>
        <w:rPr>
          <w:rFonts w:hint="eastAsia" w:eastAsia="楷体_GB2312"/>
          <w:color w:val="000000"/>
          <w:kern w:val="0"/>
          <w:szCs w:val="32"/>
          <w:shd w:val="clear" w:color="auto" w:fill="FFFFFF"/>
          <w:lang w:val="zh-CN"/>
        </w:rPr>
        <w:t>全年支出按预定进度进行支出（</w:t>
      </w:r>
      <w:r>
        <w:rPr>
          <w:rFonts w:hint="eastAsia" w:eastAsia="楷体_GB2312"/>
          <w:color w:val="000000"/>
          <w:kern w:val="0"/>
          <w:szCs w:val="32"/>
          <w:shd w:val="clear" w:color="auto" w:fill="FFFFFF"/>
          <w:lang w:val="en-US" w:eastAsia="zh-CN"/>
        </w:rPr>
        <w:t>5分</w:t>
      </w:r>
      <w:r>
        <w:rPr>
          <w:rFonts w:hint="eastAsia" w:eastAsia="楷体_GB2312"/>
          <w:color w:val="000000"/>
          <w:kern w:val="0"/>
          <w:szCs w:val="32"/>
          <w:shd w:val="clear" w:color="auto" w:fill="FFFFFF"/>
          <w:lang w:val="zh-CN"/>
        </w:rPr>
        <w:t>）。</w:t>
      </w:r>
      <w:r>
        <w:rPr>
          <w:rFonts w:hint="eastAsia" w:eastAsia="楷体_GB2312"/>
          <w:b/>
          <w:bCs/>
          <w:color w:val="000000"/>
          <w:kern w:val="0"/>
          <w:szCs w:val="32"/>
          <w:shd w:val="clear" w:color="auto" w:fill="FFFFFF"/>
          <w:lang w:val="zh-CN"/>
        </w:rPr>
        <w:t>预算年终结余：</w:t>
      </w:r>
      <w:r>
        <w:rPr>
          <w:rFonts w:hint="eastAsia" w:eastAsia="楷体_GB2312"/>
          <w:color w:val="000000"/>
          <w:kern w:val="0"/>
          <w:szCs w:val="32"/>
          <w:shd w:val="clear" w:color="auto" w:fill="FFFFFF"/>
          <w:lang w:val="zh-CN"/>
        </w:rPr>
        <w:t>年末无结转结余（</w:t>
      </w:r>
      <w:r>
        <w:rPr>
          <w:rFonts w:hint="eastAsia" w:eastAsia="楷体_GB2312"/>
          <w:color w:val="000000"/>
          <w:kern w:val="0"/>
          <w:szCs w:val="32"/>
          <w:shd w:val="clear" w:color="auto" w:fill="FFFFFF"/>
          <w:lang w:val="en-US" w:eastAsia="zh-CN"/>
        </w:rPr>
        <w:t>2分</w:t>
      </w:r>
      <w:r>
        <w:rPr>
          <w:rFonts w:hint="eastAsia" w:eastAsia="楷体_GB2312"/>
          <w:color w:val="000000"/>
          <w:kern w:val="0"/>
          <w:szCs w:val="32"/>
          <w:shd w:val="clear" w:color="auto" w:fill="FFFFFF"/>
          <w:lang w:val="zh-CN"/>
        </w:rPr>
        <w:t>）。</w:t>
      </w:r>
      <w:r>
        <w:rPr>
          <w:rFonts w:hint="eastAsia" w:eastAsia="楷体_GB2312"/>
          <w:b/>
          <w:bCs/>
          <w:color w:val="000000"/>
          <w:kern w:val="0"/>
          <w:szCs w:val="32"/>
          <w:shd w:val="clear" w:color="auto" w:fill="FFFFFF"/>
          <w:lang w:val="zh-CN"/>
        </w:rPr>
        <w:t>严控一般性支出：</w:t>
      </w:r>
      <w:r>
        <w:rPr>
          <w:rFonts w:hint="eastAsia" w:eastAsia="楷体_GB2312"/>
          <w:color w:val="000000"/>
          <w:kern w:val="0"/>
          <w:szCs w:val="32"/>
          <w:shd w:val="clear" w:color="auto" w:fill="FFFFFF"/>
          <w:lang w:val="zh-CN"/>
        </w:rPr>
        <w:t>“三公”经费实际无上涨，符合过“紧日子”要求（</w:t>
      </w:r>
      <w:r>
        <w:rPr>
          <w:rFonts w:hint="eastAsia" w:eastAsia="楷体_GB2312"/>
          <w:color w:val="000000"/>
          <w:kern w:val="0"/>
          <w:szCs w:val="32"/>
          <w:shd w:val="clear" w:color="auto" w:fill="FFFFFF"/>
          <w:lang w:val="en-US" w:eastAsia="zh-CN"/>
        </w:rPr>
        <w:t>5分</w:t>
      </w:r>
      <w:r>
        <w:rPr>
          <w:rFonts w:hint="eastAsia" w:eastAsia="楷体_GB2312"/>
          <w:color w:val="000000"/>
          <w:kern w:val="0"/>
          <w:szCs w:val="32"/>
          <w:shd w:val="clear" w:color="auto" w:fill="FFFFFF"/>
          <w:lang w:val="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contextualSpacing/>
        <w:jc w:val="left"/>
        <w:textAlignment w:val="auto"/>
        <w:rPr>
          <w:rFonts w:eastAsia="楷体_GB2312"/>
          <w:color w:val="000000"/>
          <w:kern w:val="0"/>
          <w:szCs w:val="32"/>
          <w:shd w:val="clear" w:color="auto" w:fill="FFFFFF"/>
          <w:lang w:val="zh-CN"/>
        </w:rPr>
      </w:pPr>
      <w:r>
        <w:rPr>
          <w:rFonts w:eastAsia="楷体_GB2312"/>
          <w:b/>
          <w:bCs/>
          <w:color w:val="000000"/>
          <w:kern w:val="0"/>
          <w:szCs w:val="32"/>
          <w:shd w:val="clear" w:color="auto" w:fill="FFFFFF"/>
        </w:rPr>
        <w:t>3.</w:t>
      </w:r>
      <w:r>
        <w:rPr>
          <w:rFonts w:eastAsia="楷体_GB2312"/>
          <w:b/>
          <w:bCs/>
          <w:color w:val="000000"/>
          <w:kern w:val="0"/>
          <w:szCs w:val="32"/>
          <w:shd w:val="clear" w:color="auto" w:fill="FFFFFF"/>
          <w:lang w:val="zh-CN"/>
        </w:rPr>
        <w:t>财务管理</w:t>
      </w:r>
      <w:r>
        <w:rPr>
          <w:rFonts w:hint="eastAsia" w:eastAsia="楷体_GB2312"/>
          <w:b/>
          <w:bCs/>
          <w:color w:val="000000"/>
          <w:kern w:val="0"/>
          <w:szCs w:val="32"/>
          <w:shd w:val="clear" w:color="auto" w:fill="FFFFFF"/>
          <w:lang w:val="zh-CN"/>
        </w:rPr>
        <w:t>（</w:t>
      </w:r>
      <w:r>
        <w:rPr>
          <w:rFonts w:hint="eastAsia" w:eastAsia="楷体_GB2312"/>
          <w:b/>
          <w:bCs/>
          <w:color w:val="000000"/>
          <w:kern w:val="0"/>
          <w:szCs w:val="32"/>
          <w:shd w:val="clear" w:color="auto" w:fill="FFFFFF"/>
          <w:lang w:val="en-US" w:eastAsia="zh-CN"/>
        </w:rPr>
        <w:t>8分</w:t>
      </w:r>
      <w:r>
        <w:rPr>
          <w:rFonts w:hint="eastAsia" w:eastAsia="楷体_GB2312"/>
          <w:b/>
          <w:bCs/>
          <w:color w:val="000000"/>
          <w:kern w:val="0"/>
          <w:szCs w:val="32"/>
          <w:shd w:val="clear" w:color="auto" w:fill="FFFFFF"/>
          <w:lang w:val="zh-CN"/>
        </w:rPr>
        <w:t>）。财务管理制度：</w:t>
      </w:r>
      <w:r>
        <w:rPr>
          <w:rFonts w:hint="eastAsia" w:eastAsia="楷体_GB2312"/>
          <w:color w:val="000000"/>
          <w:kern w:val="0"/>
          <w:szCs w:val="32"/>
          <w:shd w:val="clear" w:color="auto" w:fill="FFFFFF"/>
          <w:lang w:val="zh-CN"/>
        </w:rPr>
        <w:t>已建立内控、收支、报销、合同管理等制度，并认真按制度落实但制度需更新完善（</w:t>
      </w:r>
      <w:r>
        <w:rPr>
          <w:rFonts w:hint="eastAsia" w:eastAsia="楷体_GB2312"/>
          <w:color w:val="000000"/>
          <w:kern w:val="0"/>
          <w:szCs w:val="32"/>
          <w:shd w:val="clear" w:color="auto" w:fill="FFFFFF"/>
          <w:lang w:val="en-US" w:eastAsia="zh-CN"/>
        </w:rPr>
        <w:t>3分</w:t>
      </w:r>
      <w:r>
        <w:rPr>
          <w:rFonts w:hint="eastAsia" w:eastAsia="楷体_GB2312"/>
          <w:color w:val="000000"/>
          <w:kern w:val="0"/>
          <w:szCs w:val="32"/>
          <w:shd w:val="clear" w:color="auto" w:fill="FFFFFF"/>
          <w:lang w:val="zh-CN"/>
        </w:rPr>
        <w:t>）。</w:t>
      </w:r>
      <w:r>
        <w:rPr>
          <w:rFonts w:hint="eastAsia" w:eastAsia="楷体_GB2312"/>
          <w:b/>
          <w:bCs/>
          <w:color w:val="000000"/>
          <w:kern w:val="0"/>
          <w:szCs w:val="32"/>
          <w:shd w:val="clear" w:color="auto" w:fill="FFFFFF"/>
          <w:lang w:val="zh-CN"/>
        </w:rPr>
        <w:t>财务岗位设置：</w:t>
      </w:r>
      <w:r>
        <w:rPr>
          <w:rFonts w:hint="eastAsia" w:eastAsia="楷体_GB2312"/>
          <w:color w:val="000000"/>
          <w:kern w:val="0"/>
          <w:szCs w:val="32"/>
          <w:shd w:val="clear" w:color="auto" w:fill="FFFFFF"/>
          <w:lang w:val="zh-CN"/>
        </w:rPr>
        <w:t>实现不相容岗位分离（出纳、会计、审核分设）但未设置轮岗制度（</w:t>
      </w:r>
      <w:r>
        <w:rPr>
          <w:rFonts w:hint="eastAsia" w:eastAsia="楷体_GB2312"/>
          <w:color w:val="000000"/>
          <w:kern w:val="0"/>
          <w:szCs w:val="32"/>
          <w:shd w:val="clear" w:color="auto" w:fill="FFFFFF"/>
          <w:lang w:val="en-US" w:eastAsia="zh-CN"/>
        </w:rPr>
        <w:t>1分</w:t>
      </w:r>
      <w:r>
        <w:rPr>
          <w:rFonts w:hint="eastAsia" w:eastAsia="楷体_GB2312"/>
          <w:color w:val="000000"/>
          <w:kern w:val="0"/>
          <w:szCs w:val="32"/>
          <w:shd w:val="clear" w:color="auto" w:fill="FFFFFF"/>
          <w:lang w:val="zh-CN"/>
        </w:rPr>
        <w:t>）。</w:t>
      </w:r>
      <w:r>
        <w:rPr>
          <w:rFonts w:hint="eastAsia" w:eastAsia="楷体_GB2312"/>
          <w:b/>
          <w:bCs/>
          <w:color w:val="000000"/>
          <w:kern w:val="0"/>
          <w:szCs w:val="32"/>
          <w:shd w:val="clear" w:color="auto" w:fill="FFFFFF"/>
          <w:lang w:val="zh-CN"/>
        </w:rPr>
        <w:t>资金使用规范：</w:t>
      </w:r>
      <w:r>
        <w:rPr>
          <w:rFonts w:hint="eastAsia" w:eastAsia="楷体_GB2312"/>
          <w:color w:val="000000"/>
          <w:kern w:val="0"/>
          <w:szCs w:val="32"/>
          <w:shd w:val="clear" w:color="auto" w:fill="FFFFFF"/>
          <w:lang w:val="zh-CN"/>
        </w:rPr>
        <w:t>通过全年抽查支付凭证，未发现违规报销、虚列支出（</w:t>
      </w:r>
      <w:r>
        <w:rPr>
          <w:rFonts w:hint="eastAsia" w:eastAsia="楷体_GB2312"/>
          <w:color w:val="000000"/>
          <w:kern w:val="0"/>
          <w:szCs w:val="32"/>
          <w:shd w:val="clear" w:color="auto" w:fill="FFFFFF"/>
          <w:lang w:val="en-US" w:eastAsia="zh-CN"/>
        </w:rPr>
        <w:t>4分</w:t>
      </w:r>
      <w:r>
        <w:rPr>
          <w:rFonts w:hint="eastAsia" w:eastAsia="楷体_GB2312"/>
          <w:color w:val="000000"/>
          <w:kern w:val="0"/>
          <w:szCs w:val="32"/>
          <w:shd w:val="clear" w:color="auto" w:fill="FFFFFF"/>
          <w:lang w:val="zh-CN"/>
        </w:rPr>
        <w:t>）</w:t>
      </w:r>
      <w:r>
        <w:rPr>
          <w:rFonts w:eastAsia="楷体_GB2312"/>
          <w:color w:val="000000"/>
          <w:kern w:val="0"/>
          <w:szCs w:val="32"/>
          <w:shd w:val="clear" w:color="auto" w:fill="FFFFFF"/>
          <w:lang w:val="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contextualSpacing/>
        <w:jc w:val="left"/>
        <w:textAlignment w:val="auto"/>
        <w:rPr>
          <w:rFonts w:eastAsia="楷体_GB2312"/>
          <w:color w:val="000000"/>
          <w:kern w:val="0"/>
          <w:szCs w:val="32"/>
          <w:shd w:val="clear" w:color="auto" w:fill="FFFFFF"/>
          <w:lang w:val="zh-CN"/>
        </w:rPr>
      </w:pPr>
      <w:r>
        <w:rPr>
          <w:rFonts w:eastAsia="楷体_GB2312"/>
          <w:b/>
          <w:bCs/>
          <w:color w:val="000000"/>
          <w:kern w:val="0"/>
          <w:szCs w:val="32"/>
          <w:shd w:val="clear" w:color="auto" w:fill="FFFFFF"/>
        </w:rPr>
        <w:t>4.</w:t>
      </w:r>
      <w:r>
        <w:rPr>
          <w:rFonts w:eastAsia="楷体_GB2312"/>
          <w:b/>
          <w:bCs/>
          <w:color w:val="000000"/>
          <w:kern w:val="0"/>
          <w:szCs w:val="32"/>
          <w:shd w:val="clear" w:color="auto" w:fill="FFFFFF"/>
          <w:lang w:val="zh-CN"/>
        </w:rPr>
        <w:t>资产管理</w:t>
      </w:r>
      <w:r>
        <w:rPr>
          <w:rFonts w:hint="eastAsia" w:eastAsia="楷体_GB2312"/>
          <w:b/>
          <w:bCs/>
          <w:color w:val="000000"/>
          <w:kern w:val="0"/>
          <w:szCs w:val="32"/>
          <w:shd w:val="clear" w:color="auto" w:fill="FFFFFF"/>
          <w:lang w:val="zh-CN"/>
        </w:rPr>
        <w:t>（</w:t>
      </w:r>
      <w:r>
        <w:rPr>
          <w:rFonts w:hint="eastAsia" w:eastAsia="楷体_GB2312"/>
          <w:b/>
          <w:bCs/>
          <w:color w:val="000000"/>
          <w:kern w:val="0"/>
          <w:szCs w:val="32"/>
          <w:shd w:val="clear" w:color="auto" w:fill="FFFFFF"/>
          <w:lang w:val="en-US" w:eastAsia="zh-CN"/>
        </w:rPr>
        <w:t>8分</w:t>
      </w:r>
      <w:r>
        <w:rPr>
          <w:rFonts w:hint="eastAsia" w:eastAsia="楷体_GB2312"/>
          <w:b/>
          <w:bCs/>
          <w:color w:val="000000"/>
          <w:kern w:val="0"/>
          <w:szCs w:val="32"/>
          <w:shd w:val="clear" w:color="auto" w:fill="FFFFFF"/>
          <w:lang w:val="zh-CN"/>
        </w:rPr>
        <w:t>）</w:t>
      </w:r>
      <w:r>
        <w:rPr>
          <w:rFonts w:eastAsia="楷体_GB2312"/>
          <w:b/>
          <w:bCs/>
          <w:color w:val="000000"/>
          <w:kern w:val="0"/>
          <w:szCs w:val="32"/>
          <w:shd w:val="clear" w:color="auto" w:fill="FFFFFF"/>
          <w:lang w:val="zh-CN"/>
        </w:rPr>
        <w:t>。</w:t>
      </w:r>
      <w:r>
        <w:rPr>
          <w:rFonts w:hint="eastAsia" w:eastAsia="楷体_GB2312"/>
          <w:b/>
          <w:bCs/>
          <w:color w:val="000000"/>
          <w:kern w:val="0"/>
          <w:szCs w:val="32"/>
          <w:shd w:val="clear" w:color="auto" w:fill="FFFFFF"/>
          <w:lang w:val="zh-CN"/>
        </w:rPr>
        <w:t>人均资产变化率：</w:t>
      </w:r>
      <w:r>
        <w:rPr>
          <w:rFonts w:hint="eastAsia" w:eastAsia="楷体_GB2312"/>
          <w:color w:val="000000"/>
          <w:kern w:val="0"/>
          <w:szCs w:val="32"/>
          <w:shd w:val="clear" w:color="auto" w:fill="FFFFFF"/>
          <w:lang w:val="zh-CN"/>
        </w:rPr>
        <w:t>年度人均资产（固定资产原值/在职人数）无变化，主要因无新购入资产（</w:t>
      </w:r>
      <w:r>
        <w:rPr>
          <w:rFonts w:hint="eastAsia" w:eastAsia="楷体_GB2312"/>
          <w:color w:val="000000"/>
          <w:kern w:val="0"/>
          <w:szCs w:val="32"/>
          <w:shd w:val="clear" w:color="auto" w:fill="FFFFFF"/>
          <w:lang w:val="en-US" w:eastAsia="zh-CN"/>
        </w:rPr>
        <w:t>2分</w:t>
      </w:r>
      <w:r>
        <w:rPr>
          <w:rFonts w:hint="eastAsia" w:eastAsia="楷体_GB2312"/>
          <w:color w:val="000000"/>
          <w:kern w:val="0"/>
          <w:szCs w:val="32"/>
          <w:shd w:val="clear" w:color="auto" w:fill="FFFFFF"/>
          <w:lang w:val="zh-CN"/>
        </w:rPr>
        <w:t>）。</w:t>
      </w:r>
      <w:r>
        <w:rPr>
          <w:rFonts w:hint="eastAsia" w:eastAsia="楷体_GB2312"/>
          <w:b/>
          <w:bCs/>
          <w:color w:val="000000"/>
          <w:kern w:val="0"/>
          <w:szCs w:val="32"/>
          <w:shd w:val="clear" w:color="auto" w:fill="FFFFFF"/>
          <w:lang w:val="zh-CN"/>
        </w:rPr>
        <w:t>资产利用率：</w:t>
      </w:r>
      <w:r>
        <w:rPr>
          <w:rFonts w:hint="eastAsia" w:eastAsia="楷体_GB2312"/>
          <w:color w:val="000000"/>
          <w:kern w:val="0"/>
          <w:szCs w:val="32"/>
          <w:shd w:val="clear" w:color="auto" w:fill="FFFFFF"/>
          <w:lang w:val="zh-CN"/>
        </w:rPr>
        <w:t>通用设备（电脑、打印机）在用率，办公用房使用率</w:t>
      </w:r>
      <w:r>
        <w:rPr>
          <w:rFonts w:hint="eastAsia" w:eastAsia="楷体_GB2312"/>
          <w:color w:val="000000"/>
          <w:kern w:val="0"/>
          <w:szCs w:val="32"/>
          <w:shd w:val="clear" w:color="auto" w:fill="FFFFFF"/>
          <w:lang w:val="en-US" w:eastAsia="zh-CN"/>
        </w:rPr>
        <w:t>90%以上（3分）。</w:t>
      </w:r>
      <w:r>
        <w:rPr>
          <w:rFonts w:hint="eastAsia" w:eastAsia="楷体_GB2312"/>
          <w:b/>
          <w:bCs/>
          <w:color w:val="000000"/>
          <w:kern w:val="0"/>
          <w:szCs w:val="32"/>
          <w:shd w:val="clear" w:color="auto" w:fill="FFFFFF"/>
          <w:lang w:val="zh-CN"/>
        </w:rPr>
        <w:t>资产盘活率</w:t>
      </w:r>
      <w:r>
        <w:rPr>
          <w:rFonts w:hint="eastAsia" w:eastAsia="楷体_GB2312"/>
          <w:color w:val="000000"/>
          <w:kern w:val="0"/>
          <w:szCs w:val="32"/>
          <w:shd w:val="clear" w:color="auto" w:fill="FFFFFF"/>
          <w:lang w:val="zh-CN"/>
        </w:rPr>
        <w:t>：无闲置资产，无需盘活（</w:t>
      </w:r>
      <w:r>
        <w:rPr>
          <w:rFonts w:hint="eastAsia" w:eastAsia="楷体_GB2312"/>
          <w:color w:val="000000"/>
          <w:kern w:val="0"/>
          <w:szCs w:val="32"/>
          <w:shd w:val="clear" w:color="auto" w:fill="FFFFFF"/>
          <w:lang w:val="en-US" w:eastAsia="zh-CN"/>
        </w:rPr>
        <w:t>3分</w:t>
      </w:r>
      <w:r>
        <w:rPr>
          <w:rFonts w:hint="eastAsia" w:eastAsia="楷体_GB2312"/>
          <w:color w:val="000000"/>
          <w:kern w:val="0"/>
          <w:szCs w:val="32"/>
          <w:shd w:val="clear" w:color="auto" w:fill="FFFFFF"/>
          <w:lang w:val="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contextualSpacing/>
        <w:jc w:val="left"/>
        <w:textAlignment w:val="auto"/>
        <w:rPr>
          <w:rFonts w:eastAsia="楷体_GB2312"/>
          <w:color w:val="000000"/>
          <w:kern w:val="0"/>
          <w:szCs w:val="32"/>
          <w:shd w:val="clear" w:color="auto" w:fill="FFFFFF"/>
          <w:lang w:val="zh-CN"/>
        </w:rPr>
      </w:pPr>
      <w:r>
        <w:rPr>
          <w:rFonts w:eastAsia="楷体_GB2312"/>
          <w:b/>
          <w:bCs/>
          <w:color w:val="000000"/>
          <w:kern w:val="0"/>
          <w:szCs w:val="32"/>
          <w:shd w:val="clear" w:color="auto" w:fill="FFFFFF"/>
        </w:rPr>
        <w:t>5.</w:t>
      </w:r>
      <w:r>
        <w:rPr>
          <w:rFonts w:eastAsia="楷体_GB2312"/>
          <w:b/>
          <w:bCs/>
          <w:color w:val="000000"/>
          <w:kern w:val="0"/>
          <w:szCs w:val="32"/>
          <w:shd w:val="clear" w:color="auto" w:fill="FFFFFF"/>
          <w:lang w:val="zh-CN"/>
        </w:rPr>
        <w:t>采购管理</w:t>
      </w:r>
      <w:r>
        <w:rPr>
          <w:rFonts w:hint="eastAsia" w:eastAsia="楷体_GB2312"/>
          <w:b/>
          <w:bCs/>
          <w:color w:val="000000"/>
          <w:kern w:val="0"/>
          <w:szCs w:val="32"/>
          <w:shd w:val="clear" w:color="auto" w:fill="FFFFFF"/>
          <w:lang w:val="zh-CN"/>
        </w:rPr>
        <w:t>（</w:t>
      </w:r>
      <w:r>
        <w:rPr>
          <w:rFonts w:hint="eastAsia" w:eastAsia="楷体_GB2312"/>
          <w:b/>
          <w:bCs/>
          <w:color w:val="000000"/>
          <w:kern w:val="0"/>
          <w:szCs w:val="32"/>
          <w:shd w:val="clear" w:color="auto" w:fill="FFFFFF"/>
          <w:lang w:val="en-US" w:eastAsia="zh-CN"/>
        </w:rPr>
        <w:t>6分</w:t>
      </w:r>
      <w:r>
        <w:rPr>
          <w:rFonts w:hint="eastAsia" w:eastAsia="楷体_GB2312"/>
          <w:b/>
          <w:bCs/>
          <w:color w:val="000000"/>
          <w:kern w:val="0"/>
          <w:szCs w:val="32"/>
          <w:shd w:val="clear" w:color="auto" w:fill="FFFFFF"/>
          <w:lang w:val="zh-CN"/>
        </w:rPr>
        <w:t>）。支持中小企业发展：</w:t>
      </w:r>
      <w:r>
        <w:rPr>
          <w:rFonts w:hint="eastAsia" w:eastAsia="楷体_GB2312"/>
          <w:color w:val="000000"/>
          <w:kern w:val="0"/>
          <w:szCs w:val="32"/>
          <w:shd w:val="clear" w:color="auto" w:fill="FFFFFF"/>
          <w:lang w:val="zh-CN"/>
        </w:rPr>
        <w:t>采购项目总额中，授予中小企业合同占比政策要求（</w:t>
      </w:r>
      <w:r>
        <w:rPr>
          <w:rFonts w:hint="eastAsia" w:eastAsia="楷体_GB2312"/>
          <w:color w:val="000000"/>
          <w:kern w:val="0"/>
          <w:szCs w:val="32"/>
          <w:shd w:val="clear" w:color="auto" w:fill="FFFFFF"/>
          <w:lang w:val="en-US" w:eastAsia="zh-CN"/>
        </w:rPr>
        <w:t>3分</w:t>
      </w:r>
      <w:r>
        <w:rPr>
          <w:rFonts w:hint="eastAsia" w:eastAsia="楷体_GB2312"/>
          <w:color w:val="000000"/>
          <w:kern w:val="0"/>
          <w:szCs w:val="32"/>
          <w:shd w:val="clear" w:color="auto" w:fill="FFFFFF"/>
          <w:lang w:val="zh-CN"/>
        </w:rPr>
        <w:t>）。</w:t>
      </w:r>
      <w:r>
        <w:rPr>
          <w:rFonts w:hint="eastAsia" w:eastAsia="楷体_GB2312"/>
          <w:b/>
          <w:bCs/>
          <w:color w:val="000000"/>
          <w:kern w:val="0"/>
          <w:szCs w:val="32"/>
          <w:shd w:val="clear" w:color="auto" w:fill="FFFFFF"/>
          <w:lang w:val="zh-CN"/>
        </w:rPr>
        <w:t>采购执行率：</w:t>
      </w:r>
      <w:r>
        <w:rPr>
          <w:rFonts w:hint="eastAsia" w:eastAsia="楷体_GB2312"/>
          <w:color w:val="000000"/>
          <w:kern w:val="0"/>
          <w:szCs w:val="32"/>
          <w:shd w:val="clear" w:color="auto" w:fill="FFFFFF"/>
          <w:lang w:val="zh-CN"/>
        </w:rPr>
        <w:t>年度采购计划实际完成采购合同金额</w:t>
      </w:r>
      <w:r>
        <w:rPr>
          <w:rFonts w:hint="eastAsia" w:eastAsia="楷体_GB2312"/>
          <w:color w:val="000000"/>
          <w:kern w:val="0"/>
          <w:szCs w:val="32"/>
          <w:shd w:val="clear" w:color="auto" w:fill="FFFFFF"/>
          <w:lang w:val="en-US" w:eastAsia="zh-CN"/>
        </w:rPr>
        <w:t>90%以上（3分）。</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color w:val="000000"/>
          <w:kern w:val="0"/>
          <w:szCs w:val="32"/>
          <w:shd w:val="clear" w:color="auto" w:fill="FFFFFF"/>
        </w:rPr>
      </w:pPr>
      <w:r>
        <w:rPr>
          <w:rFonts w:eastAsia="楷体_GB2312"/>
          <w:b/>
          <w:bCs/>
          <w:color w:val="000000"/>
          <w:kern w:val="0"/>
          <w:szCs w:val="32"/>
          <w:shd w:val="clear" w:color="auto" w:fill="FFFFFF"/>
          <w:lang w:val="zh-CN"/>
        </w:rPr>
        <w:t>（二）部门预算项目绩效分析。</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ascii="Times New Roman" w:hAnsi="Times New Roman" w:eastAsia="楷体_GB2312" w:cs="Times New Roman"/>
          <w:color w:val="000000"/>
          <w:kern w:val="0"/>
          <w:szCs w:val="32"/>
          <w:shd w:val="clear" w:color="auto" w:fill="FFFFFF"/>
          <w:lang w:eastAsia="zh-CN"/>
        </w:rPr>
      </w:pPr>
      <w:r>
        <w:rPr>
          <w:rFonts w:eastAsia="楷体_GB2312"/>
          <w:b/>
          <w:bCs/>
          <w:color w:val="000000"/>
          <w:kern w:val="0"/>
          <w:szCs w:val="32"/>
          <w:shd w:val="clear" w:color="auto" w:fill="FFFFFF"/>
        </w:rPr>
        <w:t>1.</w:t>
      </w:r>
      <w:r>
        <w:rPr>
          <w:rFonts w:eastAsia="楷体_GB2312"/>
          <w:b/>
          <w:bCs/>
          <w:color w:val="000000"/>
          <w:kern w:val="0"/>
          <w:szCs w:val="32"/>
          <w:shd w:val="clear" w:color="auto" w:fill="FFFFFF"/>
          <w:lang w:val="zh-CN"/>
        </w:rPr>
        <w:t>项目</w:t>
      </w:r>
      <w:r>
        <w:rPr>
          <w:rFonts w:ascii="Times New Roman" w:hAnsi="Times New Roman" w:eastAsia="楷体_GB2312" w:cs="Times New Roman"/>
          <w:b/>
          <w:bCs/>
          <w:color w:val="000000"/>
          <w:kern w:val="0"/>
          <w:szCs w:val="32"/>
          <w:shd w:val="clear" w:color="auto" w:fill="FFFFFF"/>
          <w:lang w:val="zh-CN"/>
        </w:rPr>
        <w:t>决策</w:t>
      </w:r>
      <w:r>
        <w:rPr>
          <w:rFonts w:hint="eastAsia" w:ascii="Times New Roman" w:hAnsi="Times New Roman" w:eastAsia="楷体_GB2312" w:cs="Times New Roman"/>
          <w:b/>
          <w:bCs/>
          <w:color w:val="000000"/>
          <w:kern w:val="0"/>
          <w:szCs w:val="32"/>
          <w:shd w:val="clear" w:color="auto" w:fill="FFFFFF"/>
          <w:lang w:val="zh-CN"/>
        </w:rPr>
        <w:t>（</w:t>
      </w:r>
      <w:r>
        <w:rPr>
          <w:rFonts w:hint="eastAsia" w:ascii="Times New Roman" w:hAnsi="Times New Roman" w:eastAsia="楷体_GB2312" w:cs="Times New Roman"/>
          <w:b/>
          <w:bCs/>
          <w:color w:val="000000"/>
          <w:kern w:val="0"/>
          <w:szCs w:val="32"/>
          <w:shd w:val="clear" w:color="auto" w:fill="FFFFFF"/>
          <w:lang w:val="en-US" w:eastAsia="zh-CN"/>
        </w:rPr>
        <w:t>10分</w:t>
      </w:r>
      <w:r>
        <w:rPr>
          <w:rFonts w:hint="eastAsia" w:ascii="Times New Roman" w:hAnsi="Times New Roman" w:eastAsia="楷体_GB2312" w:cs="Times New Roman"/>
          <w:b/>
          <w:bCs/>
          <w:color w:val="000000"/>
          <w:kern w:val="0"/>
          <w:szCs w:val="32"/>
          <w:shd w:val="clear" w:color="auto" w:fill="FFFFFF"/>
          <w:lang w:val="zh-CN"/>
        </w:rPr>
        <w:t>）</w:t>
      </w:r>
      <w:r>
        <w:rPr>
          <w:rFonts w:ascii="Times New Roman" w:hAnsi="Times New Roman" w:eastAsia="楷体_GB2312" w:cs="Times New Roman"/>
          <w:b/>
          <w:bCs/>
          <w:color w:val="000000"/>
          <w:kern w:val="0"/>
          <w:szCs w:val="32"/>
          <w:shd w:val="clear" w:color="auto" w:fill="FFFFFF"/>
          <w:lang w:val="zh-CN"/>
        </w:rPr>
        <w:t>。</w:t>
      </w:r>
      <w:r>
        <w:rPr>
          <w:rFonts w:hint="eastAsia" w:ascii="Times New Roman" w:hAnsi="Times New Roman" w:eastAsia="楷体_GB2312" w:cs="Times New Roman"/>
          <w:b/>
          <w:bCs/>
          <w:color w:val="000000"/>
          <w:kern w:val="0"/>
          <w:szCs w:val="32"/>
          <w:shd w:val="clear" w:color="auto" w:fill="FFFFFF"/>
          <w:lang w:val="zh-CN"/>
        </w:rPr>
        <w:t>决策程序：</w:t>
      </w:r>
      <w:r>
        <w:rPr>
          <w:rFonts w:hint="eastAsia" w:ascii="Times New Roman" w:hAnsi="Times New Roman" w:eastAsia="楷体_GB2312" w:cs="Times New Roman"/>
          <w:color w:val="000000"/>
          <w:kern w:val="0"/>
          <w:szCs w:val="32"/>
          <w:shd w:val="clear" w:color="auto" w:fill="FFFFFF"/>
          <w:lang w:val="zh-CN"/>
        </w:rPr>
        <w:t>项目经科室申报、专家论证，立项依据充分。但前期调研不够充分（</w:t>
      </w:r>
      <w:r>
        <w:rPr>
          <w:rFonts w:hint="eastAsia" w:ascii="Times New Roman" w:hAnsi="Times New Roman" w:eastAsia="楷体_GB2312" w:cs="Times New Roman"/>
          <w:color w:val="000000"/>
          <w:kern w:val="0"/>
          <w:szCs w:val="32"/>
          <w:shd w:val="clear" w:color="auto" w:fill="FFFFFF"/>
          <w:lang w:val="en-US" w:eastAsia="zh-CN"/>
        </w:rPr>
        <w:t>3分</w:t>
      </w:r>
      <w:r>
        <w:rPr>
          <w:rFonts w:hint="eastAsia" w:ascii="Times New Roman" w:hAnsi="Times New Roman" w:eastAsia="楷体_GB2312" w:cs="Times New Roman"/>
          <w:color w:val="000000"/>
          <w:kern w:val="0"/>
          <w:szCs w:val="32"/>
          <w:shd w:val="clear" w:color="auto" w:fill="FFFFFF"/>
          <w:lang w:val="zh-CN"/>
        </w:rPr>
        <w:t>）。</w:t>
      </w:r>
      <w:r>
        <w:rPr>
          <w:rFonts w:hint="eastAsia" w:ascii="Times New Roman" w:hAnsi="Times New Roman" w:eastAsia="楷体_GB2312" w:cs="Times New Roman"/>
          <w:b/>
          <w:bCs/>
          <w:color w:val="000000"/>
          <w:kern w:val="0"/>
          <w:szCs w:val="32"/>
          <w:shd w:val="clear" w:color="auto" w:fill="FFFFFF"/>
          <w:lang w:val="zh-CN"/>
        </w:rPr>
        <w:t>目标设置：</w:t>
      </w:r>
      <w:r>
        <w:rPr>
          <w:rFonts w:ascii="Times New Roman" w:hAnsi="Times New Roman" w:eastAsia="楷体_GB2312" w:cs="Times New Roman"/>
          <w:color w:val="000000"/>
          <w:kern w:val="0"/>
          <w:szCs w:val="32"/>
          <w:shd w:val="clear" w:color="auto" w:fill="FFFFFF"/>
        </w:rPr>
        <w:t>效益</w:t>
      </w:r>
      <w:r>
        <w:rPr>
          <w:rFonts w:hint="eastAsia" w:ascii="Times New Roman" w:hAnsi="Times New Roman" w:eastAsia="楷体_GB2312" w:cs="Times New Roman"/>
          <w:color w:val="000000"/>
          <w:kern w:val="0"/>
          <w:szCs w:val="32"/>
          <w:shd w:val="clear" w:color="auto" w:fill="FFFFFF"/>
          <w:lang w:eastAsia="zh-CN"/>
        </w:rPr>
        <w:t>指标、满</w:t>
      </w:r>
      <w:r>
        <w:rPr>
          <w:rFonts w:ascii="Times New Roman" w:hAnsi="Times New Roman" w:eastAsia="楷体_GB2312" w:cs="Times New Roman"/>
          <w:color w:val="000000"/>
          <w:kern w:val="0"/>
          <w:szCs w:val="32"/>
          <w:shd w:val="clear" w:color="auto" w:fill="FFFFFF"/>
        </w:rPr>
        <w:t>意度指标</w:t>
      </w:r>
      <w:r>
        <w:rPr>
          <w:rFonts w:hint="eastAsia" w:ascii="Times New Roman" w:hAnsi="Times New Roman" w:eastAsia="楷体_GB2312" w:cs="Times New Roman"/>
          <w:color w:val="000000"/>
          <w:kern w:val="0"/>
          <w:szCs w:val="32"/>
          <w:shd w:val="clear" w:color="auto" w:fill="FFFFFF"/>
          <w:lang w:eastAsia="zh-CN"/>
        </w:rPr>
        <w:t>等各项指标</w:t>
      </w:r>
      <w:r>
        <w:rPr>
          <w:rFonts w:ascii="Times New Roman" w:hAnsi="Times New Roman" w:eastAsia="楷体_GB2312" w:cs="Times New Roman"/>
          <w:color w:val="000000"/>
          <w:kern w:val="0"/>
          <w:szCs w:val="32"/>
          <w:shd w:val="clear" w:color="auto" w:fill="FFFFFF"/>
        </w:rPr>
        <w:t>量化清晰</w:t>
      </w:r>
      <w:r>
        <w:rPr>
          <w:rFonts w:hint="eastAsia" w:ascii="Times New Roman" w:hAnsi="Times New Roman" w:eastAsia="楷体_GB2312" w:cs="Times New Roman"/>
          <w:color w:val="000000"/>
          <w:kern w:val="0"/>
          <w:szCs w:val="32"/>
          <w:shd w:val="clear" w:color="auto" w:fill="FFFFFF"/>
          <w:lang w:eastAsia="zh-CN"/>
        </w:rPr>
        <w:t>（</w:t>
      </w:r>
      <w:r>
        <w:rPr>
          <w:rFonts w:hint="eastAsia" w:ascii="Times New Roman" w:hAnsi="Times New Roman" w:eastAsia="楷体_GB2312" w:cs="Times New Roman"/>
          <w:color w:val="000000"/>
          <w:kern w:val="0"/>
          <w:szCs w:val="32"/>
          <w:shd w:val="clear" w:color="auto" w:fill="FFFFFF"/>
          <w:lang w:val="en-US" w:eastAsia="zh-CN"/>
        </w:rPr>
        <w:t>3分</w:t>
      </w:r>
      <w:r>
        <w:rPr>
          <w:rFonts w:hint="eastAsia" w:ascii="Times New Roman" w:hAnsi="Times New Roman" w:eastAsia="楷体_GB2312" w:cs="Times New Roman"/>
          <w:color w:val="000000"/>
          <w:kern w:val="0"/>
          <w:szCs w:val="32"/>
          <w:shd w:val="clear" w:color="auto" w:fill="FFFFFF"/>
          <w:lang w:eastAsia="zh-CN"/>
        </w:rPr>
        <w:t>）</w:t>
      </w:r>
      <w:r>
        <w:rPr>
          <w:rFonts w:ascii="Times New Roman" w:hAnsi="Times New Roman" w:eastAsia="楷体_GB2312" w:cs="Times New Roman"/>
          <w:b/>
          <w:bCs/>
          <w:color w:val="000000"/>
          <w:kern w:val="0"/>
          <w:szCs w:val="32"/>
          <w:shd w:val="clear" w:color="auto" w:fill="FFFFFF"/>
        </w:rPr>
        <w:t>。</w:t>
      </w:r>
      <w:r>
        <w:rPr>
          <w:rFonts w:hint="eastAsia" w:ascii="Times New Roman" w:hAnsi="Times New Roman" w:eastAsia="楷体_GB2312" w:cs="Times New Roman"/>
          <w:b/>
          <w:bCs/>
          <w:color w:val="000000"/>
          <w:kern w:val="0"/>
          <w:szCs w:val="32"/>
          <w:shd w:val="clear" w:color="auto" w:fill="FFFFFF"/>
          <w:lang w:eastAsia="zh-CN"/>
        </w:rPr>
        <w:t>项目入库：</w:t>
      </w:r>
      <w:r>
        <w:rPr>
          <w:rFonts w:hint="eastAsia" w:ascii="Times New Roman" w:hAnsi="Times New Roman" w:eastAsia="楷体_GB2312" w:cs="Times New Roman"/>
          <w:color w:val="000000"/>
          <w:kern w:val="0"/>
          <w:szCs w:val="32"/>
          <w:shd w:val="clear" w:color="auto" w:fill="FFFFFF"/>
          <w:lang w:eastAsia="zh-CN"/>
        </w:rPr>
        <w:t>已纳入部门项目库和财政年度预算项目库，入库评审材料完整（</w:t>
      </w:r>
      <w:r>
        <w:rPr>
          <w:rFonts w:hint="eastAsia" w:ascii="Times New Roman" w:hAnsi="Times New Roman" w:eastAsia="楷体_GB2312" w:cs="Times New Roman"/>
          <w:color w:val="000000"/>
          <w:kern w:val="0"/>
          <w:szCs w:val="32"/>
          <w:shd w:val="clear" w:color="auto" w:fill="FFFFFF"/>
          <w:lang w:val="en-US" w:eastAsia="zh-CN"/>
        </w:rPr>
        <w:t>4分</w:t>
      </w:r>
      <w:r>
        <w:rPr>
          <w:rFonts w:hint="eastAsia" w:ascii="Times New Roman" w:hAnsi="Times New Roman" w:eastAsia="楷体_GB2312" w:cs="Times New Roman"/>
          <w:color w:val="000000"/>
          <w:kern w:val="0"/>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contextualSpacing/>
        <w:jc w:val="left"/>
        <w:textAlignment w:val="auto"/>
        <w:rPr>
          <w:rFonts w:hint="eastAsia" w:eastAsia="楷体_GB2312"/>
          <w:color w:val="000000"/>
          <w:kern w:val="0"/>
          <w:szCs w:val="32"/>
          <w:shd w:val="clear" w:color="auto" w:fill="FFFFFF"/>
          <w:lang w:val="zh-CN"/>
        </w:rPr>
      </w:pPr>
      <w:r>
        <w:rPr>
          <w:rFonts w:eastAsia="楷体_GB2312"/>
          <w:b/>
          <w:bCs/>
          <w:color w:val="000000"/>
          <w:kern w:val="0"/>
          <w:szCs w:val="32"/>
          <w:shd w:val="clear" w:color="auto" w:fill="FFFFFF"/>
        </w:rPr>
        <w:t>2.项目执行</w:t>
      </w:r>
      <w:r>
        <w:rPr>
          <w:rFonts w:hint="eastAsia" w:eastAsia="楷体_GB2312"/>
          <w:b/>
          <w:bCs/>
          <w:color w:val="000000"/>
          <w:kern w:val="0"/>
          <w:szCs w:val="32"/>
          <w:shd w:val="clear" w:color="auto" w:fill="FFFFFF"/>
          <w:lang w:eastAsia="zh-CN"/>
        </w:rPr>
        <w:t>（</w:t>
      </w:r>
      <w:r>
        <w:rPr>
          <w:rFonts w:hint="eastAsia" w:eastAsia="楷体_GB2312"/>
          <w:b/>
          <w:bCs/>
          <w:color w:val="000000"/>
          <w:kern w:val="0"/>
          <w:szCs w:val="32"/>
          <w:shd w:val="clear" w:color="auto" w:fill="FFFFFF"/>
          <w:lang w:val="en-US" w:eastAsia="zh-CN"/>
        </w:rPr>
        <w:t>9分</w:t>
      </w:r>
      <w:r>
        <w:rPr>
          <w:rFonts w:hint="eastAsia" w:eastAsia="楷体_GB2312"/>
          <w:b/>
          <w:bCs/>
          <w:color w:val="000000"/>
          <w:kern w:val="0"/>
          <w:szCs w:val="32"/>
          <w:shd w:val="clear" w:color="auto" w:fill="FFFFFF"/>
          <w:lang w:eastAsia="zh-CN"/>
        </w:rPr>
        <w:t>）</w:t>
      </w:r>
      <w:r>
        <w:rPr>
          <w:rFonts w:eastAsia="楷体_GB2312"/>
          <w:b/>
          <w:bCs/>
          <w:color w:val="000000"/>
          <w:kern w:val="0"/>
          <w:szCs w:val="32"/>
          <w:shd w:val="clear" w:color="auto" w:fill="FFFFFF"/>
          <w:lang w:val="zh-CN"/>
        </w:rPr>
        <w:t>。</w:t>
      </w:r>
      <w:r>
        <w:rPr>
          <w:b/>
          <w:bCs/>
          <w:color w:val="000000"/>
          <w:kern w:val="0"/>
          <w:szCs w:val="32"/>
          <w:shd w:val="clear" w:color="auto" w:fill="FFFFFF"/>
          <w:lang w:val="zh-CN"/>
        </w:rPr>
        <w:t>资金执行</w:t>
      </w:r>
      <w:r>
        <w:rPr>
          <w:rFonts w:hint="eastAsia"/>
          <w:b/>
          <w:bCs/>
          <w:color w:val="000000"/>
          <w:kern w:val="0"/>
          <w:szCs w:val="32"/>
          <w:shd w:val="clear" w:color="auto" w:fill="FFFFFF"/>
          <w:lang w:val="zh-CN"/>
        </w:rPr>
        <w:t>动向：</w:t>
      </w:r>
      <w:r>
        <w:rPr>
          <w:rFonts w:hint="eastAsia" w:eastAsia="楷体_GB2312"/>
          <w:color w:val="000000"/>
          <w:kern w:val="0"/>
          <w:szCs w:val="32"/>
          <w:shd w:val="clear" w:color="auto" w:fill="FFFFFF"/>
          <w:lang w:val="zh-CN"/>
        </w:rPr>
        <w:t>资金支出进度与业务进度基本匹配（</w:t>
      </w:r>
      <w:r>
        <w:rPr>
          <w:rFonts w:hint="eastAsia" w:eastAsia="楷体_GB2312"/>
          <w:color w:val="000000"/>
          <w:kern w:val="0"/>
          <w:szCs w:val="32"/>
          <w:shd w:val="clear" w:color="auto" w:fill="FFFFFF"/>
          <w:lang w:val="en-US" w:eastAsia="zh-CN"/>
        </w:rPr>
        <w:t>3分</w:t>
      </w:r>
      <w:r>
        <w:rPr>
          <w:rFonts w:hint="eastAsia" w:eastAsia="楷体_GB2312"/>
          <w:color w:val="000000"/>
          <w:kern w:val="0"/>
          <w:szCs w:val="32"/>
          <w:shd w:val="clear" w:color="auto" w:fill="FFFFFF"/>
          <w:lang w:val="zh-CN"/>
        </w:rPr>
        <w:t>）。</w:t>
      </w:r>
      <w:r>
        <w:rPr>
          <w:rFonts w:hint="eastAsia" w:eastAsia="楷体_GB2312"/>
          <w:b/>
          <w:bCs/>
          <w:color w:val="000000"/>
          <w:kern w:val="0"/>
          <w:szCs w:val="32"/>
          <w:shd w:val="clear" w:color="auto" w:fill="FFFFFF"/>
          <w:lang w:val="zh-CN"/>
        </w:rPr>
        <w:t>项目调整：</w:t>
      </w:r>
      <w:r>
        <w:rPr>
          <w:rFonts w:hint="eastAsia" w:eastAsia="楷体_GB2312"/>
          <w:color w:val="000000"/>
          <w:kern w:val="0"/>
          <w:szCs w:val="32"/>
          <w:shd w:val="clear" w:color="auto" w:fill="FFFFFF"/>
          <w:lang w:val="zh-CN"/>
        </w:rPr>
        <w:t>未发生预算调整、内容调整或周期调整，按计划实施（</w:t>
      </w:r>
      <w:r>
        <w:rPr>
          <w:rFonts w:hint="eastAsia" w:eastAsia="楷体_GB2312"/>
          <w:color w:val="000000"/>
          <w:kern w:val="0"/>
          <w:szCs w:val="32"/>
          <w:shd w:val="clear" w:color="auto" w:fill="FFFFFF"/>
          <w:lang w:val="en-US" w:eastAsia="zh-CN"/>
        </w:rPr>
        <w:t>3分</w:t>
      </w:r>
      <w:r>
        <w:rPr>
          <w:rFonts w:hint="eastAsia" w:eastAsia="楷体_GB2312"/>
          <w:color w:val="000000"/>
          <w:kern w:val="0"/>
          <w:szCs w:val="32"/>
          <w:shd w:val="clear" w:color="auto" w:fill="FFFFFF"/>
          <w:lang w:val="zh-CN"/>
        </w:rPr>
        <w:t>）。</w:t>
      </w:r>
      <w:r>
        <w:rPr>
          <w:rFonts w:hint="eastAsia" w:eastAsia="楷体_GB2312"/>
          <w:b/>
          <w:bCs/>
          <w:color w:val="000000"/>
          <w:kern w:val="0"/>
          <w:szCs w:val="32"/>
          <w:shd w:val="clear" w:color="auto" w:fill="FFFFFF"/>
          <w:lang w:val="zh-CN"/>
        </w:rPr>
        <w:t>执行结果：</w:t>
      </w:r>
      <w:r>
        <w:rPr>
          <w:rFonts w:hint="eastAsia" w:eastAsia="楷体_GB2312"/>
          <w:color w:val="000000"/>
          <w:kern w:val="0"/>
          <w:szCs w:val="32"/>
          <w:shd w:val="clear" w:color="auto" w:fill="FFFFFF"/>
          <w:lang w:val="zh-CN"/>
        </w:rPr>
        <w:t>采购设备按期到货并验收合格；培训按期完成目标（</w:t>
      </w:r>
      <w:r>
        <w:rPr>
          <w:rFonts w:hint="eastAsia" w:eastAsia="楷体_GB2312"/>
          <w:color w:val="000000"/>
          <w:kern w:val="0"/>
          <w:szCs w:val="32"/>
          <w:shd w:val="clear" w:color="auto" w:fill="FFFFFF"/>
          <w:lang w:val="en-US" w:eastAsia="zh-CN"/>
        </w:rPr>
        <w:t>3分</w:t>
      </w:r>
      <w:r>
        <w:rPr>
          <w:rFonts w:hint="eastAsia" w:eastAsia="楷体_GB2312"/>
          <w:color w:val="000000"/>
          <w:kern w:val="0"/>
          <w:szCs w:val="32"/>
          <w:shd w:val="clear" w:color="auto" w:fill="FFFFFF"/>
          <w:lang w:val="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b/>
          <w:szCs w:val="32"/>
        </w:rPr>
      </w:pPr>
      <w:r>
        <w:rPr>
          <w:rFonts w:eastAsia="楷体_GB2312"/>
          <w:color w:val="000000"/>
          <w:kern w:val="0"/>
          <w:szCs w:val="32"/>
          <w:shd w:val="clear" w:color="auto" w:fill="FFFFFF"/>
        </w:rPr>
        <w:t>3.</w:t>
      </w:r>
      <w:r>
        <w:rPr>
          <w:rFonts w:eastAsia="楷体_GB2312"/>
          <w:b/>
          <w:bCs/>
          <w:color w:val="000000"/>
          <w:kern w:val="0"/>
          <w:szCs w:val="32"/>
          <w:shd w:val="clear" w:color="auto" w:fill="FFFFFF"/>
          <w:lang w:val="zh-CN"/>
        </w:rPr>
        <w:t>目标实现</w:t>
      </w:r>
      <w:r>
        <w:rPr>
          <w:rFonts w:hint="eastAsia" w:eastAsia="楷体_GB2312"/>
          <w:b/>
          <w:bCs/>
          <w:color w:val="000000"/>
          <w:kern w:val="0"/>
          <w:szCs w:val="32"/>
          <w:shd w:val="clear" w:color="auto" w:fill="FFFFFF"/>
          <w:lang w:val="zh-CN"/>
        </w:rPr>
        <w:t>（</w:t>
      </w:r>
      <w:r>
        <w:rPr>
          <w:rFonts w:hint="eastAsia" w:eastAsia="楷体_GB2312"/>
          <w:b/>
          <w:bCs/>
          <w:color w:val="000000"/>
          <w:kern w:val="0"/>
          <w:szCs w:val="32"/>
          <w:shd w:val="clear" w:color="auto" w:fill="FFFFFF"/>
          <w:lang w:val="en-US" w:eastAsia="zh-CN"/>
        </w:rPr>
        <w:t>8分</w:t>
      </w:r>
      <w:r>
        <w:rPr>
          <w:rFonts w:hint="eastAsia" w:eastAsia="楷体_GB2312"/>
          <w:b/>
          <w:bCs/>
          <w:color w:val="000000"/>
          <w:kern w:val="0"/>
          <w:szCs w:val="32"/>
          <w:shd w:val="clear" w:color="auto" w:fill="FFFFFF"/>
          <w:lang w:val="zh-CN"/>
        </w:rPr>
        <w:t>）</w:t>
      </w:r>
      <w:r>
        <w:rPr>
          <w:rFonts w:eastAsia="楷体_GB2312"/>
          <w:b/>
          <w:bCs/>
          <w:color w:val="000000"/>
          <w:kern w:val="0"/>
          <w:szCs w:val="32"/>
          <w:shd w:val="clear" w:color="auto" w:fill="FFFFFF"/>
          <w:lang w:val="zh-CN"/>
        </w:rPr>
        <w:t>。</w:t>
      </w:r>
      <w:r>
        <w:rPr>
          <w:b/>
          <w:bCs/>
          <w:color w:val="000000"/>
          <w:kern w:val="0"/>
          <w:szCs w:val="32"/>
          <w:shd w:val="clear" w:color="auto" w:fill="FFFFFF"/>
          <w:lang w:val="zh-CN"/>
        </w:rPr>
        <w:t>目标完成</w:t>
      </w:r>
      <w:r>
        <w:rPr>
          <w:rFonts w:hint="eastAsia"/>
          <w:b/>
          <w:bCs/>
          <w:color w:val="000000"/>
          <w:kern w:val="0"/>
          <w:szCs w:val="32"/>
          <w:shd w:val="clear" w:color="auto" w:fill="FFFFFF"/>
          <w:lang w:val="zh-CN"/>
        </w:rPr>
        <w:t>：</w:t>
      </w:r>
      <w:r>
        <w:rPr>
          <w:rFonts w:hint="eastAsia"/>
          <w:color w:val="000000"/>
          <w:kern w:val="0"/>
          <w:szCs w:val="32"/>
          <w:shd w:val="clear" w:color="auto" w:fill="FFFFFF"/>
          <w:lang w:val="zh-CN"/>
        </w:rPr>
        <w:t>设备采购完成并顺利验收培训顺利完成（</w:t>
      </w:r>
      <w:r>
        <w:rPr>
          <w:rFonts w:hint="eastAsia"/>
          <w:color w:val="000000"/>
          <w:kern w:val="0"/>
          <w:szCs w:val="32"/>
          <w:shd w:val="clear" w:color="auto" w:fill="FFFFFF"/>
          <w:lang w:val="en-US" w:eastAsia="zh-CN"/>
        </w:rPr>
        <w:t>4分</w:t>
      </w:r>
      <w:r>
        <w:rPr>
          <w:rFonts w:hint="eastAsia"/>
          <w:color w:val="000000"/>
          <w:kern w:val="0"/>
          <w:szCs w:val="32"/>
          <w:shd w:val="clear" w:color="auto" w:fill="FFFFFF"/>
          <w:lang w:val="zh-CN"/>
        </w:rPr>
        <w:t>）。</w:t>
      </w:r>
      <w:r>
        <w:rPr>
          <w:rFonts w:hint="eastAsia"/>
          <w:b/>
          <w:bCs/>
          <w:color w:val="000000"/>
          <w:kern w:val="0"/>
          <w:szCs w:val="32"/>
          <w:shd w:val="clear" w:color="auto" w:fill="FFFFFF"/>
          <w:lang w:val="zh-CN"/>
        </w:rPr>
        <w:t>目标偏离：</w:t>
      </w:r>
      <w:r>
        <w:rPr>
          <w:rFonts w:hint="eastAsia" w:ascii="Times New Roman" w:hAnsi="Times New Roman" w:cs="Times New Roman"/>
          <w:color w:val="000000"/>
          <w:kern w:val="0"/>
          <w:szCs w:val="32"/>
          <w:shd w:val="clear" w:color="auto" w:fill="FFFFFF"/>
          <w:lang w:val="zh-CN"/>
        </w:rPr>
        <w:t>个别指标存在偏离（</w:t>
      </w:r>
      <w:r>
        <w:rPr>
          <w:rFonts w:hint="eastAsia" w:ascii="Times New Roman" w:hAnsi="Times New Roman" w:cs="Times New Roman"/>
          <w:color w:val="000000"/>
          <w:kern w:val="0"/>
          <w:szCs w:val="32"/>
          <w:shd w:val="clear" w:color="auto" w:fill="FFFFFF"/>
          <w:lang w:val="en-US" w:eastAsia="zh-CN"/>
        </w:rPr>
        <w:t>2分</w:t>
      </w:r>
      <w:r>
        <w:rPr>
          <w:rFonts w:hint="eastAsia" w:ascii="Times New Roman" w:hAnsi="Times New Roman" w:cs="Times New Roman"/>
          <w:color w:val="000000"/>
          <w:kern w:val="0"/>
          <w:szCs w:val="32"/>
          <w:shd w:val="clear" w:color="auto" w:fill="FFFFFF"/>
          <w:lang w:val="zh-CN"/>
        </w:rPr>
        <w:t>）。</w:t>
      </w:r>
      <w:r>
        <w:rPr>
          <w:rFonts w:hint="eastAsia" w:ascii="Times New Roman" w:hAnsi="Times New Roman" w:cs="Times New Roman"/>
          <w:b/>
          <w:bCs/>
          <w:color w:val="000000"/>
          <w:kern w:val="0"/>
          <w:szCs w:val="32"/>
          <w:shd w:val="clear" w:color="auto" w:fill="FFFFFF"/>
          <w:lang w:val="zh-CN"/>
        </w:rPr>
        <w:t>实现效果：</w:t>
      </w:r>
      <w:r>
        <w:rPr>
          <w:rFonts w:hint="eastAsia" w:ascii="Times New Roman" w:hAnsi="Times New Roman" w:cs="Times New Roman"/>
          <w:color w:val="000000"/>
          <w:kern w:val="0"/>
          <w:szCs w:val="32"/>
          <w:shd w:val="clear" w:color="auto" w:fill="FFFFFF"/>
          <w:lang w:val="zh-CN"/>
        </w:rPr>
        <w:t>各项目实施显著提升区域基本公共卫生能力但对成果巩固能力不足（</w:t>
      </w:r>
      <w:r>
        <w:rPr>
          <w:rFonts w:hint="eastAsia" w:ascii="Times New Roman" w:hAnsi="Times New Roman" w:cs="Times New Roman"/>
          <w:color w:val="000000"/>
          <w:kern w:val="0"/>
          <w:szCs w:val="32"/>
          <w:shd w:val="clear" w:color="auto" w:fill="FFFFFF"/>
          <w:lang w:val="en-US" w:eastAsia="zh-CN"/>
        </w:rPr>
        <w:t>2分</w:t>
      </w:r>
      <w:r>
        <w:rPr>
          <w:rFonts w:hint="eastAsia" w:ascii="Times New Roman" w:hAnsi="Times New Roman" w:cs="Times New Roman"/>
          <w:color w:val="000000"/>
          <w:kern w:val="0"/>
          <w:szCs w:val="32"/>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（一）评价结论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严格按照年初预算批复认真组织实施,严格执行财经纪律相关管理规定，做到各项收支安排使用符合事业发展计划和财政政策的要求，确保了单位正常运行和重大项目的实施，较好地完成了202</w:t>
      </w:r>
      <w:r>
        <w:rPr>
          <w:rFonts w:hint="eastAsia" w:cs="Times New Roman"/>
          <w:color w:val="000000"/>
          <w:kern w:val="0"/>
          <w:szCs w:val="32"/>
          <w:shd w:val="clear" w:color="auto" w:fill="FFFFFF"/>
          <w:lang w:val="en-US" w:eastAsia="zh-CN"/>
        </w:rPr>
        <w:t>5</w:t>
      </w:r>
      <w:r>
        <w:rPr>
          <w:rFonts w:hint="eastAsia" w:ascii="Times New Roman" w:hAnsi="Times New Roman" w:cs="Times New Roman"/>
          <w:color w:val="000000"/>
          <w:kern w:val="0"/>
          <w:szCs w:val="32"/>
          <w:shd w:val="clear" w:color="auto" w:fill="FFFFFF"/>
          <w:lang w:val="zh-CN"/>
        </w:rPr>
        <w:t>年部门预算编制和决算汇总工作，202</w:t>
      </w:r>
      <w:r>
        <w:rPr>
          <w:rFonts w:hint="eastAsia" w:ascii="Times New Roman" w:hAnsi="Times New Roman" w:cs="Times New Roman"/>
          <w:color w:val="000000"/>
          <w:kern w:val="0"/>
          <w:szCs w:val="32"/>
          <w:shd w:val="clear" w:color="auto" w:fill="FFFFFF"/>
          <w:lang w:val="en-US" w:eastAsia="zh-CN"/>
        </w:rPr>
        <w:t>5</w:t>
      </w:r>
      <w:r>
        <w:rPr>
          <w:rFonts w:hint="eastAsia" w:ascii="Times New Roman" w:hAnsi="Times New Roman" w:cs="Times New Roman"/>
          <w:color w:val="000000"/>
          <w:kern w:val="0"/>
          <w:szCs w:val="32"/>
          <w:shd w:val="clear" w:color="auto" w:fill="FFFFFF"/>
          <w:lang w:val="zh-CN"/>
        </w:rPr>
        <w:t>年目标任务基本完成，</w:t>
      </w:r>
      <w:r>
        <w:rPr>
          <w:rFonts w:hint="eastAsia" w:ascii="Times New Roman" w:hAnsi="Times New Roman" w:cs="Times New Roman"/>
          <w:color w:val="000000"/>
          <w:kern w:val="0"/>
          <w:szCs w:val="32"/>
          <w:shd w:val="clear" w:color="auto" w:fill="FFFFFF"/>
          <w:lang w:val="zh-CN" w:eastAsia="zh-CN"/>
        </w:rPr>
        <w:t>自评得分</w:t>
      </w:r>
      <w:r>
        <w:rPr>
          <w:rFonts w:hint="eastAsia" w:ascii="Times New Roman" w:hAnsi="Times New Roman" w:cs="Times New Roman"/>
          <w:color w:val="000000"/>
          <w:kern w:val="0"/>
          <w:szCs w:val="32"/>
          <w:shd w:val="clear" w:color="auto" w:fill="FFFFFF"/>
          <w:lang w:val="en-US" w:eastAsia="zh-CN"/>
        </w:rPr>
        <w:t>83分，</w:t>
      </w:r>
      <w:r>
        <w:rPr>
          <w:rFonts w:hint="eastAsia" w:ascii="Times New Roman" w:hAnsi="Times New Roman" w:cs="Times New Roman"/>
          <w:color w:val="000000"/>
          <w:kern w:val="0"/>
          <w:szCs w:val="32"/>
          <w:shd w:val="clear" w:color="auto" w:fill="FFFFFF"/>
          <w:lang w:val="zh-CN"/>
        </w:rPr>
        <w:t>预算执行情况较好。</w:t>
      </w:r>
    </w:p>
    <w:p>
      <w:pPr>
        <w:keepNext w:val="0"/>
        <w:keepLines w:val="0"/>
        <w:pageBreakBefore w:val="0"/>
        <w:widowControl w:val="0"/>
        <w:tabs>
          <w:tab w:val="right" w:pos="8844"/>
        </w:tabs>
        <w:kinsoku/>
        <w:wordWrap/>
        <w:overflowPunct/>
        <w:topLinePunct w:val="0"/>
        <w:autoSpaceDE/>
        <w:autoSpaceDN/>
        <w:bidi w:val="0"/>
        <w:spacing w:line="560" w:lineRule="exact"/>
        <w:ind w:firstLine="642" w:firstLineChars="200"/>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（二）存在问题。</w:t>
      </w:r>
    </w:p>
    <w:p>
      <w:pPr>
        <w:keepNext w:val="0"/>
        <w:keepLines w:val="0"/>
        <w:pageBreakBefore w:val="0"/>
        <w:widowControl w:val="0"/>
        <w:tabs>
          <w:tab w:val="right" w:pos="8844"/>
        </w:tabs>
        <w:kinsoku/>
        <w:wordWrap/>
        <w:overflowPunct/>
        <w:topLinePunct w:val="0"/>
        <w:autoSpaceDE/>
        <w:autoSpaceDN/>
        <w:bidi w:val="0"/>
        <w:spacing w:line="560" w:lineRule="exact"/>
        <w:ind w:firstLine="642"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b/>
          <w:sz w:val="32"/>
          <w:szCs w:val="32"/>
        </w:rPr>
        <w:t>1.部分项目资金支付进度滞后</w:t>
      </w:r>
      <w:r>
        <w:rPr>
          <w:rFonts w:hint="eastAsia" w:ascii="Times New Roman" w:hAnsi="Times New Roman" w:cs="Times New Roman"/>
          <w:b/>
          <w:sz w:val="32"/>
          <w:szCs w:val="32"/>
          <w:lang w:eastAsia="zh-CN"/>
        </w:rPr>
        <w:t>，</w:t>
      </w:r>
      <w:r>
        <w:rPr>
          <w:rFonts w:hint="eastAsia" w:ascii="Times New Roman" w:hAnsi="Times New Roman" w:eastAsia="仿宋_GB2312" w:cs="Times New Roman"/>
          <w:sz w:val="32"/>
          <w:szCs w:val="32"/>
        </w:rPr>
        <w:t>个别项目前期论证不充分，实施方案调整导致启动延迟，资金沉淀至下半年才形成支出；二是合同付款条款与业务进度衔接不紧；内部财务与业务科室沟通不够，发现滞后时已临近关账。</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eastAsia="楷体_GB2312"/>
          <w:b/>
          <w:bCs/>
          <w:color w:val="000000"/>
          <w:kern w:val="0"/>
          <w:szCs w:val="32"/>
          <w:shd w:val="clear" w:color="auto" w:fill="FFFFFF"/>
        </w:rPr>
      </w:pPr>
      <w:r>
        <w:rPr>
          <w:rFonts w:hint="eastAsia" w:ascii="Times New Roman" w:hAnsi="Times New Roman" w:eastAsia="仿宋_GB2312" w:cs="Times New Roman"/>
          <w:b/>
          <w:sz w:val="32"/>
          <w:szCs w:val="32"/>
        </w:rPr>
        <w:t>2.内控制度需进一步完善，</w:t>
      </w:r>
      <w:r>
        <w:rPr>
          <w:rFonts w:hint="eastAsia" w:ascii="Times New Roman" w:hAnsi="Times New Roman" w:eastAsia="仿宋_GB2312" w:cs="Times New Roman"/>
          <w:sz w:val="32"/>
          <w:szCs w:val="32"/>
        </w:rPr>
        <w:t>随着资金管理改革的进一步推进，我单位内部机构进行了相应的优化，建立健全了财务管理制度、固定资产管理制度、费用报销规程等制度，但仍需进一步强化财务约束监督体制。</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contextualSpacing/>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（三）改进建议</w:t>
      </w:r>
      <w:bookmarkStart w:id="0" w:name="_Hlk110546638"/>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1.科学合理编制预算，严格执行预算。进一步提高预算编制到位率，做准做全基本支出预算，做全项目支出预算，加强预算支出的审核、跟踪及预算执行情况分析，提高预算编制严谨性和可控性。</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2.进一步加强项目资金管理。严格实行项目管理程序化，实现项目申报、实施、拨付、评价全流程监督与控制，规范专项资金管理，提高专项资金的使用效益。</w:t>
      </w:r>
    </w:p>
    <w:bookmarkEnd w:id="0"/>
    <w:p>
      <w:pPr>
        <w:spacing w:line="578" w:lineRule="exact"/>
        <w:contextualSpacing/>
        <w:jc w:val="left"/>
        <w:rPr>
          <w:rFonts w:eastAsia="黑体"/>
          <w:szCs w:val="32"/>
        </w:rPr>
      </w:pPr>
    </w:p>
    <w:p>
      <w:pPr>
        <w:spacing w:line="578" w:lineRule="exact"/>
        <w:ind w:firstLine="640" w:firstLineChars="200"/>
        <w:jc w:val="left"/>
        <w:rPr>
          <w:szCs w:val="32"/>
        </w:rPr>
      </w:pPr>
      <w:r>
        <w:rPr>
          <w:color w:val="000000"/>
          <w:kern w:val="0"/>
          <w:szCs w:val="32"/>
          <w:shd w:val="clear" w:color="auto" w:fill="FFFFFF"/>
        </w:rPr>
        <w:t>附表：</w:t>
      </w:r>
      <w:r>
        <w:rPr>
          <w:rFonts w:hint="eastAsia"/>
          <w:color w:val="000000"/>
          <w:kern w:val="0"/>
          <w:szCs w:val="32"/>
          <w:shd w:val="clear" w:color="auto" w:fill="FFFFFF"/>
        </w:rPr>
        <w:t>1.</w:t>
      </w:r>
      <w:r>
        <w:rPr>
          <w:rFonts w:hint="eastAsia"/>
          <w:szCs w:val="32"/>
        </w:rPr>
        <w:t>部门预算绩效自评打分表</w:t>
      </w:r>
    </w:p>
    <w:p>
      <w:pPr>
        <w:spacing w:line="578" w:lineRule="exact"/>
        <w:ind w:firstLine="1600" w:firstLineChars="500"/>
        <w:jc w:val="left"/>
        <w:rPr>
          <w:color w:val="000000"/>
          <w:kern w:val="0"/>
          <w:szCs w:val="32"/>
          <w:shd w:val="clear" w:color="auto" w:fill="FFFFFF"/>
        </w:rPr>
      </w:pPr>
      <w:r>
        <w:rPr>
          <w:rFonts w:hint="eastAsia"/>
          <w:szCs w:val="32"/>
        </w:rPr>
        <w:t>2.</w:t>
      </w:r>
      <w:r>
        <w:rPr>
          <w:color w:val="000000"/>
          <w:kern w:val="0"/>
          <w:szCs w:val="32"/>
          <w:shd w:val="clear" w:color="auto" w:fill="FFFFFF"/>
        </w:rPr>
        <w:t>部门整体</w:t>
      </w:r>
      <w:r>
        <w:rPr>
          <w:rFonts w:hint="eastAsia"/>
          <w:color w:val="000000"/>
          <w:kern w:val="0"/>
          <w:szCs w:val="32"/>
          <w:shd w:val="clear" w:color="auto" w:fill="FFFFFF"/>
        </w:rPr>
        <w:t>支出</w:t>
      </w:r>
      <w:r>
        <w:rPr>
          <w:color w:val="000000"/>
          <w:kern w:val="0"/>
          <w:szCs w:val="32"/>
          <w:shd w:val="clear" w:color="auto" w:fill="FFFFFF"/>
        </w:rPr>
        <w:t>绩效目标完成情况自评表</w:t>
      </w:r>
    </w:p>
    <w:p>
      <w:pPr>
        <w:spacing w:line="578" w:lineRule="exact"/>
        <w:ind w:firstLine="1600" w:firstLineChars="500"/>
        <w:jc w:val="left"/>
        <w:rPr>
          <w:szCs w:val="32"/>
        </w:rPr>
      </w:pPr>
      <w:r>
        <w:rPr>
          <w:rFonts w:hint="eastAsia"/>
          <w:color w:val="000000"/>
          <w:kern w:val="0"/>
          <w:szCs w:val="32"/>
          <w:shd w:val="clear" w:color="auto" w:fill="FFFFFF"/>
        </w:rPr>
        <w:t>3.</w:t>
      </w:r>
      <w:r>
        <w:rPr>
          <w:szCs w:val="32"/>
        </w:rPr>
        <w:t>部门预算项目支出绩效评价表（202</w:t>
      </w:r>
      <w:r>
        <w:rPr>
          <w:rFonts w:hint="eastAsia"/>
          <w:szCs w:val="32"/>
        </w:rPr>
        <w:t>5</w:t>
      </w:r>
      <w:r>
        <w:rPr>
          <w:szCs w:val="32"/>
        </w:rPr>
        <w:t>年度）</w:t>
      </w:r>
    </w:p>
    <w:p>
      <w:pPr>
        <w:spacing w:line="578" w:lineRule="exact"/>
        <w:jc w:val="left"/>
        <w:rPr>
          <w:rFonts w:eastAsia="黑体"/>
        </w:rPr>
      </w:pPr>
      <w:r>
        <w:rPr>
          <w:color w:val="000000"/>
          <w:kern w:val="0"/>
          <w:szCs w:val="32"/>
          <w:shd w:val="clear" w:color="auto" w:fill="FFFFFF"/>
        </w:rPr>
        <w:br w:type="page"/>
      </w:r>
      <w:r>
        <w:rPr>
          <w:rFonts w:eastAsia="黑体"/>
        </w:rPr>
        <w:t>附表</w:t>
      </w:r>
      <w:r>
        <w:rPr>
          <w:rFonts w:hint="eastAsia" w:eastAsia="黑体"/>
        </w:rPr>
        <w:t>1</w:t>
      </w:r>
    </w:p>
    <w:p>
      <w:pPr>
        <w:widowControl/>
        <w:spacing w:line="600" w:lineRule="exact"/>
        <w:jc w:val="center"/>
        <w:textAlignment w:val="center"/>
        <w:rPr>
          <w:rFonts w:eastAsia="方正小标宋简体"/>
          <w:color w:val="000000"/>
          <w:kern w:val="0"/>
          <w:sz w:val="44"/>
          <w:szCs w:val="44"/>
        </w:rPr>
      </w:pPr>
      <w:r>
        <w:rPr>
          <w:rFonts w:hint="eastAsia" w:eastAsia="方正小标宋简体"/>
          <w:color w:val="000000"/>
          <w:kern w:val="0"/>
          <w:sz w:val="44"/>
          <w:szCs w:val="44"/>
        </w:rPr>
        <w:t>部门预算绩效自评打分表</w:t>
      </w:r>
    </w:p>
    <w:tbl>
      <w:tblPr>
        <w:tblStyle w:val="14"/>
        <w:tblW w:w="109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97"/>
        <w:gridCol w:w="1201"/>
        <w:gridCol w:w="1929"/>
        <w:gridCol w:w="717"/>
        <w:gridCol w:w="4760"/>
        <w:gridCol w:w="730"/>
        <w:gridCol w:w="4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94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绩效评价指标指标分值</w:t>
            </w:r>
          </w:p>
        </w:tc>
        <w:tc>
          <w:tcPr>
            <w:tcW w:w="47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指标解释</w:t>
            </w:r>
          </w:p>
        </w:tc>
        <w:tc>
          <w:tcPr>
            <w:tcW w:w="730"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240" w:lineRule="exact"/>
              <w:jc w:val="center"/>
              <w:textAlignment w:val="center"/>
              <w:rPr>
                <w:rFonts w:ascii="黑体" w:eastAsia="黑体" w:cs="黑体"/>
                <w:color w:val="000000"/>
                <w:kern w:val="0"/>
                <w:sz w:val="24"/>
              </w:rPr>
            </w:pPr>
            <w:r>
              <w:rPr>
                <w:rFonts w:hint="eastAsia" w:ascii="黑体" w:eastAsia="黑体" w:cs="黑体"/>
                <w:color w:val="000000"/>
                <w:kern w:val="0"/>
                <w:sz w:val="24"/>
              </w:rPr>
              <w:t>自评得分</w:t>
            </w:r>
          </w:p>
        </w:tc>
        <w:tc>
          <w:tcPr>
            <w:tcW w:w="478"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240" w:lineRule="exact"/>
              <w:jc w:val="center"/>
              <w:textAlignment w:val="center"/>
              <w:rPr>
                <w:rFonts w:ascii="黑体" w:eastAsia="黑体" w:cs="黑体"/>
                <w:color w:val="000000"/>
                <w:kern w:val="0"/>
                <w:sz w:val="24"/>
              </w:rPr>
            </w:pPr>
            <w:r>
              <w:rPr>
                <w:rFonts w:hint="eastAsia" w:ascii="黑体" w:eastAsia="黑体" w:cs="黑体"/>
                <w:color w:val="000000"/>
                <w:kern w:val="0"/>
                <w:sz w:val="24"/>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tcBorders>
              <w:top w:val="single" w:color="000000" w:sz="4" w:space="0"/>
              <w:left w:val="single" w:color="000000" w:sz="4" w:space="0"/>
              <w:bottom w:val="single" w:color="000000" w:sz="4" w:space="0"/>
              <w:right w:val="nil"/>
            </w:tcBorders>
            <w:shd w:val="clear" w:color="auto" w:fill="auto"/>
            <w:noWrap/>
            <w:vAlign w:val="center"/>
          </w:tcPr>
          <w:p>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一级指标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二级指标</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三级指标</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黑体" w:eastAsia="黑体" w:cs="黑体"/>
                <w:color w:val="000000"/>
                <w:sz w:val="24"/>
              </w:rPr>
            </w:pPr>
            <w:r>
              <w:rPr>
                <w:rFonts w:hint="eastAsia" w:ascii="黑体" w:eastAsia="黑体" w:cs="黑体"/>
                <w:color w:val="000000"/>
                <w:kern w:val="0"/>
                <w:sz w:val="24"/>
              </w:rPr>
              <w:t>指标</w:t>
            </w:r>
            <w:r>
              <w:rPr>
                <w:rFonts w:hint="eastAsia" w:ascii="黑体" w:eastAsia="黑体" w:cs="黑体"/>
                <w:color w:val="000000"/>
                <w:kern w:val="0"/>
                <w:sz w:val="24"/>
              </w:rPr>
              <w:br w:type="textWrapping"/>
            </w:r>
            <w:r>
              <w:rPr>
                <w:rFonts w:hint="eastAsia" w:ascii="黑体" w:eastAsia="黑体" w:cs="黑体"/>
                <w:color w:val="000000"/>
                <w:kern w:val="0"/>
                <w:sz w:val="24"/>
              </w:rPr>
              <w:t>分值</w:t>
            </w:r>
          </w:p>
        </w:tc>
        <w:tc>
          <w:tcPr>
            <w:tcW w:w="47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730" w:type="dxa"/>
            <w:vMerge w:val="continue"/>
            <w:tcBorders>
              <w:left w:val="single" w:color="000000" w:sz="4" w:space="0"/>
              <w:bottom w:val="single" w:color="000000" w:sz="4" w:space="0"/>
              <w:right w:val="single" w:color="000000" w:sz="4" w:space="0"/>
            </w:tcBorders>
            <w:shd w:val="clear" w:color="auto" w:fill="auto"/>
            <w:noWrap/>
            <w:vAlign w:val="center"/>
          </w:tcPr>
          <w:p/>
        </w:tc>
        <w:tc>
          <w:tcPr>
            <w:tcW w:w="478" w:type="dxa"/>
            <w:vMerge w:val="continue"/>
            <w:tcBorders>
              <w:left w:val="single" w:color="000000" w:sz="4" w:space="0"/>
              <w:bottom w:val="single" w:color="000000" w:sz="4" w:space="0"/>
              <w:right w:val="single" w:color="000000" w:sz="4" w:space="0"/>
            </w:tcBorders>
            <w:shd w:val="clear" w:color="auto" w:fill="auto"/>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总体绩效（65分）</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履职效能</w:t>
            </w:r>
            <w:r>
              <w:rPr>
                <w:rFonts w:hint="eastAsia" w:ascii="宋体" w:eastAsia="宋体" w:cs="宋体"/>
                <w:b/>
                <w:color w:val="000000"/>
                <w:kern w:val="0"/>
                <w:sz w:val="24"/>
              </w:rPr>
              <w:br w:type="textWrapping"/>
            </w:r>
            <w:r>
              <w:rPr>
                <w:rFonts w:hint="eastAsia" w:ascii="宋体" w:eastAsia="宋体" w:cs="宋体"/>
                <w:b/>
                <w:color w:val="000000"/>
                <w:kern w:val="0"/>
                <w:sz w:val="24"/>
              </w:rPr>
              <w:t>（15分）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履职效果</w:t>
            </w:r>
          </w:p>
        </w:tc>
        <w:tc>
          <w:tcPr>
            <w:tcW w:w="717" w:type="dxa"/>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15</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部门整体绩效目标中选定3-5个核心职能目标，反映该项职能目标完成效果情况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noWrap/>
            <w:vAlign w:val="center"/>
          </w:tcPr>
          <w:p/>
        </w:tc>
        <w:tc>
          <w:tcPr>
            <w:tcW w:w="1201"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预算管理</w:t>
            </w:r>
            <w:r>
              <w:rPr>
                <w:rFonts w:hint="eastAsia" w:ascii="宋体" w:eastAsia="宋体" w:cs="宋体"/>
                <w:b/>
                <w:color w:val="000000"/>
                <w:kern w:val="0"/>
                <w:sz w:val="24"/>
              </w:rPr>
              <w:br w:type="textWrapping"/>
            </w:r>
            <w:r>
              <w:rPr>
                <w:rFonts w:hint="eastAsia" w:ascii="宋体" w:eastAsia="宋体" w:cs="宋体"/>
                <w:b/>
                <w:color w:val="000000"/>
                <w:kern w:val="0"/>
                <w:sz w:val="24"/>
              </w:rPr>
              <w:t>（25分）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预算编制质量</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8</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部门是否严格按要求编制年初部门预算，年初预算编制的科学性和准确性</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noWrap/>
            <w:vAlign w:val="center"/>
          </w:tcPr>
          <w:p/>
        </w:tc>
        <w:tc>
          <w:tcPr>
            <w:tcW w:w="1201" w:type="dxa"/>
            <w:vMerge w:val="continue"/>
            <w:tcBorders>
              <w:left w:val="single" w:color="000000" w:sz="4" w:space="0"/>
              <w:right w:val="single" w:color="000000" w:sz="4" w:space="0"/>
            </w:tcBorders>
            <w:shd w:val="clear" w:color="auto" w:fill="auto"/>
            <w:noWrap/>
            <w:vAlign w:val="center"/>
          </w:tc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单位收入统筹</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部门统筹自有收入努力程度</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noWrap/>
            <w:vAlign w:val="center"/>
          </w:tcPr>
          <w:p/>
        </w:tc>
        <w:tc>
          <w:tcPr>
            <w:tcW w:w="1201" w:type="dxa"/>
            <w:vMerge w:val="continue"/>
            <w:tcBorders>
              <w:left w:val="single" w:color="000000" w:sz="4" w:space="0"/>
              <w:right w:val="single" w:color="000000" w:sz="4" w:space="0"/>
            </w:tcBorders>
            <w:shd w:val="clear" w:color="auto" w:fill="auto"/>
            <w:noWrap/>
            <w:vAlign w:val="center"/>
          </w:tc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支出执行管理</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6</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部门1至6月、1至10月预算执行情况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noWrap/>
            <w:vAlign w:val="center"/>
          </w:tcPr>
          <w:p/>
        </w:tc>
        <w:tc>
          <w:tcPr>
            <w:tcW w:w="1201" w:type="dxa"/>
            <w:vMerge w:val="continue"/>
            <w:tcBorders>
              <w:left w:val="single" w:color="000000" w:sz="4" w:space="0"/>
              <w:right w:val="single" w:color="000000" w:sz="4" w:space="0"/>
            </w:tcBorders>
            <w:shd w:val="clear" w:color="auto" w:fill="auto"/>
            <w:noWrap/>
            <w:vAlign w:val="center"/>
          </w:tc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预算年终结余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2</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部门整体年终预算结余情况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jc w:val="center"/>
        </w:trPr>
        <w:tc>
          <w:tcPr>
            <w:tcW w:w="1097" w:type="dxa"/>
            <w:vMerge w:val="continue"/>
            <w:tcBorders>
              <w:left w:val="single" w:color="000000" w:sz="4" w:space="0"/>
              <w:right w:val="single" w:color="000000" w:sz="4" w:space="0"/>
            </w:tcBorders>
            <w:shd w:val="clear" w:color="auto" w:fill="auto"/>
            <w:noWrap/>
            <w:vAlign w:val="center"/>
          </w:tcPr>
          <w:p/>
        </w:tc>
        <w:tc>
          <w:tcPr>
            <w:tcW w:w="1201" w:type="dxa"/>
            <w:vMerge w:val="continue"/>
            <w:tcBorders>
              <w:left w:val="single" w:color="000000" w:sz="4" w:space="0"/>
              <w:right w:val="single" w:color="000000" w:sz="4" w:space="0"/>
            </w:tcBorders>
            <w:shd w:val="clear" w:color="auto" w:fill="auto"/>
            <w:noWrap/>
            <w:vAlign w:val="center"/>
          </w:tc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严控一般性支出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5</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r>
              <w:rPr>
                <w:rFonts w:hint="eastAsia" w:ascii="宋体" w:eastAsia="宋体" w:cs="宋体"/>
                <w:color w:val="000000"/>
                <w:kern w:val="0"/>
                <w:sz w:val="24"/>
              </w:rPr>
              <w:t>部门严控“三公”经费、会议、培训、差旅、办节办展、办公设备购置、信息化建设和运维、课题经费、竞赛活动、规划编制一般性支出情况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noWrap/>
            <w:vAlign w:val="center"/>
          </w:tc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财务管理</w:t>
            </w:r>
            <w:r>
              <w:rPr>
                <w:rFonts w:hint="eastAsia" w:ascii="宋体" w:eastAsia="宋体" w:cs="宋体"/>
                <w:b/>
                <w:color w:val="000000"/>
                <w:kern w:val="0"/>
                <w:sz w:val="24"/>
              </w:rPr>
              <w:br w:type="textWrapping"/>
            </w:r>
            <w:r>
              <w:rPr>
                <w:rFonts w:hint="eastAsia" w:ascii="宋体" w:eastAsia="宋体" w:cs="宋体"/>
                <w:b/>
                <w:color w:val="000000"/>
                <w:kern w:val="0"/>
                <w:sz w:val="24"/>
              </w:rPr>
              <w:t>（10分）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财务管理制度</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部门财务管理制度建立情况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noWrap/>
            <w:vAlign w:val="center"/>
          </w:tc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财务岗位设置</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2</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部门财务岗位设置是否符合相关财务管理制度要求</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noWrap/>
            <w:vAlign w:val="center"/>
          </w:tc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资金使用规范</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部门资金使用是否符合相关财务管理制度规定</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noWrap/>
            <w:vAlign w:val="center"/>
          </w:tc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资产管理</w:t>
            </w:r>
            <w:r>
              <w:rPr>
                <w:rFonts w:hint="eastAsia" w:ascii="宋体" w:eastAsia="宋体" w:cs="宋体"/>
                <w:b/>
                <w:color w:val="000000"/>
                <w:kern w:val="0"/>
                <w:sz w:val="24"/>
              </w:rPr>
              <w:br w:type="textWrapping"/>
            </w:r>
            <w:r>
              <w:rPr>
                <w:rFonts w:hint="eastAsia" w:ascii="宋体" w:eastAsia="宋体" w:cs="宋体"/>
                <w:b/>
                <w:color w:val="000000"/>
                <w:kern w:val="0"/>
                <w:sz w:val="24"/>
              </w:rPr>
              <w:t>（9分）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人均资产变化率</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部门人均资产变化情况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noWrap/>
            <w:vAlign w:val="center"/>
          </w:tc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资产利用率</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部门资产超最低使用年限情况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noWrap/>
            <w:vAlign w:val="center"/>
          </w:tcP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资产管理</w:t>
            </w:r>
            <w:r>
              <w:rPr>
                <w:rFonts w:hint="eastAsia" w:ascii="宋体" w:eastAsia="宋体" w:cs="宋体"/>
                <w:b/>
                <w:color w:val="000000"/>
                <w:kern w:val="0"/>
                <w:sz w:val="24"/>
              </w:rPr>
              <w:br w:type="textWrapping"/>
            </w:r>
            <w:r>
              <w:rPr>
                <w:rFonts w:hint="eastAsia" w:ascii="宋体" w:eastAsia="宋体" w:cs="宋体"/>
                <w:b/>
                <w:color w:val="000000"/>
                <w:kern w:val="0"/>
                <w:sz w:val="24"/>
              </w:rPr>
              <w:t>（9分）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资产盘活率</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部门闲置一年以上的资产盘活情况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noWrap/>
            <w:vAlign w:val="center"/>
          </w:tc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采购管理</w:t>
            </w:r>
            <w:r>
              <w:rPr>
                <w:rFonts w:hint="eastAsia" w:ascii="宋体" w:eastAsia="宋体" w:cs="宋体"/>
                <w:b/>
                <w:color w:val="000000"/>
                <w:kern w:val="0"/>
                <w:sz w:val="24"/>
              </w:rPr>
              <w:br w:type="textWrapping"/>
            </w:r>
            <w:r>
              <w:rPr>
                <w:rFonts w:hint="eastAsia" w:ascii="宋体" w:eastAsia="宋体" w:cs="宋体"/>
                <w:b/>
                <w:color w:val="000000"/>
                <w:kern w:val="0"/>
                <w:sz w:val="24"/>
              </w:rPr>
              <w:t>（6分）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支持中小企业发展</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部门是否严格执行政府采购促进中小企业发展相关管理办法</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 w:hRule="atLeast"/>
          <w:jc w:val="center"/>
        </w:trPr>
        <w:tc>
          <w:tcPr>
            <w:tcW w:w="1097" w:type="dxa"/>
            <w:vMerge w:val="continue"/>
            <w:tcBorders>
              <w:left w:val="single" w:color="000000" w:sz="4" w:space="0"/>
              <w:bottom w:val="single" w:color="000000" w:sz="4" w:space="0"/>
              <w:right w:val="single" w:color="000000" w:sz="4" w:space="0"/>
            </w:tcBorders>
            <w:shd w:val="clear" w:color="auto" w:fill="auto"/>
            <w:noWrap/>
            <w:vAlign w:val="center"/>
          </w:tc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采购执行率</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部门政府采购项目资金支付比例情况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项目绩效（35分）</w:t>
            </w:r>
          </w:p>
        </w:tc>
        <w:tc>
          <w:tcPr>
            <w:tcW w:w="1201"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项目决策</w:t>
            </w:r>
            <w:r>
              <w:rPr>
                <w:rFonts w:hint="eastAsia" w:ascii="宋体" w:eastAsia="宋体" w:cs="宋体"/>
                <w:b/>
                <w:color w:val="000000"/>
                <w:kern w:val="0"/>
                <w:sz w:val="24"/>
              </w:rPr>
              <w:br w:type="textWrapping"/>
            </w:r>
            <w:r>
              <w:rPr>
                <w:rFonts w:hint="eastAsia" w:ascii="宋体" w:eastAsia="宋体" w:cs="宋体"/>
                <w:b/>
                <w:color w:val="000000"/>
                <w:kern w:val="0"/>
                <w:sz w:val="24"/>
              </w:rPr>
              <w:t>（12分）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决策程序</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部门预算项目设立是否按规定履行评估论证、申报程序</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01" w:type="dxa"/>
            <w:vMerge w:val="continue"/>
            <w:tcBorders>
              <w:top w:val="single" w:color="000000" w:sz="4" w:space="0"/>
              <w:left w:val="single" w:color="000000" w:sz="4" w:space="0"/>
              <w:bottom w:val="nil"/>
              <w:right w:val="single" w:color="000000" w:sz="4" w:space="0"/>
            </w:tcBorders>
            <w:shd w:val="clear" w:color="auto" w:fill="auto"/>
            <w:noWrap/>
            <w:vAlign w:val="center"/>
          </w:tc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目标设置</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部门预算项目绩效目标与计划期内的任务量、预算安排的资金量匹配情况，绩效目标设置是否科学合理、规范完整、量化细化、预算匹配</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01" w:type="dxa"/>
            <w:vMerge w:val="continue"/>
            <w:tcBorders>
              <w:top w:val="single" w:color="000000" w:sz="4" w:space="0"/>
              <w:left w:val="single" w:color="000000" w:sz="4" w:space="0"/>
              <w:bottom w:val="nil"/>
              <w:right w:val="single" w:color="000000" w:sz="4" w:space="0"/>
            </w:tcBorders>
            <w:shd w:val="clear" w:color="auto" w:fill="auto"/>
            <w:noWrap/>
            <w:vAlign w:val="center"/>
          </w:tc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项目入库</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部门预算项目是否在规定时间完成项目入库</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01"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项目执行</w:t>
            </w:r>
            <w:r>
              <w:rPr>
                <w:rFonts w:hint="eastAsia" w:ascii="宋体" w:eastAsia="宋体" w:cs="宋体"/>
                <w:b/>
                <w:color w:val="000000"/>
                <w:kern w:val="0"/>
                <w:sz w:val="24"/>
              </w:rPr>
              <w:br w:type="textWrapping"/>
            </w:r>
            <w:r>
              <w:rPr>
                <w:rFonts w:hint="eastAsia" w:ascii="宋体" w:eastAsia="宋体" w:cs="宋体"/>
                <w:b/>
                <w:color w:val="000000"/>
                <w:kern w:val="0"/>
                <w:sz w:val="24"/>
              </w:rPr>
              <w:t>（12分）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执行同向</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部门预算项目实际列支内容是否与绩效目标设置方向相符</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01" w:type="dxa"/>
            <w:vMerge w:val="continue"/>
            <w:tcBorders>
              <w:top w:val="single" w:color="000000" w:sz="4" w:space="0"/>
              <w:left w:val="single" w:color="000000" w:sz="4" w:space="0"/>
              <w:bottom w:val="nil"/>
              <w:right w:val="single" w:color="000000" w:sz="4" w:space="0"/>
            </w:tcBorders>
            <w:shd w:val="clear" w:color="auto" w:fill="auto"/>
            <w:noWrap/>
            <w:vAlign w:val="center"/>
          </w:tcPr>
          <w:p/>
        </w:tc>
        <w:tc>
          <w:tcPr>
            <w:tcW w:w="1929" w:type="dxa"/>
            <w:tcBorders>
              <w:top w:val="single" w:color="000000" w:sz="4" w:space="0"/>
              <w:left w:val="single" w:color="000000" w:sz="4" w:space="0"/>
              <w:bottom w:val="nil"/>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项目调整</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部门预算项目是否采取对应调整措施</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01" w:type="dxa"/>
            <w:vMerge w:val="continue"/>
            <w:tcBorders>
              <w:top w:val="single" w:color="000000" w:sz="4" w:space="0"/>
              <w:left w:val="single" w:color="000000" w:sz="4" w:space="0"/>
              <w:bottom w:val="nil"/>
              <w:right w:val="single" w:color="000000" w:sz="4" w:space="0"/>
            </w:tcBorders>
            <w:shd w:val="clear" w:color="auto" w:fill="auto"/>
            <w:noWrap/>
            <w:vAlign w:val="center"/>
          </w:tc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执行结果</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部门预算项目预算执行情况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目标实现</w:t>
            </w:r>
            <w:r>
              <w:rPr>
                <w:rFonts w:hint="eastAsia" w:ascii="宋体" w:eastAsia="宋体" w:cs="宋体"/>
                <w:b/>
                <w:color w:val="000000"/>
                <w:kern w:val="0"/>
                <w:sz w:val="24"/>
              </w:rPr>
              <w:br w:type="textWrapping"/>
            </w:r>
            <w:r>
              <w:rPr>
                <w:rFonts w:hint="eastAsia" w:ascii="宋体" w:eastAsia="宋体" w:cs="宋体"/>
                <w:b/>
                <w:color w:val="000000"/>
                <w:kern w:val="0"/>
                <w:sz w:val="24"/>
              </w:rPr>
              <w:t>（11分）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目标完成</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部门预算项目绩效目标数量指标完成情况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目标偏离</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部门预算项目绩效目标数量指标实现程度与预期目标的偏离情况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实现效果</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部门预算项目绩效目标效益指标实施效果</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b/>
                <w:color w:val="000000"/>
                <w:sz w:val="24"/>
              </w:rPr>
            </w:pPr>
            <w:r>
              <w:rPr>
                <w:rFonts w:hint="eastAsia" w:ascii="宋体" w:eastAsia="宋体" w:cs="宋体"/>
                <w:b/>
                <w:color w:val="000000"/>
                <w:kern w:val="0"/>
                <w:sz w:val="24"/>
              </w:rPr>
              <w:t>扣分项</w:t>
            </w:r>
            <w:r>
              <w:rPr>
                <w:rFonts w:hint="eastAsia" w:ascii="宋体" w:eastAsia="宋体" w:cs="宋体"/>
                <w:b/>
                <w:color w:val="000000"/>
                <w:kern w:val="0"/>
                <w:sz w:val="24"/>
              </w:rPr>
              <w:br w:type="textWrapping"/>
            </w:r>
            <w:r>
              <w:rPr>
                <w:rFonts w:hint="eastAsia" w:ascii="宋体" w:eastAsia="宋体" w:cs="宋体"/>
                <w:b/>
                <w:color w:val="000000"/>
                <w:kern w:val="0"/>
                <w:sz w:val="24"/>
              </w:rPr>
              <w:t>（10分）</w:t>
            </w:r>
          </w:p>
        </w:tc>
        <w:tc>
          <w:tcPr>
            <w:tcW w:w="31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被评价部门配合度</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sz w:val="24"/>
              </w:rPr>
            </w:pPr>
            <w:r>
              <w:rPr>
                <w:rFonts w:hint="eastAsia" w:ascii="宋体" w:eastAsia="宋体" w:cs="宋体"/>
                <w:color w:val="000000"/>
                <w:kern w:val="0"/>
                <w:sz w:val="24"/>
              </w:rPr>
              <w:t>-</w:t>
            </w:r>
          </w:p>
        </w:tc>
        <w:tc>
          <w:tcPr>
            <w:tcW w:w="4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sz w:val="24"/>
              </w:rPr>
            </w:pPr>
            <w:r>
              <w:rPr>
                <w:rFonts w:hint="eastAsia" w:ascii="宋体" w:eastAsia="宋体" w:cs="宋体"/>
                <w:color w:val="000000"/>
                <w:kern w:val="0"/>
                <w:sz w:val="24"/>
              </w:rPr>
              <w:t>被评价对象工作配合情况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textAlignment w:val="center"/>
              <w:rPr>
                <w:rFonts w:ascii="宋体" w:eastAsia="宋体" w:cs="宋体"/>
                <w:color w:val="000000"/>
                <w:kern w:val="0"/>
                <w:sz w:val="24"/>
              </w:rPr>
            </w:pPr>
          </w:p>
        </w:tc>
      </w:tr>
    </w:tbl>
    <w:p>
      <w:pPr>
        <w:pStyle w:val="17"/>
        <w:spacing w:line="20" w:lineRule="exact"/>
      </w:pPr>
    </w:p>
    <w:p>
      <w:pPr>
        <w:spacing w:line="20" w:lineRule="exact"/>
        <w:rPr>
          <w:rFonts w:eastAsia="黑体"/>
        </w:rPr>
      </w:pPr>
      <w:r>
        <w:rPr>
          <w:rFonts w:eastAsia="黑体"/>
        </w:rPr>
        <w:br w:type="page"/>
      </w:r>
    </w:p>
    <w:p>
      <w:pPr>
        <w:spacing w:line="578" w:lineRule="exact"/>
        <w:jc w:val="left"/>
        <w:rPr>
          <w:rFonts w:eastAsia="黑体"/>
        </w:rPr>
      </w:pPr>
      <w:r>
        <w:rPr>
          <w:rFonts w:eastAsia="黑体"/>
        </w:rPr>
        <w:t>附表</w:t>
      </w:r>
      <w:r>
        <w:rPr>
          <w:rFonts w:hint="eastAsia" w:eastAsia="黑体"/>
        </w:rPr>
        <w:t>2</w:t>
      </w:r>
    </w:p>
    <w:p>
      <w:pPr>
        <w:widowControl/>
        <w:spacing w:line="578" w:lineRule="exact"/>
        <w:jc w:val="center"/>
        <w:textAlignment w:val="center"/>
        <w:rPr>
          <w:rFonts w:eastAsia="方正小标宋简体"/>
          <w:color w:val="000000"/>
          <w:kern w:val="0"/>
          <w:sz w:val="44"/>
          <w:szCs w:val="44"/>
        </w:rPr>
      </w:pPr>
      <w:r>
        <w:rPr>
          <w:rFonts w:eastAsia="方正小标宋简体"/>
          <w:color w:val="000000"/>
          <w:kern w:val="0"/>
          <w:sz w:val="44"/>
          <w:szCs w:val="44"/>
        </w:rPr>
        <w:t>部门整体</w:t>
      </w:r>
      <w:r>
        <w:rPr>
          <w:rFonts w:hint="eastAsia" w:eastAsia="方正小标宋简体"/>
          <w:color w:val="000000"/>
          <w:kern w:val="0"/>
          <w:sz w:val="44"/>
          <w:szCs w:val="44"/>
        </w:rPr>
        <w:t>支出</w:t>
      </w:r>
      <w:r>
        <w:rPr>
          <w:rFonts w:eastAsia="方正小标宋简体"/>
          <w:color w:val="000000"/>
          <w:kern w:val="0"/>
          <w:sz w:val="44"/>
          <w:szCs w:val="44"/>
        </w:rPr>
        <w:t>绩效目标完成情况自评表</w:t>
      </w:r>
    </w:p>
    <w:tbl>
      <w:tblPr>
        <w:tblStyle w:val="14"/>
        <w:tblW w:w="96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1"/>
        <w:gridCol w:w="593"/>
        <w:gridCol w:w="803"/>
        <w:gridCol w:w="1246"/>
        <w:gridCol w:w="803"/>
        <w:gridCol w:w="777"/>
        <w:gridCol w:w="1018"/>
        <w:gridCol w:w="1045"/>
        <w:gridCol w:w="1111"/>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1727" w:type="dxa"/>
            <w:gridSpan w:val="3"/>
            <w:tcBorders>
              <w:top w:val="single" w:color="000000" w:sz="4" w:space="0"/>
              <w:left w:val="single" w:color="000000" w:sz="4" w:space="0"/>
              <w:bottom w:val="single" w:color="auto" w:sz="4" w:space="0"/>
              <w:right w:val="single" w:color="000000" w:sz="4" w:space="0"/>
            </w:tcBorders>
            <w:noWrap/>
            <w:vAlign w:val="center"/>
          </w:tcPr>
          <w:p>
            <w:pPr>
              <w:rPr>
                <w:rFonts w:ascii="宋体" w:eastAsia="宋体" w:cs="宋体"/>
                <w:color w:val="000000"/>
                <w:kern w:val="0"/>
                <w:sz w:val="24"/>
              </w:rPr>
            </w:pPr>
            <w:r>
              <w:rPr>
                <w:rFonts w:eastAsia="黑体"/>
                <w:sz w:val="24"/>
              </w:rPr>
              <w:br w:type="page"/>
            </w:r>
            <w:r>
              <w:rPr>
                <w:rFonts w:hint="eastAsia" w:ascii="宋体" w:eastAsia="宋体" w:cs="宋体"/>
                <w:color w:val="000000"/>
                <w:kern w:val="0"/>
                <w:sz w:val="24"/>
              </w:rPr>
              <w:t>部门名称</w:t>
            </w:r>
          </w:p>
        </w:tc>
        <w:tc>
          <w:tcPr>
            <w:tcW w:w="7931" w:type="dxa"/>
            <w:gridSpan w:val="7"/>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rPr>
              <w:t>阿坝州</w:t>
            </w:r>
            <w:r>
              <w:rPr>
                <w:rFonts w:hint="eastAsia" w:ascii="宋体" w:eastAsia="宋体" w:cs="宋体"/>
                <w:color w:val="000000"/>
                <w:kern w:val="0"/>
                <w:sz w:val="24"/>
                <w:lang w:eastAsia="zh-CN"/>
              </w:rPr>
              <w:t>壤塘县卫生健康局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年度部门整体预算</w:t>
            </w:r>
          </w:p>
        </w:tc>
        <w:tc>
          <w:tcPr>
            <w:tcW w:w="2049" w:type="dxa"/>
            <w:gridSpan w:val="2"/>
            <w:tcBorders>
              <w:top w:val="single" w:color="000000" w:sz="4" w:space="0"/>
              <w:left w:val="single" w:color="auto" w:sz="4" w:space="0"/>
              <w:bottom w:val="single" w:color="000000" w:sz="4" w:space="0"/>
              <w:right w:val="single" w:color="auto"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资金总额</w:t>
            </w:r>
          </w:p>
        </w:tc>
        <w:tc>
          <w:tcPr>
            <w:tcW w:w="1795"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财政拨款</w:t>
            </w:r>
          </w:p>
        </w:tc>
        <w:tc>
          <w:tcPr>
            <w:tcW w:w="4087"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收入预算</w:t>
            </w:r>
          </w:p>
        </w:tc>
        <w:tc>
          <w:tcPr>
            <w:tcW w:w="2049" w:type="dxa"/>
            <w:gridSpan w:val="2"/>
            <w:tcBorders>
              <w:top w:val="single" w:color="000000" w:sz="4" w:space="0"/>
              <w:left w:val="single" w:color="auto" w:sz="4" w:space="0"/>
              <w:bottom w:val="single" w:color="000000" w:sz="4" w:space="0"/>
              <w:right w:val="single" w:color="auto"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lang w:val="en-US" w:eastAsia="zh-CN"/>
              </w:rPr>
              <w:t>4928.720461</w:t>
            </w:r>
          </w:p>
        </w:tc>
        <w:tc>
          <w:tcPr>
            <w:tcW w:w="1795"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lang w:val="en-US" w:eastAsia="zh-CN"/>
              </w:rPr>
              <w:t>2728.720461</w:t>
            </w:r>
          </w:p>
        </w:tc>
        <w:tc>
          <w:tcPr>
            <w:tcW w:w="4087"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2200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支出预算</w:t>
            </w:r>
          </w:p>
        </w:tc>
        <w:tc>
          <w:tcPr>
            <w:tcW w:w="2049" w:type="dxa"/>
            <w:gridSpan w:val="2"/>
            <w:tcBorders>
              <w:top w:val="single" w:color="000000" w:sz="4" w:space="0"/>
              <w:left w:val="single" w:color="auto"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lang w:val="en-US" w:eastAsia="zh-CN"/>
              </w:rPr>
              <w:t>4928.720461</w:t>
            </w:r>
          </w:p>
        </w:tc>
        <w:tc>
          <w:tcPr>
            <w:tcW w:w="1795" w:type="dxa"/>
            <w:gridSpan w:val="2"/>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lang w:val="en-US" w:eastAsia="zh-CN"/>
              </w:rPr>
              <w:t>2728.720461</w:t>
            </w:r>
          </w:p>
        </w:tc>
        <w:tc>
          <w:tcPr>
            <w:tcW w:w="4087" w:type="dxa"/>
            <w:gridSpan w:val="3"/>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2200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1727" w:type="dxa"/>
            <w:gridSpan w:val="3"/>
            <w:tcBorders>
              <w:top w:val="single" w:color="auto"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年度总体目标</w:t>
            </w:r>
          </w:p>
        </w:tc>
        <w:tc>
          <w:tcPr>
            <w:tcW w:w="7931" w:type="dxa"/>
            <w:gridSpan w:val="7"/>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both"/>
              <w:textAlignment w:val="center"/>
              <w:rPr>
                <w:rFonts w:hint="eastAsia" w:ascii="宋体" w:eastAsia="宋体" w:cs="宋体"/>
                <w:color w:val="000000"/>
                <w:kern w:val="0"/>
                <w:sz w:val="24"/>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管理效率</w:t>
            </w: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一级指标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二级指标</w:t>
            </w:r>
          </w:p>
        </w:tc>
        <w:tc>
          <w:tcPr>
            <w:tcW w:w="1246"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三级指标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指标值</w:t>
            </w:r>
          </w:p>
        </w:tc>
        <w:tc>
          <w:tcPr>
            <w:tcW w:w="3951" w:type="dxa"/>
            <w:gridSpan w:val="4"/>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指标设置参考值</w:t>
            </w:r>
          </w:p>
        </w:tc>
        <w:tc>
          <w:tcPr>
            <w:tcW w:w="1931" w:type="dxa"/>
            <w:vMerge w:val="restart"/>
            <w:tcBorders>
              <w:top w:val="single" w:color="000000" w:sz="4" w:space="0"/>
              <w:left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指标实际完成值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24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777" w:type="dxa"/>
            <w:tcBorders>
              <w:top w:val="single" w:color="000000" w:sz="4" w:space="0"/>
              <w:left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三年</w:t>
            </w:r>
          </w:p>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均值</w:t>
            </w:r>
          </w:p>
        </w:tc>
        <w:tc>
          <w:tcPr>
            <w:tcW w:w="101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2023</w:t>
            </w:r>
            <w:r>
              <w:rPr>
                <w:rFonts w:ascii="宋体" w:eastAsia="宋体" w:cs="宋体"/>
                <w:color w:val="000000"/>
                <w:kern w:val="0"/>
                <w:sz w:val="24"/>
              </w:rPr>
              <w:t>年</w:t>
            </w:r>
          </w:p>
        </w:tc>
        <w:tc>
          <w:tcPr>
            <w:tcW w:w="104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2024</w:t>
            </w:r>
            <w:r>
              <w:rPr>
                <w:rFonts w:ascii="宋体" w:eastAsia="宋体" w:cs="宋体"/>
                <w:color w:val="000000"/>
                <w:kern w:val="0"/>
                <w:sz w:val="24"/>
              </w:rPr>
              <w:t>年</w:t>
            </w:r>
          </w:p>
        </w:tc>
        <w:tc>
          <w:tcPr>
            <w:tcW w:w="111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2025</w:t>
            </w:r>
            <w:r>
              <w:rPr>
                <w:rFonts w:ascii="宋体" w:eastAsia="宋体" w:cs="宋体"/>
                <w:color w:val="000000"/>
                <w:kern w:val="0"/>
                <w:sz w:val="24"/>
              </w:rPr>
              <w:t>年</w:t>
            </w:r>
          </w:p>
        </w:tc>
        <w:tc>
          <w:tcPr>
            <w:tcW w:w="1931" w:type="dxa"/>
            <w:vMerge w:val="continue"/>
            <w:tcBorders>
              <w:left w:val="single" w:color="000000" w:sz="4" w:space="0"/>
              <w:right w:val="single" w:color="000000" w:sz="4" w:space="0"/>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成本指标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预算管理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财政拨款</w:t>
            </w:r>
            <w:r>
              <w:rPr>
                <w:rFonts w:ascii="宋体" w:eastAsia="宋体" w:cs="宋体"/>
                <w:color w:val="000000"/>
                <w:kern w:val="0"/>
                <w:sz w:val="24"/>
              </w:rPr>
              <w:t>预算编制偏离度</w:t>
            </w: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≤x%</w:t>
            </w:r>
          </w:p>
        </w:tc>
        <w:tc>
          <w:tcPr>
            <w:tcW w:w="777"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121.44%</w:t>
            </w:r>
          </w:p>
        </w:tc>
        <w:tc>
          <w:tcPr>
            <w:tcW w:w="101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120.3%</w:t>
            </w:r>
          </w:p>
        </w:tc>
        <w:tc>
          <w:tcPr>
            <w:tcW w:w="104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120.6%</w:t>
            </w:r>
          </w:p>
        </w:tc>
        <w:tc>
          <w:tcPr>
            <w:tcW w:w="111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123.95%</w:t>
            </w: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123.95%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单位收入统筹度</w:t>
            </w: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≥x%</w:t>
            </w:r>
          </w:p>
        </w:tc>
        <w:tc>
          <w:tcPr>
            <w:tcW w:w="777"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lang w:val="en-US" w:eastAsia="zh-CN"/>
              </w:rPr>
              <w:t>100</w:t>
            </w:r>
            <w:r>
              <w:rPr>
                <w:rFonts w:ascii="宋体" w:eastAsia="宋体" w:cs="宋体"/>
                <w:color w:val="000000"/>
                <w:kern w:val="0"/>
                <w:sz w:val="24"/>
              </w:rPr>
              <w:t>%</w:t>
            </w:r>
          </w:p>
        </w:tc>
        <w:tc>
          <w:tcPr>
            <w:tcW w:w="101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100%</w:t>
            </w:r>
          </w:p>
        </w:tc>
        <w:tc>
          <w:tcPr>
            <w:tcW w:w="104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100%</w:t>
            </w:r>
          </w:p>
        </w:tc>
        <w:tc>
          <w:tcPr>
            <w:tcW w:w="111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预算年终结余</w:t>
            </w:r>
            <w:r>
              <w:rPr>
                <w:rFonts w:ascii="宋体" w:eastAsia="宋体" w:cs="宋体"/>
                <w:color w:val="000000"/>
                <w:kern w:val="0"/>
                <w:sz w:val="24"/>
              </w:rPr>
              <w:t>率</w:t>
            </w: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≤x%</w:t>
            </w:r>
          </w:p>
        </w:tc>
        <w:tc>
          <w:tcPr>
            <w:tcW w:w="777"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lang w:val="en-US" w:eastAsia="zh-CN"/>
              </w:rPr>
              <w:t>15.1</w:t>
            </w:r>
            <w:r>
              <w:rPr>
                <w:rFonts w:ascii="宋体" w:eastAsia="宋体" w:cs="宋体"/>
                <w:color w:val="000000"/>
                <w:kern w:val="0"/>
                <w:sz w:val="24"/>
              </w:rPr>
              <w:t>%</w:t>
            </w:r>
          </w:p>
        </w:tc>
        <w:tc>
          <w:tcPr>
            <w:tcW w:w="101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15.1%</w:t>
            </w:r>
          </w:p>
        </w:tc>
        <w:tc>
          <w:tcPr>
            <w:tcW w:w="104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19.12%</w:t>
            </w:r>
          </w:p>
        </w:tc>
        <w:tc>
          <w:tcPr>
            <w:tcW w:w="111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14.9%</w:t>
            </w: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一般性支出</w:t>
            </w:r>
            <w:r>
              <w:rPr>
                <w:rFonts w:ascii="宋体" w:eastAsia="宋体" w:cs="宋体"/>
                <w:color w:val="000000"/>
                <w:kern w:val="0"/>
                <w:sz w:val="24"/>
              </w:rPr>
              <w:t>金额</w:t>
            </w: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≤x</w:t>
            </w:r>
            <w:r>
              <w:rPr>
                <w:rFonts w:ascii="宋体" w:eastAsia="宋体" w:cs="宋体"/>
                <w:color w:val="000000"/>
                <w:kern w:val="0"/>
                <w:sz w:val="24"/>
              </w:rPr>
              <w:t>万元</w:t>
            </w:r>
          </w:p>
        </w:tc>
        <w:tc>
          <w:tcPr>
            <w:tcW w:w="3951" w:type="dxa"/>
            <w:gridSpan w:val="4"/>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50.6</w:t>
            </w: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财务管理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财务管理规范</w:t>
            </w: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x</w:t>
            </w:r>
          </w:p>
        </w:tc>
        <w:tc>
          <w:tcPr>
            <w:tcW w:w="3951" w:type="dxa"/>
            <w:gridSpan w:val="4"/>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良</w:t>
            </w: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资产管理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资产配置预算偏离度</w:t>
            </w: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≤x</w:t>
            </w:r>
            <w:r>
              <w:rPr>
                <w:rFonts w:ascii="宋体" w:eastAsia="宋体" w:cs="宋体"/>
                <w:color w:val="000000"/>
                <w:kern w:val="0"/>
                <w:sz w:val="24"/>
              </w:rPr>
              <w:t>%</w:t>
            </w:r>
          </w:p>
        </w:tc>
        <w:tc>
          <w:tcPr>
            <w:tcW w:w="777"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x</w:t>
            </w:r>
            <w:r>
              <w:rPr>
                <w:rFonts w:ascii="宋体" w:eastAsia="宋体" w:cs="宋体"/>
                <w:color w:val="000000"/>
                <w:kern w:val="0"/>
                <w:sz w:val="24"/>
              </w:rPr>
              <w:t>%</w:t>
            </w:r>
          </w:p>
        </w:tc>
        <w:tc>
          <w:tcPr>
            <w:tcW w:w="101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p>
        </w:tc>
        <w:tc>
          <w:tcPr>
            <w:tcW w:w="111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采购管理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采购执行率</w:t>
            </w: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≥x%</w:t>
            </w:r>
          </w:p>
        </w:tc>
        <w:tc>
          <w:tcPr>
            <w:tcW w:w="777"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x</w:t>
            </w:r>
            <w:r>
              <w:rPr>
                <w:rFonts w:ascii="宋体" w:eastAsia="宋体" w:cs="宋体"/>
                <w:color w:val="000000"/>
                <w:kern w:val="0"/>
                <w:sz w:val="24"/>
              </w:rPr>
              <w:t>%</w:t>
            </w:r>
          </w:p>
        </w:tc>
        <w:tc>
          <w:tcPr>
            <w:tcW w:w="1018"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p>
        </w:tc>
        <w:tc>
          <w:tcPr>
            <w:tcW w:w="111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履职效能</w:t>
            </w:r>
          </w:p>
        </w:tc>
        <w:tc>
          <w:tcPr>
            <w:tcW w:w="59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一级指标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二级指标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三级指标</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指标值（包含数字及文字描述）</w:t>
            </w: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产出指标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数量指标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各项奖励金发放人数</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重精以奖代补发放137人，育儿补贴发放2464人</w:t>
            </w: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137人，2464人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质量指标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lang w:eastAsia="zh-CN"/>
              </w:rPr>
              <w:t>完成疫苗接种慢病登记</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lang w:eastAsia="zh-CN"/>
              </w:rPr>
              <w:t>育苗接种率</w:t>
            </w:r>
            <w:r>
              <w:rPr>
                <w:rFonts w:hint="eastAsia" w:ascii="宋体" w:eastAsia="宋体" w:cs="宋体"/>
                <w:color w:val="000000"/>
                <w:kern w:val="0"/>
                <w:sz w:val="24"/>
                <w:lang w:val="en-US" w:eastAsia="zh-CN"/>
              </w:rPr>
              <w:t>90%，慢病登记率79%，大于65%标准</w:t>
            </w: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eastAsia="zh-CN"/>
              </w:rPr>
              <w:t>≥</w:t>
            </w:r>
            <w:r>
              <w:rPr>
                <w:rFonts w:hint="eastAsia" w:ascii="宋体" w:eastAsia="宋体" w:cs="宋体"/>
                <w:color w:val="000000"/>
                <w:kern w:val="0"/>
                <w:sz w:val="24"/>
                <w:lang w:val="en-US" w:eastAsia="zh-CN"/>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tabs>
                <w:tab w:val="left" w:pos="453"/>
              </w:tabs>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质量指标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项目完成及安全事故</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eastAsia="zh-CN"/>
              </w:rPr>
              <w:t>当年</w:t>
            </w:r>
            <w:r>
              <w:rPr>
                <w:rFonts w:hint="eastAsia" w:ascii="宋体" w:eastAsia="宋体" w:cs="宋体"/>
                <w:color w:val="000000"/>
                <w:kern w:val="0"/>
                <w:sz w:val="24"/>
                <w:lang w:val="en-US" w:eastAsia="zh-CN"/>
              </w:rPr>
              <w:t>5各项目，已全部施工完毕，无安全事故发生</w:t>
            </w: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时效指标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各预算项目完成时间</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各预算项目在当年完成既定目标</w:t>
            </w: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val="en-US" w:eastAsia="zh-CN"/>
              </w:rPr>
            </w:pPr>
            <w:r>
              <w:rPr>
                <w:rFonts w:hint="eastAsia" w:ascii="宋体" w:eastAsia="宋体" w:cs="宋体"/>
                <w:color w:val="000000"/>
                <w:kern w:val="0"/>
                <w:sz w:val="24"/>
                <w:lang w:val="en-US" w:eastAsia="zh-CN"/>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rPr>
            </w:pPr>
            <w:r>
              <w:rPr>
                <w:rFonts w:hint="eastAsia" w:ascii="宋体" w:eastAsia="宋体" w:cs="宋体"/>
                <w:color w:val="000000"/>
                <w:kern w:val="0"/>
                <w:sz w:val="24"/>
              </w:rPr>
              <w:t>效益指标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社会效益指标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确保稳定，不发生重大卫生事件</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确保重精病人稳定确保无重大公共卫生事件发生</w:t>
            </w: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eastAsia="zh-CN"/>
              </w:rPr>
              <w:t>≥</w:t>
            </w:r>
            <w:r>
              <w:rPr>
                <w:rFonts w:hint="eastAsia" w:ascii="宋体" w:eastAsia="宋体" w:cs="宋体"/>
                <w:color w:val="000000"/>
                <w:kern w:val="0"/>
                <w:sz w:val="24"/>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80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社会效益指标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r>
              <w:rPr>
                <w:rFonts w:hint="eastAsia" w:ascii="宋体" w:eastAsia="宋体" w:cs="宋体"/>
                <w:color w:val="000000"/>
                <w:kern w:val="0"/>
                <w:sz w:val="24"/>
                <w:lang w:eastAsia="zh-CN"/>
              </w:rPr>
              <w:t>提高基层专业技术人员积极性</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hint="eastAsia" w:ascii="宋体" w:eastAsia="宋体" w:cs="宋体"/>
                <w:color w:val="000000"/>
                <w:kern w:val="0"/>
                <w:sz w:val="24"/>
                <w:lang w:eastAsia="zh-CN"/>
              </w:rPr>
            </w:pPr>
          </w:p>
          <w:p>
            <w:pPr>
              <w:tabs>
                <w:tab w:val="left" w:pos="1083"/>
              </w:tabs>
              <w:bidi w:val="0"/>
              <w:jc w:val="center"/>
              <w:rPr>
                <w:rFonts w:hint="eastAsia" w:ascii="Times New Roman" w:hAnsi="Times New Roman" w:eastAsia="仿宋_GB2312" w:cs="Times New Roman"/>
                <w:kern w:val="2"/>
                <w:sz w:val="32"/>
                <w:szCs w:val="24"/>
                <w:lang w:val="en-US" w:eastAsia="zh-CN" w:bidi="ar-SA"/>
              </w:rPr>
            </w:pPr>
            <w:r>
              <w:rPr>
                <w:rFonts w:hint="eastAsia" w:ascii="宋体" w:eastAsia="宋体" w:cs="宋体"/>
                <w:color w:val="000000"/>
                <w:kern w:val="0"/>
                <w:sz w:val="24"/>
                <w:lang w:val="en-US" w:eastAsia="zh-CN"/>
              </w:rPr>
              <w:t>通过不断加大对基层医疗机构投入，不断提高基层医务人员专业性</w:t>
            </w:r>
          </w:p>
        </w:tc>
        <w:tc>
          <w:tcPr>
            <w:tcW w:w="1931"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exact"/>
              <w:jc w:val="center"/>
              <w:textAlignment w:val="center"/>
              <w:rPr>
                <w:rFonts w:ascii="宋体" w:eastAsia="宋体" w:cs="宋体"/>
                <w:color w:val="000000"/>
                <w:kern w:val="0"/>
                <w:sz w:val="24"/>
                <w:lang w:val="en-US" w:eastAsia="zh-CN"/>
              </w:rPr>
            </w:pPr>
            <w:r>
              <w:rPr>
                <w:rFonts w:hint="eastAsia" w:ascii="宋体" w:eastAsia="宋体" w:cs="宋体"/>
                <w:color w:val="000000"/>
                <w:kern w:val="0"/>
                <w:sz w:val="24"/>
                <w:lang w:eastAsia="zh-CN"/>
              </w:rPr>
              <w:t>≥</w:t>
            </w:r>
            <w:r>
              <w:rPr>
                <w:rFonts w:hint="eastAsia" w:ascii="宋体" w:eastAsia="宋体" w:cs="宋体"/>
                <w:color w:val="000000"/>
                <w:kern w:val="0"/>
                <w:sz w:val="24"/>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hint="eastAsia" w:ascii="宋体" w:eastAsia="宋体" w:cs="宋体"/>
                <w:color w:val="000000"/>
                <w:kern w:val="0"/>
                <w:sz w:val="24"/>
                <w:szCs w:val="24"/>
                <w:lang w:val="en-US" w:eastAsia="zh-CN" w:bidi="ar-SA"/>
              </w:rPr>
            </w:pPr>
            <w:r>
              <w:rPr>
                <w:rFonts w:hint="eastAsia" w:ascii="宋体" w:eastAsia="宋体" w:cs="宋体"/>
                <w:color w:val="000000"/>
                <w:kern w:val="0"/>
                <w:sz w:val="24"/>
                <w:lang w:eastAsia="zh-CN"/>
              </w:rPr>
              <w:t>可持续影响指标</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hint="eastAsia" w:ascii="宋体" w:eastAsia="宋体" w:cs="宋体"/>
                <w:color w:val="000000"/>
                <w:kern w:val="0"/>
                <w:sz w:val="24"/>
                <w:szCs w:val="24"/>
                <w:lang w:val="en-US" w:eastAsia="zh-CN" w:bidi="ar-SA"/>
              </w:rPr>
            </w:pPr>
            <w:r>
              <w:rPr>
                <w:rFonts w:hint="eastAsia" w:ascii="宋体" w:eastAsia="宋体" w:cs="宋体"/>
                <w:color w:val="000000"/>
                <w:kern w:val="0"/>
                <w:sz w:val="24"/>
                <w:lang w:eastAsia="zh-CN"/>
              </w:rPr>
              <w:t>居民健康水平</w:t>
            </w:r>
          </w:p>
        </w:tc>
        <w:tc>
          <w:tcPr>
            <w:tcW w:w="475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hint="eastAsia" w:ascii="宋体" w:eastAsia="宋体" w:cs="宋体"/>
                <w:color w:val="000000"/>
                <w:kern w:val="0"/>
                <w:sz w:val="24"/>
                <w:szCs w:val="24"/>
                <w:lang w:val="en-US" w:eastAsia="zh-CN" w:bidi="ar-SA"/>
              </w:rPr>
            </w:pPr>
            <w:r>
              <w:rPr>
                <w:rFonts w:hint="eastAsia" w:ascii="宋体" w:eastAsia="宋体" w:cs="宋体"/>
                <w:color w:val="000000"/>
                <w:kern w:val="0"/>
                <w:sz w:val="24"/>
                <w:lang w:eastAsia="zh-CN"/>
              </w:rPr>
              <w:t>居民健康水平，本地医疗水平及医疗保障水平不断提高</w:t>
            </w:r>
          </w:p>
        </w:tc>
        <w:tc>
          <w:tcPr>
            <w:tcW w:w="1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textAlignment w:val="center"/>
              <w:rPr>
                <w:rFonts w:ascii="宋体" w:eastAsia="宋体" w:cs="宋体"/>
                <w:color w:val="000000"/>
                <w:kern w:val="0"/>
                <w:sz w:val="24"/>
                <w:szCs w:val="24"/>
                <w:lang w:val="en-US" w:eastAsia="zh-CN" w:bidi="ar-SA"/>
              </w:rPr>
            </w:pPr>
            <w:r>
              <w:rPr>
                <w:rFonts w:hint="eastAsia" w:ascii="宋体" w:eastAsia="宋体" w:cs="宋体"/>
                <w:color w:val="000000"/>
                <w:kern w:val="0"/>
                <w:sz w:val="24"/>
                <w:lang w:eastAsia="zh-CN"/>
              </w:rPr>
              <w:t>≥</w:t>
            </w:r>
            <w:r>
              <w:rPr>
                <w:rFonts w:hint="eastAsia" w:ascii="宋体" w:eastAsia="宋体" w:cs="宋体"/>
                <w:color w:val="000000"/>
                <w:kern w:val="0"/>
                <w:sz w:val="24"/>
                <w:lang w:val="en-US" w:eastAsia="zh-CN"/>
              </w:rPr>
              <w:t>90%</w:t>
            </w:r>
          </w:p>
        </w:tc>
      </w:tr>
    </w:tbl>
    <w:p>
      <w:pPr>
        <w:rPr>
          <w:rFonts w:eastAsia="黑体"/>
          <w:sz w:val="24"/>
        </w:rPr>
      </w:pPr>
    </w:p>
    <w:p/>
    <w:sectPr>
      <w:headerReference r:id="rId3" w:type="default"/>
      <w:footerReference r:id="rId4" w:type="default"/>
      <w:pgSz w:w="11906" w:h="16838"/>
      <w:pgMar w:top="2098" w:right="1474" w:bottom="1984" w:left="1587" w:header="851" w:footer="992" w:gutter="0"/>
      <w:pgNumType w:fmt="numberInDash"/>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简体">
    <w:panose1 w:val="02010601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3665" distR="113665" simplePos="0" relativeHeight="1024" behindDoc="0" locked="0" layoutInCell="1" allowOverlap="1">
              <wp:simplePos x="0" y="0"/>
              <wp:positionH relativeFrom="margin">
                <wp:align>outside</wp:align>
              </wp:positionH>
              <wp:positionV relativeFrom="paragraph">
                <wp:posOffset>0</wp:posOffset>
              </wp:positionV>
              <wp:extent cx="819785" cy="464185"/>
              <wp:effectExtent l="0" t="0" r="0" b="0"/>
              <wp:wrapNone/>
              <wp:docPr id="1" name="文本框 2"/>
              <wp:cNvGraphicFramePr/>
              <a:graphic xmlns:a="http://schemas.openxmlformats.org/drawingml/2006/main">
                <a:graphicData uri="http://schemas.microsoft.com/office/word/2010/wordprocessingShape">
                  <wps:wsp>
                    <wps:cNvSpPr/>
                    <wps:spPr>
                      <a:xfrm>
                        <a:off x="0" y="0"/>
                        <a:ext cx="819911" cy="464134"/>
                      </a:xfrm>
                      <a:prstGeom prst="rect">
                        <a:avLst/>
                      </a:prstGeom>
                      <a:noFill/>
                      <a:ln w="6350" cap="flat" cmpd="sng">
                        <a:noFill/>
                        <a:prstDash val="solid"/>
                        <a:round/>
                      </a:ln>
                    </wps:spPr>
                    <wps:txbx>
                      <w:txbxContent>
                        <w:p>
                          <w:pPr>
                            <w:pStyle w:val="10"/>
                            <w:ind w:right="451" w:rightChars="141"/>
                            <w:jc w:val="right"/>
                            <w:rPr>
                              <w:rFonts w:ascii="宋体"/>
                              <w:sz w:val="28"/>
                              <w:szCs w:val="28"/>
                            </w:rPr>
                          </w:pPr>
                          <w:r>
                            <w:rPr>
                              <w:rFonts w:ascii="宋体"/>
                              <w:sz w:val="28"/>
                              <w:szCs w:val="28"/>
                            </w:rPr>
                            <w:fldChar w:fldCharType="begin"/>
                          </w:r>
                          <w:r>
                            <w:rPr>
                              <w:rFonts w:ascii="宋体"/>
                              <w:sz w:val="28"/>
                              <w:szCs w:val="28"/>
                            </w:rPr>
                            <w:instrText xml:space="preserve">PAGE   \* MERGEFORMAT</w:instrText>
                          </w:r>
                          <w:r>
                            <w:rPr>
                              <w:rFonts w:ascii="宋体"/>
                              <w:sz w:val="28"/>
                              <w:szCs w:val="28"/>
                            </w:rPr>
                            <w:fldChar w:fldCharType="separate"/>
                          </w:r>
                          <w:r>
                            <w:rPr>
                              <w:rFonts w:ascii="宋体"/>
                              <w:sz w:val="28"/>
                              <w:szCs w:val="28"/>
                              <w:lang w:val="zh-CN"/>
                            </w:rPr>
                            <w:t>-</w:t>
                          </w:r>
                          <w:r>
                            <w:rPr>
                              <w:rFonts w:ascii="宋体"/>
                              <w:sz w:val="28"/>
                              <w:szCs w:val="28"/>
                            </w:rPr>
                            <w:t xml:space="preserve"> 6 -</w:t>
                          </w:r>
                          <w:r>
                            <w:rPr>
                              <w:rFonts w:ascii="宋体"/>
                              <w:sz w:val="28"/>
                              <w:szCs w:val="28"/>
                            </w:rPr>
                            <w:fldChar w:fldCharType="end"/>
                          </w:r>
                        </w:p>
                        <w:p/>
                      </w:txbxContent>
                    </wps:txbx>
                    <wps:bodyPr vert="horz" wrap="none" lIns="0" tIns="0" rIns="0" bIns="0" anchor="t" anchorCtr="false" upright="false">
                      <a:spAutoFit/>
                    </wps:bodyPr>
                  </wps:wsp>
                </a:graphicData>
              </a:graphic>
            </wp:anchor>
          </w:drawing>
        </mc:Choice>
        <mc:Fallback>
          <w:pict>
            <v:rect id="文本框 2" o:spid="_x0000_s1026" o:spt="1" style="position:absolute;left:0pt;margin-top:0pt;height:36.55pt;width:64.55pt;mso-position-horizontal:outside;mso-position-horizontal-relative:margin;mso-wrap-style:none;z-index:1024;mso-width-relative:page;mso-height-relative:page;" filled="f" stroked="f" coordsize="21600,21600" o:gfxdata="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N80orjYAAAABAEAAA8AAAAAAAAAAQAgAAAAOAAAAGRycy9k&#10;b3ducmV2LnhtbFBLAQIUABQAAAAIAIdO4kCl4G8j7AEAAK4DAAAOAAAAAAAAAAEAIAAAAD0BAABk&#10;cnMvZTJvRG9jLnhtbFBLBQYAAAAABgAGAFkBAACbBQAAAAA=&#10;">
              <v:fill on="f" focussize="0,0"/>
              <v:stroke on="f" weight="0.5pt" joinstyle="round"/>
              <v:imagedata o:title=""/>
              <o:lock v:ext="edit" aspectratio="f"/>
              <v:textbox inset="0mm,0mm,0mm,0mm" style="mso-fit-shape-to-text:t;">
                <w:txbxContent>
                  <w:p>
                    <w:pPr>
                      <w:pStyle w:val="10"/>
                      <w:ind w:right="451" w:rightChars="141"/>
                      <w:jc w:val="right"/>
                      <w:rPr>
                        <w:rFonts w:ascii="宋体"/>
                        <w:sz w:val="28"/>
                        <w:szCs w:val="28"/>
                      </w:rPr>
                    </w:pPr>
                    <w:r>
                      <w:rPr>
                        <w:rFonts w:ascii="宋体"/>
                        <w:sz w:val="28"/>
                        <w:szCs w:val="28"/>
                      </w:rPr>
                      <w:fldChar w:fldCharType="begin"/>
                    </w:r>
                    <w:r>
                      <w:rPr>
                        <w:rFonts w:ascii="宋体"/>
                        <w:sz w:val="28"/>
                        <w:szCs w:val="28"/>
                      </w:rPr>
                      <w:instrText xml:space="preserve">PAGE   \* MERGEFORMAT</w:instrText>
                    </w:r>
                    <w:r>
                      <w:rPr>
                        <w:rFonts w:ascii="宋体"/>
                        <w:sz w:val="28"/>
                        <w:szCs w:val="28"/>
                      </w:rPr>
                      <w:fldChar w:fldCharType="separate"/>
                    </w:r>
                    <w:r>
                      <w:rPr>
                        <w:rFonts w:ascii="宋体"/>
                        <w:sz w:val="28"/>
                        <w:szCs w:val="28"/>
                        <w:lang w:val="zh-CN"/>
                      </w:rPr>
                      <w:t>-</w:t>
                    </w:r>
                    <w:r>
                      <w:rPr>
                        <w:rFonts w:ascii="宋体"/>
                        <w:sz w:val="28"/>
                        <w:szCs w:val="28"/>
                      </w:rPr>
                      <w:t xml:space="preserve"> 6 -</w:t>
                    </w:r>
                    <w:r>
                      <w:rPr>
                        <w:rFonts w:ascii="宋体"/>
                        <w:sz w:val="28"/>
                        <w:szCs w:val="28"/>
                      </w:rPr>
                      <w:fldChar w:fldCharType="end"/>
                    </w:r>
                  </w:p>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false"/>
  <w:bordersDoNotSurroundFooter w:val="false"/>
  <w:documentProtection w:edit="readOnly" w:enforcement="0"/>
  <w:defaultTabStop w:val="420"/>
  <w:drawingGridHorizontalSpacing w:val="160"/>
  <w:drawingGridVerticalSpacing w:val="435"/>
  <w:displayHorizontalDrawingGridEvery w:val="1"/>
  <w:displayVerticalDrawingGridEvery w:val="1"/>
  <w:noPunctuationKerning w:val="true"/>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5A7FAD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spacing w:before="50" w:beforeLines="50" w:line="360" w:lineRule="auto"/>
      <w:ind w:firstLine="200" w:firstLineChars="200"/>
    </w:pPr>
    <w:rPr>
      <w:rFonts w:eastAsia="仿宋"/>
      <w:sz w:val="24"/>
      <w:szCs w:val="23"/>
      <w:lang w:eastAsia="ar-SA"/>
    </w:rPr>
  </w:style>
  <w:style w:type="paragraph" w:styleId="6">
    <w:name w:val="Document Map"/>
    <w:basedOn w:val="1"/>
    <w:qFormat/>
    <w:uiPriority w:val="0"/>
    <w:rPr>
      <w:rFonts w:ascii="宋体" w:eastAsia="宋体"/>
      <w:sz w:val="18"/>
      <w:szCs w:val="18"/>
    </w:rPr>
  </w:style>
  <w:style w:type="paragraph" w:styleId="7">
    <w:name w:val="Body Text"/>
    <w:basedOn w:val="1"/>
    <w:next w:val="1"/>
    <w:qFormat/>
    <w:uiPriority w:val="0"/>
    <w:pPr>
      <w:spacing w:after="120"/>
    </w:pPr>
  </w:style>
  <w:style w:type="paragraph" w:styleId="8">
    <w:name w:val="Body Text Indent"/>
    <w:basedOn w:val="1"/>
    <w:qFormat/>
    <w:uiPriority w:val="0"/>
    <w:pPr>
      <w:spacing w:after="120"/>
      <w:ind w:left="200" w:leftChars="200"/>
    </w:pPr>
    <w:rPr>
      <w:rFonts w:ascii="仿宋_GB2312"/>
      <w:szCs w:val="32"/>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eastAsia="宋体"/>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2">
    <w:name w:val="toc 1"/>
    <w:basedOn w:val="1"/>
    <w:next w:val="1"/>
    <w:qFormat/>
    <w:uiPriority w:val="0"/>
  </w:style>
  <w:style w:type="paragraph" w:styleId="13">
    <w:name w:val="Body Text First Indent 2"/>
    <w:basedOn w:val="8"/>
    <w:qFormat/>
    <w:uiPriority w:val="0"/>
    <w:pPr>
      <w:ind w:firstLine="200" w:firstLineChars="200"/>
    </w:pPr>
  </w:style>
  <w:style w:type="character" w:styleId="16">
    <w:name w:val="page number"/>
    <w:basedOn w:val="15"/>
    <w:qFormat/>
    <w:uiPriority w:val="0"/>
  </w:style>
  <w:style w:type="paragraph" w:customStyle="1" w:styleId="17">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8">
    <w:name w:val="四号正文"/>
    <w:basedOn w:val="1"/>
    <w:qFormat/>
    <w:uiPriority w:val="0"/>
    <w:pPr>
      <w:spacing w:line="360" w:lineRule="auto"/>
    </w:pPr>
    <w:rPr>
      <w:rFonts w:ascii="??" w:hAnsi="??" w:eastAsia="宋体" w:cs="宋体"/>
      <w:color w:val="000000"/>
      <w:kern w:val="0"/>
      <w:sz w:val="28"/>
      <w:szCs w:val="21"/>
    </w:rPr>
  </w:style>
  <w:style w:type="paragraph" w:customStyle="1" w:styleId="19">
    <w:name w:val="a"/>
    <w:basedOn w:val="1"/>
    <w:qFormat/>
    <w:uiPriority w:val="0"/>
    <w:pPr>
      <w:widowControl/>
      <w:spacing w:before="100" w:beforeAutospacing="1" w:after="100" w:afterAutospacing="1"/>
      <w:jc w:val="left"/>
    </w:pPr>
    <w:rPr>
      <w:rFonts w:ascii="宋体" w:eastAsia="宋体" w:cs="宋体"/>
      <w:kern w:val="0"/>
      <w:sz w:val="24"/>
    </w:rPr>
  </w:style>
  <w:style w:type="character" w:customStyle="1" w:styleId="20">
    <w:name w:val="font31"/>
    <w:basedOn w:val="15"/>
    <w:qFormat/>
    <w:uiPriority w:val="0"/>
    <w:rPr>
      <w:rFonts w:ascii="宋体" w:eastAsia="宋体" w:cs="宋体"/>
      <w:color w:val="000000"/>
      <w:sz w:val="24"/>
      <w:szCs w:val="24"/>
      <w:u w:val="none"/>
    </w:rPr>
  </w:style>
  <w:style w:type="character" w:customStyle="1" w:styleId="21">
    <w:name w:val="font51"/>
    <w:basedOn w:val="15"/>
    <w:qFormat/>
    <w:uiPriority w:val="0"/>
    <w:rPr>
      <w:rFonts w:ascii="Wingdings 2" w:hAnsi="Wingdings 2" w:eastAsia="Wingdings 2" w:cs="Wingdings 2"/>
      <w:color w:val="000000"/>
      <w:sz w:val="18"/>
      <w:szCs w:val="18"/>
      <w:u w:val="none"/>
    </w:rPr>
  </w:style>
  <w:style w:type="character" w:customStyle="1" w:styleId="22">
    <w:name w:val="font01"/>
    <w:basedOn w:val="15"/>
    <w:qFormat/>
    <w:uiPriority w:val="0"/>
    <w:rPr>
      <w:rFonts w:ascii="宋体" w:eastAsia="宋体" w:cs="宋体"/>
      <w:color w:val="000000"/>
      <w:sz w:val="18"/>
      <w:szCs w:val="18"/>
      <w:u w:val="none"/>
    </w:rPr>
  </w:style>
  <w:style w:type="character" w:customStyle="1" w:styleId="23">
    <w:name w:val="font41"/>
    <w:basedOn w:val="15"/>
    <w:qFormat/>
    <w:uiPriority w:val="0"/>
    <w:rPr>
      <w:rFonts w:ascii="宋体" w:eastAsia="宋体" w:cs="宋体"/>
      <w:color w:val="000000"/>
      <w:sz w:val="18"/>
      <w:szCs w:val="18"/>
      <w:u w:val="none"/>
    </w:rPr>
  </w:style>
  <w:style w:type="character" w:customStyle="1" w:styleId="24">
    <w:name w:val="font11"/>
    <w:qFormat/>
    <w:uiPriority w:val="0"/>
    <w:rPr>
      <w:rFonts w:ascii="宋体" w:eastAsia="宋体" w:cs="宋体"/>
      <w:b/>
      <w:bCs/>
      <w:color w:val="000000"/>
      <w:sz w:val="21"/>
      <w:szCs w:val="21"/>
      <w:u w:val="none"/>
    </w:rPr>
  </w:style>
  <w:style w:type="character" w:customStyle="1" w:styleId="25">
    <w:name w:val="font21"/>
    <w:qFormat/>
    <w:uiPriority w:val="0"/>
    <w:rPr>
      <w:rFonts w:ascii="宋体" w:eastAsia="宋体" w:cs="宋体"/>
      <w:color w:val="000000"/>
      <w:sz w:val="21"/>
      <w:szCs w:val="21"/>
      <w:u w:val="none"/>
    </w:rPr>
  </w:style>
  <w:style w:type="paragraph" w:customStyle="1" w:styleId="26">
    <w:name w:val="正文文本1"/>
    <w:basedOn w:val="1"/>
    <w:qFormat/>
    <w:uiPriority w:val="0"/>
    <w:pPr>
      <w:spacing w:before="93"/>
    </w:pPr>
    <w:rPr>
      <w:rFonts w:ascii="仿宋_GB2312" w:eastAsia="仿宋_GB2312" w:cs="仿宋_GB2312"/>
      <w:kern w:val="0"/>
      <w:sz w:val="30"/>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PSZX</Company>
  <Pages>10</Pages>
  <Words>4296</Words>
  <Characters>4594</Characters>
  <Lines>495</Lines>
  <Paragraphs>263</Paragraphs>
  <TotalTime>82</TotalTime>
  <ScaleCrop>false</ScaleCrop>
  <LinksUpToDate>false</LinksUpToDate>
  <CharactersWithSpaces>4605</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2019-06-02T19:06:00Z</dcterms:created>
  <dc:creator>陈萍</dc:creator>
  <cp:lastModifiedBy>碧落  </cp:lastModifiedBy>
  <cp:lastPrinted>2026-05-20T16:17:00Z</cp:lastPrinted>
  <dcterms:modified xsi:type="dcterms:W3CDTF">2026-07-29T16:58:42Z</dcterms:modified>
  <dc:title>区域性就业培训基地建设项目</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954FAD3D66014B60A3C60039782E59B0_13</vt:lpwstr>
  </property>
  <property fmtid="{D5CDD505-2E9C-101B-9397-08002B2CF9AE}" pid="4" name="KSOTemplateDocerSaveRecord">
    <vt:lpwstr>eyJoZGlkIjoiZDg0NzI2OTI3NDllNDYwMTM2ZDQzYzI1OTY5ZjBiMGYiLCJ1c2VySWQiOiI4NjA2OTc4MzUifQ==</vt:lpwstr>
  </property>
</Properties>
</file>